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June 14, 2024</w:t>
      </w:r>
    </w:p>
    <w:p>
      <w:pPr>
        <w:spacing w:after="0" w:line="237" w:lineRule="exact"/>
        <w:rPr>
          <w:sz w:val="24"/>
          <w:szCs w:val="24"/>
          <w:color w:val="auto"/>
        </w:rPr>
      </w:pPr>
    </w:p>
    <w:p>
      <w:pPr>
        <w:ind w:left="8800"/>
        <w:spacing w:after="0"/>
        <w:rPr>
          <w:sz w:val="20"/>
          <w:szCs w:val="20"/>
          <w:color w:val="auto"/>
        </w:rPr>
      </w:pPr>
      <w:r>
        <w:rPr>
          <w:rFonts w:ascii="Times New Roman" w:cs="Times New Roman" w:eastAsia="Times New Roman" w:hAnsi="Times New Roman"/>
          <w:sz w:val="18"/>
          <w:szCs w:val="18"/>
          <w:b w:val="1"/>
          <w:bCs w:val="1"/>
          <w:color w:val="auto"/>
        </w:rPr>
        <w:t>Registration No. 333- 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Vistagen Therapeutics,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2">
            <w:col w:w="7040" w:space="720"/>
            <w:col w:w="3480"/>
          </w:cols>
          <w:pgMar w:left="320" w:top="44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ectPr>
          <w:pgSz w:w="11900" w:h="16838" w:orient="portrait"/>
          <w:cols w:equalWidth="0" w:num="1">
            <w:col w:w="11240"/>
          </w:cols>
          <w:pgMar w:left="320" w:top="441" w:right="339" w:bottom="1440" w:gutter="0" w:footer="0" w:header="0"/>
          <w:type w:val="continuous"/>
        </w:sectPr>
      </w:pPr>
    </w:p>
    <w:p>
      <w:pPr>
        <w:spacing w:after="0" w:line="203" w:lineRule="exact"/>
        <w:rPr>
          <w:sz w:val="24"/>
          <w:szCs w:val="24"/>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Vistagen Therapeutics, Inc. Amended and Restated 2019 Omnibus Equity Incentive Plan, as amended Vistagen Therapeutics, Inc. 2019 Employee Stock Purchase Plan, as amended </w:t>
      </w:r>
      <w:r>
        <w:rPr>
          <w:rFonts w:ascii="Times New Roman" w:cs="Times New Roman" w:eastAsia="Times New Roman" w:hAnsi="Times New Roman"/>
          <w:sz w:val="18"/>
          <w:szCs w:val="18"/>
          <w:color w:val="auto"/>
        </w:rPr>
        <w:t>(Full title of the plan)</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Shawn K. Singh</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5" w:lineRule="exact"/>
        <w:rPr>
          <w:sz w:val="24"/>
          <w:szCs w:val="24"/>
          <w:color w:val="auto"/>
        </w:rPr>
      </w:pPr>
    </w:p>
    <w:tbl>
      <w:tblPr>
        <w:tblLayout w:type="fixed"/>
        <w:tblInd w:w="300" w:type="dxa"/>
        <w:tblCellMar>
          <w:top w:w="0" w:type="dxa"/>
          <w:left w:w="0" w:type="dxa"/>
          <w:bottom w:w="0" w:type="dxa"/>
          <w:right w:w="0" w:type="dxa"/>
        </w:tblCellMar>
      </w:tblPr>
      <w:tr>
        <w:trPr>
          <w:trHeight w:val="214"/>
        </w:trPr>
        <w:tc>
          <w:tcPr>
            <w:tcW w:w="4100" w:type="dxa"/>
            <w:vAlign w:val="bottom"/>
          </w:tcPr>
          <w:p>
            <w:pPr>
              <w:spacing w:after="0"/>
              <w:rPr>
                <w:sz w:val="18"/>
                <w:szCs w:val="18"/>
                <w:color w:val="auto"/>
              </w:rPr>
            </w:pPr>
          </w:p>
        </w:tc>
        <w:tc>
          <w:tcPr>
            <w:tcW w:w="6380" w:type="dxa"/>
            <w:vAlign w:val="bottom"/>
          </w:tcPr>
          <w:p>
            <w:pPr>
              <w:ind w:left="860"/>
              <w:spacing w:after="0"/>
              <w:rPr>
                <w:sz w:val="20"/>
                <w:szCs w:val="20"/>
                <w:color w:val="auto"/>
              </w:rPr>
            </w:pPr>
            <w:r>
              <w:rPr>
                <w:rFonts w:ascii="Times New Roman" w:cs="Times New Roman" w:eastAsia="Times New Roman" w:hAnsi="Times New Roman"/>
                <w:sz w:val="18"/>
                <w:szCs w:val="18"/>
                <w:i w:val="1"/>
                <w:iCs w:val="1"/>
                <w:color w:val="auto"/>
              </w:rPr>
              <w:t>Copies to:</w:t>
            </w:r>
          </w:p>
        </w:tc>
      </w:tr>
      <w:tr>
        <w:trPr>
          <w:trHeight w:val="216"/>
        </w:trPr>
        <w:tc>
          <w:tcPr>
            <w:tcW w:w="41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Jessica R. Haskell</w:t>
            </w:r>
          </w:p>
        </w:tc>
        <w:tc>
          <w:tcPr>
            <w:tcW w:w="638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w w:val="98"/>
              </w:rPr>
              <w:t>Daniel W. Rumsey, Esq.</w:t>
            </w:r>
          </w:p>
        </w:tc>
      </w:tr>
      <w:tr>
        <w:trPr>
          <w:trHeight w:val="216"/>
        </w:trPr>
        <w:tc>
          <w:tcPr>
            <w:tcW w:w="41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Associate General Counsel and Corporate</w:t>
            </w:r>
          </w:p>
        </w:tc>
        <w:tc>
          <w:tcPr>
            <w:tcW w:w="638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w w:val="99"/>
              </w:rPr>
              <w:t>Jack Kennedy, Esq.</w:t>
            </w:r>
          </w:p>
        </w:tc>
      </w:tr>
      <w:tr>
        <w:trPr>
          <w:trHeight w:val="216"/>
        </w:trPr>
        <w:tc>
          <w:tcPr>
            <w:tcW w:w="41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7"/>
              </w:rPr>
              <w:t>Secretary</w:t>
            </w:r>
          </w:p>
        </w:tc>
        <w:tc>
          <w:tcPr>
            <w:tcW w:w="638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9"/>
              </w:rPr>
              <w:t>Disclosure Law Group, a Professional</w:t>
            </w:r>
          </w:p>
        </w:tc>
      </w:tr>
      <w:tr>
        <w:trPr>
          <w:trHeight w:val="216"/>
        </w:trPr>
        <w:tc>
          <w:tcPr>
            <w:tcW w:w="41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Vistagen Therapeutics, Inc.</w:t>
            </w:r>
          </w:p>
        </w:tc>
        <w:tc>
          <w:tcPr>
            <w:tcW w:w="638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w w:val="99"/>
              </w:rPr>
              <w:t>Corporation</w:t>
            </w:r>
          </w:p>
        </w:tc>
      </w:tr>
      <w:tr>
        <w:trPr>
          <w:trHeight w:val="216"/>
        </w:trPr>
        <w:tc>
          <w:tcPr>
            <w:tcW w:w="41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343 Allerton Avenue</w:t>
            </w:r>
          </w:p>
        </w:tc>
        <w:tc>
          <w:tcPr>
            <w:tcW w:w="638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8"/>
              </w:rPr>
              <w:t>600 West Broadway, Suite 700</w:t>
            </w:r>
          </w:p>
        </w:tc>
      </w:tr>
      <w:tr>
        <w:trPr>
          <w:trHeight w:val="216"/>
        </w:trPr>
        <w:tc>
          <w:tcPr>
            <w:tcW w:w="41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tc>
        <w:tc>
          <w:tcPr>
            <w:tcW w:w="638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9"/>
              </w:rPr>
              <w:t>San Diego, CA 92101</w:t>
            </w:r>
          </w:p>
        </w:tc>
      </w:tr>
      <w:tr>
        <w:trPr>
          <w:trHeight w:val="238"/>
        </w:trPr>
        <w:tc>
          <w:tcPr>
            <w:tcW w:w="41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(650) 577-3600</w:t>
            </w:r>
          </w:p>
        </w:tc>
        <w:tc>
          <w:tcPr>
            <w:tcW w:w="638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w w:val="99"/>
              </w:rPr>
              <w:t>(619) 272-7050</w:t>
            </w: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8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is filed by Vistagen Therapeutics, Inc. (the “</w:t>
      </w: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 to register (i) an additional 4,400,000 shares (the “</w:t>
      </w:r>
      <w:r>
        <w:rPr>
          <w:rFonts w:ascii="Times New Roman" w:cs="Times New Roman" w:eastAsia="Times New Roman" w:hAnsi="Times New Roman"/>
          <w:sz w:val="18"/>
          <w:szCs w:val="18"/>
          <w:i w:val="1"/>
          <w:iCs w:val="1"/>
          <w:color w:val="auto"/>
        </w:rPr>
        <w:t>Additional 2019 Plan Shares</w:t>
      </w:r>
      <w:r>
        <w:rPr>
          <w:rFonts w:ascii="Times New Roman" w:cs="Times New Roman" w:eastAsia="Times New Roman" w:hAnsi="Times New Roman"/>
          <w:sz w:val="18"/>
          <w:szCs w:val="18"/>
          <w:color w:val="auto"/>
        </w:rPr>
        <w:t>”) of its common stock, $0.001 par value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issuable pursuant to the Registrant’s Amended and Restated 2019 Omnibus Equity Incentive Plan, as amended on September 25, 2023 and May 29, 2024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and (ii) an additional 966,666 shares (the “</w:t>
      </w:r>
      <w:r>
        <w:rPr>
          <w:rFonts w:ascii="Times New Roman" w:cs="Times New Roman" w:eastAsia="Times New Roman" w:hAnsi="Times New Roman"/>
          <w:sz w:val="18"/>
          <w:szCs w:val="18"/>
          <w:i w:val="1"/>
          <w:iCs w:val="1"/>
          <w:color w:val="auto"/>
        </w:rPr>
        <w:t>Additional ESPP Shares</w:t>
      </w:r>
      <w:r>
        <w:rPr>
          <w:rFonts w:ascii="Times New Roman" w:cs="Times New Roman" w:eastAsia="Times New Roman" w:hAnsi="Times New Roman"/>
          <w:sz w:val="18"/>
          <w:szCs w:val="18"/>
          <w:color w:val="auto"/>
        </w:rPr>
        <w:t>”) of its Common Stock issuable pursuant to the Registrant’s 2019 Employee Stock Purchase Plan, as amended on May 29, 2024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Additional 2019 Plan Shares registered on this Registration Statement, along with the shares of Common Stock registered on the previous Registration Statements on Form S-8 (File No. 333-234026 and File No. 333-259779), amount to a total of 5,000,000 shares of registered Common Stock authorized for issuance under the 2019 Plan as of the date of this Registration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Additional 2019 ESPP Shares registered on this Registration Statement, along with the shares of Common Stock registered on the previous Registration Statement on Form S-8 (File No. 333-234026), amount to a total of 1,000,000 shares of registered Common Stock authorized for issuance under the 2019 ESPP as of the date of this Registration Statement.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called for by Part I of Form S-8 is omitted from this Registration Statement in accordance with Rule 428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and the instructions to Form S-8. In accordance with the rules and regulations of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and the instructions to Form S-8, such documents are not being filed with the Commission either as part of this Registration Statement or as prospectuses or prospectus supplements pursuant to Rule 424.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which have been previously filed by the Registrant with the Commission, are hereby incorporated by reference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0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March 31, 2024, filed on </w:t>
      </w:r>
      <w:hyperlink r:id="rId9">
        <w:r>
          <w:rPr>
            <w:rFonts w:ascii="Times New Roman" w:cs="Times New Roman" w:eastAsia="Times New Roman" w:hAnsi="Times New Roman"/>
            <w:sz w:val="18"/>
            <w:szCs w:val="18"/>
            <w:u w:val="single" w:color="auto"/>
            <w:color w:val="0000EE"/>
          </w:rPr>
          <w:t>June 11, 2024</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on </w:t>
      </w:r>
      <w:hyperlink r:id="rId10">
        <w:r>
          <w:rPr>
            <w:rFonts w:ascii="Times New Roman" w:cs="Times New Roman" w:eastAsia="Times New Roman" w:hAnsi="Times New Roman"/>
            <w:sz w:val="18"/>
            <w:szCs w:val="18"/>
            <w:u w:val="single" w:color="auto"/>
            <w:color w:val="0000EE"/>
          </w:rPr>
          <w:t>April 16,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1">
        <w:r>
          <w:rPr>
            <w:rFonts w:ascii="Times New Roman" w:cs="Times New Roman" w:eastAsia="Times New Roman" w:hAnsi="Times New Roman"/>
            <w:sz w:val="18"/>
            <w:szCs w:val="18"/>
            <w:u w:val="single" w:color="auto"/>
            <w:color w:val="0000EE"/>
          </w:rPr>
          <w:t>April 1, 2024</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May 24,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4">
        <w:r>
          <w:rPr>
            <w:rFonts w:ascii="Times New Roman" w:cs="Times New Roman" w:eastAsia="Times New Roman" w:hAnsi="Times New Roman"/>
            <w:sz w:val="18"/>
            <w:szCs w:val="18"/>
            <w:u w:val="single" w:color="auto"/>
            <w:color w:val="0000EE"/>
          </w:rPr>
          <w:t>May 31,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Form 8-A filed pursuant to Section 12(b) of the Securities Exchange Act of 1934,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 </w:t>
      </w:r>
      <w:hyperlink r:id="rId15">
        <w:r>
          <w:rPr>
            <w:rFonts w:ascii="Times New Roman" w:cs="Times New Roman" w:eastAsia="Times New Roman" w:hAnsi="Times New Roman"/>
            <w:sz w:val="18"/>
            <w:szCs w:val="18"/>
            <w:u w:val="single" w:color="auto"/>
            <w:color w:val="0000EE"/>
          </w:rPr>
          <w:t>May 3, 2016</w:t>
        </w:r>
      </w:hyperlink>
      <w:r>
        <w:rPr>
          <w:rFonts w:ascii="Times New Roman" w:cs="Times New Roman" w:eastAsia="Times New Roman" w:hAnsi="Times New Roman"/>
          <w:sz w:val="18"/>
          <w:szCs w:val="18"/>
          <w:color w:val="auto"/>
        </w:rPr>
        <w:t>, including any amendment or report filed with the Commission for the purpose of updating this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Until such time that a post-effective amendment to this Registration Statement has been filed which indicates that all securities offered hereby have been sold or which deregisters all securities remaining unsold at the time of such amendment, all documents subsequently filed by the Registrant pursuant to Sections 13(a), 13(c), 14 and 15(d) of the Securities Exchange Act of 1934, as amended, shall be deemed to be incorporated by reference in this Registration Statement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also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liability and indemnification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Our amended and restated bylaws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provide that we will indemnify our directors, officers and employees to the fullest extent permitted by the Nevada Revised Statutes (“</w:t>
      </w:r>
      <w:r>
        <w:rPr>
          <w:rFonts w:ascii="Times New Roman" w:cs="Times New Roman" w:eastAsia="Times New Roman" w:hAnsi="Times New Roman"/>
          <w:sz w:val="18"/>
          <w:szCs w:val="18"/>
          <w:i w:val="1"/>
          <w:iCs w:val="1"/>
          <w:color w:val="auto"/>
        </w:rPr>
        <w:t>NRS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Restated Articles of Incorporation, as amended,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awards against our directors and officers pursuant to these indemnification provisions.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Commission, such indemnification is against public policy as expressed in the Securities Act, and is, therefore, unenforceable.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us or any of our directors or officers as to which indemnification is being sought, nor are we aware of any pending or threatened litigation that may result in claims for indemnification.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5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18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10"/>
        </w:trPr>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38"/>
        </w:trPr>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0"/>
              </w:rPr>
              <w:t>No.</w:t>
            </w:r>
          </w:p>
        </w:tc>
        <w:tc>
          <w:tcPr>
            <w:tcW w:w="180" w:type="dxa"/>
            <w:vAlign w:val="bottom"/>
          </w:tcPr>
          <w:p>
            <w:pPr>
              <w:spacing w:after="0"/>
              <w:rPr>
                <w:sz w:val="20"/>
                <w:szCs w:val="20"/>
                <w:color w:val="auto"/>
              </w:rPr>
            </w:pPr>
          </w:p>
        </w:tc>
        <w:tc>
          <w:tcPr>
            <w:tcW w:w="54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180" w:type="dxa"/>
            <w:vAlign w:val="bottom"/>
          </w:tcPr>
          <w:p>
            <w:pPr>
              <w:spacing w:after="0"/>
              <w:rPr>
                <w:sz w:val="20"/>
                <w:szCs w:val="20"/>
                <w:color w:val="auto"/>
              </w:rPr>
            </w:pPr>
          </w:p>
        </w:tc>
        <w:tc>
          <w:tcPr>
            <w:tcW w:w="43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r>
      <w:tr>
        <w:trPr>
          <w:trHeight w:val="385"/>
        </w:trPr>
        <w:tc>
          <w:tcPr>
            <w:tcW w:w="580" w:type="dxa"/>
            <w:vAlign w:val="bottom"/>
            <w:gridSpan w:val="3"/>
          </w:tcPr>
          <w:p>
            <w:pPr>
              <w:jc w:val="center"/>
              <w:ind w:left="270"/>
              <w:spacing w:after="0"/>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Restated Articles of Incorporation of Vistagen Therapeutics, Inc., dated</w:t>
            </w:r>
          </w:p>
        </w:tc>
        <w:tc>
          <w:tcPr>
            <w:tcW w:w="18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Company’s Current Report on Form 8-K,</w:t>
            </w:r>
          </w:p>
        </w:tc>
      </w:tr>
      <w:tr>
        <w:trPr>
          <w:trHeight w:val="218"/>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August 16, 2016</w:t>
            </w:r>
          </w:p>
        </w:tc>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filed on August 17, 2016.</w:t>
            </w:r>
          </w:p>
        </w:tc>
      </w:tr>
      <w:tr>
        <w:trPr>
          <w:trHeight w:val="194"/>
        </w:trPr>
        <w:tc>
          <w:tcPr>
            <w:tcW w:w="580" w:type="dxa"/>
            <w:vAlign w:val="bottom"/>
            <w:gridSpan w:val="3"/>
          </w:tcPr>
          <w:p>
            <w:pPr>
              <w:jc w:val="center"/>
              <w:ind w:left="270"/>
              <w:spacing w:after="0" w:line="194" w:lineRule="exact"/>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6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Second Amended and Restated Bylaws of Vistagen Therapeutics, Inc.,</w:t>
            </w:r>
          </w:p>
        </w:tc>
        <w:tc>
          <w:tcPr>
            <w:tcW w:w="180" w:type="dxa"/>
            <w:vAlign w:val="bottom"/>
          </w:tcPr>
          <w:p>
            <w:pPr>
              <w:spacing w:after="0"/>
              <w:rPr>
                <w:sz w:val="16"/>
                <w:szCs w:val="16"/>
                <w:color w:val="auto"/>
              </w:rPr>
            </w:pPr>
          </w:p>
        </w:tc>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Exhibit 3.2 to the Company’s Current Report on Form 8-K,</w:t>
            </w:r>
          </w:p>
        </w:tc>
      </w:tr>
      <w:tr>
        <w:trPr>
          <w:trHeight w:val="218"/>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dated August 16, 2016</w:t>
            </w:r>
          </w:p>
        </w:tc>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filed on August 17, 2016.</w:t>
            </w:r>
          </w:p>
        </w:tc>
      </w:tr>
      <w:tr>
        <w:trPr>
          <w:trHeight w:val="194"/>
        </w:trPr>
        <w:tc>
          <w:tcPr>
            <w:tcW w:w="580" w:type="dxa"/>
            <w:vAlign w:val="bottom"/>
            <w:gridSpan w:val="3"/>
          </w:tcPr>
          <w:p>
            <w:pPr>
              <w:jc w:val="center"/>
              <w:ind w:left="270"/>
              <w:spacing w:after="0" w:line="194" w:lineRule="exact"/>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6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and Amended Articles of</w:t>
            </w:r>
          </w:p>
        </w:tc>
        <w:tc>
          <w:tcPr>
            <w:tcW w:w="180" w:type="dxa"/>
            <w:vAlign w:val="bottom"/>
          </w:tcPr>
          <w:p>
            <w:pPr>
              <w:spacing w:after="0"/>
              <w:rPr>
                <w:sz w:val="16"/>
                <w:szCs w:val="16"/>
                <w:color w:val="auto"/>
              </w:rPr>
            </w:pPr>
          </w:p>
        </w:tc>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Exhibit 3.1 to the Company’s Current Report on Form 8-K,</w:t>
            </w:r>
          </w:p>
        </w:tc>
      </w:tr>
      <w:tr>
        <w:trPr>
          <w:trHeight w:val="218"/>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of Vistagen Therapeutics, Inc., dated September 15, 2017</w:t>
            </w:r>
          </w:p>
        </w:tc>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filed on September 20, 2017.</w:t>
            </w:r>
          </w:p>
        </w:tc>
      </w:tr>
      <w:tr>
        <w:trPr>
          <w:trHeight w:val="194"/>
        </w:trPr>
        <w:tc>
          <w:tcPr>
            <w:tcW w:w="580" w:type="dxa"/>
            <w:vAlign w:val="bottom"/>
            <w:gridSpan w:val="3"/>
          </w:tcPr>
          <w:p>
            <w:pPr>
              <w:jc w:val="center"/>
              <w:ind w:left="270"/>
              <w:spacing w:after="0" w:line="194" w:lineRule="exact"/>
              <w:rPr>
                <w:rFonts w:ascii="Times New Roman" w:cs="Times New Roman" w:eastAsia="Times New Roman" w:hAnsi="Times New Roman"/>
                <w:sz w:val="18"/>
                <w:szCs w:val="18"/>
                <w:color w:val="0000EE"/>
                <w:w w:val="97"/>
              </w:rPr>
            </w:pPr>
            <w:hyperlink r:id="rId2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6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and Amended Articles of</w:t>
            </w:r>
          </w:p>
        </w:tc>
        <w:tc>
          <w:tcPr>
            <w:tcW w:w="180" w:type="dxa"/>
            <w:vAlign w:val="bottom"/>
          </w:tcPr>
          <w:p>
            <w:pPr>
              <w:spacing w:after="0"/>
              <w:rPr>
                <w:sz w:val="16"/>
                <w:szCs w:val="16"/>
                <w:color w:val="auto"/>
              </w:rPr>
            </w:pPr>
          </w:p>
        </w:tc>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Exhibit 3.1 to the Company’s Current Report on Form 8-K,</w:t>
            </w:r>
          </w:p>
        </w:tc>
      </w:tr>
      <w:tr>
        <w:trPr>
          <w:trHeight w:val="218"/>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Incorporation, as amended, of Vistagen Therapeutics, Inc., dated September</w:t>
            </w:r>
          </w:p>
        </w:tc>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filed on September 6, 2019.</w:t>
            </w: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6, 2019</w:t>
            </w:r>
          </w:p>
        </w:tc>
        <w:tc>
          <w:tcPr>
            <w:tcW w:w="1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194"/>
        </w:trPr>
        <w:tc>
          <w:tcPr>
            <w:tcW w:w="580" w:type="dxa"/>
            <w:vAlign w:val="bottom"/>
            <w:gridSpan w:val="3"/>
          </w:tcPr>
          <w:p>
            <w:pPr>
              <w:jc w:val="center"/>
              <w:ind w:left="270"/>
              <w:spacing w:after="0" w:line="194" w:lineRule="exact"/>
              <w:rPr>
                <w:rFonts w:ascii="Times New Roman" w:cs="Times New Roman" w:eastAsia="Times New Roman" w:hAnsi="Times New Roman"/>
                <w:sz w:val="18"/>
                <w:szCs w:val="18"/>
                <w:color w:val="0000EE"/>
                <w:w w:val="97"/>
              </w:rPr>
            </w:pPr>
            <w:hyperlink r:id="rId2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6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and Amended Articles of</w:t>
            </w:r>
          </w:p>
        </w:tc>
        <w:tc>
          <w:tcPr>
            <w:tcW w:w="180" w:type="dxa"/>
            <w:vAlign w:val="bottom"/>
          </w:tcPr>
          <w:p>
            <w:pPr>
              <w:spacing w:after="0"/>
              <w:rPr>
                <w:sz w:val="16"/>
                <w:szCs w:val="16"/>
                <w:color w:val="auto"/>
              </w:rPr>
            </w:pPr>
          </w:p>
        </w:tc>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Exhibit 3.1 to the Company’s Current Report on Form 8-K,</w:t>
            </w:r>
          </w:p>
        </w:tc>
      </w:tr>
      <w:tr>
        <w:trPr>
          <w:trHeight w:val="218"/>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as amended, of Vistagen Therapeutics, Inc., dated March 5,</w:t>
            </w:r>
          </w:p>
        </w:tc>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filed on March 5, 2021.</w:t>
            </w: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194"/>
        </w:trPr>
        <w:tc>
          <w:tcPr>
            <w:tcW w:w="580" w:type="dxa"/>
            <w:vAlign w:val="bottom"/>
            <w:gridSpan w:val="3"/>
          </w:tcPr>
          <w:p>
            <w:pPr>
              <w:jc w:val="center"/>
              <w:ind w:left="270"/>
              <w:spacing w:after="0" w:line="194" w:lineRule="exact"/>
              <w:rPr>
                <w:rFonts w:ascii="Times New Roman" w:cs="Times New Roman" w:eastAsia="Times New Roman" w:hAnsi="Times New Roman"/>
                <w:sz w:val="18"/>
                <w:szCs w:val="18"/>
                <w:color w:val="0000EE"/>
                <w:w w:val="97"/>
              </w:rPr>
            </w:pPr>
            <w:hyperlink r:id="rId23">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hyperlink>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6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Amendment No. 2 to the Second Amended and Restated Bylaws of</w:t>
            </w:r>
          </w:p>
        </w:tc>
        <w:tc>
          <w:tcPr>
            <w:tcW w:w="180" w:type="dxa"/>
            <w:vAlign w:val="bottom"/>
          </w:tcPr>
          <w:p>
            <w:pPr>
              <w:spacing w:after="0"/>
              <w:rPr>
                <w:sz w:val="16"/>
                <w:szCs w:val="16"/>
                <w:color w:val="auto"/>
              </w:rPr>
            </w:pPr>
          </w:p>
        </w:tc>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Exhibit 3.1 to the Company’s Current Report on Form 8-K,</w:t>
            </w:r>
          </w:p>
        </w:tc>
      </w:tr>
      <w:tr>
        <w:trPr>
          <w:trHeight w:val="218"/>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Vistagen Therapeutics, Inc.</w:t>
            </w:r>
          </w:p>
        </w:tc>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filed on August 31, 2022.</w:t>
            </w:r>
          </w:p>
        </w:tc>
      </w:tr>
      <w:tr>
        <w:trPr>
          <w:trHeight w:val="194"/>
        </w:trPr>
        <w:tc>
          <w:tcPr>
            <w:tcW w:w="580" w:type="dxa"/>
            <w:vAlign w:val="bottom"/>
            <w:gridSpan w:val="3"/>
          </w:tcPr>
          <w:p>
            <w:pPr>
              <w:jc w:val="center"/>
              <w:ind w:left="270"/>
              <w:spacing w:after="0" w:line="194" w:lineRule="exact"/>
              <w:rPr>
                <w:rFonts w:ascii="Times New Roman" w:cs="Times New Roman" w:eastAsia="Times New Roman" w:hAnsi="Times New Roman"/>
                <w:sz w:val="18"/>
                <w:szCs w:val="18"/>
                <w:color w:val="0000EE"/>
                <w:w w:val="97"/>
              </w:rPr>
            </w:pPr>
            <w:hyperlink r:id="rId2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7</w:t>
              </w:r>
            </w:hyperlink>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6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and Amended Articles of</w:t>
            </w:r>
          </w:p>
        </w:tc>
        <w:tc>
          <w:tcPr>
            <w:tcW w:w="180" w:type="dxa"/>
            <w:vAlign w:val="bottom"/>
          </w:tcPr>
          <w:p>
            <w:pPr>
              <w:spacing w:after="0"/>
              <w:rPr>
                <w:sz w:val="16"/>
                <w:szCs w:val="16"/>
                <w:color w:val="auto"/>
              </w:rPr>
            </w:pPr>
          </w:p>
        </w:tc>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Exhibit 3.1 to the Current Report on Form 8-K, filed June 6,</w:t>
            </w:r>
          </w:p>
        </w:tc>
      </w:tr>
      <w:tr>
        <w:trPr>
          <w:trHeight w:val="218"/>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as amended, of Vistagen Therapeutics, Inc., dated June 6,</w:t>
            </w: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194"/>
        </w:trPr>
        <w:tc>
          <w:tcPr>
            <w:tcW w:w="580" w:type="dxa"/>
            <w:vAlign w:val="bottom"/>
            <w:gridSpan w:val="3"/>
          </w:tcPr>
          <w:p>
            <w:pPr>
              <w:jc w:val="center"/>
              <w:ind w:left="270"/>
              <w:spacing w:after="0" w:line="194"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6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Opinion of Disclosure Law Group, a Professional Corporation</w:t>
            </w:r>
          </w:p>
        </w:tc>
        <w:tc>
          <w:tcPr>
            <w:tcW w:w="180" w:type="dxa"/>
            <w:vAlign w:val="bottom"/>
          </w:tcPr>
          <w:p>
            <w:pPr>
              <w:spacing w:after="0"/>
              <w:rPr>
                <w:sz w:val="16"/>
                <w:szCs w:val="16"/>
                <w:color w:val="auto"/>
              </w:rPr>
            </w:pPr>
          </w:p>
        </w:tc>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320" w:type="dxa"/>
            <w:vAlign w:val="bottom"/>
            <w:tcBorders>
              <w:bottom w:val="single" w:sz="8" w:color="0000EE"/>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300" w:type="dxa"/>
            <w:vAlign w:val="bottom"/>
          </w:tcPr>
          <w:p>
            <w:pPr>
              <w:spacing w:after="0"/>
              <w:rPr>
                <w:sz w:val="17"/>
                <w:szCs w:val="17"/>
                <w:color w:val="auto"/>
              </w:rPr>
            </w:pPr>
          </w:p>
        </w:tc>
        <w:tc>
          <w:tcPr>
            <w:tcW w:w="56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Consent of WithumSmith+Brown, PC</w:t>
            </w:r>
          </w:p>
        </w:tc>
        <w:tc>
          <w:tcPr>
            <w:tcW w:w="180" w:type="dxa"/>
            <w:vAlign w:val="bottom"/>
          </w:tcPr>
          <w:p>
            <w:pPr>
              <w:spacing w:after="0"/>
              <w:rPr>
                <w:sz w:val="17"/>
                <w:szCs w:val="17"/>
                <w:color w:val="auto"/>
              </w:rPr>
            </w:pPr>
          </w:p>
        </w:tc>
        <w:tc>
          <w:tcPr>
            <w:tcW w:w="4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300" w:type="dxa"/>
            <w:vAlign w:val="bottom"/>
          </w:tcPr>
          <w:p>
            <w:pPr>
              <w:spacing w:after="0"/>
              <w:rPr>
                <w:sz w:val="17"/>
                <w:szCs w:val="17"/>
                <w:color w:val="auto"/>
              </w:rPr>
            </w:pPr>
          </w:p>
        </w:tc>
        <w:tc>
          <w:tcPr>
            <w:tcW w:w="320" w:type="dxa"/>
            <w:vAlign w:val="bottom"/>
            <w:tcBorders>
              <w:bottom w:val="single" w:sz="8" w:color="0000EE"/>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300" w:type="dxa"/>
            <w:vAlign w:val="bottom"/>
          </w:tcPr>
          <w:p>
            <w:pPr>
              <w:spacing w:after="0"/>
              <w:rPr>
                <w:sz w:val="17"/>
                <w:szCs w:val="17"/>
                <w:color w:val="auto"/>
              </w:rPr>
            </w:pPr>
          </w:p>
        </w:tc>
        <w:tc>
          <w:tcPr>
            <w:tcW w:w="56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Consent of Disclosure Law Group, a Professional Corporation.</w:t>
            </w:r>
          </w:p>
        </w:tc>
        <w:tc>
          <w:tcPr>
            <w:tcW w:w="180" w:type="dxa"/>
            <w:vAlign w:val="bottom"/>
          </w:tcPr>
          <w:p>
            <w:pPr>
              <w:spacing w:after="0"/>
              <w:rPr>
                <w:sz w:val="17"/>
                <w:szCs w:val="17"/>
                <w:color w:val="auto"/>
              </w:rPr>
            </w:pPr>
          </w:p>
        </w:tc>
        <w:tc>
          <w:tcPr>
            <w:tcW w:w="4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Included in Exhibit 5.1.</w:t>
            </w:r>
          </w:p>
        </w:tc>
      </w:tr>
      <w:tr>
        <w:trPr>
          <w:trHeight w:val="196"/>
        </w:trPr>
        <w:tc>
          <w:tcPr>
            <w:tcW w:w="620" w:type="dxa"/>
            <w:vAlign w:val="bottom"/>
            <w:gridSpan w:val="4"/>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300" w:type="dxa"/>
            <w:vAlign w:val="bottom"/>
          </w:tcPr>
          <w:p>
            <w:pPr>
              <w:spacing w:after="0"/>
              <w:rPr>
                <w:sz w:val="17"/>
                <w:szCs w:val="17"/>
                <w:color w:val="auto"/>
              </w:rPr>
            </w:pPr>
          </w:p>
        </w:tc>
        <w:tc>
          <w:tcPr>
            <w:tcW w:w="56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Power of Attorney</w:t>
            </w:r>
          </w:p>
        </w:tc>
        <w:tc>
          <w:tcPr>
            <w:tcW w:w="180" w:type="dxa"/>
            <w:vAlign w:val="bottom"/>
          </w:tcPr>
          <w:p>
            <w:pPr>
              <w:spacing w:after="0"/>
              <w:rPr>
                <w:sz w:val="17"/>
                <w:szCs w:val="17"/>
                <w:color w:val="auto"/>
              </w:rPr>
            </w:pPr>
          </w:p>
        </w:tc>
        <w:tc>
          <w:tcPr>
            <w:tcW w:w="4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Included on the signature page of this Registration</w:t>
            </w:r>
          </w:p>
        </w:tc>
      </w:tr>
      <w:tr>
        <w:trPr>
          <w:trHeight w:val="218"/>
        </w:trPr>
        <w:tc>
          <w:tcPr>
            <w:tcW w:w="30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Statement.</w:t>
            </w:r>
          </w:p>
        </w:tc>
      </w:tr>
      <w:tr>
        <w:trPr>
          <w:trHeight w:val="194"/>
        </w:trPr>
        <w:tc>
          <w:tcPr>
            <w:tcW w:w="620" w:type="dxa"/>
            <w:vAlign w:val="bottom"/>
            <w:gridSpan w:val="4"/>
          </w:tcPr>
          <w:p>
            <w:pPr>
              <w:jc w:val="center"/>
              <w:ind w:left="210"/>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300" w:type="dxa"/>
            <w:vAlign w:val="bottom"/>
          </w:tcPr>
          <w:p>
            <w:pPr>
              <w:spacing w:after="0"/>
              <w:rPr>
                <w:sz w:val="16"/>
                <w:szCs w:val="16"/>
                <w:color w:val="auto"/>
              </w:rPr>
            </w:pPr>
          </w:p>
        </w:tc>
        <w:tc>
          <w:tcPr>
            <w:tcW w:w="566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Vistagen Therapeutics, Inc. Amended and Restated 2019 Omnibus Equity</w:t>
            </w:r>
          </w:p>
        </w:tc>
        <w:tc>
          <w:tcPr>
            <w:tcW w:w="180" w:type="dxa"/>
            <w:vAlign w:val="bottom"/>
          </w:tcPr>
          <w:p>
            <w:pPr>
              <w:spacing w:after="0"/>
              <w:rPr>
                <w:sz w:val="16"/>
                <w:szCs w:val="16"/>
                <w:color w:val="auto"/>
              </w:rPr>
            </w:pPr>
          </w:p>
        </w:tc>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Appendix B to the Registrant’s Definitive Proxy Statement,</w:t>
            </w:r>
          </w:p>
        </w:tc>
      </w:tr>
      <w:tr>
        <w:trPr>
          <w:trHeight w:val="218"/>
        </w:trPr>
        <w:tc>
          <w:tcPr>
            <w:tcW w:w="30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Incentive Plan, as amended</w:t>
            </w:r>
          </w:p>
        </w:tc>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filed with the Commission on July 23, 2019.</w:t>
            </w:r>
          </w:p>
        </w:tc>
      </w:tr>
      <w:tr>
        <w:trPr>
          <w:trHeight w:val="194"/>
        </w:trPr>
        <w:tc>
          <w:tcPr>
            <w:tcW w:w="620" w:type="dxa"/>
            <w:vAlign w:val="bottom"/>
            <w:gridSpan w:val="4"/>
          </w:tcPr>
          <w:p>
            <w:pPr>
              <w:jc w:val="center"/>
              <w:ind w:left="210"/>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hyperlink>
          </w:p>
        </w:tc>
        <w:tc>
          <w:tcPr>
            <w:tcW w:w="300" w:type="dxa"/>
            <w:vAlign w:val="bottom"/>
          </w:tcPr>
          <w:p>
            <w:pPr>
              <w:spacing w:after="0"/>
              <w:rPr>
                <w:sz w:val="16"/>
                <w:szCs w:val="16"/>
                <w:color w:val="auto"/>
              </w:rPr>
            </w:pPr>
          </w:p>
        </w:tc>
        <w:tc>
          <w:tcPr>
            <w:tcW w:w="566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Vistagen Therapeutics, Inc. 2019 Employee Stock Purchase Plan</w:t>
            </w:r>
          </w:p>
        </w:tc>
        <w:tc>
          <w:tcPr>
            <w:tcW w:w="180" w:type="dxa"/>
            <w:vAlign w:val="bottom"/>
          </w:tcPr>
          <w:p>
            <w:pPr>
              <w:spacing w:after="0"/>
              <w:rPr>
                <w:sz w:val="16"/>
                <w:szCs w:val="16"/>
                <w:color w:val="auto"/>
              </w:rPr>
            </w:pPr>
          </w:p>
        </w:tc>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Appendix C to the Registrant’s Definitive Proxy Statement,</w:t>
            </w:r>
          </w:p>
        </w:tc>
      </w:tr>
      <w:tr>
        <w:trPr>
          <w:trHeight w:val="218"/>
        </w:trPr>
        <w:tc>
          <w:tcPr>
            <w:tcW w:w="30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filed with the Commission on July 23, 2019.</w:t>
            </w:r>
          </w:p>
        </w:tc>
      </w:tr>
      <w:tr>
        <w:trPr>
          <w:trHeight w:val="194"/>
        </w:trPr>
        <w:tc>
          <w:tcPr>
            <w:tcW w:w="580" w:type="dxa"/>
            <w:vAlign w:val="bottom"/>
            <w:gridSpan w:val="3"/>
          </w:tcPr>
          <w:p>
            <w:pPr>
              <w:jc w:val="center"/>
              <w:ind w:left="230"/>
              <w:spacing w:after="0" w:line="194" w:lineRule="exact"/>
              <w:rPr>
                <w:sz w:val="20"/>
                <w:szCs w:val="20"/>
                <w:color w:val="auto"/>
              </w:rPr>
            </w:pPr>
            <w:r>
              <w:rPr>
                <w:rFonts w:ascii="Times New Roman" w:cs="Times New Roman" w:eastAsia="Times New Roman" w:hAnsi="Times New Roman"/>
                <w:sz w:val="18"/>
                <w:szCs w:val="18"/>
                <w:color w:val="0000EE"/>
                <w:w w:val="96"/>
              </w:rPr>
              <w:t>107</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6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Filing Fees Exhibit</w:t>
            </w:r>
          </w:p>
        </w:tc>
        <w:tc>
          <w:tcPr>
            <w:tcW w:w="180" w:type="dxa"/>
            <w:vAlign w:val="bottom"/>
          </w:tcPr>
          <w:p>
            <w:pPr>
              <w:spacing w:after="0"/>
              <w:rPr>
                <w:sz w:val="16"/>
                <w:szCs w:val="16"/>
                <w:color w:val="auto"/>
              </w:rPr>
            </w:pPr>
          </w:p>
        </w:tc>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3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and</w:t>
      </w:r>
    </w:p>
    <w:p>
      <w:pPr>
        <w:spacing w:after="0" w:line="225" w:lineRule="exact"/>
        <w:rPr>
          <w:rFonts w:ascii="Times New Roman" w:cs="Times New Roman" w:eastAsia="Times New Roman" w:hAnsi="Times New Roman"/>
          <w:sz w:val="18"/>
          <w:szCs w:val="18"/>
          <w:color w:val="auto"/>
        </w:rPr>
      </w:pPr>
    </w:p>
    <w:p>
      <w:pPr>
        <w:jc w:val="both"/>
        <w:ind w:firstLine="980"/>
        <w:spacing w:after="0" w:line="266" w:lineRule="auto"/>
        <w:tabs>
          <w:tab w:leader="none" w:pos="1369"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and</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336"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and</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and (1)(ii) above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jc w:val="both"/>
        <w:ind w:firstLine="656"/>
        <w:spacing w:after="0" w:line="266" w:lineRule="auto"/>
        <w:tabs>
          <w:tab w:leader="none" w:pos="100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0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both"/>
        <w:ind w:left="-332" w:firstLine="332"/>
        <w:spacing w:after="0" w:line="258" w:lineRule="auto"/>
        <w:tabs>
          <w:tab w:leader="none" w:pos="44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32" w:firstLine="332"/>
        <w:spacing w:after="0" w:line="255" w:lineRule="auto"/>
        <w:tabs>
          <w:tab w:leader="none" w:pos="3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354330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June 14, 2024.</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Shawn K. Singh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Shawn K. Singh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Shawn K. Singh, as his or her true and lawful attorneys-in-fact and agent,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 or substitutes, may lawfully do or cause to be done by virtue hereof.</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10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92"/>
        </w:trPr>
        <w:tc>
          <w:tcPr>
            <w:tcW w:w="1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/s/ Shawn K. Singh</w:t>
            </w:r>
          </w:p>
        </w:tc>
        <w:tc>
          <w:tcPr>
            <w:tcW w:w="1820" w:type="dxa"/>
            <w:vAlign w:val="bottom"/>
            <w:gridSpan w:val="5"/>
          </w:tcPr>
          <w:p>
            <w:pPr>
              <w:spacing w:after="0"/>
              <w:rPr>
                <w:sz w:val="24"/>
                <w:szCs w:val="24"/>
                <w:color w:val="auto"/>
              </w:rPr>
            </w:pPr>
          </w:p>
        </w:tc>
        <w:tc>
          <w:tcPr>
            <w:tcW w:w="5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1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June 14, 2024</w:t>
            </w:r>
          </w:p>
        </w:tc>
      </w:tr>
      <w:tr>
        <w:trPr>
          <w:trHeight w:val="237"/>
        </w:trPr>
        <w:tc>
          <w:tcPr>
            <w:tcW w:w="3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Shawn K. Singh</w:t>
            </w:r>
          </w:p>
        </w:tc>
        <w:tc>
          <w:tcPr>
            <w:tcW w:w="5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100" w:type="dxa"/>
            <w:vAlign w:val="bottom"/>
          </w:tcPr>
          <w:p>
            <w:pPr>
              <w:spacing w:after="0"/>
              <w:rPr>
                <w:sz w:val="20"/>
                <w:szCs w:val="20"/>
                <w:color w:val="auto"/>
              </w:rPr>
            </w:pPr>
          </w:p>
        </w:tc>
      </w:tr>
      <w:tr>
        <w:trPr>
          <w:trHeight w:val="391"/>
        </w:trPr>
        <w:tc>
          <w:tcPr>
            <w:tcW w:w="17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/s/ Cynthia L. Anderson</w:t>
            </w:r>
          </w:p>
        </w:tc>
        <w:tc>
          <w:tcPr>
            <w:tcW w:w="1480" w:type="dxa"/>
            <w:vAlign w:val="bottom"/>
            <w:gridSpan w:val="3"/>
          </w:tcPr>
          <w:p>
            <w:pPr>
              <w:spacing w:after="0"/>
              <w:rPr>
                <w:sz w:val="24"/>
                <w:szCs w:val="24"/>
                <w:color w:val="auto"/>
              </w:rPr>
            </w:pPr>
          </w:p>
        </w:tc>
        <w:tc>
          <w:tcPr>
            <w:tcW w:w="5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1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June 14, 2024</w:t>
            </w:r>
          </w:p>
        </w:tc>
      </w:tr>
      <w:tr>
        <w:trPr>
          <w:trHeight w:val="237"/>
        </w:trPr>
        <w:tc>
          <w:tcPr>
            <w:tcW w:w="3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Cynthia L. Anderson</w:t>
            </w:r>
          </w:p>
        </w:tc>
        <w:tc>
          <w:tcPr>
            <w:tcW w:w="5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100" w:type="dxa"/>
            <w:vAlign w:val="bottom"/>
          </w:tcPr>
          <w:p>
            <w:pPr>
              <w:spacing w:after="0"/>
              <w:rPr>
                <w:sz w:val="20"/>
                <w:szCs w:val="20"/>
                <w:color w:val="auto"/>
              </w:rPr>
            </w:pPr>
          </w:p>
        </w:tc>
      </w:tr>
      <w:tr>
        <w:trPr>
          <w:trHeight w:val="391"/>
        </w:trPr>
        <w:tc>
          <w:tcPr>
            <w:tcW w:w="3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Margaret M. FitzPatrick</w:t>
            </w:r>
          </w:p>
        </w:tc>
        <w:tc>
          <w:tcPr>
            <w:tcW w:w="5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1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June 14, 2024</w:t>
            </w:r>
          </w:p>
        </w:tc>
      </w:tr>
      <w:tr>
        <w:trPr>
          <w:trHeight w:val="237"/>
        </w:trPr>
        <w:tc>
          <w:tcPr>
            <w:tcW w:w="19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Margaret M. FitzPatrick</w:t>
            </w:r>
          </w:p>
        </w:tc>
        <w:tc>
          <w:tcPr>
            <w:tcW w:w="12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91"/>
        </w:trPr>
        <w:tc>
          <w:tcPr>
            <w:tcW w:w="17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/s/ Ann M. Cunningham</w:t>
            </w:r>
          </w:p>
        </w:tc>
        <w:tc>
          <w:tcPr>
            <w:tcW w:w="1460" w:type="dxa"/>
            <w:vAlign w:val="bottom"/>
            <w:gridSpan w:val="2"/>
          </w:tcPr>
          <w:p>
            <w:pPr>
              <w:spacing w:after="0"/>
              <w:rPr>
                <w:sz w:val="24"/>
                <w:szCs w:val="24"/>
                <w:color w:val="auto"/>
              </w:rPr>
            </w:pPr>
          </w:p>
        </w:tc>
        <w:tc>
          <w:tcPr>
            <w:tcW w:w="5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June 14, 2024</w:t>
            </w:r>
          </w:p>
        </w:tc>
      </w:tr>
      <w:tr>
        <w:trPr>
          <w:trHeight w:val="237"/>
        </w:trPr>
        <w:tc>
          <w:tcPr>
            <w:tcW w:w="3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Ann M. Cunningham</w:t>
            </w:r>
          </w:p>
        </w:tc>
        <w:tc>
          <w:tcPr>
            <w:tcW w:w="51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91"/>
        </w:trPr>
        <w:tc>
          <w:tcPr>
            <w:tcW w:w="1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 Joanne Curley</w:t>
            </w:r>
          </w:p>
        </w:tc>
        <w:tc>
          <w:tcPr>
            <w:tcW w:w="1960" w:type="dxa"/>
            <w:vAlign w:val="bottom"/>
            <w:gridSpan w:val="6"/>
          </w:tcPr>
          <w:p>
            <w:pPr>
              <w:spacing w:after="0"/>
              <w:rPr>
                <w:sz w:val="24"/>
                <w:szCs w:val="24"/>
                <w:color w:val="auto"/>
              </w:rPr>
            </w:pPr>
          </w:p>
        </w:tc>
        <w:tc>
          <w:tcPr>
            <w:tcW w:w="5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June 14, 2024</w:t>
            </w:r>
          </w:p>
        </w:tc>
      </w:tr>
      <w:tr>
        <w:trPr>
          <w:trHeight w:val="237"/>
        </w:trPr>
        <w:tc>
          <w:tcPr>
            <w:tcW w:w="3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Joanne Curley</w:t>
            </w:r>
          </w:p>
        </w:tc>
        <w:tc>
          <w:tcPr>
            <w:tcW w:w="51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91"/>
        </w:trPr>
        <w:tc>
          <w:tcPr>
            <w:tcW w:w="3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Jerry B. Gin</w:t>
            </w:r>
          </w:p>
        </w:tc>
        <w:tc>
          <w:tcPr>
            <w:tcW w:w="5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June 14, 2024</w:t>
            </w:r>
          </w:p>
        </w:tc>
      </w:tr>
      <w:tr>
        <w:trPr>
          <w:trHeight w:val="237"/>
        </w:trPr>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Jerry B. Gin</w:t>
            </w:r>
          </w:p>
        </w:tc>
        <w:tc>
          <w:tcPr>
            <w:tcW w:w="2120" w:type="dxa"/>
            <w:vAlign w:val="bottom"/>
            <w:gridSpan w:val="7"/>
          </w:tcPr>
          <w:p>
            <w:pPr>
              <w:spacing w:after="0"/>
              <w:rPr>
                <w:sz w:val="20"/>
                <w:szCs w:val="20"/>
                <w:color w:val="auto"/>
              </w:rPr>
            </w:pPr>
          </w:p>
        </w:tc>
        <w:tc>
          <w:tcPr>
            <w:tcW w:w="51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91"/>
        </w:trPr>
        <w:tc>
          <w:tcPr>
            <w:tcW w:w="1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/s/ Mary L. Rotunno</w:t>
            </w:r>
          </w:p>
        </w:tc>
        <w:tc>
          <w:tcPr>
            <w:tcW w:w="1740" w:type="dxa"/>
            <w:vAlign w:val="bottom"/>
            <w:gridSpan w:val="4"/>
          </w:tcPr>
          <w:p>
            <w:pPr>
              <w:spacing w:after="0"/>
              <w:rPr>
                <w:sz w:val="24"/>
                <w:szCs w:val="24"/>
                <w:color w:val="auto"/>
              </w:rPr>
            </w:pPr>
          </w:p>
        </w:tc>
        <w:tc>
          <w:tcPr>
            <w:tcW w:w="5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June 14, 2024</w:t>
            </w:r>
          </w:p>
        </w:tc>
      </w:tr>
      <w:tr>
        <w:trPr>
          <w:trHeight w:val="237"/>
        </w:trPr>
        <w:tc>
          <w:tcPr>
            <w:tcW w:w="3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Mary L. Rotunno</w:t>
            </w:r>
          </w:p>
        </w:tc>
        <w:tc>
          <w:tcPr>
            <w:tcW w:w="51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91"/>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Jon S. Saxe</w:t>
            </w:r>
          </w:p>
        </w:tc>
        <w:tc>
          <w:tcPr>
            <w:tcW w:w="2160" w:type="dxa"/>
            <w:vAlign w:val="bottom"/>
            <w:gridSpan w:val="8"/>
          </w:tcPr>
          <w:p>
            <w:pPr>
              <w:spacing w:after="0"/>
              <w:rPr>
                <w:sz w:val="24"/>
                <w:szCs w:val="24"/>
                <w:color w:val="auto"/>
              </w:rPr>
            </w:pPr>
          </w:p>
        </w:tc>
        <w:tc>
          <w:tcPr>
            <w:tcW w:w="5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June 14, 2024</w:t>
            </w:r>
          </w:p>
        </w:tc>
      </w:tr>
      <w:tr>
        <w:trPr>
          <w:trHeight w:val="237"/>
        </w:trPr>
        <w:tc>
          <w:tcPr>
            <w:tcW w:w="3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Jon S. Saxe</w:t>
            </w:r>
          </w:p>
        </w:tc>
        <w:tc>
          <w:tcPr>
            <w:tcW w:w="518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ectPr>
          <w:pgSz w:w="11900" w:h="16838" w:orient="portrait"/>
          <w:cols w:equalWidth="0" w:num="1">
            <w:col w:w="11240"/>
          </w:cols>
          <w:pgMar w:left="320" w:top="57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19685</wp:posOffset>
            </wp:positionV>
            <wp:extent cx="2571750" cy="1560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extLst>
                    </a:blip>
                    <a:srcRect/>
                    <a:stretch>
                      <a:fillRect/>
                    </a:stretch>
                  </pic:blipFill>
                  <pic:spPr bwMode="auto">
                    <a:xfrm>
                      <a:off x="0" y="0"/>
                      <a:ext cx="257175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94090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have acted as counsel to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the preparation of a Registration Statement on Form S-8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The Registration Statement relates to the registration of (i) 4,400,000 shares (the “</w:t>
      </w:r>
      <w:r>
        <w:rPr>
          <w:rFonts w:ascii="Times New Roman" w:cs="Times New Roman" w:eastAsia="Times New Roman" w:hAnsi="Times New Roman"/>
          <w:sz w:val="18"/>
          <w:szCs w:val="18"/>
          <w:i w:val="1"/>
          <w:iCs w:val="1"/>
          <w:color w:val="auto"/>
        </w:rPr>
        <w:t>2019 Plan Shares</w:t>
      </w:r>
      <w:r>
        <w:rPr>
          <w:rFonts w:ascii="Times New Roman" w:cs="Times New Roman" w:eastAsia="Times New Roman" w:hAnsi="Times New Roman"/>
          <w:sz w:val="18"/>
          <w:szCs w:val="18"/>
          <w:color w:val="auto"/>
        </w:rPr>
        <w:t>”) of its common stock, $0.001 par value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issuable pursuant to the Registrant’s Amended and Restated 2019 Omnibus Equity Incentive Plan, as amended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and (ii) 966,666 shares (the “</w:t>
      </w:r>
      <w:r>
        <w:rPr>
          <w:rFonts w:ascii="Times New Roman" w:cs="Times New Roman" w:eastAsia="Times New Roman" w:hAnsi="Times New Roman"/>
          <w:sz w:val="18"/>
          <w:szCs w:val="18"/>
          <w:i w:val="1"/>
          <w:iCs w:val="1"/>
          <w:color w:val="auto"/>
        </w:rPr>
        <w:t>ESPP Shares</w:t>
      </w:r>
      <w:r>
        <w:rPr>
          <w:rFonts w:ascii="Times New Roman" w:cs="Times New Roman" w:eastAsia="Times New Roman" w:hAnsi="Times New Roman"/>
          <w:sz w:val="18"/>
          <w:szCs w:val="18"/>
          <w:color w:val="auto"/>
        </w:rPr>
        <w:t>”) of the Company’s Common Stock issuable under the Vistagen Therapeutics, Inc. Amended 2019 Employee Stock Purchase Plan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and, together with the 2019 Plan Shares, the “</w:t>
      </w:r>
      <w:r>
        <w:rPr>
          <w:rFonts w:ascii="Times New Roman" w:cs="Times New Roman" w:eastAsia="Times New Roman" w:hAnsi="Times New Roman"/>
          <w:sz w:val="18"/>
          <w:szCs w:val="18"/>
          <w:i w:val="1"/>
          <w:iCs w:val="1"/>
          <w:color w:val="auto"/>
        </w:rPr>
        <w:t>Plan Shares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this opinion letter, we have examined and relied upon the Registration Statement, the Company’s Restated and Amended Articles of Incorporation and Amended and Restated Bylaws, as currently in effect, and the originals or copies certified to our satisfaction of such records, documents, certificates, memoranda and other instruments as we have deemed relevant in connection with this opinion. We have assumed the genuineness and authenticity of all documents submitted to us as originals, the conformity to originals of all documents submitted to us as copies, and the accuracy, completeness and authenticity of certificates of public officials.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opinions set forth in this letter are limited to the Nevada Revised Statutes and the law of the State of California, in each case as in effect on the date hereof. We are not rendering any opinion as to compliance with any federal or state antifraud law, rule or regulation relating to securities or to the sale or issuance thereof. On the basis of the foregoing, and in reliance thereon, and subject to the qualifications herein stated, we are of the opinion that the Plan Shares have been duly authorized by all necessary corporate action on the part of the Company, and when and to the extent issued in accordance with the terms of the 2019 Plan and the 2019 ESPP and, with respect to the 2019 Plan, when and to the extent issued in accordance with the terms of any award agreement entered into under the 2019 Plan, the Plan Shares will be validly issued, fully paid and nonassessable.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u w:val="single" w:color="auto"/>
          <w:color w:val="auto"/>
        </w:rPr>
        <w:t>/s/ Disclosure Law Group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142875</wp:posOffset>
            </wp:positionV>
            <wp:extent cx="685800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6858000" cy="60833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June 11, 2024 relating to the consolidated financial statements of Vistagen Therapeutics, Inc. as of and for the years ended March 31, 2024 and 2023, which appears in Vistagen Therapeutics, Inc.’s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March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2024</w:t>
      </w:r>
    </w:p>
    <w:p>
      <w:pPr>
        <w:sectPr>
          <w:pgSz w:w="11900" w:h="16838" w:orient="portrait"/>
          <w:cols w:equalWidth="0" w:num="1">
            <w:col w:w="11240"/>
          </w:cols>
          <w:pgMar w:left="320" w:top="117" w:right="339" w:bottom="1440" w:gutter="0" w:footer="0" w:header="0"/>
        </w:sectPr>
      </w:pPr>
    </w:p>
    <w:bookmarkStart w:id="8" w:name="page9"/>
    <w:bookmarkEnd w:id="8"/>
    <w:p>
      <w:pPr>
        <w:ind w:left="103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Table 1: Newly Registered Securities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1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 Title</w:t>
            </w:r>
          </w:p>
        </w:tc>
        <w:tc>
          <w:tcPr>
            <w:tcW w:w="120" w:type="dxa"/>
            <w:vAlign w:val="bottom"/>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80" w:type="dxa"/>
            <w:vAlign w:val="bottom"/>
            <w:gridSpan w:val="2"/>
          </w:tcPr>
          <w:p>
            <w:pPr>
              <w:jc w:val="right"/>
              <w:ind w:right="280"/>
              <w:spacing w:after="0" w:line="239" w:lineRule="exact"/>
              <w:rPr>
                <w:sz w:val="20"/>
                <w:szCs w:val="20"/>
                <w:color w:val="auto"/>
              </w:rPr>
            </w:pPr>
            <w:r>
              <w:rPr>
                <w:rFonts w:ascii="Times New Roman" w:cs="Times New Roman" w:eastAsia="Times New Roman" w:hAnsi="Times New Roman"/>
                <w:sz w:val="17"/>
                <w:szCs w:val="17"/>
                <w:b w:val="1"/>
                <w:bCs w:val="1"/>
                <w:color w:val="auto"/>
                <w:w w:val="99"/>
              </w:rPr>
              <w:t>Registered</w:t>
            </w:r>
            <w:r>
              <w:rPr>
                <w:rFonts w:ascii="Times New Roman" w:cs="Times New Roman" w:eastAsia="Times New Roman" w:hAnsi="Times New Roman"/>
                <w:sz w:val="27"/>
                <w:szCs w:val="27"/>
                <w:b w:val="1"/>
                <w:bCs w:val="1"/>
                <w:color w:val="auto"/>
                <w:w w:val="99"/>
                <w:vertAlign w:val="superscript"/>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2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209"/>
        </w:trPr>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$0.001 per share to be issued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under the Amended and</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Rule 457(c)</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20"/>
                <w:szCs w:val="20"/>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Restated Omnibus Equity Plan</w:t>
            </w:r>
          </w:p>
        </w:tc>
        <w:tc>
          <w:tcPr>
            <w:tcW w:w="1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Rule 457(h)</w:t>
            </w:r>
          </w:p>
        </w:tc>
        <w:tc>
          <w:tcPr>
            <w:tcW w:w="1280" w:type="dxa"/>
            <w:vAlign w:val="bottom"/>
            <w:gridSpan w:val="2"/>
            <w:shd w:val="clear" w:color="auto" w:fill="CCEEFF"/>
          </w:tcPr>
          <w:p>
            <w:pPr>
              <w:jc w:val="right"/>
              <w:ind w:right="60"/>
              <w:spacing w:after="0" w:line="235" w:lineRule="exact"/>
              <w:rPr>
                <w:sz w:val="20"/>
                <w:szCs w:val="20"/>
                <w:color w:val="auto"/>
              </w:rPr>
            </w:pPr>
            <w:r>
              <w:rPr>
                <w:rFonts w:ascii="Times New Roman" w:cs="Times New Roman" w:eastAsia="Times New Roman" w:hAnsi="Times New Roman"/>
                <w:sz w:val="17"/>
                <w:szCs w:val="17"/>
                <w:color w:val="auto"/>
              </w:rPr>
              <w:t xml:space="preserve">4,400,000 </w:t>
            </w:r>
            <w:r>
              <w:rPr>
                <w:rFonts w:ascii="Times New Roman" w:cs="Times New Roman" w:eastAsia="Times New Roman" w:hAnsi="Times New Roman"/>
                <w:sz w:val="27"/>
                <w:szCs w:val="27"/>
                <w:color w:val="auto"/>
                <w:vertAlign w:val="superscript"/>
              </w:rPr>
              <w:t>(2)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60"/>
              <w:spacing w:after="0" w:line="235" w:lineRule="exact"/>
              <w:rPr>
                <w:sz w:val="20"/>
                <w:szCs w:val="20"/>
                <w:color w:val="auto"/>
              </w:rPr>
            </w:pPr>
            <w:r>
              <w:rPr>
                <w:rFonts w:ascii="Times New Roman" w:cs="Times New Roman" w:eastAsia="Times New Roman" w:hAnsi="Times New Roman"/>
                <w:sz w:val="17"/>
                <w:szCs w:val="17"/>
                <w:color w:val="auto"/>
              </w:rPr>
              <w:t xml:space="preserve">3.695 </w:t>
            </w:r>
            <w:r>
              <w:rPr>
                <w:rFonts w:ascii="Times New Roman" w:cs="Times New Roman" w:eastAsia="Times New Roman" w:hAnsi="Times New Roman"/>
                <w:sz w:val="27"/>
                <w:szCs w:val="27"/>
                <w:color w:val="auto"/>
                <w:vertAlign w:val="superscript"/>
              </w:rPr>
              <w:t>(3)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16,258,000.00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0.0001476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2,399.68</w:t>
            </w:r>
          </w:p>
        </w:tc>
      </w:tr>
      <w:tr>
        <w:trPr>
          <w:trHeight w:val="198"/>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$0.001 per share to be issued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under the Amended 2019</w:t>
            </w:r>
          </w:p>
        </w:tc>
        <w:tc>
          <w:tcPr>
            <w:tcW w:w="1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Rule 457(c)</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Employee Stock Purchase Plan</w:t>
            </w:r>
          </w:p>
        </w:tc>
        <w:tc>
          <w:tcPr>
            <w:tcW w:w="120" w:type="dxa"/>
            <w:vAlign w:val="bottom"/>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Rule 457(h)</w:t>
            </w:r>
          </w:p>
        </w:tc>
        <w:tc>
          <w:tcPr>
            <w:tcW w:w="1280" w:type="dxa"/>
            <w:vAlign w:val="bottom"/>
            <w:gridSpan w:val="2"/>
          </w:tcPr>
          <w:p>
            <w:pPr>
              <w:jc w:val="right"/>
              <w:ind w:right="60"/>
              <w:spacing w:after="0" w:line="235" w:lineRule="exact"/>
              <w:rPr>
                <w:sz w:val="20"/>
                <w:szCs w:val="20"/>
                <w:color w:val="auto"/>
              </w:rPr>
            </w:pPr>
            <w:r>
              <w:rPr>
                <w:rFonts w:ascii="Times New Roman" w:cs="Times New Roman" w:eastAsia="Times New Roman" w:hAnsi="Times New Roman"/>
                <w:sz w:val="17"/>
                <w:szCs w:val="17"/>
                <w:color w:val="auto"/>
              </w:rPr>
              <w:t xml:space="preserve">966,666 </w:t>
            </w:r>
            <w:r>
              <w:rPr>
                <w:rFonts w:ascii="Times New Roman" w:cs="Times New Roman" w:eastAsia="Times New Roman" w:hAnsi="Times New Roman"/>
                <w:sz w:val="27"/>
                <w:szCs w:val="27"/>
                <w:color w:val="auto"/>
                <w:vertAlign w:val="superscript"/>
              </w:rPr>
              <w:t>(2)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60"/>
              <w:spacing w:after="0" w:line="235" w:lineRule="exact"/>
              <w:rPr>
                <w:sz w:val="20"/>
                <w:szCs w:val="20"/>
                <w:color w:val="auto"/>
              </w:rPr>
            </w:pPr>
            <w:r>
              <w:rPr>
                <w:rFonts w:ascii="Times New Roman" w:cs="Times New Roman" w:eastAsia="Times New Roman" w:hAnsi="Times New Roman"/>
                <w:sz w:val="17"/>
                <w:szCs w:val="17"/>
                <w:color w:val="auto"/>
              </w:rPr>
              <w:t xml:space="preserve">3.695 </w:t>
            </w:r>
            <w:r>
              <w:rPr>
                <w:rFonts w:ascii="Times New Roman" w:cs="Times New Roman" w:eastAsia="Times New Roman" w:hAnsi="Times New Roman"/>
                <w:sz w:val="27"/>
                <w:szCs w:val="27"/>
                <w:color w:val="auto"/>
                <w:vertAlign w:val="superscript"/>
              </w:rPr>
              <w:t>(3)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3,571,830.87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0.0001476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527.20</w:t>
            </w:r>
          </w:p>
        </w:tc>
      </w:tr>
      <w:tr>
        <w:trPr>
          <w:trHeight w:val="216"/>
        </w:trPr>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7"/>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Total Offering Amounts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19,829,830.87</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2,926.88</w:t>
            </w:r>
          </w:p>
        </w:tc>
      </w:tr>
      <w:tr>
        <w:trPr>
          <w:trHeight w:val="216"/>
        </w:trPr>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2,926.88</w:t>
            </w:r>
          </w:p>
        </w:tc>
      </w:tr>
    </w:tbl>
    <w:p>
      <w:pPr>
        <w:spacing w:after="0" w:line="173" w:lineRule="exact"/>
        <w:rPr>
          <w:sz w:val="20"/>
          <w:szCs w:val="20"/>
          <w:color w:val="auto"/>
        </w:rPr>
      </w:pPr>
    </w:p>
    <w:p>
      <w:pPr>
        <w:jc w:val="both"/>
        <w:ind w:left="1080" w:hanging="64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416(c)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this registration statement on Form S-8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also covers an indeterminate number of shares of common stock, $0.001 par value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Vistagen Therapeutics, Inc. (the “</w:t>
      </w: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 that may be offered or issued by reason of stock splits, stock dividends or similar transactions.</w:t>
      </w:r>
    </w:p>
    <w:p>
      <w:pPr>
        <w:spacing w:after="0" w:line="181" w:lineRule="exact"/>
        <w:rPr>
          <w:rFonts w:ascii="Times New Roman" w:cs="Times New Roman" w:eastAsia="Times New Roman" w:hAnsi="Times New Roman"/>
          <w:sz w:val="18"/>
          <w:szCs w:val="18"/>
          <w:color w:val="auto"/>
        </w:rPr>
      </w:pPr>
    </w:p>
    <w:p>
      <w:pPr>
        <w:jc w:val="both"/>
        <w:ind w:left="1080" w:hanging="644"/>
        <w:spacing w:after="0" w:line="25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S-8 registers (i) 4,400,000 additional shares of Common Stock which may be issued pursuant to the Company’s Amended and Restated Omnibus Incentive Plan, as amended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and (ii) 966,666 additional shares of Common Stock which may be issued pursuant to the Company’s 2019 Employee Stock Purchase Plan, as amended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The Company previously registered an aggregate of 1,00,000 shares of Common Stock issuable under the 2019 Plan on the Registration Statements on Form S-8 filed with the Securities and Exchange Commission on October 1, 2019 (File No. 333-234026) and September 24, 2021 (File No. 333-259799). The Company previously registered an aggregate of 33,334 shares of Common Stock issuable under the 2019 ESPP on the Registration Statements on Form S-8, filed with the Securities and Exchange Commission on October 1, 2019 (File No 333-234026).</w:t>
      </w:r>
    </w:p>
    <w:p>
      <w:pPr>
        <w:spacing w:after="0" w:line="188" w:lineRule="exact"/>
        <w:rPr>
          <w:rFonts w:ascii="Times New Roman" w:cs="Times New Roman" w:eastAsia="Times New Roman" w:hAnsi="Times New Roman"/>
          <w:sz w:val="18"/>
          <w:szCs w:val="18"/>
          <w:color w:val="auto"/>
        </w:rPr>
      </w:pPr>
    </w:p>
    <w:p>
      <w:pPr>
        <w:jc w:val="both"/>
        <w:ind w:left="1080" w:hanging="64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457(c) and Rule 457(h) of the Securities Act solely for purposes of calculating the registration fee. The offering price per share and the aggregated offering price for shares reserved for future issuance under the 2019 Plan are based on the average of the high and the low price of Registrant’s common stock as reported on the Nasdaq Capital Market on June 11, 2024, which date is within five business days prior to filing this Registration Statement.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8"/>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jpeg"/><Relationship Id="rId29" Type="http://schemas.openxmlformats.org/officeDocument/2006/relationships/image" Target="media/image7.jpeg"/><Relationship Id="rId9" Type="http://schemas.openxmlformats.org/officeDocument/2006/relationships/hyperlink" Target="http://www.sec.gov/ix?doc=/Archives/edgar/data/1411685/000141168524000022/vtgn-20240331.htm" TargetMode="External"/><Relationship Id="rId10" Type="http://schemas.openxmlformats.org/officeDocument/2006/relationships/hyperlink" Target="http://www.sec.gov/Archives/edgar/data/1411685/000143774924012129/vtgn20240412_def14a.htm" TargetMode="External"/><Relationship Id="rId11" Type="http://schemas.openxmlformats.org/officeDocument/2006/relationships/hyperlink" Target="http://www.sec.gov/ix?doc=/Archives/edgar/data/1411685/000143774924010427/vtgn20240401_8k.htm" TargetMode="External"/><Relationship Id="rId12" Type="http://schemas.openxmlformats.org/officeDocument/2006/relationships/hyperlink" Target="http://www.sec.gov/ix?doc=/Archives/edgar/data/1411685/000143774924013283/vtgn20240425_8k.htm" TargetMode="External"/><Relationship Id="rId13" Type="http://schemas.openxmlformats.org/officeDocument/2006/relationships/hyperlink" Target="http://www.sec.gov/ix?doc=/Archives/edgar/data/1411685/000143774924018214/vtgn20240523_8k.htm" TargetMode="External"/><Relationship Id="rId14" Type="http://schemas.openxmlformats.org/officeDocument/2006/relationships/hyperlink" Target="http://www.sec.gov/ix?doc=/Archives/edgar/data/1411685/000143774924018902/vtgn20240529_8k.htm" TargetMode="External"/><Relationship Id="rId15" Type="http://schemas.openxmlformats.org/officeDocument/2006/relationships/hyperlink" Target="http://www.sec.gov/Archives/edgar/data/0001411685/000141588916005714/vsta8a12b_may2016.htm" TargetMode="External"/><Relationship Id="rId18" Type="http://schemas.openxmlformats.org/officeDocument/2006/relationships/hyperlink" Target="http://www.sec.gov/Archives/edgar/data/1411685/000141588916006879/ex3-1.htm" TargetMode="External"/><Relationship Id="rId19" Type="http://schemas.openxmlformats.org/officeDocument/2006/relationships/hyperlink" Target="http://www.sec.gov/Archives/edgar/data/1411685/000141588916006879/ex3-2.htm" TargetMode="External"/><Relationship Id="rId20" Type="http://schemas.openxmlformats.org/officeDocument/2006/relationships/hyperlink" Target="http://www.sec.gov/Archives/edgar/data/1411685/000165495417008632/ex3-1.htm" TargetMode="External"/><Relationship Id="rId21" Type="http://schemas.openxmlformats.org/officeDocument/2006/relationships/hyperlink" Target="http://www.sec.gov/Archives/edgar/data/1411685/000165495419010432/ex3-1.htm" TargetMode="External"/><Relationship Id="rId22" Type="http://schemas.openxmlformats.org/officeDocument/2006/relationships/hyperlink" Target="http://www.sec.gov/Archives/edgar/data/1411685/000165495421002420/ex3-1.htm" TargetMode="External"/><Relationship Id="rId23" Type="http://schemas.openxmlformats.org/officeDocument/2006/relationships/hyperlink" Target="http://www.sec.gov/Archives/edgar/data/1411685/000185173422000516/ex_418416.htm" TargetMode="External"/><Relationship Id="rId24" Type="http://schemas.openxmlformats.org/officeDocument/2006/relationships/hyperlink" Target="http://www.sec.gov/Archives/edgar/data/1411685/000143774923016689/ex_530160.htm" TargetMode="External"/><Relationship Id="rId25" Type="http://schemas.openxmlformats.org/officeDocument/2006/relationships/hyperlink" Target="http://www.sec.gov/Archives/edgar/data/1411685/000165495419008434/def14a_july262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2024-06-17T05:23:08Z</dcterms:created>
  <dcterms:modified xsi:type="dcterms:W3CDTF">2024-06-17T05:23:08Z</dcterms:modified>
</cp:coreProperties>
</file>