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(Amendment No. )*</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6985</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(Name of Issuer)</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October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9120" w:hanging="80"/>
        <w:spacing w:after="0" w:line="283" w:lineRule="auto"/>
        <w:tabs>
          <w:tab w:leader="none" w:pos="101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00" w:hanging="360"/>
        <w:spacing w:after="0"/>
        <w:tabs>
          <w:tab w:leader="none" w:pos="10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(Page 1 of 7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460" w:right="339" w:bottom="1440" w:gutter="0" w:footer="0" w:header="0"/>
        </w:sectPr>
      </w:pPr>
    </w:p>
    <w:bookmarkStart w:id="1" w:name="page2"/>
    <w:bookmarkEnd w:id="1"/>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92840H400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7 Pages</w:t>
      </w:r>
    </w:p>
    <w:p>
      <w:pPr>
        <w:ind w:left="1700" w:hanging="967"/>
        <w:spacing w:after="0" w:line="226" w:lineRule="auto"/>
        <w:tabs>
          <w:tab w:leader="none" w:pos="1700" w:val="left"/>
        </w:tabs>
        <w:numPr>
          <w:ilvl w:val="0"/>
          <w:numId w:val="2"/>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508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08317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280" w:type="dxa"/>
            <w:vAlign w:val="bottom"/>
          </w:tcPr>
          <w:p>
            <w:pPr>
              <w:spacing w:after="0"/>
              <w:rPr>
                <w:sz w:val="21"/>
                <w:szCs w:val="21"/>
                <w:color w:val="auto"/>
              </w:rPr>
            </w:pPr>
          </w:p>
        </w:tc>
        <w:tc>
          <w:tcPr>
            <w:tcW w:w="8860" w:type="dxa"/>
            <w:vAlign w:val="bottom"/>
          </w:tcPr>
          <w:p>
            <w:pPr>
              <w:ind w:left="740"/>
              <w:spacing w:after="0"/>
              <w:rPr>
                <w:sz w:val="20"/>
                <w:szCs w:val="20"/>
                <w:color w:val="auto"/>
              </w:rPr>
            </w:pPr>
            <w:r>
              <w:rPr>
                <w:rFonts w:ascii="Arial" w:cs="Arial" w:eastAsia="Arial" w:hAnsi="Arial"/>
                <w:sz w:val="20"/>
                <w:szCs w:val="20"/>
                <w:color w:val="auto"/>
              </w:rPr>
              <w:t>Point72 Asset Management, L.P.</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280" w:type="dxa"/>
            <w:vAlign w:val="bottom"/>
            <w:tcBorders>
              <w:bottom w:val="single" w:sz="8" w:color="auto"/>
            </w:tcBorders>
          </w:tcPr>
          <w:p>
            <w:pPr>
              <w:spacing w:after="0"/>
              <w:rPr>
                <w:sz w:val="9"/>
                <w:szCs w:val="9"/>
                <w:color w:val="auto"/>
              </w:rPr>
            </w:pPr>
          </w:p>
        </w:tc>
        <w:tc>
          <w:tcPr>
            <w:tcW w:w="88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280" w:type="dxa"/>
            <w:vAlign w:val="bottom"/>
            <w:vMerge w:val="restart"/>
          </w:tcPr>
          <w:p>
            <w:pPr>
              <w:jc w:val="right"/>
              <w:ind w:right="256"/>
              <w:spacing w:after="0"/>
              <w:rPr>
                <w:sz w:val="20"/>
                <w:szCs w:val="20"/>
                <w:color w:val="auto"/>
              </w:rPr>
            </w:pPr>
            <w:r>
              <w:rPr>
                <w:rFonts w:ascii="Arial" w:cs="Arial" w:eastAsia="Arial" w:hAnsi="Arial"/>
                <w:sz w:val="29"/>
                <w:szCs w:val="29"/>
                <w:b w:val="1"/>
                <w:bCs w:val="1"/>
                <w:color w:val="auto"/>
              </w:rPr>
              <w:t>2</w:t>
            </w:r>
          </w:p>
        </w:tc>
        <w:tc>
          <w:tcPr>
            <w:tcW w:w="88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CHECK THE APPROPRIATE BOX IF A MEMBER OF A GROUP</w:t>
            </w:r>
          </w:p>
        </w:tc>
        <w:tc>
          <w:tcPr>
            <w:tcW w:w="1100" w:type="dxa"/>
            <w:vAlign w:val="bottom"/>
            <w:vMerge w:val="restart"/>
          </w:tcPr>
          <w:p>
            <w:pPr>
              <w:ind w:left="10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0"/>
        </w:trPr>
        <w:tc>
          <w:tcPr>
            <w:tcW w:w="1280" w:type="dxa"/>
            <w:vAlign w:val="bottom"/>
            <w:vMerge w:val="continue"/>
          </w:tcPr>
          <w:p>
            <w:pPr>
              <w:spacing w:after="0"/>
              <w:rPr>
                <w:sz w:val="11"/>
                <w:szCs w:val="11"/>
                <w:color w:val="auto"/>
              </w:rPr>
            </w:pPr>
          </w:p>
        </w:tc>
        <w:tc>
          <w:tcPr>
            <w:tcW w:w="8860" w:type="dxa"/>
            <w:vAlign w:val="bottom"/>
            <w:tcBorders>
              <w:right w:val="single" w:sz="8" w:color="auto"/>
            </w:tcBorders>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2"/>
        </w:trPr>
        <w:tc>
          <w:tcPr>
            <w:tcW w:w="1280" w:type="dxa"/>
            <w:vAlign w:val="bottom"/>
            <w:tcBorders>
              <w:bottom w:val="single" w:sz="8" w:color="auto"/>
            </w:tcBorders>
          </w:tcPr>
          <w:p>
            <w:pPr>
              <w:spacing w:after="0"/>
              <w:rPr>
                <w:sz w:val="24"/>
                <w:szCs w:val="24"/>
                <w:color w:val="auto"/>
              </w:rPr>
            </w:pPr>
          </w:p>
        </w:tc>
        <w:tc>
          <w:tcPr>
            <w:tcW w:w="88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x</w:t>
            </w: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3"/>
        </w:numPr>
        <w:rPr>
          <w:rFonts w:ascii="Arial" w:cs="Arial" w:eastAsia="Arial" w:hAnsi="Arial"/>
          <w:sz w:val="29"/>
          <w:szCs w:val="29"/>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40"/>
              <w:spacing w:after="0"/>
              <w:rPr>
                <w:sz w:val="20"/>
                <w:szCs w:val="20"/>
                <w:color w:val="auto"/>
              </w:rPr>
            </w:pPr>
            <w:r>
              <w:rPr>
                <w:rFonts w:ascii="Arial" w:cs="Arial" w:eastAsia="Arial" w:hAnsi="Arial"/>
                <w:sz w:val="20"/>
                <w:szCs w:val="20"/>
                <w:color w:val="auto"/>
                <w:w w:val="92"/>
              </w:rPr>
              <w:t>Delaware</w:t>
            </w:r>
          </w:p>
        </w:tc>
        <w:tc>
          <w:tcPr>
            <w:tcW w:w="7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7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5</w:t>
            </w:r>
          </w:p>
        </w:tc>
        <w:tc>
          <w:tcPr>
            <w:tcW w:w="74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74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74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740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8400" w:type="dxa"/>
            <w:vAlign w:val="bottom"/>
            <w:gridSpan w:val="2"/>
            <w:vMerge w:val="restart"/>
          </w:tcPr>
          <w:p>
            <w:pPr>
              <w:ind w:left="420"/>
              <w:spacing w:after="0"/>
              <w:rPr>
                <w:sz w:val="20"/>
                <w:szCs w:val="20"/>
                <w:color w:val="auto"/>
              </w:rPr>
            </w:pPr>
            <w:r>
              <w:rPr>
                <w:rFonts w:ascii="Arial" w:cs="Arial" w:eastAsia="Arial" w:hAnsi="Arial"/>
                <w:sz w:val="20"/>
                <w:szCs w:val="20"/>
                <w:color w:val="auto"/>
                <w:w w:val="93"/>
              </w:rPr>
              <w:t>1,565,829 shares of Common Stock (including 822,334 shares of Common Stock issuable upon</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260" w:type="dxa"/>
            <w:vAlign w:val="bottom"/>
            <w:tcBorders>
              <w:right w:val="single" w:sz="8" w:color="auto"/>
            </w:tcBorders>
          </w:tcPr>
          <w:p>
            <w:pPr>
              <w:spacing w:after="0"/>
              <w:rPr>
                <w:sz w:val="11"/>
                <w:szCs w:val="11"/>
                <w:color w:val="auto"/>
              </w:rPr>
            </w:pPr>
          </w:p>
        </w:tc>
        <w:tc>
          <w:tcPr>
            <w:tcW w:w="8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7400" w:type="dxa"/>
            <w:vAlign w:val="bottom"/>
            <w:vMerge w:val="restart"/>
          </w:tcPr>
          <w:p>
            <w:pPr>
              <w:ind w:left="420"/>
              <w:spacing w:after="0"/>
              <w:rPr>
                <w:sz w:val="20"/>
                <w:szCs w:val="20"/>
                <w:color w:val="auto"/>
              </w:rPr>
            </w:pPr>
            <w:r>
              <w:rPr>
                <w:rFonts w:ascii="Arial" w:cs="Arial" w:eastAsia="Arial" w:hAnsi="Arial"/>
                <w:sz w:val="20"/>
                <w:szCs w:val="20"/>
                <w:color w:val="auto"/>
              </w:rPr>
              <w:t>exercise warrants)</w:t>
            </w: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260" w:type="dxa"/>
            <w:vAlign w:val="bottom"/>
            <w:tcBorders>
              <w:right w:val="single" w:sz="8" w:color="auto"/>
            </w:tcBorders>
          </w:tcPr>
          <w:p>
            <w:pPr>
              <w:spacing w:after="0"/>
              <w:rPr>
                <w:sz w:val="17"/>
                <w:szCs w:val="17"/>
                <w:color w:val="auto"/>
              </w:rPr>
            </w:pPr>
          </w:p>
        </w:tc>
        <w:tc>
          <w:tcPr>
            <w:tcW w:w="74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260" w:type="dxa"/>
            <w:vAlign w:val="bottom"/>
            <w:tcBorders>
              <w:bottom w:val="single" w:sz="8" w:color="auto"/>
              <w:right w:val="single" w:sz="8" w:color="auto"/>
            </w:tcBorders>
          </w:tcPr>
          <w:p>
            <w:pPr>
              <w:spacing w:after="0"/>
              <w:rPr>
                <w:sz w:val="6"/>
                <w:szCs w:val="6"/>
                <w:color w:val="auto"/>
              </w:rPr>
            </w:pPr>
          </w:p>
        </w:tc>
        <w:tc>
          <w:tcPr>
            <w:tcW w:w="74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7</w:t>
            </w:r>
          </w:p>
        </w:tc>
        <w:tc>
          <w:tcPr>
            <w:tcW w:w="74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260" w:type="dxa"/>
            <w:vAlign w:val="bottom"/>
            <w:tcBorders>
              <w:right w:val="single" w:sz="8" w:color="auto"/>
            </w:tcBorders>
            <w:vMerge w:val="continue"/>
          </w:tcPr>
          <w:p>
            <w:pPr>
              <w:spacing w:after="0"/>
              <w:rPr>
                <w:sz w:val="11"/>
                <w:szCs w:val="11"/>
                <w:color w:val="auto"/>
              </w:rPr>
            </w:pPr>
          </w:p>
        </w:tc>
        <w:tc>
          <w:tcPr>
            <w:tcW w:w="740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74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260" w:type="dxa"/>
            <w:vAlign w:val="bottom"/>
            <w:tcBorders>
              <w:right w:val="single" w:sz="8" w:color="auto"/>
            </w:tcBorders>
          </w:tcPr>
          <w:p>
            <w:pPr>
              <w:spacing w:after="0"/>
              <w:rPr>
                <w:sz w:val="17"/>
                <w:szCs w:val="17"/>
                <w:color w:val="auto"/>
              </w:rPr>
            </w:pPr>
          </w:p>
        </w:tc>
        <w:tc>
          <w:tcPr>
            <w:tcW w:w="74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260" w:type="dxa"/>
            <w:vAlign w:val="bottom"/>
            <w:tcBorders>
              <w:bottom w:val="single" w:sz="8" w:color="auto"/>
              <w:right w:val="single" w:sz="8" w:color="auto"/>
            </w:tcBorders>
          </w:tcPr>
          <w:p>
            <w:pPr>
              <w:spacing w:after="0"/>
              <w:rPr>
                <w:sz w:val="6"/>
                <w:szCs w:val="6"/>
                <w:color w:val="auto"/>
              </w:rPr>
            </w:pPr>
          </w:p>
        </w:tc>
        <w:tc>
          <w:tcPr>
            <w:tcW w:w="74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8</w:t>
            </w:r>
          </w:p>
        </w:tc>
        <w:tc>
          <w:tcPr>
            <w:tcW w:w="74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74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400" w:type="dxa"/>
            <w:vAlign w:val="bottom"/>
            <w:gridSpan w:val="2"/>
            <w:vMerge w:val="restart"/>
          </w:tcPr>
          <w:p>
            <w:pPr>
              <w:ind w:left="420"/>
              <w:spacing w:after="0"/>
              <w:rPr>
                <w:sz w:val="20"/>
                <w:szCs w:val="20"/>
                <w:color w:val="auto"/>
              </w:rPr>
            </w:pPr>
            <w:r>
              <w:rPr>
                <w:rFonts w:ascii="Arial" w:cs="Arial" w:eastAsia="Arial" w:hAnsi="Arial"/>
                <w:sz w:val="20"/>
                <w:szCs w:val="20"/>
                <w:color w:val="auto"/>
                <w:w w:val="93"/>
              </w:rPr>
              <w:t>1,565,829 shares of Common Stock (including 822,334 shares of Common Stock issuable upon</w:t>
            </w:r>
          </w:p>
        </w:tc>
        <w:tc>
          <w:tcPr>
            <w:tcW w:w="0" w:type="dxa"/>
            <w:vAlign w:val="bottom"/>
          </w:tcPr>
          <w:p>
            <w:pPr>
              <w:spacing w:after="0"/>
              <w:rPr>
                <w:sz w:val="1"/>
                <w:szCs w:val="1"/>
                <w:color w:val="auto"/>
              </w:rPr>
            </w:pPr>
          </w:p>
        </w:tc>
      </w:tr>
      <w:tr>
        <w:trPr>
          <w:trHeight w:val="59"/>
        </w:trPr>
        <w:tc>
          <w:tcPr>
            <w:tcW w:w="1580" w:type="dxa"/>
            <w:vAlign w:val="bottom"/>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8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58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7400" w:type="dxa"/>
            <w:vAlign w:val="bottom"/>
          </w:tcPr>
          <w:p>
            <w:pPr>
              <w:ind w:left="420"/>
              <w:spacing w:after="0"/>
              <w:rPr>
                <w:sz w:val="20"/>
                <w:szCs w:val="20"/>
                <w:color w:val="auto"/>
              </w:rPr>
            </w:pPr>
            <w:r>
              <w:rPr>
                <w:rFonts w:ascii="Arial" w:cs="Arial" w:eastAsia="Arial" w:hAnsi="Arial"/>
                <w:sz w:val="20"/>
                <w:szCs w:val="20"/>
                <w:color w:val="auto"/>
              </w:rPr>
              <w:t>exercise warrants)</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9660" w:type="dxa"/>
            <w:vAlign w:val="bottom"/>
            <w:gridSpan w:val="3"/>
            <w:vMerge w:val="restart"/>
          </w:tcPr>
          <w:p>
            <w:pPr>
              <w:ind w:left="440"/>
              <w:spacing w:after="0"/>
              <w:rPr>
                <w:sz w:val="20"/>
                <w:szCs w:val="20"/>
                <w:color w:val="auto"/>
              </w:rPr>
            </w:pPr>
            <w:r>
              <w:rPr>
                <w:rFonts w:ascii="Arial" w:cs="Arial" w:eastAsia="Arial" w:hAnsi="Arial"/>
                <w:sz w:val="20"/>
                <w:szCs w:val="20"/>
                <w:color w:val="auto"/>
                <w:w w:val="90"/>
              </w:rPr>
              <w:t>1,565,829 shares of Common Stock (including 822,334 shares of Common Stock issuable upon exercise warrants)</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96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86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000" w:type="dxa"/>
            <w:vAlign w:val="bottom"/>
          </w:tcPr>
          <w:p>
            <w:pPr>
              <w:ind w:left="1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660" w:type="dxa"/>
            <w:vAlign w:val="bottom"/>
            <w:tcBorders>
              <w:right w:val="single" w:sz="8" w:color="auto"/>
            </w:tcBorders>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740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20"/>
                <w:szCs w:val="20"/>
                <w:color w:val="auto"/>
                <w:w w:val="92"/>
              </w:rPr>
              <w:t>5.6%</w:t>
            </w:r>
          </w:p>
        </w:tc>
        <w:tc>
          <w:tcPr>
            <w:tcW w:w="7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7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40"/>
              <w:spacing w:after="0"/>
              <w:rPr>
                <w:sz w:val="20"/>
                <w:szCs w:val="20"/>
                <w:color w:val="auto"/>
              </w:rPr>
            </w:pPr>
            <w:r>
              <w:rPr>
                <w:rFonts w:ascii="Arial" w:cs="Arial" w:eastAsia="Arial" w:hAnsi="Arial"/>
                <w:sz w:val="20"/>
                <w:szCs w:val="20"/>
                <w:color w:val="auto"/>
              </w:rPr>
              <w:t>PN</w:t>
            </w:r>
          </w:p>
        </w:tc>
        <w:tc>
          <w:tcPr>
            <w:tcW w:w="7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7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92840H400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7 Pages</w:t>
      </w:r>
    </w:p>
    <w:p>
      <w:pPr>
        <w:spacing w:after="0" w:line="191" w:lineRule="exact"/>
        <w:rPr>
          <w:sz w:val="20"/>
          <w:szCs w:val="20"/>
          <w:color w:val="auto"/>
        </w:rPr>
      </w:pPr>
    </w:p>
    <w:p>
      <w:pPr>
        <w:ind w:left="1700" w:hanging="967"/>
        <w:spacing w:after="0"/>
        <w:tabs>
          <w:tab w:leader="none" w:pos="1700" w:val="left"/>
        </w:tabs>
        <w:numPr>
          <w:ilvl w:val="0"/>
          <w:numId w:val="4"/>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5083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08317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280" w:type="dxa"/>
            <w:vAlign w:val="bottom"/>
          </w:tcPr>
          <w:p>
            <w:pPr>
              <w:spacing w:after="0"/>
              <w:rPr>
                <w:sz w:val="21"/>
                <w:szCs w:val="21"/>
                <w:color w:val="auto"/>
              </w:rPr>
            </w:pPr>
          </w:p>
        </w:tc>
        <w:tc>
          <w:tcPr>
            <w:tcW w:w="8860" w:type="dxa"/>
            <w:vAlign w:val="bottom"/>
          </w:tcPr>
          <w:p>
            <w:pPr>
              <w:ind w:left="740"/>
              <w:spacing w:after="0"/>
              <w:rPr>
                <w:sz w:val="20"/>
                <w:szCs w:val="20"/>
                <w:color w:val="auto"/>
              </w:rPr>
            </w:pPr>
            <w:r>
              <w:rPr>
                <w:rFonts w:ascii="Arial" w:cs="Arial" w:eastAsia="Arial" w:hAnsi="Arial"/>
                <w:sz w:val="20"/>
                <w:szCs w:val="20"/>
                <w:color w:val="auto"/>
              </w:rPr>
              <w:t>Point72 Capital Advisors, Inc.</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280" w:type="dxa"/>
            <w:vAlign w:val="bottom"/>
            <w:tcBorders>
              <w:bottom w:val="single" w:sz="8" w:color="auto"/>
            </w:tcBorders>
          </w:tcPr>
          <w:p>
            <w:pPr>
              <w:spacing w:after="0"/>
              <w:rPr>
                <w:sz w:val="9"/>
                <w:szCs w:val="9"/>
                <w:color w:val="auto"/>
              </w:rPr>
            </w:pPr>
          </w:p>
        </w:tc>
        <w:tc>
          <w:tcPr>
            <w:tcW w:w="88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280" w:type="dxa"/>
            <w:vAlign w:val="bottom"/>
            <w:vMerge w:val="restart"/>
          </w:tcPr>
          <w:p>
            <w:pPr>
              <w:jc w:val="right"/>
              <w:ind w:right="256"/>
              <w:spacing w:after="0"/>
              <w:rPr>
                <w:sz w:val="20"/>
                <w:szCs w:val="20"/>
                <w:color w:val="auto"/>
              </w:rPr>
            </w:pPr>
            <w:r>
              <w:rPr>
                <w:rFonts w:ascii="Arial" w:cs="Arial" w:eastAsia="Arial" w:hAnsi="Arial"/>
                <w:sz w:val="29"/>
                <w:szCs w:val="29"/>
                <w:b w:val="1"/>
                <w:bCs w:val="1"/>
                <w:color w:val="auto"/>
              </w:rPr>
              <w:t>2</w:t>
            </w:r>
          </w:p>
        </w:tc>
        <w:tc>
          <w:tcPr>
            <w:tcW w:w="88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CHECK THE APPROPRIATE BOX IF A MEMBER OF A GROUP</w:t>
            </w:r>
          </w:p>
        </w:tc>
        <w:tc>
          <w:tcPr>
            <w:tcW w:w="1100" w:type="dxa"/>
            <w:vAlign w:val="bottom"/>
            <w:vMerge w:val="restart"/>
          </w:tcPr>
          <w:p>
            <w:pPr>
              <w:ind w:left="10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0"/>
        </w:trPr>
        <w:tc>
          <w:tcPr>
            <w:tcW w:w="1280" w:type="dxa"/>
            <w:vAlign w:val="bottom"/>
            <w:vMerge w:val="continue"/>
          </w:tcPr>
          <w:p>
            <w:pPr>
              <w:spacing w:after="0"/>
              <w:rPr>
                <w:sz w:val="11"/>
                <w:szCs w:val="11"/>
                <w:color w:val="auto"/>
              </w:rPr>
            </w:pPr>
          </w:p>
        </w:tc>
        <w:tc>
          <w:tcPr>
            <w:tcW w:w="8860" w:type="dxa"/>
            <w:vAlign w:val="bottom"/>
            <w:tcBorders>
              <w:right w:val="single" w:sz="8" w:color="auto"/>
            </w:tcBorders>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2"/>
        </w:trPr>
        <w:tc>
          <w:tcPr>
            <w:tcW w:w="1280" w:type="dxa"/>
            <w:vAlign w:val="bottom"/>
            <w:tcBorders>
              <w:bottom w:val="single" w:sz="8" w:color="auto"/>
            </w:tcBorders>
          </w:tcPr>
          <w:p>
            <w:pPr>
              <w:spacing w:after="0"/>
              <w:rPr>
                <w:sz w:val="24"/>
                <w:szCs w:val="24"/>
                <w:color w:val="auto"/>
              </w:rPr>
            </w:pPr>
          </w:p>
        </w:tc>
        <w:tc>
          <w:tcPr>
            <w:tcW w:w="88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x</w:t>
            </w: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5"/>
        </w:numPr>
        <w:rPr>
          <w:rFonts w:ascii="Arial" w:cs="Arial" w:eastAsia="Arial" w:hAnsi="Arial"/>
          <w:sz w:val="29"/>
          <w:szCs w:val="29"/>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40"/>
              <w:spacing w:after="0"/>
              <w:rPr>
                <w:sz w:val="20"/>
                <w:szCs w:val="20"/>
                <w:color w:val="auto"/>
              </w:rPr>
            </w:pPr>
            <w:r>
              <w:rPr>
                <w:rFonts w:ascii="Arial" w:cs="Arial" w:eastAsia="Arial" w:hAnsi="Arial"/>
                <w:sz w:val="20"/>
                <w:szCs w:val="20"/>
                <w:color w:val="auto"/>
                <w:w w:val="92"/>
              </w:rPr>
              <w:t>Delaware</w:t>
            </w:r>
          </w:p>
        </w:tc>
        <w:tc>
          <w:tcPr>
            <w:tcW w:w="7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7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5</w:t>
            </w:r>
          </w:p>
        </w:tc>
        <w:tc>
          <w:tcPr>
            <w:tcW w:w="74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74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74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740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8400" w:type="dxa"/>
            <w:vAlign w:val="bottom"/>
            <w:gridSpan w:val="2"/>
            <w:vMerge w:val="restart"/>
          </w:tcPr>
          <w:p>
            <w:pPr>
              <w:ind w:left="420"/>
              <w:spacing w:after="0"/>
              <w:rPr>
                <w:sz w:val="20"/>
                <w:szCs w:val="20"/>
                <w:color w:val="auto"/>
              </w:rPr>
            </w:pPr>
            <w:r>
              <w:rPr>
                <w:rFonts w:ascii="Arial" w:cs="Arial" w:eastAsia="Arial" w:hAnsi="Arial"/>
                <w:sz w:val="20"/>
                <w:szCs w:val="20"/>
                <w:color w:val="auto"/>
                <w:w w:val="93"/>
              </w:rPr>
              <w:t>1,565,829 shares of Common Stock (including 822,334 shares of Common Stock issuable upon</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260" w:type="dxa"/>
            <w:vAlign w:val="bottom"/>
            <w:tcBorders>
              <w:right w:val="single" w:sz="8" w:color="auto"/>
            </w:tcBorders>
          </w:tcPr>
          <w:p>
            <w:pPr>
              <w:spacing w:after="0"/>
              <w:rPr>
                <w:sz w:val="11"/>
                <w:szCs w:val="11"/>
                <w:color w:val="auto"/>
              </w:rPr>
            </w:pPr>
          </w:p>
        </w:tc>
        <w:tc>
          <w:tcPr>
            <w:tcW w:w="8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7400" w:type="dxa"/>
            <w:vAlign w:val="bottom"/>
            <w:vMerge w:val="restart"/>
          </w:tcPr>
          <w:p>
            <w:pPr>
              <w:ind w:left="420"/>
              <w:spacing w:after="0"/>
              <w:rPr>
                <w:sz w:val="20"/>
                <w:szCs w:val="20"/>
                <w:color w:val="auto"/>
              </w:rPr>
            </w:pPr>
            <w:r>
              <w:rPr>
                <w:rFonts w:ascii="Arial" w:cs="Arial" w:eastAsia="Arial" w:hAnsi="Arial"/>
                <w:sz w:val="20"/>
                <w:szCs w:val="20"/>
                <w:color w:val="auto"/>
              </w:rPr>
              <w:t>exercise warrants)</w:t>
            </w: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260" w:type="dxa"/>
            <w:vAlign w:val="bottom"/>
            <w:tcBorders>
              <w:right w:val="single" w:sz="8" w:color="auto"/>
            </w:tcBorders>
          </w:tcPr>
          <w:p>
            <w:pPr>
              <w:spacing w:after="0"/>
              <w:rPr>
                <w:sz w:val="17"/>
                <w:szCs w:val="17"/>
                <w:color w:val="auto"/>
              </w:rPr>
            </w:pPr>
          </w:p>
        </w:tc>
        <w:tc>
          <w:tcPr>
            <w:tcW w:w="74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260" w:type="dxa"/>
            <w:vAlign w:val="bottom"/>
            <w:tcBorders>
              <w:bottom w:val="single" w:sz="8" w:color="auto"/>
              <w:right w:val="single" w:sz="8" w:color="auto"/>
            </w:tcBorders>
          </w:tcPr>
          <w:p>
            <w:pPr>
              <w:spacing w:after="0"/>
              <w:rPr>
                <w:sz w:val="6"/>
                <w:szCs w:val="6"/>
                <w:color w:val="auto"/>
              </w:rPr>
            </w:pPr>
          </w:p>
        </w:tc>
        <w:tc>
          <w:tcPr>
            <w:tcW w:w="74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7</w:t>
            </w:r>
          </w:p>
        </w:tc>
        <w:tc>
          <w:tcPr>
            <w:tcW w:w="74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260" w:type="dxa"/>
            <w:vAlign w:val="bottom"/>
            <w:tcBorders>
              <w:right w:val="single" w:sz="8" w:color="auto"/>
            </w:tcBorders>
            <w:vMerge w:val="continue"/>
          </w:tcPr>
          <w:p>
            <w:pPr>
              <w:spacing w:after="0"/>
              <w:rPr>
                <w:sz w:val="11"/>
                <w:szCs w:val="11"/>
                <w:color w:val="auto"/>
              </w:rPr>
            </w:pPr>
          </w:p>
        </w:tc>
        <w:tc>
          <w:tcPr>
            <w:tcW w:w="740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74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260" w:type="dxa"/>
            <w:vAlign w:val="bottom"/>
            <w:tcBorders>
              <w:right w:val="single" w:sz="8" w:color="auto"/>
            </w:tcBorders>
          </w:tcPr>
          <w:p>
            <w:pPr>
              <w:spacing w:after="0"/>
              <w:rPr>
                <w:sz w:val="17"/>
                <w:szCs w:val="17"/>
                <w:color w:val="auto"/>
              </w:rPr>
            </w:pPr>
          </w:p>
        </w:tc>
        <w:tc>
          <w:tcPr>
            <w:tcW w:w="74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260" w:type="dxa"/>
            <w:vAlign w:val="bottom"/>
            <w:tcBorders>
              <w:bottom w:val="single" w:sz="8" w:color="auto"/>
              <w:right w:val="single" w:sz="8" w:color="auto"/>
            </w:tcBorders>
          </w:tcPr>
          <w:p>
            <w:pPr>
              <w:spacing w:after="0"/>
              <w:rPr>
                <w:sz w:val="6"/>
                <w:szCs w:val="6"/>
                <w:color w:val="auto"/>
              </w:rPr>
            </w:pPr>
          </w:p>
        </w:tc>
        <w:tc>
          <w:tcPr>
            <w:tcW w:w="74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8</w:t>
            </w:r>
          </w:p>
        </w:tc>
        <w:tc>
          <w:tcPr>
            <w:tcW w:w="74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74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400" w:type="dxa"/>
            <w:vAlign w:val="bottom"/>
            <w:gridSpan w:val="2"/>
            <w:vMerge w:val="restart"/>
          </w:tcPr>
          <w:p>
            <w:pPr>
              <w:ind w:left="420"/>
              <w:spacing w:after="0"/>
              <w:rPr>
                <w:sz w:val="20"/>
                <w:szCs w:val="20"/>
                <w:color w:val="auto"/>
              </w:rPr>
            </w:pPr>
            <w:r>
              <w:rPr>
                <w:rFonts w:ascii="Arial" w:cs="Arial" w:eastAsia="Arial" w:hAnsi="Arial"/>
                <w:sz w:val="20"/>
                <w:szCs w:val="20"/>
                <w:color w:val="auto"/>
                <w:w w:val="93"/>
              </w:rPr>
              <w:t>1,565,829 shares of Common Stock (including 822,334 shares of Common Stock issuable upon</w:t>
            </w:r>
          </w:p>
        </w:tc>
        <w:tc>
          <w:tcPr>
            <w:tcW w:w="0" w:type="dxa"/>
            <w:vAlign w:val="bottom"/>
          </w:tcPr>
          <w:p>
            <w:pPr>
              <w:spacing w:after="0"/>
              <w:rPr>
                <w:sz w:val="1"/>
                <w:szCs w:val="1"/>
                <w:color w:val="auto"/>
              </w:rPr>
            </w:pPr>
          </w:p>
        </w:tc>
      </w:tr>
      <w:tr>
        <w:trPr>
          <w:trHeight w:val="59"/>
        </w:trPr>
        <w:tc>
          <w:tcPr>
            <w:tcW w:w="1580" w:type="dxa"/>
            <w:vAlign w:val="bottom"/>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8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58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7400" w:type="dxa"/>
            <w:vAlign w:val="bottom"/>
          </w:tcPr>
          <w:p>
            <w:pPr>
              <w:ind w:left="420"/>
              <w:spacing w:after="0"/>
              <w:rPr>
                <w:sz w:val="20"/>
                <w:szCs w:val="20"/>
                <w:color w:val="auto"/>
              </w:rPr>
            </w:pPr>
            <w:r>
              <w:rPr>
                <w:rFonts w:ascii="Arial" w:cs="Arial" w:eastAsia="Arial" w:hAnsi="Arial"/>
                <w:sz w:val="20"/>
                <w:szCs w:val="20"/>
                <w:color w:val="auto"/>
              </w:rPr>
              <w:t>exercise warrants)</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9660" w:type="dxa"/>
            <w:vAlign w:val="bottom"/>
            <w:gridSpan w:val="3"/>
            <w:vMerge w:val="restart"/>
          </w:tcPr>
          <w:p>
            <w:pPr>
              <w:ind w:left="440"/>
              <w:spacing w:after="0"/>
              <w:rPr>
                <w:sz w:val="20"/>
                <w:szCs w:val="20"/>
                <w:color w:val="auto"/>
              </w:rPr>
            </w:pPr>
            <w:r>
              <w:rPr>
                <w:rFonts w:ascii="Arial" w:cs="Arial" w:eastAsia="Arial" w:hAnsi="Arial"/>
                <w:sz w:val="20"/>
                <w:szCs w:val="20"/>
                <w:color w:val="auto"/>
                <w:w w:val="90"/>
              </w:rPr>
              <w:t>1,565,829 shares of Common Stock (including 822,334 shares of Common Stock issuable upon exercise warrants)</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96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86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000" w:type="dxa"/>
            <w:vAlign w:val="bottom"/>
          </w:tcPr>
          <w:p>
            <w:pPr>
              <w:ind w:left="1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660" w:type="dxa"/>
            <w:vAlign w:val="bottom"/>
            <w:tcBorders>
              <w:right w:val="single" w:sz="8" w:color="auto"/>
            </w:tcBorders>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740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20"/>
                <w:szCs w:val="20"/>
                <w:color w:val="auto"/>
                <w:w w:val="92"/>
              </w:rPr>
              <w:t>5.6%</w:t>
            </w:r>
          </w:p>
        </w:tc>
        <w:tc>
          <w:tcPr>
            <w:tcW w:w="7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7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40"/>
              <w:spacing w:after="0"/>
              <w:rPr>
                <w:sz w:val="20"/>
                <w:szCs w:val="20"/>
                <w:color w:val="auto"/>
              </w:rPr>
            </w:pPr>
            <w:r>
              <w:rPr>
                <w:rFonts w:ascii="Arial" w:cs="Arial" w:eastAsia="Arial" w:hAnsi="Arial"/>
                <w:sz w:val="20"/>
                <w:szCs w:val="20"/>
                <w:color w:val="auto"/>
              </w:rPr>
              <w:t>CO</w:t>
            </w:r>
          </w:p>
        </w:tc>
        <w:tc>
          <w:tcPr>
            <w:tcW w:w="7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7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 w:name="page4"/>
    <w:bookmarkEnd w:id="3"/>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92840H400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7 Pages</w:t>
      </w:r>
    </w:p>
    <w:p>
      <w:pPr>
        <w:spacing w:after="0" w:line="191" w:lineRule="exact"/>
        <w:rPr>
          <w:sz w:val="20"/>
          <w:szCs w:val="20"/>
          <w:color w:val="auto"/>
        </w:rPr>
      </w:pPr>
    </w:p>
    <w:p>
      <w:pPr>
        <w:ind w:left="1700" w:hanging="967"/>
        <w:spacing w:after="0"/>
        <w:tabs>
          <w:tab w:leader="none" w:pos="1700" w:val="left"/>
        </w:tabs>
        <w:numPr>
          <w:ilvl w:val="0"/>
          <w:numId w:val="6"/>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508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08317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280" w:type="dxa"/>
            <w:vAlign w:val="bottom"/>
          </w:tcPr>
          <w:p>
            <w:pPr>
              <w:spacing w:after="0"/>
              <w:rPr>
                <w:sz w:val="21"/>
                <w:szCs w:val="21"/>
                <w:color w:val="auto"/>
              </w:rPr>
            </w:pPr>
          </w:p>
        </w:tc>
        <w:tc>
          <w:tcPr>
            <w:tcW w:w="8860" w:type="dxa"/>
            <w:vAlign w:val="bottom"/>
          </w:tcPr>
          <w:p>
            <w:pPr>
              <w:ind w:left="740"/>
              <w:spacing w:after="0"/>
              <w:rPr>
                <w:sz w:val="20"/>
                <w:szCs w:val="20"/>
                <w:color w:val="auto"/>
              </w:rPr>
            </w:pPr>
            <w:r>
              <w:rPr>
                <w:rFonts w:ascii="Arial" w:cs="Arial" w:eastAsia="Arial" w:hAnsi="Arial"/>
                <w:sz w:val="20"/>
                <w:szCs w:val="20"/>
                <w:color w:val="auto"/>
              </w:rPr>
              <w:t>Steven A. Cohen</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280" w:type="dxa"/>
            <w:vAlign w:val="bottom"/>
            <w:tcBorders>
              <w:bottom w:val="single" w:sz="8" w:color="auto"/>
            </w:tcBorders>
          </w:tcPr>
          <w:p>
            <w:pPr>
              <w:spacing w:after="0"/>
              <w:rPr>
                <w:sz w:val="9"/>
                <w:szCs w:val="9"/>
                <w:color w:val="auto"/>
              </w:rPr>
            </w:pPr>
          </w:p>
        </w:tc>
        <w:tc>
          <w:tcPr>
            <w:tcW w:w="88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280" w:type="dxa"/>
            <w:vAlign w:val="bottom"/>
            <w:vMerge w:val="restart"/>
          </w:tcPr>
          <w:p>
            <w:pPr>
              <w:jc w:val="right"/>
              <w:ind w:right="256"/>
              <w:spacing w:after="0"/>
              <w:rPr>
                <w:sz w:val="20"/>
                <w:szCs w:val="20"/>
                <w:color w:val="auto"/>
              </w:rPr>
            </w:pPr>
            <w:r>
              <w:rPr>
                <w:rFonts w:ascii="Arial" w:cs="Arial" w:eastAsia="Arial" w:hAnsi="Arial"/>
                <w:sz w:val="29"/>
                <w:szCs w:val="29"/>
                <w:b w:val="1"/>
                <w:bCs w:val="1"/>
                <w:color w:val="auto"/>
              </w:rPr>
              <w:t>2</w:t>
            </w:r>
          </w:p>
        </w:tc>
        <w:tc>
          <w:tcPr>
            <w:tcW w:w="88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CHECK THE APPROPRIATE BOX IF A MEMBER OF A GROUP</w:t>
            </w:r>
          </w:p>
        </w:tc>
        <w:tc>
          <w:tcPr>
            <w:tcW w:w="1100" w:type="dxa"/>
            <w:vAlign w:val="bottom"/>
            <w:vMerge w:val="restart"/>
          </w:tcPr>
          <w:p>
            <w:pPr>
              <w:ind w:left="10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0"/>
        </w:trPr>
        <w:tc>
          <w:tcPr>
            <w:tcW w:w="1280" w:type="dxa"/>
            <w:vAlign w:val="bottom"/>
            <w:vMerge w:val="continue"/>
          </w:tcPr>
          <w:p>
            <w:pPr>
              <w:spacing w:after="0"/>
              <w:rPr>
                <w:sz w:val="11"/>
                <w:szCs w:val="11"/>
                <w:color w:val="auto"/>
              </w:rPr>
            </w:pPr>
          </w:p>
        </w:tc>
        <w:tc>
          <w:tcPr>
            <w:tcW w:w="8860" w:type="dxa"/>
            <w:vAlign w:val="bottom"/>
            <w:tcBorders>
              <w:right w:val="single" w:sz="8" w:color="auto"/>
            </w:tcBorders>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2"/>
        </w:trPr>
        <w:tc>
          <w:tcPr>
            <w:tcW w:w="1280" w:type="dxa"/>
            <w:vAlign w:val="bottom"/>
            <w:tcBorders>
              <w:bottom w:val="single" w:sz="8" w:color="auto"/>
            </w:tcBorders>
          </w:tcPr>
          <w:p>
            <w:pPr>
              <w:spacing w:after="0"/>
              <w:rPr>
                <w:sz w:val="24"/>
                <w:szCs w:val="24"/>
                <w:color w:val="auto"/>
              </w:rPr>
            </w:pPr>
          </w:p>
        </w:tc>
        <w:tc>
          <w:tcPr>
            <w:tcW w:w="88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x</w:t>
            </w: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7"/>
        </w:numPr>
        <w:rPr>
          <w:rFonts w:ascii="Arial" w:cs="Arial" w:eastAsia="Arial" w:hAnsi="Arial"/>
          <w:sz w:val="29"/>
          <w:szCs w:val="29"/>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8660" w:type="dxa"/>
            <w:vAlign w:val="bottom"/>
            <w:gridSpan w:val="2"/>
            <w:vMerge w:val="restart"/>
          </w:tcPr>
          <w:p>
            <w:pPr>
              <w:ind w:left="440"/>
              <w:spacing w:after="0"/>
              <w:rPr>
                <w:sz w:val="20"/>
                <w:szCs w:val="20"/>
                <w:color w:val="auto"/>
              </w:rPr>
            </w:pPr>
            <w:r>
              <w:rPr>
                <w:rFonts w:ascii="Arial" w:cs="Arial" w:eastAsia="Arial" w:hAnsi="Arial"/>
                <w:sz w:val="20"/>
                <w:szCs w:val="20"/>
                <w:color w:val="auto"/>
              </w:rPr>
              <w:t>United States</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866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5</w:t>
            </w:r>
          </w:p>
        </w:tc>
        <w:tc>
          <w:tcPr>
            <w:tcW w:w="74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74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74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740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8400" w:type="dxa"/>
            <w:vAlign w:val="bottom"/>
            <w:gridSpan w:val="2"/>
            <w:vMerge w:val="restart"/>
          </w:tcPr>
          <w:p>
            <w:pPr>
              <w:ind w:left="420"/>
              <w:spacing w:after="0"/>
              <w:rPr>
                <w:sz w:val="20"/>
                <w:szCs w:val="20"/>
                <w:color w:val="auto"/>
              </w:rPr>
            </w:pPr>
            <w:r>
              <w:rPr>
                <w:rFonts w:ascii="Arial" w:cs="Arial" w:eastAsia="Arial" w:hAnsi="Arial"/>
                <w:sz w:val="20"/>
                <w:szCs w:val="20"/>
                <w:color w:val="auto"/>
                <w:w w:val="93"/>
              </w:rPr>
              <w:t>1,565,829 shares of Common Stock (including 822,334 shares of Common Stock issuable upon</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260" w:type="dxa"/>
            <w:vAlign w:val="bottom"/>
            <w:tcBorders>
              <w:right w:val="single" w:sz="8" w:color="auto"/>
            </w:tcBorders>
          </w:tcPr>
          <w:p>
            <w:pPr>
              <w:spacing w:after="0"/>
              <w:rPr>
                <w:sz w:val="11"/>
                <w:szCs w:val="11"/>
                <w:color w:val="auto"/>
              </w:rPr>
            </w:pPr>
          </w:p>
        </w:tc>
        <w:tc>
          <w:tcPr>
            <w:tcW w:w="8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7400" w:type="dxa"/>
            <w:vAlign w:val="bottom"/>
            <w:vMerge w:val="restart"/>
          </w:tcPr>
          <w:p>
            <w:pPr>
              <w:ind w:left="420"/>
              <w:spacing w:after="0"/>
              <w:rPr>
                <w:sz w:val="20"/>
                <w:szCs w:val="20"/>
                <w:color w:val="auto"/>
              </w:rPr>
            </w:pPr>
            <w:r>
              <w:rPr>
                <w:rFonts w:ascii="Arial" w:cs="Arial" w:eastAsia="Arial" w:hAnsi="Arial"/>
                <w:sz w:val="20"/>
                <w:szCs w:val="20"/>
                <w:color w:val="auto"/>
              </w:rPr>
              <w:t>exercise warrants)</w:t>
            </w: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260" w:type="dxa"/>
            <w:vAlign w:val="bottom"/>
            <w:tcBorders>
              <w:right w:val="single" w:sz="8" w:color="auto"/>
            </w:tcBorders>
          </w:tcPr>
          <w:p>
            <w:pPr>
              <w:spacing w:after="0"/>
              <w:rPr>
                <w:sz w:val="17"/>
                <w:szCs w:val="17"/>
                <w:color w:val="auto"/>
              </w:rPr>
            </w:pPr>
          </w:p>
        </w:tc>
        <w:tc>
          <w:tcPr>
            <w:tcW w:w="74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260" w:type="dxa"/>
            <w:vAlign w:val="bottom"/>
            <w:tcBorders>
              <w:bottom w:val="single" w:sz="8" w:color="auto"/>
              <w:right w:val="single" w:sz="8" w:color="auto"/>
            </w:tcBorders>
          </w:tcPr>
          <w:p>
            <w:pPr>
              <w:spacing w:after="0"/>
              <w:rPr>
                <w:sz w:val="6"/>
                <w:szCs w:val="6"/>
                <w:color w:val="auto"/>
              </w:rPr>
            </w:pPr>
          </w:p>
        </w:tc>
        <w:tc>
          <w:tcPr>
            <w:tcW w:w="74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7</w:t>
            </w:r>
          </w:p>
        </w:tc>
        <w:tc>
          <w:tcPr>
            <w:tcW w:w="74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260" w:type="dxa"/>
            <w:vAlign w:val="bottom"/>
            <w:tcBorders>
              <w:right w:val="single" w:sz="8" w:color="auto"/>
            </w:tcBorders>
            <w:vMerge w:val="continue"/>
          </w:tcPr>
          <w:p>
            <w:pPr>
              <w:spacing w:after="0"/>
              <w:rPr>
                <w:sz w:val="11"/>
                <w:szCs w:val="11"/>
                <w:color w:val="auto"/>
              </w:rPr>
            </w:pPr>
          </w:p>
        </w:tc>
        <w:tc>
          <w:tcPr>
            <w:tcW w:w="740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74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260" w:type="dxa"/>
            <w:vAlign w:val="bottom"/>
            <w:tcBorders>
              <w:right w:val="single" w:sz="8" w:color="auto"/>
            </w:tcBorders>
          </w:tcPr>
          <w:p>
            <w:pPr>
              <w:spacing w:after="0"/>
              <w:rPr>
                <w:sz w:val="17"/>
                <w:szCs w:val="17"/>
                <w:color w:val="auto"/>
              </w:rPr>
            </w:pPr>
          </w:p>
        </w:tc>
        <w:tc>
          <w:tcPr>
            <w:tcW w:w="74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260" w:type="dxa"/>
            <w:vAlign w:val="bottom"/>
            <w:tcBorders>
              <w:bottom w:val="single" w:sz="8" w:color="auto"/>
              <w:right w:val="single" w:sz="8" w:color="auto"/>
            </w:tcBorders>
          </w:tcPr>
          <w:p>
            <w:pPr>
              <w:spacing w:after="0"/>
              <w:rPr>
                <w:sz w:val="6"/>
                <w:szCs w:val="6"/>
                <w:color w:val="auto"/>
              </w:rPr>
            </w:pPr>
          </w:p>
        </w:tc>
        <w:tc>
          <w:tcPr>
            <w:tcW w:w="74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8</w:t>
            </w:r>
          </w:p>
        </w:tc>
        <w:tc>
          <w:tcPr>
            <w:tcW w:w="74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74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400" w:type="dxa"/>
            <w:vAlign w:val="bottom"/>
            <w:gridSpan w:val="2"/>
            <w:vMerge w:val="restart"/>
          </w:tcPr>
          <w:p>
            <w:pPr>
              <w:ind w:left="420"/>
              <w:spacing w:after="0"/>
              <w:rPr>
                <w:sz w:val="20"/>
                <w:szCs w:val="20"/>
                <w:color w:val="auto"/>
              </w:rPr>
            </w:pPr>
            <w:r>
              <w:rPr>
                <w:rFonts w:ascii="Arial" w:cs="Arial" w:eastAsia="Arial" w:hAnsi="Arial"/>
                <w:sz w:val="20"/>
                <w:szCs w:val="20"/>
                <w:color w:val="auto"/>
                <w:w w:val="93"/>
              </w:rPr>
              <w:t>1,565,829 shares of Common Stock (including 822,334 shares of Common Stock issuable upon</w:t>
            </w:r>
          </w:p>
        </w:tc>
        <w:tc>
          <w:tcPr>
            <w:tcW w:w="0" w:type="dxa"/>
            <w:vAlign w:val="bottom"/>
          </w:tcPr>
          <w:p>
            <w:pPr>
              <w:spacing w:after="0"/>
              <w:rPr>
                <w:sz w:val="1"/>
                <w:szCs w:val="1"/>
                <w:color w:val="auto"/>
              </w:rPr>
            </w:pPr>
          </w:p>
        </w:tc>
      </w:tr>
      <w:tr>
        <w:trPr>
          <w:trHeight w:val="59"/>
        </w:trPr>
        <w:tc>
          <w:tcPr>
            <w:tcW w:w="1580" w:type="dxa"/>
            <w:vAlign w:val="bottom"/>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8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58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7400" w:type="dxa"/>
            <w:vAlign w:val="bottom"/>
          </w:tcPr>
          <w:p>
            <w:pPr>
              <w:ind w:left="420"/>
              <w:spacing w:after="0"/>
              <w:rPr>
                <w:sz w:val="20"/>
                <w:szCs w:val="20"/>
                <w:color w:val="auto"/>
              </w:rPr>
            </w:pPr>
            <w:r>
              <w:rPr>
                <w:rFonts w:ascii="Arial" w:cs="Arial" w:eastAsia="Arial" w:hAnsi="Arial"/>
                <w:sz w:val="20"/>
                <w:szCs w:val="20"/>
                <w:color w:val="auto"/>
              </w:rPr>
              <w:t>exercise warrants)</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9660" w:type="dxa"/>
            <w:vAlign w:val="bottom"/>
            <w:gridSpan w:val="3"/>
            <w:vMerge w:val="restart"/>
          </w:tcPr>
          <w:p>
            <w:pPr>
              <w:ind w:left="440"/>
              <w:spacing w:after="0"/>
              <w:rPr>
                <w:sz w:val="20"/>
                <w:szCs w:val="20"/>
                <w:color w:val="auto"/>
              </w:rPr>
            </w:pPr>
            <w:r>
              <w:rPr>
                <w:rFonts w:ascii="Arial" w:cs="Arial" w:eastAsia="Arial" w:hAnsi="Arial"/>
                <w:sz w:val="20"/>
                <w:szCs w:val="20"/>
                <w:color w:val="auto"/>
                <w:w w:val="90"/>
              </w:rPr>
              <w:t>1,565,829 shares of Common Stock (including 822,334 shares of Common Stock issuable upon exercise warrants)</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96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86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000" w:type="dxa"/>
            <w:vAlign w:val="bottom"/>
          </w:tcPr>
          <w:p>
            <w:pPr>
              <w:ind w:left="1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660" w:type="dxa"/>
            <w:vAlign w:val="bottom"/>
            <w:tcBorders>
              <w:right w:val="single" w:sz="8" w:color="auto"/>
            </w:tcBorders>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740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20"/>
                <w:szCs w:val="20"/>
                <w:color w:val="auto"/>
                <w:w w:val="92"/>
              </w:rPr>
              <w:t>5.6%</w:t>
            </w:r>
          </w:p>
        </w:tc>
        <w:tc>
          <w:tcPr>
            <w:tcW w:w="7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7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40"/>
              <w:spacing w:after="0"/>
              <w:rPr>
                <w:sz w:val="20"/>
                <w:szCs w:val="20"/>
                <w:color w:val="auto"/>
              </w:rPr>
            </w:pPr>
            <w:r>
              <w:rPr>
                <w:rFonts w:ascii="Arial" w:cs="Arial" w:eastAsia="Arial" w:hAnsi="Arial"/>
                <w:sz w:val="20"/>
                <w:szCs w:val="20"/>
                <w:color w:val="auto"/>
              </w:rPr>
              <w:t>IN</w:t>
            </w:r>
          </w:p>
        </w:tc>
        <w:tc>
          <w:tcPr>
            <w:tcW w:w="7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7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4" w:name="page5"/>
    <w:bookmarkEnd w:id="4"/>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92840H400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7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122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820" w:type="dxa"/>
            <w:vAlign w:val="bottom"/>
            <w:gridSpan w:val="14"/>
          </w:tcPr>
          <w:p>
            <w:pPr>
              <w:ind w:left="480"/>
              <w:spacing w:after="0"/>
              <w:rPr>
                <w:sz w:val="20"/>
                <w:szCs w:val="20"/>
                <w:color w:val="auto"/>
              </w:rPr>
            </w:pPr>
            <w:r>
              <w:rPr>
                <w:rFonts w:ascii="Arial" w:cs="Arial" w:eastAsia="Arial" w:hAnsi="Arial"/>
                <w:sz w:val="20"/>
                <w:szCs w:val="20"/>
                <w:b w:val="1"/>
                <w:bCs w:val="1"/>
                <w:color w:val="auto"/>
              </w:rPr>
              <w:t>Name of Issuer.</w:t>
            </w:r>
          </w:p>
        </w:tc>
      </w:tr>
      <w:tr>
        <w:trPr>
          <w:trHeight w:val="206"/>
        </w:trPr>
        <w:tc>
          <w:tcPr>
            <w:tcW w:w="1220" w:type="dxa"/>
            <w:vAlign w:val="bottom"/>
          </w:tcPr>
          <w:p>
            <w:pPr>
              <w:spacing w:after="0"/>
              <w:rPr>
                <w:sz w:val="17"/>
                <w:szCs w:val="17"/>
                <w:color w:val="auto"/>
              </w:rPr>
            </w:pPr>
          </w:p>
        </w:tc>
        <w:tc>
          <w:tcPr>
            <w:tcW w:w="9820" w:type="dxa"/>
            <w:vAlign w:val="bottom"/>
            <w:gridSpan w:val="14"/>
          </w:tcPr>
          <w:p>
            <w:pPr>
              <w:ind w:left="480"/>
              <w:spacing w:after="0" w:line="206" w:lineRule="exact"/>
              <w:rPr>
                <w:sz w:val="20"/>
                <w:szCs w:val="20"/>
                <w:color w:val="auto"/>
              </w:rPr>
            </w:pPr>
            <w:r>
              <w:rPr>
                <w:rFonts w:ascii="Arial" w:cs="Arial" w:eastAsia="Arial" w:hAnsi="Arial"/>
                <w:sz w:val="20"/>
                <w:szCs w:val="20"/>
                <w:color w:val="auto"/>
              </w:rPr>
              <w:t>Vistagen Therapeutics, Inc. (the “Issuer”)</w:t>
            </w:r>
          </w:p>
        </w:tc>
      </w:tr>
      <w:tr>
        <w:trPr>
          <w:trHeight w:val="20"/>
        </w:trPr>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3"/>
        </w:trPr>
        <w:tc>
          <w:tcPr>
            <w:tcW w:w="122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820" w:type="dxa"/>
            <w:vAlign w:val="bottom"/>
            <w:gridSpan w:val="14"/>
          </w:tcPr>
          <w:p>
            <w:pPr>
              <w:ind w:left="48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250"/>
        </w:trPr>
        <w:tc>
          <w:tcPr>
            <w:tcW w:w="1220" w:type="dxa"/>
            <w:vAlign w:val="bottom"/>
          </w:tcPr>
          <w:p>
            <w:pPr>
              <w:spacing w:after="0"/>
              <w:rPr>
                <w:sz w:val="21"/>
                <w:szCs w:val="21"/>
                <w:color w:val="auto"/>
              </w:rPr>
            </w:pPr>
          </w:p>
        </w:tc>
        <w:tc>
          <w:tcPr>
            <w:tcW w:w="9820" w:type="dxa"/>
            <w:vAlign w:val="bottom"/>
            <w:gridSpan w:val="14"/>
          </w:tcPr>
          <w:p>
            <w:pPr>
              <w:ind w:left="480"/>
              <w:spacing w:after="0"/>
              <w:rPr>
                <w:sz w:val="20"/>
                <w:szCs w:val="20"/>
                <w:color w:val="auto"/>
              </w:rPr>
            </w:pPr>
            <w:r>
              <w:rPr>
                <w:rFonts w:ascii="Arial" w:cs="Arial" w:eastAsia="Arial" w:hAnsi="Arial"/>
                <w:sz w:val="20"/>
                <w:szCs w:val="20"/>
                <w:color w:val="auto"/>
              </w:rPr>
              <w:t>343 Allerton Avenue, South San Francisco, CA 94080</w:t>
            </w:r>
          </w:p>
        </w:tc>
      </w:tr>
      <w:tr>
        <w:trPr>
          <w:trHeight w:val="438"/>
        </w:trPr>
        <w:tc>
          <w:tcPr>
            <w:tcW w:w="122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820" w:type="dxa"/>
            <w:vAlign w:val="bottom"/>
            <w:gridSpan w:val="14"/>
          </w:tcPr>
          <w:p>
            <w:pPr>
              <w:ind w:left="480"/>
              <w:spacing w:after="0"/>
              <w:rPr>
                <w:sz w:val="20"/>
                <w:szCs w:val="20"/>
                <w:color w:val="auto"/>
              </w:rPr>
            </w:pPr>
            <w:r>
              <w:rPr>
                <w:rFonts w:ascii="Arial" w:cs="Arial" w:eastAsia="Arial" w:hAnsi="Arial"/>
                <w:sz w:val="20"/>
                <w:szCs w:val="20"/>
                <w:b w:val="1"/>
                <w:bCs w:val="1"/>
                <w:color w:val="auto"/>
              </w:rPr>
              <w:t>Name of Person Filing.</w:t>
            </w:r>
          </w:p>
        </w:tc>
      </w:tr>
      <w:tr>
        <w:trPr>
          <w:trHeight w:val="206"/>
        </w:trPr>
        <w:tc>
          <w:tcPr>
            <w:tcW w:w="1220" w:type="dxa"/>
            <w:vAlign w:val="bottom"/>
          </w:tcPr>
          <w:p>
            <w:pPr>
              <w:spacing w:after="0"/>
              <w:rPr>
                <w:sz w:val="17"/>
                <w:szCs w:val="17"/>
                <w:color w:val="auto"/>
              </w:rPr>
            </w:pPr>
          </w:p>
        </w:tc>
        <w:tc>
          <w:tcPr>
            <w:tcW w:w="9820" w:type="dxa"/>
            <w:vAlign w:val="bottom"/>
            <w:gridSpan w:val="14"/>
          </w:tcPr>
          <w:p>
            <w:pPr>
              <w:ind w:left="480"/>
              <w:spacing w:after="0" w:line="206" w:lineRule="exact"/>
              <w:rPr>
                <w:sz w:val="20"/>
                <w:szCs w:val="20"/>
                <w:color w:val="auto"/>
              </w:rPr>
            </w:pPr>
            <w:r>
              <w:rPr>
                <w:rFonts w:ascii="Arial" w:cs="Arial" w:eastAsia="Arial" w:hAnsi="Arial"/>
                <w:sz w:val="20"/>
                <w:szCs w:val="20"/>
                <w:color w:val="auto"/>
                <w:w w:val="90"/>
              </w:rPr>
              <w:t>This statement is filed by: (i) Point72 Asset Management, L.P. (“Point72 Asset Management”) with respect to shares</w:t>
            </w:r>
          </w:p>
        </w:tc>
      </w:tr>
      <w:tr>
        <w:trPr>
          <w:trHeight w:val="20"/>
        </w:trPr>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09"/>
        </w:trPr>
        <w:tc>
          <w:tcPr>
            <w:tcW w:w="1220" w:type="dxa"/>
            <w:vAlign w:val="bottom"/>
          </w:tcPr>
          <w:p>
            <w:pPr>
              <w:spacing w:after="0"/>
              <w:rPr>
                <w:sz w:val="18"/>
                <w:szCs w:val="18"/>
                <w:color w:val="auto"/>
              </w:rPr>
            </w:pPr>
          </w:p>
        </w:tc>
        <w:tc>
          <w:tcPr>
            <w:tcW w:w="9820" w:type="dxa"/>
            <w:vAlign w:val="bottom"/>
            <w:gridSpan w:val="14"/>
          </w:tcPr>
          <w:p>
            <w:pPr>
              <w:ind w:left="480"/>
              <w:spacing w:after="0" w:line="209" w:lineRule="exact"/>
              <w:rPr>
                <w:sz w:val="20"/>
                <w:szCs w:val="20"/>
                <w:color w:val="auto"/>
              </w:rPr>
            </w:pPr>
            <w:r>
              <w:rPr>
                <w:rFonts w:ascii="Arial" w:cs="Arial" w:eastAsia="Arial" w:hAnsi="Arial"/>
                <w:sz w:val="20"/>
                <w:szCs w:val="20"/>
                <w:color w:val="auto"/>
                <w:w w:val="90"/>
              </w:rPr>
              <w:t>of common stock, par value $0.001 per share (“Common Stock”), of the Issuer held by (and underlying warrants held</w:t>
            </w:r>
          </w:p>
        </w:tc>
      </w:tr>
      <w:tr>
        <w:trPr>
          <w:trHeight w:val="20"/>
        </w:trPr>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210"/>
        </w:trPr>
        <w:tc>
          <w:tcPr>
            <w:tcW w:w="1220" w:type="dxa"/>
            <w:vAlign w:val="bottom"/>
          </w:tcPr>
          <w:p>
            <w:pPr>
              <w:spacing w:after="0"/>
              <w:rPr>
                <w:sz w:val="18"/>
                <w:szCs w:val="18"/>
                <w:color w:val="auto"/>
              </w:rPr>
            </w:pPr>
          </w:p>
        </w:tc>
        <w:tc>
          <w:tcPr>
            <w:tcW w:w="9820" w:type="dxa"/>
            <w:vAlign w:val="bottom"/>
            <w:gridSpan w:val="14"/>
          </w:tcPr>
          <w:p>
            <w:pPr>
              <w:ind w:left="480"/>
              <w:spacing w:after="0" w:line="209" w:lineRule="exact"/>
              <w:rPr>
                <w:sz w:val="20"/>
                <w:szCs w:val="20"/>
                <w:color w:val="auto"/>
              </w:rPr>
            </w:pPr>
            <w:r>
              <w:rPr>
                <w:rFonts w:ascii="Arial" w:cs="Arial" w:eastAsia="Arial" w:hAnsi="Arial"/>
                <w:sz w:val="20"/>
                <w:szCs w:val="20"/>
                <w:color w:val="auto"/>
                <w:w w:val="93"/>
              </w:rPr>
              <w:t>by) Point72 Associates, LLC, an investment fund it manages (“Point72 Associates”); (ii) Point72 Capital Advisors,</w:t>
            </w:r>
          </w:p>
        </w:tc>
      </w:tr>
      <w:tr>
        <w:trPr>
          <w:trHeight w:val="20"/>
        </w:trPr>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00" w:type="dxa"/>
            <w:vAlign w:val="bottom"/>
            <w:tcBorders>
              <w:right w:val="single" w:sz="8" w:color="auto"/>
            </w:tcBorders>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209"/>
        </w:trPr>
        <w:tc>
          <w:tcPr>
            <w:tcW w:w="1220" w:type="dxa"/>
            <w:vAlign w:val="bottom"/>
          </w:tcPr>
          <w:p>
            <w:pPr>
              <w:spacing w:after="0"/>
              <w:rPr>
                <w:sz w:val="18"/>
                <w:szCs w:val="18"/>
                <w:color w:val="auto"/>
              </w:rPr>
            </w:pPr>
          </w:p>
        </w:tc>
        <w:tc>
          <w:tcPr>
            <w:tcW w:w="9820" w:type="dxa"/>
            <w:vAlign w:val="bottom"/>
            <w:gridSpan w:val="14"/>
          </w:tcPr>
          <w:p>
            <w:pPr>
              <w:ind w:left="480"/>
              <w:spacing w:after="0" w:line="209" w:lineRule="exact"/>
              <w:rPr>
                <w:sz w:val="20"/>
                <w:szCs w:val="20"/>
                <w:color w:val="auto"/>
              </w:rPr>
            </w:pPr>
            <w:r>
              <w:rPr>
                <w:rFonts w:ascii="Arial" w:cs="Arial" w:eastAsia="Arial" w:hAnsi="Arial"/>
                <w:sz w:val="20"/>
                <w:szCs w:val="20"/>
                <w:color w:val="auto"/>
                <w:w w:val="91"/>
              </w:rPr>
              <w:t>Inc. (“Point72 Capital Advisors Inc.”) with respect to the shares of Common Stock held by (and underlying warrants</w:t>
            </w:r>
          </w:p>
        </w:tc>
      </w:tr>
      <w:tr>
        <w:trPr>
          <w:trHeight w:val="20"/>
        </w:trPr>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gridSpan w:val="2"/>
            <w:shd w:val="clear" w:color="auto" w:fill="000000"/>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209"/>
        </w:trPr>
        <w:tc>
          <w:tcPr>
            <w:tcW w:w="1220" w:type="dxa"/>
            <w:vAlign w:val="bottom"/>
          </w:tcPr>
          <w:p>
            <w:pPr>
              <w:spacing w:after="0"/>
              <w:rPr>
                <w:sz w:val="18"/>
                <w:szCs w:val="18"/>
                <w:color w:val="auto"/>
              </w:rPr>
            </w:pPr>
          </w:p>
        </w:tc>
        <w:tc>
          <w:tcPr>
            <w:tcW w:w="9820" w:type="dxa"/>
            <w:vAlign w:val="bottom"/>
            <w:gridSpan w:val="14"/>
          </w:tcPr>
          <w:p>
            <w:pPr>
              <w:ind w:left="480"/>
              <w:spacing w:after="0" w:line="209" w:lineRule="exact"/>
              <w:rPr>
                <w:sz w:val="20"/>
                <w:szCs w:val="20"/>
                <w:color w:val="auto"/>
              </w:rPr>
            </w:pPr>
            <w:r>
              <w:rPr>
                <w:rFonts w:ascii="Arial" w:cs="Arial" w:eastAsia="Arial" w:hAnsi="Arial"/>
                <w:sz w:val="20"/>
                <w:szCs w:val="20"/>
                <w:color w:val="auto"/>
                <w:w w:val="92"/>
              </w:rPr>
              <w:t>held by) Point72 Associates; and (iii) Steven A. Cohen (“Mr. Cohen”) with respect to the shares of Common Stock</w:t>
            </w:r>
          </w:p>
        </w:tc>
      </w:tr>
      <w:tr>
        <w:trPr>
          <w:trHeight w:val="20"/>
        </w:trPr>
        <w:tc>
          <w:tcPr>
            <w:tcW w:w="1220" w:type="dxa"/>
            <w:vAlign w:val="bottom"/>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254"/>
        </w:trPr>
        <w:tc>
          <w:tcPr>
            <w:tcW w:w="1220" w:type="dxa"/>
            <w:vAlign w:val="bottom"/>
          </w:tcPr>
          <w:p>
            <w:pPr>
              <w:spacing w:after="0"/>
              <w:rPr>
                <w:sz w:val="22"/>
                <w:szCs w:val="22"/>
                <w:color w:val="auto"/>
              </w:rPr>
            </w:pPr>
          </w:p>
        </w:tc>
        <w:tc>
          <w:tcPr>
            <w:tcW w:w="9820" w:type="dxa"/>
            <w:vAlign w:val="bottom"/>
            <w:gridSpan w:val="14"/>
          </w:tcPr>
          <w:p>
            <w:pPr>
              <w:ind w:left="480"/>
              <w:spacing w:after="0"/>
              <w:rPr>
                <w:sz w:val="20"/>
                <w:szCs w:val="20"/>
                <w:color w:val="auto"/>
              </w:rPr>
            </w:pPr>
            <w:r>
              <w:rPr>
                <w:rFonts w:ascii="Arial" w:cs="Arial" w:eastAsia="Arial" w:hAnsi="Arial"/>
                <w:sz w:val="20"/>
                <w:szCs w:val="20"/>
                <w:color w:val="auto"/>
              </w:rPr>
              <w:t>beneficially owned by Point72 Asset Management and Point72 Capital Advisors Inc.</w:t>
            </w:r>
          </w:p>
        </w:tc>
      </w:tr>
      <w:tr>
        <w:trPr>
          <w:trHeight w:val="438"/>
        </w:trPr>
        <w:tc>
          <w:tcPr>
            <w:tcW w:w="1220" w:type="dxa"/>
            <w:vAlign w:val="bottom"/>
          </w:tcPr>
          <w:p>
            <w:pPr>
              <w:spacing w:after="0"/>
              <w:rPr>
                <w:sz w:val="24"/>
                <w:szCs w:val="24"/>
                <w:color w:val="auto"/>
              </w:rPr>
            </w:pPr>
          </w:p>
        </w:tc>
        <w:tc>
          <w:tcPr>
            <w:tcW w:w="9820" w:type="dxa"/>
            <w:vAlign w:val="bottom"/>
            <w:gridSpan w:val="14"/>
          </w:tcPr>
          <w:p>
            <w:pPr>
              <w:ind w:left="480"/>
              <w:spacing w:after="0"/>
              <w:rPr>
                <w:sz w:val="20"/>
                <w:szCs w:val="20"/>
                <w:color w:val="auto"/>
              </w:rPr>
            </w:pPr>
            <w:r>
              <w:rPr>
                <w:rFonts w:ascii="Arial" w:cs="Arial" w:eastAsia="Arial" w:hAnsi="Arial"/>
                <w:sz w:val="20"/>
                <w:szCs w:val="20"/>
                <w:color w:val="auto"/>
                <w:w w:val="99"/>
              </w:rPr>
              <w:t>Point72 Asset Management, Point72 Capital Advisors Inc., and Mr. Cohen have entered into a Joint Filing</w:t>
            </w:r>
          </w:p>
        </w:tc>
      </w:tr>
      <w:tr>
        <w:trPr>
          <w:trHeight w:val="206"/>
        </w:trPr>
        <w:tc>
          <w:tcPr>
            <w:tcW w:w="1220" w:type="dxa"/>
            <w:vAlign w:val="bottom"/>
          </w:tcPr>
          <w:p>
            <w:pPr>
              <w:spacing w:after="0"/>
              <w:rPr>
                <w:sz w:val="17"/>
                <w:szCs w:val="17"/>
                <w:color w:val="auto"/>
              </w:rPr>
            </w:pPr>
          </w:p>
        </w:tc>
        <w:tc>
          <w:tcPr>
            <w:tcW w:w="9820" w:type="dxa"/>
            <w:vAlign w:val="bottom"/>
            <w:gridSpan w:val="14"/>
          </w:tcPr>
          <w:p>
            <w:pPr>
              <w:ind w:left="480"/>
              <w:spacing w:after="0" w:line="206" w:lineRule="exact"/>
              <w:rPr>
                <w:sz w:val="20"/>
                <w:szCs w:val="20"/>
                <w:color w:val="auto"/>
              </w:rPr>
            </w:pPr>
            <w:r>
              <w:rPr>
                <w:rFonts w:ascii="Arial" w:cs="Arial" w:eastAsia="Arial" w:hAnsi="Arial"/>
                <w:sz w:val="20"/>
                <w:szCs w:val="20"/>
                <w:color w:val="auto"/>
                <w:w w:val="92"/>
              </w:rPr>
              <w:t>Agreement, a copy of which is filed with this Schedule 13G as Exhibit 99.1, pursuant to which they have agreed to</w:t>
            </w:r>
          </w:p>
        </w:tc>
      </w:tr>
      <w:tr>
        <w:trPr>
          <w:trHeight w:val="20"/>
        </w:trPr>
        <w:tc>
          <w:tcPr>
            <w:tcW w:w="1220" w:type="dxa"/>
            <w:vAlign w:val="bottom"/>
          </w:tcPr>
          <w:p>
            <w:pPr>
              <w:spacing w:after="0" w:line="20" w:lineRule="exact"/>
              <w:rPr>
                <w:sz w:val="1"/>
                <w:szCs w:val="1"/>
                <w:color w:val="auto"/>
              </w:rPr>
            </w:pPr>
          </w:p>
        </w:tc>
        <w:tc>
          <w:tcPr>
            <w:tcW w:w="5640" w:type="dxa"/>
            <w:vAlign w:val="bottom"/>
            <w:gridSpan w:val="8"/>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254"/>
        </w:trPr>
        <w:tc>
          <w:tcPr>
            <w:tcW w:w="1220" w:type="dxa"/>
            <w:vAlign w:val="bottom"/>
          </w:tcPr>
          <w:p>
            <w:pPr>
              <w:spacing w:after="0"/>
              <w:rPr>
                <w:sz w:val="22"/>
                <w:szCs w:val="22"/>
                <w:color w:val="auto"/>
              </w:rPr>
            </w:pPr>
          </w:p>
        </w:tc>
        <w:tc>
          <w:tcPr>
            <w:tcW w:w="9820" w:type="dxa"/>
            <w:vAlign w:val="bottom"/>
            <w:gridSpan w:val="14"/>
          </w:tcPr>
          <w:p>
            <w:pPr>
              <w:ind w:left="480"/>
              <w:spacing w:after="0"/>
              <w:rPr>
                <w:sz w:val="20"/>
                <w:szCs w:val="20"/>
                <w:color w:val="auto"/>
              </w:rPr>
            </w:pPr>
            <w:r>
              <w:rPr>
                <w:rFonts w:ascii="Arial" w:cs="Arial" w:eastAsia="Arial" w:hAnsi="Arial"/>
                <w:sz w:val="20"/>
                <w:szCs w:val="20"/>
                <w:color w:val="auto"/>
              </w:rPr>
              <w:t>file this Schedule 13G jointly in accordance with the provisions of Rule 13d-1(k) of the Act.</w:t>
            </w:r>
          </w:p>
        </w:tc>
      </w:tr>
      <w:tr>
        <w:trPr>
          <w:trHeight w:val="438"/>
        </w:trPr>
        <w:tc>
          <w:tcPr>
            <w:tcW w:w="122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820" w:type="dxa"/>
            <w:vAlign w:val="bottom"/>
            <w:gridSpan w:val="14"/>
          </w:tcPr>
          <w:p>
            <w:pPr>
              <w:ind w:left="480"/>
              <w:spacing w:after="0"/>
              <w:rPr>
                <w:sz w:val="20"/>
                <w:szCs w:val="20"/>
                <w:color w:val="auto"/>
              </w:rPr>
            </w:pPr>
            <w:r>
              <w:rPr>
                <w:rFonts w:ascii="Arial" w:cs="Arial" w:eastAsia="Arial" w:hAnsi="Arial"/>
                <w:sz w:val="20"/>
                <w:szCs w:val="20"/>
                <w:b w:val="1"/>
                <w:bCs w:val="1"/>
                <w:color w:val="auto"/>
              </w:rPr>
              <w:t>Address of Principal Business Office.</w:t>
            </w:r>
          </w:p>
        </w:tc>
      </w:tr>
      <w:tr>
        <w:trPr>
          <w:trHeight w:val="230"/>
        </w:trPr>
        <w:tc>
          <w:tcPr>
            <w:tcW w:w="1220" w:type="dxa"/>
            <w:vAlign w:val="bottom"/>
          </w:tcPr>
          <w:p>
            <w:pPr>
              <w:spacing w:after="0"/>
              <w:rPr>
                <w:sz w:val="19"/>
                <w:szCs w:val="19"/>
                <w:color w:val="auto"/>
              </w:rPr>
            </w:pPr>
          </w:p>
        </w:tc>
        <w:tc>
          <w:tcPr>
            <w:tcW w:w="9820" w:type="dxa"/>
            <w:vAlign w:val="bottom"/>
            <w:gridSpan w:val="14"/>
          </w:tcPr>
          <w:p>
            <w:pPr>
              <w:ind w:left="480"/>
              <w:spacing w:after="0"/>
              <w:rPr>
                <w:sz w:val="20"/>
                <w:szCs w:val="20"/>
                <w:color w:val="auto"/>
              </w:rPr>
            </w:pPr>
            <w:r>
              <w:rPr>
                <w:rFonts w:ascii="Arial" w:cs="Arial" w:eastAsia="Arial" w:hAnsi="Arial"/>
                <w:sz w:val="20"/>
                <w:szCs w:val="20"/>
                <w:color w:val="auto"/>
                <w:w w:val="92"/>
              </w:rPr>
              <w:t>The address of the principal business office of Point72 Asset Management, Point72 Capital Advisors Inc., and Mr.</w:t>
            </w:r>
          </w:p>
        </w:tc>
      </w:tr>
      <w:tr>
        <w:trPr>
          <w:trHeight w:val="250"/>
        </w:trPr>
        <w:tc>
          <w:tcPr>
            <w:tcW w:w="1220" w:type="dxa"/>
            <w:vAlign w:val="bottom"/>
          </w:tcPr>
          <w:p>
            <w:pPr>
              <w:spacing w:after="0"/>
              <w:rPr>
                <w:sz w:val="21"/>
                <w:szCs w:val="21"/>
                <w:color w:val="auto"/>
              </w:rPr>
            </w:pPr>
          </w:p>
        </w:tc>
        <w:tc>
          <w:tcPr>
            <w:tcW w:w="9820" w:type="dxa"/>
            <w:vAlign w:val="bottom"/>
            <w:gridSpan w:val="14"/>
          </w:tcPr>
          <w:p>
            <w:pPr>
              <w:ind w:left="480"/>
              <w:spacing w:after="0"/>
              <w:rPr>
                <w:sz w:val="20"/>
                <w:szCs w:val="20"/>
                <w:color w:val="auto"/>
              </w:rPr>
            </w:pPr>
            <w:r>
              <w:rPr>
                <w:rFonts w:ascii="Arial" w:cs="Arial" w:eastAsia="Arial" w:hAnsi="Arial"/>
                <w:sz w:val="20"/>
                <w:szCs w:val="20"/>
                <w:color w:val="auto"/>
              </w:rPr>
              <w:t>Cohen is 72 Cummings Point Road, Stamford, CT 06902.</w:t>
            </w:r>
          </w:p>
        </w:tc>
      </w:tr>
      <w:tr>
        <w:trPr>
          <w:trHeight w:val="438"/>
        </w:trPr>
        <w:tc>
          <w:tcPr>
            <w:tcW w:w="122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820" w:type="dxa"/>
            <w:vAlign w:val="bottom"/>
            <w:gridSpan w:val="14"/>
          </w:tcPr>
          <w:p>
            <w:pPr>
              <w:ind w:left="480"/>
              <w:spacing w:after="0"/>
              <w:rPr>
                <w:sz w:val="20"/>
                <w:szCs w:val="20"/>
                <w:color w:val="auto"/>
              </w:rPr>
            </w:pPr>
            <w:r>
              <w:rPr>
                <w:rFonts w:ascii="Arial" w:cs="Arial" w:eastAsia="Arial" w:hAnsi="Arial"/>
                <w:sz w:val="20"/>
                <w:szCs w:val="20"/>
                <w:b w:val="1"/>
                <w:bCs w:val="1"/>
                <w:color w:val="auto"/>
              </w:rPr>
              <w:t>Place of Organization.</w:t>
            </w:r>
          </w:p>
        </w:tc>
      </w:tr>
      <w:tr>
        <w:trPr>
          <w:trHeight w:val="229"/>
        </w:trPr>
        <w:tc>
          <w:tcPr>
            <w:tcW w:w="1220" w:type="dxa"/>
            <w:vAlign w:val="bottom"/>
          </w:tcPr>
          <w:p>
            <w:pPr>
              <w:spacing w:after="0"/>
              <w:rPr>
                <w:sz w:val="19"/>
                <w:szCs w:val="19"/>
                <w:color w:val="auto"/>
              </w:rPr>
            </w:pPr>
          </w:p>
        </w:tc>
        <w:tc>
          <w:tcPr>
            <w:tcW w:w="9820" w:type="dxa"/>
            <w:vAlign w:val="bottom"/>
            <w:gridSpan w:val="14"/>
          </w:tcPr>
          <w:p>
            <w:pPr>
              <w:ind w:left="480"/>
              <w:spacing w:after="0"/>
              <w:rPr>
                <w:sz w:val="20"/>
                <w:szCs w:val="20"/>
                <w:color w:val="auto"/>
              </w:rPr>
            </w:pPr>
            <w:r>
              <w:rPr>
                <w:rFonts w:ascii="Arial" w:cs="Arial" w:eastAsia="Arial" w:hAnsi="Arial"/>
                <w:sz w:val="20"/>
                <w:szCs w:val="20"/>
                <w:color w:val="auto"/>
                <w:w w:val="99"/>
              </w:rPr>
              <w:t>Point72 Asset Management is a Delaware limited partnership. Point72 Capital Advisors Inc. is a Delaware</w:t>
            </w:r>
          </w:p>
        </w:tc>
      </w:tr>
      <w:tr>
        <w:trPr>
          <w:trHeight w:val="250"/>
        </w:trPr>
        <w:tc>
          <w:tcPr>
            <w:tcW w:w="1220" w:type="dxa"/>
            <w:vAlign w:val="bottom"/>
          </w:tcPr>
          <w:p>
            <w:pPr>
              <w:spacing w:after="0"/>
              <w:rPr>
                <w:sz w:val="21"/>
                <w:szCs w:val="21"/>
                <w:color w:val="auto"/>
              </w:rPr>
            </w:pPr>
          </w:p>
        </w:tc>
        <w:tc>
          <w:tcPr>
            <w:tcW w:w="9820" w:type="dxa"/>
            <w:vAlign w:val="bottom"/>
            <w:gridSpan w:val="14"/>
          </w:tcPr>
          <w:p>
            <w:pPr>
              <w:ind w:left="480"/>
              <w:spacing w:after="0"/>
              <w:rPr>
                <w:sz w:val="20"/>
                <w:szCs w:val="20"/>
                <w:color w:val="auto"/>
              </w:rPr>
            </w:pPr>
            <w:r>
              <w:rPr>
                <w:rFonts w:ascii="Arial" w:cs="Arial" w:eastAsia="Arial" w:hAnsi="Arial"/>
                <w:sz w:val="20"/>
                <w:szCs w:val="20"/>
                <w:color w:val="auto"/>
              </w:rPr>
              <w:t>corporation. Mr. Cohen is a United States citizen.</w:t>
            </w:r>
          </w:p>
        </w:tc>
      </w:tr>
      <w:tr>
        <w:trPr>
          <w:trHeight w:val="438"/>
        </w:trPr>
        <w:tc>
          <w:tcPr>
            <w:tcW w:w="122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820" w:type="dxa"/>
            <w:vAlign w:val="bottom"/>
            <w:gridSpan w:val="14"/>
          </w:tcPr>
          <w:p>
            <w:pPr>
              <w:ind w:left="360"/>
              <w:spacing w:after="0"/>
              <w:rPr>
                <w:sz w:val="20"/>
                <w:szCs w:val="20"/>
                <w:color w:val="auto"/>
              </w:rPr>
            </w:pPr>
            <w:r>
              <w:rPr>
                <w:rFonts w:ascii="Arial" w:cs="Arial" w:eastAsia="Arial" w:hAnsi="Arial"/>
                <w:sz w:val="20"/>
                <w:szCs w:val="20"/>
                <w:b w:val="1"/>
                <w:bCs w:val="1"/>
                <w:color w:val="auto"/>
              </w:rPr>
              <w:t>Title of Class of Securities.</w:t>
            </w:r>
          </w:p>
        </w:tc>
      </w:tr>
      <w:tr>
        <w:trPr>
          <w:trHeight w:val="250"/>
        </w:trPr>
        <w:tc>
          <w:tcPr>
            <w:tcW w:w="1220" w:type="dxa"/>
            <w:vAlign w:val="bottom"/>
          </w:tcPr>
          <w:p>
            <w:pPr>
              <w:spacing w:after="0"/>
              <w:rPr>
                <w:sz w:val="21"/>
                <w:szCs w:val="21"/>
                <w:color w:val="auto"/>
              </w:rPr>
            </w:pPr>
          </w:p>
        </w:tc>
        <w:tc>
          <w:tcPr>
            <w:tcW w:w="9820" w:type="dxa"/>
            <w:vAlign w:val="bottom"/>
            <w:gridSpan w:val="14"/>
          </w:tcPr>
          <w:p>
            <w:pPr>
              <w:ind w:left="360"/>
              <w:spacing w:after="0"/>
              <w:rPr>
                <w:sz w:val="20"/>
                <w:szCs w:val="20"/>
                <w:color w:val="auto"/>
              </w:rPr>
            </w:pPr>
            <w:r>
              <w:rPr>
                <w:rFonts w:ascii="Arial" w:cs="Arial" w:eastAsia="Arial" w:hAnsi="Arial"/>
                <w:sz w:val="20"/>
                <w:szCs w:val="20"/>
                <w:color w:val="auto"/>
              </w:rPr>
              <w:t>Common Stock, par value $0.001 per share</w:t>
            </w:r>
          </w:p>
        </w:tc>
      </w:tr>
      <w:tr>
        <w:trPr>
          <w:trHeight w:val="438"/>
        </w:trPr>
        <w:tc>
          <w:tcPr>
            <w:tcW w:w="122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9820" w:type="dxa"/>
            <w:vAlign w:val="bottom"/>
            <w:gridSpan w:val="14"/>
          </w:tcPr>
          <w:p>
            <w:pPr>
              <w:ind w:left="360"/>
              <w:spacing w:after="0"/>
              <w:rPr>
                <w:sz w:val="20"/>
                <w:szCs w:val="20"/>
                <w:color w:val="auto"/>
              </w:rPr>
            </w:pPr>
            <w:r>
              <w:rPr>
                <w:rFonts w:ascii="Arial" w:cs="Arial" w:eastAsia="Arial" w:hAnsi="Arial"/>
                <w:sz w:val="20"/>
                <w:szCs w:val="20"/>
                <w:b w:val="1"/>
                <w:bCs w:val="1"/>
                <w:color w:val="auto"/>
              </w:rPr>
              <w:t>CUSIP Number.</w:t>
            </w:r>
          </w:p>
        </w:tc>
      </w:tr>
      <w:tr>
        <w:trPr>
          <w:trHeight w:val="250"/>
        </w:trPr>
        <w:tc>
          <w:tcPr>
            <w:tcW w:w="1220" w:type="dxa"/>
            <w:vAlign w:val="bottom"/>
          </w:tcPr>
          <w:p>
            <w:pPr>
              <w:spacing w:after="0"/>
              <w:rPr>
                <w:sz w:val="21"/>
                <w:szCs w:val="21"/>
                <w:color w:val="auto"/>
              </w:rPr>
            </w:pPr>
          </w:p>
        </w:tc>
        <w:tc>
          <w:tcPr>
            <w:tcW w:w="9820" w:type="dxa"/>
            <w:vAlign w:val="bottom"/>
            <w:gridSpan w:val="14"/>
          </w:tcPr>
          <w:p>
            <w:pPr>
              <w:ind w:left="360"/>
              <w:spacing w:after="0"/>
              <w:rPr>
                <w:sz w:val="20"/>
                <w:szCs w:val="20"/>
                <w:color w:val="auto"/>
              </w:rPr>
            </w:pPr>
            <w:r>
              <w:rPr>
                <w:rFonts w:ascii="Arial" w:cs="Arial" w:eastAsia="Arial" w:hAnsi="Arial"/>
                <w:sz w:val="20"/>
                <w:szCs w:val="20"/>
                <w:color w:val="auto"/>
              </w:rPr>
              <w:t>92840H400</w:t>
            </w:r>
          </w:p>
        </w:tc>
      </w:tr>
      <w:tr>
        <w:trPr>
          <w:trHeight w:val="432"/>
        </w:trPr>
        <w:tc>
          <w:tcPr>
            <w:tcW w:w="122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820" w:type="dxa"/>
            <w:vAlign w:val="bottom"/>
            <w:gridSpan w:val="14"/>
          </w:tcPr>
          <w:p>
            <w:pPr>
              <w:ind w:left="480"/>
              <w:spacing w:after="0"/>
              <w:rPr>
                <w:sz w:val="20"/>
                <w:szCs w:val="20"/>
                <w:color w:val="auto"/>
              </w:rPr>
            </w:pPr>
            <w:r>
              <w:rPr>
                <w:rFonts w:ascii="Arial" w:cs="Arial" w:eastAsia="Arial" w:hAnsi="Arial"/>
                <w:sz w:val="20"/>
                <w:szCs w:val="20"/>
                <w:b w:val="1"/>
                <w:bCs w:val="1"/>
                <w:color w:val="auto"/>
                <w:w w:val="91"/>
              </w:rPr>
              <w:t>If this Statement is Filed Pursuant to §§ 240.13d-1(b) or 240.13d-2(b), or (c), check whether the Person Filing</w:t>
            </w:r>
          </w:p>
        </w:tc>
      </w:tr>
      <w:tr>
        <w:trPr>
          <w:trHeight w:val="236"/>
        </w:trPr>
        <w:tc>
          <w:tcPr>
            <w:tcW w:w="1220" w:type="dxa"/>
            <w:vAlign w:val="bottom"/>
          </w:tcPr>
          <w:p>
            <w:pPr>
              <w:spacing w:after="0"/>
              <w:rPr>
                <w:sz w:val="20"/>
                <w:szCs w:val="20"/>
                <w:color w:val="auto"/>
              </w:rPr>
            </w:pPr>
          </w:p>
        </w:tc>
        <w:tc>
          <w:tcPr>
            <w:tcW w:w="9820" w:type="dxa"/>
            <w:vAlign w:val="bottom"/>
            <w:gridSpan w:val="14"/>
          </w:tcPr>
          <w:p>
            <w:pPr>
              <w:ind w:left="480"/>
              <w:spacing w:after="0"/>
              <w:rPr>
                <w:sz w:val="20"/>
                <w:szCs w:val="20"/>
                <w:color w:val="auto"/>
              </w:rPr>
            </w:pPr>
            <w:r>
              <w:rPr>
                <w:rFonts w:ascii="Arial" w:cs="Arial" w:eastAsia="Arial" w:hAnsi="Arial"/>
                <w:sz w:val="20"/>
                <w:szCs w:val="20"/>
                <w:b w:val="1"/>
                <w:bCs w:val="1"/>
                <w:color w:val="auto"/>
              </w:rPr>
              <w:t>is a:</w:t>
            </w:r>
          </w:p>
        </w:tc>
      </w:tr>
      <w:tr>
        <w:trPr>
          <w:trHeight w:val="250"/>
        </w:trPr>
        <w:tc>
          <w:tcPr>
            <w:tcW w:w="1220" w:type="dxa"/>
            <w:vAlign w:val="bottom"/>
          </w:tcPr>
          <w:p>
            <w:pPr>
              <w:spacing w:after="0"/>
              <w:rPr>
                <w:sz w:val="21"/>
                <w:szCs w:val="21"/>
                <w:color w:val="auto"/>
              </w:rPr>
            </w:pPr>
          </w:p>
        </w:tc>
        <w:tc>
          <w:tcPr>
            <w:tcW w:w="9820" w:type="dxa"/>
            <w:vAlign w:val="bottom"/>
            <w:gridSpan w:val="14"/>
          </w:tcPr>
          <w:p>
            <w:pPr>
              <w:ind w:left="480"/>
              <w:spacing w:after="0"/>
              <w:rPr>
                <w:sz w:val="20"/>
                <w:szCs w:val="20"/>
                <w:color w:val="auto"/>
              </w:rPr>
            </w:pPr>
            <w:r>
              <w:rPr>
                <w:rFonts w:ascii="Arial" w:cs="Arial" w:eastAsia="Arial" w:hAnsi="Arial"/>
                <w:sz w:val="20"/>
                <w:szCs w:val="20"/>
                <w:color w:val="auto"/>
              </w:rPr>
              <w:t>Not applicable.</w:t>
            </w:r>
          </w:p>
        </w:tc>
      </w:tr>
      <w:tr>
        <w:trPr>
          <w:trHeight w:val="438"/>
        </w:trPr>
        <w:tc>
          <w:tcPr>
            <w:tcW w:w="1220" w:type="dxa"/>
            <w:vAlign w:val="bottom"/>
          </w:tcPr>
          <w:p>
            <w:pPr>
              <w:spacing w:after="0"/>
              <w:rPr>
                <w:sz w:val="20"/>
                <w:szCs w:val="20"/>
                <w:color w:val="auto"/>
              </w:rPr>
            </w:pPr>
            <w:r>
              <w:rPr>
                <w:rFonts w:ascii="Arial" w:cs="Arial" w:eastAsia="Arial" w:hAnsi="Arial"/>
                <w:sz w:val="20"/>
                <w:szCs w:val="20"/>
                <w:b w:val="1"/>
                <w:bCs w:val="1"/>
                <w:color w:val="auto"/>
              </w:rPr>
              <w:t>Item 4.</w:t>
            </w:r>
          </w:p>
        </w:tc>
        <w:tc>
          <w:tcPr>
            <w:tcW w:w="9820" w:type="dxa"/>
            <w:vAlign w:val="bottom"/>
            <w:gridSpan w:val="14"/>
          </w:tcPr>
          <w:p>
            <w:pPr>
              <w:ind w:left="360"/>
              <w:spacing w:after="0"/>
              <w:rPr>
                <w:sz w:val="20"/>
                <w:szCs w:val="20"/>
                <w:color w:val="auto"/>
              </w:rPr>
            </w:pPr>
            <w:r>
              <w:rPr>
                <w:rFonts w:ascii="Arial" w:cs="Arial" w:eastAsia="Arial" w:hAnsi="Arial"/>
                <w:sz w:val="20"/>
                <w:szCs w:val="20"/>
                <w:b w:val="1"/>
                <w:bCs w:val="1"/>
                <w:color w:val="auto"/>
              </w:rPr>
              <w:t>Ownership.</w:t>
            </w:r>
          </w:p>
        </w:tc>
      </w:tr>
      <w:tr>
        <w:trPr>
          <w:trHeight w:val="230"/>
        </w:trPr>
        <w:tc>
          <w:tcPr>
            <w:tcW w:w="1220" w:type="dxa"/>
            <w:vAlign w:val="bottom"/>
          </w:tcPr>
          <w:p>
            <w:pPr>
              <w:spacing w:after="0"/>
              <w:rPr>
                <w:sz w:val="19"/>
                <w:szCs w:val="19"/>
                <w:color w:val="auto"/>
              </w:rPr>
            </w:pPr>
          </w:p>
        </w:tc>
        <w:tc>
          <w:tcPr>
            <w:tcW w:w="9820" w:type="dxa"/>
            <w:vAlign w:val="bottom"/>
            <w:gridSpan w:val="14"/>
          </w:tcPr>
          <w:p>
            <w:pPr>
              <w:ind w:left="360"/>
              <w:spacing w:after="0"/>
              <w:rPr>
                <w:sz w:val="20"/>
                <w:szCs w:val="20"/>
                <w:color w:val="auto"/>
              </w:rPr>
            </w:pPr>
            <w:r>
              <w:rPr>
                <w:rFonts w:ascii="Arial" w:cs="Arial" w:eastAsia="Arial" w:hAnsi="Arial"/>
                <w:sz w:val="20"/>
                <w:szCs w:val="20"/>
                <w:color w:val="auto"/>
                <w:w w:val="90"/>
              </w:rPr>
              <w:t>The information required by Items 4(a) – (c) is set forth in Rows (5) – (11) of the cover page for each Reporting Person</w:t>
            </w:r>
          </w:p>
        </w:tc>
      </w:tr>
      <w:tr>
        <w:trPr>
          <w:trHeight w:val="230"/>
        </w:trPr>
        <w:tc>
          <w:tcPr>
            <w:tcW w:w="1220" w:type="dxa"/>
            <w:vAlign w:val="bottom"/>
          </w:tcPr>
          <w:p>
            <w:pPr>
              <w:spacing w:after="0"/>
              <w:rPr>
                <w:sz w:val="19"/>
                <w:szCs w:val="19"/>
                <w:color w:val="auto"/>
              </w:rPr>
            </w:pPr>
          </w:p>
        </w:tc>
        <w:tc>
          <w:tcPr>
            <w:tcW w:w="9820" w:type="dxa"/>
            <w:vAlign w:val="bottom"/>
            <w:gridSpan w:val="14"/>
          </w:tcPr>
          <w:p>
            <w:pPr>
              <w:ind w:left="360"/>
              <w:spacing w:after="0"/>
              <w:rPr>
                <w:sz w:val="20"/>
                <w:szCs w:val="20"/>
                <w:color w:val="auto"/>
              </w:rPr>
            </w:pPr>
            <w:r>
              <w:rPr>
                <w:rFonts w:ascii="Arial" w:cs="Arial" w:eastAsia="Arial" w:hAnsi="Arial"/>
                <w:sz w:val="20"/>
                <w:szCs w:val="20"/>
                <w:color w:val="auto"/>
                <w:w w:val="95"/>
              </w:rPr>
              <w:t>hereto and is incorporated herein by reference for each Reporting Person. Such information is as of the close of</w:t>
            </w:r>
          </w:p>
        </w:tc>
      </w:tr>
      <w:tr>
        <w:trPr>
          <w:trHeight w:val="250"/>
        </w:trPr>
        <w:tc>
          <w:tcPr>
            <w:tcW w:w="1220" w:type="dxa"/>
            <w:vAlign w:val="bottom"/>
          </w:tcPr>
          <w:p>
            <w:pPr>
              <w:spacing w:after="0"/>
              <w:rPr>
                <w:sz w:val="21"/>
                <w:szCs w:val="21"/>
                <w:color w:val="auto"/>
              </w:rPr>
            </w:pPr>
          </w:p>
        </w:tc>
        <w:tc>
          <w:tcPr>
            <w:tcW w:w="9820" w:type="dxa"/>
            <w:vAlign w:val="bottom"/>
            <w:gridSpan w:val="14"/>
          </w:tcPr>
          <w:p>
            <w:pPr>
              <w:ind w:left="360"/>
              <w:spacing w:after="0"/>
              <w:rPr>
                <w:sz w:val="20"/>
                <w:szCs w:val="20"/>
                <w:color w:val="auto"/>
              </w:rPr>
            </w:pPr>
            <w:r>
              <w:rPr>
                <w:rFonts w:ascii="Arial" w:cs="Arial" w:eastAsia="Arial" w:hAnsi="Arial"/>
                <w:sz w:val="20"/>
                <w:szCs w:val="20"/>
                <w:color w:val="auto"/>
              </w:rPr>
              <w:t>business on October 4, 2023.</w:t>
            </w:r>
          </w:p>
        </w:tc>
      </w:tr>
      <w:tr>
        <w:trPr>
          <w:trHeight w:val="438"/>
        </w:trPr>
        <w:tc>
          <w:tcPr>
            <w:tcW w:w="1220" w:type="dxa"/>
            <w:vAlign w:val="bottom"/>
          </w:tcPr>
          <w:p>
            <w:pPr>
              <w:spacing w:after="0"/>
              <w:rPr>
                <w:sz w:val="24"/>
                <w:szCs w:val="24"/>
                <w:color w:val="auto"/>
              </w:rPr>
            </w:pPr>
          </w:p>
        </w:tc>
        <w:tc>
          <w:tcPr>
            <w:tcW w:w="9820" w:type="dxa"/>
            <w:vAlign w:val="bottom"/>
            <w:gridSpan w:val="14"/>
          </w:tcPr>
          <w:p>
            <w:pPr>
              <w:ind w:left="360"/>
              <w:spacing w:after="0"/>
              <w:rPr>
                <w:sz w:val="20"/>
                <w:szCs w:val="20"/>
                <w:color w:val="auto"/>
              </w:rPr>
            </w:pPr>
            <w:r>
              <w:rPr>
                <w:rFonts w:ascii="Arial" w:cs="Arial" w:eastAsia="Arial" w:hAnsi="Arial"/>
                <w:sz w:val="20"/>
                <w:szCs w:val="20"/>
                <w:color w:val="auto"/>
                <w:w w:val="91"/>
              </w:rPr>
              <w:t>Point72 Asset Management, Point72 Capital Advisors Inc., and Mr. Cohen own directly no shares of Common Stock.</w:t>
            </w:r>
          </w:p>
        </w:tc>
      </w:tr>
      <w:tr>
        <w:trPr>
          <w:trHeight w:val="230"/>
        </w:trPr>
        <w:tc>
          <w:tcPr>
            <w:tcW w:w="1220" w:type="dxa"/>
            <w:vAlign w:val="bottom"/>
          </w:tcPr>
          <w:p>
            <w:pPr>
              <w:spacing w:after="0"/>
              <w:rPr>
                <w:sz w:val="19"/>
                <w:szCs w:val="19"/>
                <w:color w:val="auto"/>
              </w:rPr>
            </w:pPr>
          </w:p>
        </w:tc>
        <w:tc>
          <w:tcPr>
            <w:tcW w:w="9820" w:type="dxa"/>
            <w:vAlign w:val="bottom"/>
            <w:gridSpan w:val="14"/>
          </w:tcPr>
          <w:p>
            <w:pPr>
              <w:ind w:left="360"/>
              <w:spacing w:after="0"/>
              <w:rPr>
                <w:sz w:val="20"/>
                <w:szCs w:val="20"/>
                <w:color w:val="auto"/>
              </w:rPr>
            </w:pPr>
            <w:r>
              <w:rPr>
                <w:rFonts w:ascii="Arial" w:cs="Arial" w:eastAsia="Arial" w:hAnsi="Arial"/>
                <w:sz w:val="20"/>
                <w:szCs w:val="20"/>
                <w:color w:val="auto"/>
                <w:w w:val="88"/>
              </w:rPr>
              <w:t>Pursuant to an investment management agreement, Point72 Asset Management maintains investment and voting power</w:t>
            </w:r>
          </w:p>
        </w:tc>
      </w:tr>
      <w:tr>
        <w:trPr>
          <w:trHeight w:val="230"/>
        </w:trPr>
        <w:tc>
          <w:tcPr>
            <w:tcW w:w="1220" w:type="dxa"/>
            <w:vAlign w:val="bottom"/>
          </w:tcPr>
          <w:p>
            <w:pPr>
              <w:spacing w:after="0"/>
              <w:rPr>
                <w:sz w:val="19"/>
                <w:szCs w:val="19"/>
                <w:color w:val="auto"/>
              </w:rPr>
            </w:pPr>
          </w:p>
        </w:tc>
        <w:tc>
          <w:tcPr>
            <w:tcW w:w="9820" w:type="dxa"/>
            <w:vAlign w:val="bottom"/>
            <w:gridSpan w:val="14"/>
          </w:tcPr>
          <w:p>
            <w:pPr>
              <w:ind w:left="360"/>
              <w:spacing w:after="0"/>
              <w:rPr>
                <w:sz w:val="20"/>
                <w:szCs w:val="20"/>
                <w:color w:val="auto"/>
              </w:rPr>
            </w:pPr>
            <w:r>
              <w:rPr>
                <w:rFonts w:ascii="Arial" w:cs="Arial" w:eastAsia="Arial" w:hAnsi="Arial"/>
                <w:sz w:val="20"/>
                <w:szCs w:val="20"/>
                <w:color w:val="auto"/>
                <w:w w:val="96"/>
              </w:rPr>
              <w:t>with respect to the securities held by Point72 Associates. Point72 Capital Advisors Inc. is the general partner of</w:t>
            </w:r>
          </w:p>
        </w:tc>
      </w:tr>
      <w:tr>
        <w:trPr>
          <w:trHeight w:val="230"/>
        </w:trPr>
        <w:tc>
          <w:tcPr>
            <w:tcW w:w="1220" w:type="dxa"/>
            <w:vAlign w:val="bottom"/>
          </w:tcPr>
          <w:p>
            <w:pPr>
              <w:spacing w:after="0"/>
              <w:rPr>
                <w:sz w:val="19"/>
                <w:szCs w:val="19"/>
                <w:color w:val="auto"/>
              </w:rPr>
            </w:pPr>
          </w:p>
        </w:tc>
        <w:tc>
          <w:tcPr>
            <w:tcW w:w="9820" w:type="dxa"/>
            <w:vAlign w:val="bottom"/>
            <w:gridSpan w:val="14"/>
          </w:tcPr>
          <w:p>
            <w:pPr>
              <w:ind w:left="360"/>
              <w:spacing w:after="0"/>
              <w:rPr>
                <w:sz w:val="20"/>
                <w:szCs w:val="20"/>
                <w:color w:val="auto"/>
              </w:rPr>
            </w:pPr>
            <w:r>
              <w:rPr>
                <w:rFonts w:ascii="Arial" w:cs="Arial" w:eastAsia="Arial" w:hAnsi="Arial"/>
                <w:sz w:val="20"/>
                <w:szCs w:val="20"/>
                <w:color w:val="auto"/>
                <w:w w:val="93"/>
              </w:rPr>
              <w:t>Point72 Asset Management. Mr. Cohen controls each of Point72 Asset Management and Point72 Capital Advisors</w:t>
            </w:r>
          </w:p>
        </w:tc>
      </w:tr>
      <w:tr>
        <w:trPr>
          <w:trHeight w:val="229"/>
        </w:trPr>
        <w:tc>
          <w:tcPr>
            <w:tcW w:w="1220" w:type="dxa"/>
            <w:vAlign w:val="bottom"/>
          </w:tcPr>
          <w:p>
            <w:pPr>
              <w:spacing w:after="0"/>
              <w:rPr>
                <w:sz w:val="19"/>
                <w:szCs w:val="19"/>
                <w:color w:val="auto"/>
              </w:rPr>
            </w:pPr>
          </w:p>
        </w:tc>
        <w:tc>
          <w:tcPr>
            <w:tcW w:w="9820" w:type="dxa"/>
            <w:vAlign w:val="bottom"/>
            <w:gridSpan w:val="14"/>
          </w:tcPr>
          <w:p>
            <w:pPr>
              <w:ind w:left="360"/>
              <w:spacing w:after="0"/>
              <w:rPr>
                <w:sz w:val="20"/>
                <w:szCs w:val="20"/>
                <w:color w:val="auto"/>
              </w:rPr>
            </w:pPr>
            <w:r>
              <w:rPr>
                <w:rFonts w:ascii="Arial" w:cs="Arial" w:eastAsia="Arial" w:hAnsi="Arial"/>
                <w:sz w:val="20"/>
                <w:szCs w:val="20"/>
                <w:color w:val="auto"/>
                <w:w w:val="93"/>
              </w:rPr>
              <w:t>Inc.  The filing of this statement should not be construed as an admission that any of the foregoing persons or any</w:t>
            </w:r>
          </w:p>
        </w:tc>
      </w:tr>
      <w:tr>
        <w:trPr>
          <w:trHeight w:val="229"/>
        </w:trPr>
        <w:tc>
          <w:tcPr>
            <w:tcW w:w="1220" w:type="dxa"/>
            <w:vAlign w:val="bottom"/>
          </w:tcPr>
          <w:p>
            <w:pPr>
              <w:spacing w:after="0"/>
              <w:rPr>
                <w:sz w:val="19"/>
                <w:szCs w:val="19"/>
                <w:color w:val="auto"/>
              </w:rPr>
            </w:pPr>
          </w:p>
        </w:tc>
        <w:tc>
          <w:tcPr>
            <w:tcW w:w="9820" w:type="dxa"/>
            <w:vAlign w:val="bottom"/>
            <w:gridSpan w:val="14"/>
          </w:tcPr>
          <w:p>
            <w:pPr>
              <w:ind w:left="360"/>
              <w:spacing w:after="0"/>
              <w:rPr>
                <w:sz w:val="20"/>
                <w:szCs w:val="20"/>
                <w:color w:val="auto"/>
              </w:rPr>
            </w:pPr>
            <w:r>
              <w:rPr>
                <w:rFonts w:ascii="Arial" w:cs="Arial" w:eastAsia="Arial" w:hAnsi="Arial"/>
                <w:sz w:val="20"/>
                <w:szCs w:val="20"/>
                <w:color w:val="auto"/>
                <w:w w:val="92"/>
              </w:rPr>
              <w:t>Reporting Person is, for the purposes of Section 13 of the Act, the beneficial owner of the shares of Common Stock</w:t>
            </w:r>
          </w:p>
        </w:tc>
      </w:tr>
      <w:tr>
        <w:trPr>
          <w:trHeight w:val="250"/>
        </w:trPr>
        <w:tc>
          <w:tcPr>
            <w:tcW w:w="1220" w:type="dxa"/>
            <w:vAlign w:val="bottom"/>
          </w:tcPr>
          <w:p>
            <w:pPr>
              <w:spacing w:after="0"/>
              <w:rPr>
                <w:sz w:val="21"/>
                <w:szCs w:val="21"/>
                <w:color w:val="auto"/>
              </w:rPr>
            </w:pPr>
          </w:p>
        </w:tc>
        <w:tc>
          <w:tcPr>
            <w:tcW w:w="9820" w:type="dxa"/>
            <w:vAlign w:val="bottom"/>
            <w:gridSpan w:val="14"/>
          </w:tcPr>
          <w:p>
            <w:pPr>
              <w:ind w:left="360"/>
              <w:spacing w:after="0"/>
              <w:rPr>
                <w:sz w:val="20"/>
                <w:szCs w:val="20"/>
                <w:color w:val="auto"/>
              </w:rPr>
            </w:pPr>
            <w:r>
              <w:rPr>
                <w:rFonts w:ascii="Arial" w:cs="Arial" w:eastAsia="Arial" w:hAnsi="Arial"/>
                <w:sz w:val="20"/>
                <w:szCs w:val="20"/>
                <w:color w:val="auto"/>
              </w:rPr>
              <w:t>reported herein.</w:t>
            </w:r>
          </w:p>
        </w:tc>
      </w:tr>
    </w:tbl>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92840H400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7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w w:val="89"/>
              </w:rPr>
              <w:t>The aggregate percentage of the shares of Common Stock reported to be beneficially owned by each Reporting Person</w:t>
            </w:r>
          </w:p>
        </w:tc>
      </w:tr>
      <w:tr>
        <w:trPr>
          <w:trHeight w:val="229"/>
        </w:trPr>
        <w:tc>
          <w:tcPr>
            <w:tcW w:w="1140" w:type="dxa"/>
            <w:vAlign w:val="bottom"/>
          </w:tcPr>
          <w:p>
            <w:pPr>
              <w:spacing w:after="0"/>
              <w:rPr>
                <w:sz w:val="19"/>
                <w:szCs w:val="19"/>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w w:val="93"/>
              </w:rPr>
              <w:t>is based on 27,023,038 shares of Common Stock outstanding which is the sum of (i) 7,875,151 shares of Common</w:t>
            </w:r>
          </w:p>
        </w:tc>
      </w:tr>
      <w:tr>
        <w:trPr>
          <w:trHeight w:val="229"/>
        </w:trPr>
        <w:tc>
          <w:tcPr>
            <w:tcW w:w="1140" w:type="dxa"/>
            <w:vAlign w:val="bottom"/>
          </w:tcPr>
          <w:p>
            <w:pPr>
              <w:spacing w:after="0"/>
              <w:rPr>
                <w:sz w:val="19"/>
                <w:szCs w:val="19"/>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w w:val="90"/>
              </w:rPr>
              <w:t>Stock outstanding as of June 30, 2023, as reported in the Issuer’s Prospectus filed pursuant to Rule 424(b)(5) with the</w:t>
            </w:r>
          </w:p>
        </w:tc>
      </w:tr>
      <w:tr>
        <w:trPr>
          <w:trHeight w:val="206"/>
        </w:trPr>
        <w:tc>
          <w:tcPr>
            <w:tcW w:w="1140" w:type="dxa"/>
            <w:vAlign w:val="bottom"/>
          </w:tcPr>
          <w:p>
            <w:pPr>
              <w:spacing w:after="0"/>
              <w:rPr>
                <w:sz w:val="17"/>
                <w:szCs w:val="17"/>
                <w:color w:val="auto"/>
              </w:rPr>
            </w:pPr>
          </w:p>
        </w:tc>
        <w:tc>
          <w:tcPr>
            <w:tcW w:w="9900" w:type="dxa"/>
            <w:vAlign w:val="bottom"/>
            <w:gridSpan w:val="5"/>
          </w:tcPr>
          <w:p>
            <w:pPr>
              <w:ind w:left="440"/>
              <w:spacing w:after="0" w:line="206" w:lineRule="exact"/>
              <w:rPr>
                <w:sz w:val="20"/>
                <w:szCs w:val="20"/>
                <w:color w:val="auto"/>
              </w:rPr>
            </w:pPr>
            <w:r>
              <w:rPr>
                <w:rFonts w:ascii="Arial" w:cs="Arial" w:eastAsia="Arial" w:hAnsi="Arial"/>
                <w:sz w:val="20"/>
                <w:szCs w:val="20"/>
                <w:color w:val="auto"/>
                <w:w w:val="97"/>
              </w:rPr>
              <w:t>Securities and Exchange Commission (“SEC”) on October 3, 2023 (the “Prospectus”); (ii) 4,137,077 shares of</w:t>
            </w:r>
          </w:p>
        </w:tc>
      </w:tr>
      <w:tr>
        <w:trPr>
          <w:trHeight w:val="20"/>
        </w:trPr>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33"/>
        </w:trPr>
        <w:tc>
          <w:tcPr>
            <w:tcW w:w="1140" w:type="dxa"/>
            <w:vAlign w:val="bottom"/>
          </w:tcPr>
          <w:p>
            <w:pPr>
              <w:spacing w:after="0"/>
              <w:rPr>
                <w:sz w:val="20"/>
                <w:szCs w:val="20"/>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w w:val="93"/>
              </w:rPr>
              <w:t>Common Stock sold under the Issuer’s ATM program since June 30, 2023, as reported in the Prospectus; and (iii)</w:t>
            </w:r>
          </w:p>
        </w:tc>
      </w:tr>
      <w:tr>
        <w:trPr>
          <w:trHeight w:val="230"/>
        </w:trPr>
        <w:tc>
          <w:tcPr>
            <w:tcW w:w="1140" w:type="dxa"/>
            <w:vAlign w:val="bottom"/>
          </w:tcPr>
          <w:p>
            <w:pPr>
              <w:spacing w:after="0"/>
              <w:rPr>
                <w:sz w:val="19"/>
                <w:szCs w:val="19"/>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w w:val="89"/>
              </w:rPr>
              <w:t>15,010,810 shares of Common Stock issued by the Issuer as described in the Prospectus, and assumes the exercise of</w:t>
            </w:r>
          </w:p>
        </w:tc>
      </w:tr>
      <w:tr>
        <w:trPr>
          <w:trHeight w:val="250"/>
        </w:trPr>
        <w:tc>
          <w:tcPr>
            <w:tcW w:w="1140" w:type="dxa"/>
            <w:vAlign w:val="bottom"/>
          </w:tcPr>
          <w:p>
            <w:pPr>
              <w:spacing w:after="0"/>
              <w:rPr>
                <w:sz w:val="21"/>
                <w:szCs w:val="21"/>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the warrants reported herein.</w:t>
            </w:r>
          </w:p>
        </w:tc>
      </w:tr>
      <w:tr>
        <w:trPr>
          <w:trHeight w:val="438"/>
        </w:trPr>
        <w:tc>
          <w:tcPr>
            <w:tcW w:w="114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9900" w:type="dxa"/>
            <w:vAlign w:val="bottom"/>
            <w:gridSpan w:val="5"/>
          </w:tcPr>
          <w:p>
            <w:pPr>
              <w:ind w:left="440"/>
              <w:spacing w:after="0"/>
              <w:rPr>
                <w:sz w:val="20"/>
                <w:szCs w:val="20"/>
                <w:color w:val="auto"/>
              </w:rPr>
            </w:pPr>
            <w:r>
              <w:rPr>
                <w:rFonts w:ascii="Arial" w:cs="Arial" w:eastAsia="Arial" w:hAnsi="Arial"/>
                <w:sz w:val="20"/>
                <w:szCs w:val="20"/>
                <w:b w:val="1"/>
                <w:bCs w:val="1"/>
                <w:color w:val="auto"/>
              </w:rPr>
              <w:t>Ownership of Five Percent or Less of a Class.</w:t>
            </w:r>
          </w:p>
        </w:tc>
      </w:tr>
      <w:tr>
        <w:trPr>
          <w:trHeight w:val="229"/>
        </w:trPr>
        <w:tc>
          <w:tcPr>
            <w:tcW w:w="1140" w:type="dxa"/>
            <w:vAlign w:val="bottom"/>
          </w:tcPr>
          <w:p>
            <w:pPr>
              <w:spacing w:after="0"/>
              <w:rPr>
                <w:sz w:val="19"/>
                <w:szCs w:val="19"/>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w w:val="92"/>
              </w:rPr>
              <w:t>If this statement is being filed to report the fact that as of the date hereof the Reporting Person has ceased to be the</w:t>
            </w:r>
          </w:p>
        </w:tc>
      </w:tr>
      <w:tr>
        <w:trPr>
          <w:trHeight w:val="250"/>
        </w:trPr>
        <w:tc>
          <w:tcPr>
            <w:tcW w:w="1140" w:type="dxa"/>
            <w:vAlign w:val="bottom"/>
          </w:tcPr>
          <w:p>
            <w:pPr>
              <w:spacing w:after="0"/>
              <w:rPr>
                <w:sz w:val="21"/>
                <w:szCs w:val="21"/>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beneficial owner of more than 5 percent of the class of securities, check the following [ ].</w:t>
            </w:r>
          </w:p>
        </w:tc>
      </w:tr>
      <w:tr>
        <w:trPr>
          <w:trHeight w:val="438"/>
        </w:trPr>
        <w:tc>
          <w:tcPr>
            <w:tcW w:w="114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9900" w:type="dxa"/>
            <w:vAlign w:val="bottom"/>
            <w:gridSpan w:val="5"/>
          </w:tcPr>
          <w:p>
            <w:pPr>
              <w:ind w:left="440"/>
              <w:spacing w:after="0"/>
              <w:rPr>
                <w:sz w:val="20"/>
                <w:szCs w:val="20"/>
                <w:color w:val="auto"/>
              </w:rPr>
            </w:pPr>
            <w:r>
              <w:rPr>
                <w:rFonts w:ascii="Arial" w:cs="Arial" w:eastAsia="Arial" w:hAnsi="Arial"/>
                <w:sz w:val="20"/>
                <w:szCs w:val="20"/>
                <w:b w:val="1"/>
                <w:bCs w:val="1"/>
                <w:color w:val="auto"/>
              </w:rPr>
              <w:t>Ownership of More Than Five Percent on Behalf of Another Person.</w:t>
            </w:r>
          </w:p>
        </w:tc>
      </w:tr>
      <w:tr>
        <w:trPr>
          <w:trHeight w:val="230"/>
        </w:trPr>
        <w:tc>
          <w:tcPr>
            <w:tcW w:w="1140" w:type="dxa"/>
            <w:vAlign w:val="bottom"/>
          </w:tcPr>
          <w:p>
            <w:pPr>
              <w:spacing w:after="0"/>
              <w:rPr>
                <w:sz w:val="19"/>
                <w:szCs w:val="19"/>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w w:val="92"/>
              </w:rPr>
              <w:t>Point72 Associates has the right to receive or the power to direct the receipt of dividends from, or the proceeds from</w:t>
            </w:r>
          </w:p>
        </w:tc>
      </w:tr>
      <w:tr>
        <w:trPr>
          <w:trHeight w:val="250"/>
        </w:trPr>
        <w:tc>
          <w:tcPr>
            <w:tcW w:w="1140" w:type="dxa"/>
            <w:vAlign w:val="bottom"/>
          </w:tcPr>
          <w:p>
            <w:pPr>
              <w:spacing w:after="0"/>
              <w:rPr>
                <w:sz w:val="21"/>
                <w:szCs w:val="21"/>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the sale of, more than 5 percent of the outstanding shares of Common Stock.</w:t>
            </w:r>
          </w:p>
        </w:tc>
      </w:tr>
      <w:tr>
        <w:trPr>
          <w:trHeight w:val="432"/>
        </w:trPr>
        <w:tc>
          <w:tcPr>
            <w:tcW w:w="1140" w:type="dxa"/>
            <w:vAlign w:val="bottom"/>
          </w:tcPr>
          <w:p>
            <w:pPr>
              <w:spacing w:after="0"/>
              <w:rPr>
                <w:sz w:val="20"/>
                <w:szCs w:val="20"/>
                <w:color w:val="auto"/>
              </w:rPr>
            </w:pPr>
            <w:r>
              <w:rPr>
                <w:rFonts w:ascii="Arial" w:cs="Arial" w:eastAsia="Arial" w:hAnsi="Arial"/>
                <w:sz w:val="20"/>
                <w:szCs w:val="20"/>
                <w:b w:val="1"/>
                <w:bCs w:val="1"/>
                <w:color w:val="auto"/>
              </w:rPr>
              <w:t>Item 7.</w:t>
            </w:r>
          </w:p>
        </w:tc>
        <w:tc>
          <w:tcPr>
            <w:tcW w:w="9900" w:type="dxa"/>
            <w:vAlign w:val="bottom"/>
            <w:gridSpan w:val="5"/>
          </w:tcPr>
          <w:p>
            <w:pPr>
              <w:ind w:left="440"/>
              <w:spacing w:after="0"/>
              <w:rPr>
                <w:sz w:val="20"/>
                <w:szCs w:val="20"/>
                <w:color w:val="auto"/>
              </w:rPr>
            </w:pPr>
            <w:r>
              <w:rPr>
                <w:rFonts w:ascii="Arial" w:cs="Arial" w:eastAsia="Arial" w:hAnsi="Arial"/>
                <w:sz w:val="20"/>
                <w:szCs w:val="20"/>
                <w:b w:val="1"/>
                <w:bCs w:val="1"/>
                <w:color w:val="auto"/>
                <w:w w:val="94"/>
              </w:rPr>
              <w:t>Identification and Classification of the Subsidiary Which Acquired the Security Being Reported on by the</w:t>
            </w:r>
          </w:p>
        </w:tc>
      </w:tr>
      <w:tr>
        <w:trPr>
          <w:trHeight w:val="235"/>
        </w:trPr>
        <w:tc>
          <w:tcPr>
            <w:tcW w:w="1140" w:type="dxa"/>
            <w:vAlign w:val="bottom"/>
          </w:tcPr>
          <w:p>
            <w:pPr>
              <w:spacing w:after="0"/>
              <w:rPr>
                <w:sz w:val="20"/>
                <w:szCs w:val="20"/>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b w:val="1"/>
                <w:bCs w:val="1"/>
                <w:color w:val="auto"/>
              </w:rPr>
              <w:t>Parent Holding Company or Control Person.</w:t>
            </w:r>
          </w:p>
        </w:tc>
      </w:tr>
      <w:tr>
        <w:trPr>
          <w:trHeight w:val="250"/>
        </w:trPr>
        <w:tc>
          <w:tcPr>
            <w:tcW w:w="1140" w:type="dxa"/>
            <w:vAlign w:val="bottom"/>
          </w:tcPr>
          <w:p>
            <w:pPr>
              <w:spacing w:after="0"/>
              <w:rPr>
                <w:sz w:val="21"/>
                <w:szCs w:val="21"/>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Not applicable.</w:t>
            </w:r>
          </w:p>
        </w:tc>
      </w:tr>
      <w:tr>
        <w:trPr>
          <w:trHeight w:val="438"/>
        </w:trPr>
        <w:tc>
          <w:tcPr>
            <w:tcW w:w="1140" w:type="dxa"/>
            <w:vAlign w:val="bottom"/>
          </w:tcPr>
          <w:p>
            <w:pPr>
              <w:spacing w:after="0"/>
              <w:rPr>
                <w:sz w:val="20"/>
                <w:szCs w:val="20"/>
                <w:color w:val="auto"/>
              </w:rPr>
            </w:pPr>
            <w:r>
              <w:rPr>
                <w:rFonts w:ascii="Arial" w:cs="Arial" w:eastAsia="Arial" w:hAnsi="Arial"/>
                <w:sz w:val="20"/>
                <w:szCs w:val="20"/>
                <w:b w:val="1"/>
                <w:bCs w:val="1"/>
                <w:color w:val="auto"/>
              </w:rPr>
              <w:t>Item 8.</w:t>
            </w:r>
          </w:p>
        </w:tc>
        <w:tc>
          <w:tcPr>
            <w:tcW w:w="9900" w:type="dxa"/>
            <w:vAlign w:val="bottom"/>
            <w:gridSpan w:val="5"/>
          </w:tcPr>
          <w:p>
            <w:pPr>
              <w:ind w:left="440"/>
              <w:spacing w:after="0"/>
              <w:rPr>
                <w:sz w:val="20"/>
                <w:szCs w:val="20"/>
                <w:color w:val="auto"/>
              </w:rPr>
            </w:pPr>
            <w:r>
              <w:rPr>
                <w:rFonts w:ascii="Arial" w:cs="Arial" w:eastAsia="Arial" w:hAnsi="Arial"/>
                <w:sz w:val="20"/>
                <w:szCs w:val="20"/>
                <w:b w:val="1"/>
                <w:bCs w:val="1"/>
                <w:color w:val="auto"/>
              </w:rPr>
              <w:t>Identification and Classification of Members of the Group.</w:t>
            </w:r>
          </w:p>
        </w:tc>
      </w:tr>
      <w:tr>
        <w:trPr>
          <w:trHeight w:val="250"/>
        </w:trPr>
        <w:tc>
          <w:tcPr>
            <w:tcW w:w="1140" w:type="dxa"/>
            <w:vAlign w:val="bottom"/>
          </w:tcPr>
          <w:p>
            <w:pPr>
              <w:spacing w:after="0"/>
              <w:rPr>
                <w:sz w:val="21"/>
                <w:szCs w:val="21"/>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Not applicable.</w:t>
            </w:r>
          </w:p>
        </w:tc>
      </w:tr>
      <w:tr>
        <w:trPr>
          <w:trHeight w:val="438"/>
        </w:trPr>
        <w:tc>
          <w:tcPr>
            <w:tcW w:w="1140" w:type="dxa"/>
            <w:vAlign w:val="bottom"/>
          </w:tcPr>
          <w:p>
            <w:pPr>
              <w:spacing w:after="0"/>
              <w:rPr>
                <w:sz w:val="20"/>
                <w:szCs w:val="20"/>
                <w:color w:val="auto"/>
              </w:rPr>
            </w:pPr>
            <w:r>
              <w:rPr>
                <w:rFonts w:ascii="Arial" w:cs="Arial" w:eastAsia="Arial" w:hAnsi="Arial"/>
                <w:sz w:val="20"/>
                <w:szCs w:val="20"/>
                <w:b w:val="1"/>
                <w:bCs w:val="1"/>
                <w:color w:val="auto"/>
              </w:rPr>
              <w:t>Item 9.</w:t>
            </w:r>
          </w:p>
        </w:tc>
        <w:tc>
          <w:tcPr>
            <w:tcW w:w="9900" w:type="dxa"/>
            <w:vAlign w:val="bottom"/>
            <w:gridSpan w:val="5"/>
          </w:tcPr>
          <w:p>
            <w:pPr>
              <w:ind w:left="440"/>
              <w:spacing w:after="0"/>
              <w:rPr>
                <w:sz w:val="20"/>
                <w:szCs w:val="20"/>
                <w:color w:val="auto"/>
              </w:rPr>
            </w:pPr>
            <w:r>
              <w:rPr>
                <w:rFonts w:ascii="Arial" w:cs="Arial" w:eastAsia="Arial" w:hAnsi="Arial"/>
                <w:sz w:val="20"/>
                <w:szCs w:val="20"/>
                <w:b w:val="1"/>
                <w:bCs w:val="1"/>
                <w:color w:val="auto"/>
              </w:rPr>
              <w:t>Notice of Dissolution of Group.</w:t>
            </w:r>
          </w:p>
        </w:tc>
      </w:tr>
      <w:tr>
        <w:trPr>
          <w:trHeight w:val="250"/>
        </w:trPr>
        <w:tc>
          <w:tcPr>
            <w:tcW w:w="1140" w:type="dxa"/>
            <w:vAlign w:val="bottom"/>
          </w:tcPr>
          <w:p>
            <w:pPr>
              <w:spacing w:after="0"/>
              <w:rPr>
                <w:sz w:val="21"/>
                <w:szCs w:val="21"/>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Not applicable.</w:t>
            </w:r>
          </w:p>
        </w:tc>
      </w:tr>
      <w:tr>
        <w:trPr>
          <w:trHeight w:val="438"/>
        </w:trPr>
        <w:tc>
          <w:tcPr>
            <w:tcW w:w="1140" w:type="dxa"/>
            <w:vAlign w:val="bottom"/>
          </w:tcPr>
          <w:p>
            <w:pPr>
              <w:spacing w:after="0"/>
              <w:rPr>
                <w:sz w:val="20"/>
                <w:szCs w:val="20"/>
                <w:color w:val="auto"/>
              </w:rPr>
            </w:pPr>
            <w:r>
              <w:rPr>
                <w:rFonts w:ascii="Arial" w:cs="Arial" w:eastAsia="Arial" w:hAnsi="Arial"/>
                <w:sz w:val="20"/>
                <w:szCs w:val="20"/>
                <w:b w:val="1"/>
                <w:bCs w:val="1"/>
                <w:color w:val="auto"/>
              </w:rPr>
              <w:t>Item 10.</w:t>
            </w:r>
          </w:p>
        </w:tc>
        <w:tc>
          <w:tcPr>
            <w:tcW w:w="9900" w:type="dxa"/>
            <w:vAlign w:val="bottom"/>
            <w:gridSpan w:val="5"/>
          </w:tcPr>
          <w:p>
            <w:pPr>
              <w:ind w:left="440"/>
              <w:spacing w:after="0"/>
              <w:rPr>
                <w:sz w:val="20"/>
                <w:szCs w:val="20"/>
                <w:color w:val="auto"/>
              </w:rPr>
            </w:pPr>
            <w:r>
              <w:rPr>
                <w:rFonts w:ascii="Arial" w:cs="Arial" w:eastAsia="Arial" w:hAnsi="Arial"/>
                <w:sz w:val="20"/>
                <w:szCs w:val="20"/>
                <w:b w:val="1"/>
                <w:bCs w:val="1"/>
                <w:color w:val="auto"/>
              </w:rPr>
              <w:t>Certification.</w:t>
            </w:r>
          </w:p>
        </w:tc>
      </w:tr>
      <w:tr>
        <w:trPr>
          <w:trHeight w:val="230"/>
        </w:trPr>
        <w:tc>
          <w:tcPr>
            <w:tcW w:w="1140" w:type="dxa"/>
            <w:vAlign w:val="bottom"/>
          </w:tcPr>
          <w:p>
            <w:pPr>
              <w:spacing w:after="0"/>
              <w:rPr>
                <w:sz w:val="19"/>
                <w:szCs w:val="19"/>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w w:val="90"/>
              </w:rPr>
              <w:t>By signing below each Reporting Person certifies that, to the best of its knowledge and belief, the securities referred to</w:t>
            </w:r>
          </w:p>
        </w:tc>
      </w:tr>
      <w:tr>
        <w:trPr>
          <w:trHeight w:val="229"/>
        </w:trPr>
        <w:tc>
          <w:tcPr>
            <w:tcW w:w="1140" w:type="dxa"/>
            <w:vAlign w:val="bottom"/>
          </w:tcPr>
          <w:p>
            <w:pPr>
              <w:spacing w:after="0"/>
              <w:rPr>
                <w:sz w:val="19"/>
                <w:szCs w:val="19"/>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w w:val="90"/>
              </w:rPr>
              <w:t>above were not acquired and are not held for the purpose of or with the effect of changing or influencing the control of</w:t>
            </w:r>
          </w:p>
        </w:tc>
      </w:tr>
      <w:tr>
        <w:trPr>
          <w:trHeight w:val="230"/>
        </w:trPr>
        <w:tc>
          <w:tcPr>
            <w:tcW w:w="1140" w:type="dxa"/>
            <w:vAlign w:val="bottom"/>
          </w:tcPr>
          <w:p>
            <w:pPr>
              <w:spacing w:after="0"/>
              <w:rPr>
                <w:sz w:val="19"/>
                <w:szCs w:val="19"/>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w w:val="96"/>
              </w:rPr>
              <w:t>the issuer of the securities and were not acquired and are not held in connection with or as a participant in any</w:t>
            </w:r>
          </w:p>
        </w:tc>
      </w:tr>
      <w:tr>
        <w:trPr>
          <w:trHeight w:val="250"/>
        </w:trPr>
        <w:tc>
          <w:tcPr>
            <w:tcW w:w="1140" w:type="dxa"/>
            <w:vAlign w:val="bottom"/>
          </w:tcPr>
          <w:p>
            <w:pPr>
              <w:spacing w:after="0"/>
              <w:rPr>
                <w:sz w:val="21"/>
                <w:szCs w:val="21"/>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transaction having that purpose or effect.</w:t>
            </w:r>
          </w:p>
        </w:tc>
      </w:tr>
    </w:tbl>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92840H400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SIGNATURE</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each of the undersigned certifies that the information set forth in this statement is true, complete and correct.</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Date: October 5, 2023</w:t>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POINT72 ASSET MANAGEMENT, L.P.</w:t>
      </w:r>
    </w:p>
    <w:p>
      <w:pPr>
        <w:spacing w:after="0" w:line="213"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Jason M. Colombo</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Name: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-144780</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POINT72 CAPITAL ADVISORS, INC.</w:t>
      </w:r>
    </w:p>
    <w:p>
      <w:pPr>
        <w:spacing w:after="0" w:line="23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Jason M. Colombo</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Name: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-144780</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620"/>
        <w:spacing w:after="0"/>
        <w:tabs>
          <w:tab w:leader="none" w:pos="62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Authorized Person</w:t>
      </w:r>
    </w:p>
    <w:p>
      <w:pPr>
        <w:spacing w:after="0" w:line="200" w:lineRule="exact"/>
        <w:rPr>
          <w:sz w:val="20"/>
          <w:szCs w:val="20"/>
          <w:color w:val="auto"/>
        </w:rPr>
      </w:pPr>
    </w:p>
    <w:p>
      <w:pPr>
        <w:spacing w:after="0" w:line="237"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STEVEN A. COHEN</w:t>
      </w:r>
    </w:p>
    <w:p>
      <w:pPr>
        <w:spacing w:after="0" w:line="235"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20"/>
          <w:szCs w:val="20"/>
          <w:color w:val="auto"/>
        </w:rPr>
        <w:t>By:</w:t>
        <w:tab/>
        <w:t>/s/ Jason M. Colombo</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Name: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-144780</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500"/>
        <w:spacing w:after="0"/>
        <w:tabs>
          <w:tab w:leader="none" w:pos="61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Authorized Person</w:t>
      </w:r>
    </w:p>
    <w:p>
      <w:pPr>
        <w:sectPr>
          <w:pgSz w:w="11900" w:h="16838" w:orient="portrait"/>
          <w:cols w:equalWidth="0" w:num="1">
            <w:col w:w="11240"/>
          </w:cols>
          <w:pgMar w:left="320" w:top="229"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0"/>
          <w:szCs w:val="20"/>
          <w:b w:val="1"/>
          <w:bCs w:val="1"/>
          <w:color w:val="auto"/>
        </w:rPr>
        <w:t>EXHIBIT 99.1</w:t>
      </w:r>
    </w:p>
    <w:p>
      <w:pPr>
        <w:spacing w:after="0" w:line="228"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JOINT FILING AGREEMENT</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9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Date: October 5, 2023</w:t>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POINT72 ASSET MANAGEMENT, L.P.</w:t>
      </w:r>
    </w:p>
    <w:p>
      <w:pPr>
        <w:spacing w:after="0" w:line="213"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Jason M. Colombo</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Name: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-144780</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POINT72 CAPITAL ADVISORS, INC.</w:t>
      </w:r>
    </w:p>
    <w:p>
      <w:pPr>
        <w:spacing w:after="0" w:line="23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Jason M. Colombo</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Name: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-144780</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620"/>
        <w:spacing w:after="0"/>
        <w:tabs>
          <w:tab w:leader="none" w:pos="62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Authorized Person</w:t>
      </w:r>
    </w:p>
    <w:p>
      <w:pPr>
        <w:spacing w:after="0" w:line="200" w:lineRule="exact"/>
        <w:rPr>
          <w:sz w:val="20"/>
          <w:szCs w:val="20"/>
          <w:color w:val="auto"/>
        </w:rPr>
      </w:pPr>
    </w:p>
    <w:p>
      <w:pPr>
        <w:spacing w:after="0" w:line="237"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STEVEN A. COHEN</w:t>
      </w:r>
    </w:p>
    <w:p>
      <w:pPr>
        <w:spacing w:after="0" w:line="235"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20"/>
          <w:szCs w:val="20"/>
          <w:color w:val="auto"/>
        </w:rPr>
        <w:t>By:</w:t>
        <w:tab/>
        <w:t>/s/ Jason M. Colombo</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Name: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-144780</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500"/>
        <w:spacing w:after="0"/>
        <w:tabs>
          <w:tab w:leader="none" w:pos="61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Authorized Person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3"/>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2023-10-05T15:55:39Z</dcterms:created>
  <dcterms:modified xsi:type="dcterms:W3CDTF">2023-10-05T15:55:39Z</dcterms:modified>
</cp:coreProperties>
</file>