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397510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As filed with the Securities and Exchange Commission on September 30, 2019</w:t>
      </w:r>
    </w:p>
    <w:p>
      <w:pPr>
        <w:spacing w:after="0" w:line="225" w:lineRule="exact"/>
        <w:rPr>
          <w:sz w:val="24"/>
          <w:szCs w:val="24"/>
          <w:color w:val="auto"/>
        </w:rPr>
      </w:pPr>
    </w:p>
    <w:p>
      <w:pPr>
        <w:ind w:left="9040"/>
        <w:spacing w:after="0"/>
        <w:rPr>
          <w:sz w:val="20"/>
          <w:szCs w:val="20"/>
          <w:color w:val="auto"/>
        </w:rPr>
      </w:pPr>
      <w:r>
        <w:rPr>
          <w:rFonts w:ascii="Arial" w:cs="Arial" w:eastAsia="Arial" w:hAnsi="Arial"/>
          <w:sz w:val="16"/>
          <w:szCs w:val="16"/>
          <w:b w:val="1"/>
          <w:bCs w:val="1"/>
          <w:color w:val="auto"/>
        </w:rPr>
        <w:t>Registration No. 333- _______</w:t>
      </w:r>
    </w:p>
    <w:p>
      <w:pPr>
        <w:spacing w:after="0" w:line="2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S-8</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ACT OF 1933</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29" w:lineRule="exact"/>
        <w:rPr>
          <w:sz w:val="24"/>
          <w:szCs w:val="24"/>
          <w:color w:val="auto"/>
        </w:rPr>
      </w:pPr>
    </w:p>
    <w:tbl>
      <w:tblPr>
        <w:tblLayout w:type="fixed"/>
        <w:tblInd w:w="1160" w:type="dxa"/>
        <w:tblCellMar>
          <w:top w:w="0" w:type="dxa"/>
          <w:left w:w="0" w:type="dxa"/>
          <w:bottom w:w="0" w:type="dxa"/>
          <w:right w:w="0" w:type="dxa"/>
        </w:tblCellMar>
      </w:tblPr>
      <w:tr>
        <w:trPr>
          <w:trHeight w:val="237"/>
        </w:trPr>
        <w:tc>
          <w:tcPr>
            <w:tcW w:w="6140" w:type="dxa"/>
            <w:vAlign w:val="bottom"/>
            <w:gridSpan w:val="5"/>
          </w:tcPr>
          <w:p>
            <w:pPr>
              <w:jc w:val="center"/>
              <w:ind w:right="1780"/>
              <w:spacing w:after="0"/>
              <w:rPr>
                <w:sz w:val="20"/>
                <w:szCs w:val="20"/>
                <w:color w:val="auto"/>
              </w:rPr>
            </w:pPr>
            <w:r>
              <w:rPr>
                <w:rFonts w:ascii="Arial" w:cs="Arial" w:eastAsia="Arial" w:hAnsi="Arial"/>
                <w:sz w:val="18"/>
                <w:szCs w:val="18"/>
                <w:b w:val="1"/>
                <w:bCs w:val="1"/>
                <w:color w:val="auto"/>
                <w:w w:val="87"/>
              </w:rPr>
              <w:t>Nevada</w:t>
            </w:r>
          </w:p>
        </w:tc>
        <w:tc>
          <w:tcPr>
            <w:tcW w:w="2980" w:type="dxa"/>
            <w:vAlign w:val="bottom"/>
          </w:tcPr>
          <w:p>
            <w:pPr>
              <w:jc w:val="center"/>
              <w:ind w:right="1312"/>
              <w:spacing w:after="0"/>
              <w:rPr>
                <w:sz w:val="20"/>
                <w:szCs w:val="20"/>
                <w:color w:val="auto"/>
              </w:rPr>
            </w:pPr>
            <w:r>
              <w:rPr>
                <w:rFonts w:ascii="Arial" w:cs="Arial" w:eastAsia="Arial" w:hAnsi="Arial"/>
                <w:sz w:val="18"/>
                <w:szCs w:val="18"/>
                <w:b w:val="1"/>
                <w:bCs w:val="1"/>
                <w:color w:val="auto"/>
                <w:w w:val="89"/>
              </w:rPr>
              <w:t>20-5093315</w:t>
            </w:r>
          </w:p>
        </w:tc>
      </w:tr>
      <w:tr>
        <w:trPr>
          <w:trHeight w:val="208"/>
        </w:trPr>
        <w:tc>
          <w:tcPr>
            <w:tcW w:w="438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89"/>
              </w:rPr>
              <w:t>(State or Other Jurisdiction of</w:t>
            </w:r>
          </w:p>
        </w:tc>
        <w:tc>
          <w:tcPr>
            <w:tcW w:w="36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980" w:type="dxa"/>
            <w:vAlign w:val="bottom"/>
            <w:tcBorders>
              <w:top w:val="single" w:sz="8" w:color="auto"/>
            </w:tcBorders>
          </w:tcPr>
          <w:p>
            <w:pPr>
              <w:jc w:val="center"/>
              <w:ind w:right="1292"/>
              <w:spacing w:after="0"/>
              <w:rPr>
                <w:sz w:val="20"/>
                <w:szCs w:val="20"/>
                <w:color w:val="auto"/>
              </w:rPr>
            </w:pPr>
            <w:r>
              <w:rPr>
                <w:rFonts w:ascii="Arial" w:cs="Arial" w:eastAsia="Arial" w:hAnsi="Arial"/>
                <w:sz w:val="18"/>
                <w:szCs w:val="18"/>
                <w:color w:val="auto"/>
                <w:w w:val="90"/>
              </w:rPr>
              <w:t>(I.R.S. Employer</w:t>
            </w:r>
          </w:p>
        </w:tc>
      </w:tr>
      <w:tr>
        <w:trPr>
          <w:trHeight w:val="222"/>
        </w:trPr>
        <w:tc>
          <w:tcPr>
            <w:tcW w:w="6140" w:type="dxa"/>
            <w:vAlign w:val="bottom"/>
            <w:gridSpan w:val="5"/>
          </w:tcPr>
          <w:p>
            <w:pPr>
              <w:jc w:val="center"/>
              <w:ind w:right="1780"/>
              <w:spacing w:after="0"/>
              <w:rPr>
                <w:sz w:val="20"/>
                <w:szCs w:val="20"/>
                <w:color w:val="auto"/>
              </w:rPr>
            </w:pPr>
            <w:r>
              <w:rPr>
                <w:rFonts w:ascii="Arial" w:cs="Arial" w:eastAsia="Arial" w:hAnsi="Arial"/>
                <w:sz w:val="18"/>
                <w:szCs w:val="18"/>
                <w:color w:val="auto"/>
                <w:w w:val="90"/>
              </w:rPr>
              <w:t>Incorporation or Organization)</w:t>
            </w:r>
          </w:p>
        </w:tc>
        <w:tc>
          <w:tcPr>
            <w:tcW w:w="2980" w:type="dxa"/>
            <w:vAlign w:val="bottom"/>
          </w:tcPr>
          <w:p>
            <w:pPr>
              <w:jc w:val="center"/>
              <w:ind w:right="1312"/>
              <w:spacing w:after="0"/>
              <w:rPr>
                <w:sz w:val="20"/>
                <w:szCs w:val="20"/>
                <w:color w:val="auto"/>
              </w:rPr>
            </w:pPr>
            <w:r>
              <w:rPr>
                <w:rFonts w:ascii="Arial" w:cs="Arial" w:eastAsia="Arial" w:hAnsi="Arial"/>
                <w:sz w:val="18"/>
                <w:szCs w:val="18"/>
                <w:color w:val="auto"/>
                <w:w w:val="92"/>
              </w:rPr>
              <w:t>Identification No.)</w:t>
            </w:r>
          </w:p>
        </w:tc>
      </w:tr>
      <w:tr>
        <w:trPr>
          <w:trHeight w:val="420"/>
        </w:trPr>
        <w:tc>
          <w:tcPr>
            <w:tcW w:w="3120" w:type="dxa"/>
            <w:vAlign w:val="bottom"/>
          </w:tcPr>
          <w:p>
            <w:pPr>
              <w:spacing w:after="0"/>
              <w:rPr>
                <w:sz w:val="24"/>
                <w:szCs w:val="24"/>
                <w:color w:val="auto"/>
              </w:rPr>
            </w:pPr>
          </w:p>
        </w:tc>
        <w:tc>
          <w:tcPr>
            <w:tcW w:w="3020" w:type="dxa"/>
            <w:vAlign w:val="bottom"/>
            <w:gridSpan w:val="4"/>
          </w:tcPr>
          <w:p>
            <w:pPr>
              <w:jc w:val="center"/>
              <w:ind w:right="140"/>
              <w:spacing w:after="0"/>
              <w:rPr>
                <w:sz w:val="20"/>
                <w:szCs w:val="20"/>
                <w:color w:val="auto"/>
              </w:rPr>
            </w:pPr>
            <w:r>
              <w:rPr>
                <w:rFonts w:ascii="Arial" w:cs="Arial" w:eastAsia="Arial" w:hAnsi="Arial"/>
                <w:sz w:val="18"/>
                <w:szCs w:val="18"/>
                <w:b w:val="1"/>
                <w:bCs w:val="1"/>
                <w:color w:val="auto"/>
                <w:w w:val="87"/>
              </w:rPr>
              <w:t>343 Allerton Avenue</w:t>
            </w:r>
          </w:p>
        </w:tc>
        <w:tc>
          <w:tcPr>
            <w:tcW w:w="2980" w:type="dxa"/>
            <w:vAlign w:val="bottom"/>
          </w:tcPr>
          <w:p>
            <w:pPr>
              <w:spacing w:after="0"/>
              <w:rPr>
                <w:sz w:val="24"/>
                <w:szCs w:val="24"/>
                <w:color w:val="auto"/>
              </w:rPr>
            </w:pPr>
          </w:p>
        </w:tc>
      </w:tr>
      <w:tr>
        <w:trPr>
          <w:trHeight w:val="190"/>
        </w:trPr>
        <w:tc>
          <w:tcPr>
            <w:tcW w:w="3120" w:type="dxa"/>
            <w:vAlign w:val="bottom"/>
          </w:tcPr>
          <w:p>
            <w:pPr>
              <w:spacing w:after="0"/>
              <w:rPr>
                <w:sz w:val="16"/>
                <w:szCs w:val="16"/>
                <w:color w:val="auto"/>
              </w:rPr>
            </w:pPr>
          </w:p>
        </w:tc>
        <w:tc>
          <w:tcPr>
            <w:tcW w:w="2880" w:type="dxa"/>
            <w:vAlign w:val="bottom"/>
            <w:tcBorders>
              <w:bottom w:val="single" w:sz="8" w:color="auto"/>
            </w:tcBorders>
            <w:gridSpan w:val="3"/>
          </w:tcPr>
          <w:p>
            <w:pPr>
              <w:jc w:val="center"/>
              <w:spacing w:after="0" w:line="190" w:lineRule="exact"/>
              <w:rPr>
                <w:sz w:val="20"/>
                <w:szCs w:val="20"/>
                <w:color w:val="auto"/>
              </w:rPr>
            </w:pPr>
            <w:r>
              <w:rPr>
                <w:rFonts w:ascii="Arial" w:cs="Arial" w:eastAsia="Arial" w:hAnsi="Arial"/>
                <w:sz w:val="18"/>
                <w:szCs w:val="18"/>
                <w:b w:val="1"/>
                <w:bCs w:val="1"/>
                <w:color w:val="auto"/>
                <w:w w:val="88"/>
              </w:rPr>
              <w:t>South San Francisco, California 94080</w:t>
            </w:r>
          </w:p>
        </w:tc>
        <w:tc>
          <w:tcPr>
            <w:tcW w:w="140" w:type="dxa"/>
            <w:vAlign w:val="bottom"/>
          </w:tcPr>
          <w:p>
            <w:pPr>
              <w:spacing w:after="0"/>
              <w:rPr>
                <w:sz w:val="16"/>
                <w:szCs w:val="16"/>
                <w:color w:val="auto"/>
              </w:rPr>
            </w:pPr>
          </w:p>
        </w:tc>
        <w:tc>
          <w:tcPr>
            <w:tcW w:w="2980" w:type="dxa"/>
            <w:vAlign w:val="bottom"/>
          </w:tcPr>
          <w:p>
            <w:pPr>
              <w:spacing w:after="0"/>
              <w:rPr>
                <w:sz w:val="16"/>
                <w:szCs w:val="16"/>
                <w:color w:val="auto"/>
              </w:rPr>
            </w:pPr>
          </w:p>
        </w:tc>
      </w:tr>
      <w:tr>
        <w:trPr>
          <w:trHeight w:val="235"/>
        </w:trPr>
        <w:tc>
          <w:tcPr>
            <w:tcW w:w="3120" w:type="dxa"/>
            <w:vAlign w:val="bottom"/>
          </w:tcPr>
          <w:p>
            <w:pPr>
              <w:spacing w:after="0"/>
              <w:rPr>
                <w:sz w:val="20"/>
                <w:szCs w:val="20"/>
                <w:color w:val="auto"/>
              </w:rPr>
            </w:pPr>
          </w:p>
        </w:tc>
        <w:tc>
          <w:tcPr>
            <w:tcW w:w="3020" w:type="dxa"/>
            <w:vAlign w:val="bottom"/>
            <w:gridSpan w:val="4"/>
          </w:tcPr>
          <w:p>
            <w:pPr>
              <w:jc w:val="center"/>
              <w:ind w:right="160"/>
              <w:spacing w:after="0"/>
              <w:rPr>
                <w:sz w:val="20"/>
                <w:szCs w:val="20"/>
                <w:color w:val="auto"/>
              </w:rPr>
            </w:pPr>
            <w:r>
              <w:rPr>
                <w:rFonts w:ascii="Arial" w:cs="Arial" w:eastAsia="Arial" w:hAnsi="Arial"/>
                <w:sz w:val="18"/>
                <w:szCs w:val="18"/>
                <w:color w:val="auto"/>
                <w:w w:val="90"/>
              </w:rPr>
              <w:t>(Address of Principal Executive Offices)</w:t>
            </w:r>
          </w:p>
        </w:tc>
        <w:tc>
          <w:tcPr>
            <w:tcW w:w="2980" w:type="dxa"/>
            <w:vAlign w:val="bottom"/>
          </w:tcPr>
          <w:p>
            <w:pPr>
              <w:spacing w:after="0"/>
              <w:rPr>
                <w:sz w:val="20"/>
                <w:szCs w:val="20"/>
                <w:color w:val="auto"/>
              </w:rPr>
            </w:pPr>
          </w:p>
        </w:tc>
      </w:tr>
    </w:tbl>
    <w:p>
      <w:pPr>
        <w:spacing w:after="0" w:line="204"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VistaGen Therapeutics, Inc. 2019 Omnibus Equity Incentive Plan</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VistaGen Therapeutics, Inc. 2019 Employee Stock Purchase Plan</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(Full title of the plan)</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Shawn K. Singh</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343 Allerton Avenue</w:t>
      </w:r>
    </w:p>
    <w:p>
      <w:pPr>
        <w:spacing w:after="0" w:line="9" w:lineRule="exact"/>
        <w:rPr>
          <w:sz w:val="24"/>
          <w:szCs w:val="24"/>
          <w:color w:val="auto"/>
        </w:rPr>
      </w:pPr>
    </w:p>
    <w:p>
      <w:pPr>
        <w:ind w:left="4280"/>
        <w:spacing w:after="0"/>
        <w:rPr>
          <w:sz w:val="20"/>
          <w:szCs w:val="20"/>
          <w:color w:val="auto"/>
        </w:rPr>
      </w:pPr>
      <w:r>
        <w:rPr>
          <w:rFonts w:ascii="Arial" w:cs="Arial" w:eastAsia="Arial" w:hAnsi="Arial"/>
          <w:sz w:val="18"/>
          <w:szCs w:val="18"/>
          <w:b w:val="1"/>
          <w:bCs w:val="1"/>
          <w:u w:val="single" w:color="auto"/>
          <w:color w:val="auto"/>
        </w:rPr>
        <w:t>South San Francisco, California 94080</w:t>
      </w:r>
    </w:p>
    <w:p>
      <w:pPr>
        <w:spacing w:after="0" w:line="9" w:lineRule="exact"/>
        <w:rPr>
          <w:sz w:val="24"/>
          <w:szCs w:val="24"/>
          <w:color w:val="auto"/>
        </w:rPr>
      </w:pPr>
    </w:p>
    <w:p>
      <w:pPr>
        <w:ind w:left="4320"/>
        <w:spacing w:after="0"/>
        <w:rPr>
          <w:sz w:val="20"/>
          <w:szCs w:val="20"/>
          <w:color w:val="auto"/>
        </w:rPr>
      </w:pPr>
      <w:r>
        <w:rPr>
          <w:rFonts w:ascii="Arial" w:cs="Arial" w:eastAsia="Arial" w:hAnsi="Arial"/>
          <w:sz w:val="18"/>
          <w:szCs w:val="18"/>
          <w:color w:val="auto"/>
        </w:rPr>
        <w:t>(Name and address of agent for service)</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(650) 577-3600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(Telephone number, including area code, of agent for service)</w:t>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Copies to:</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Jessica R. Sudweeks, Esq.</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Disclosure Law Group, a Professional Corporation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655 W. Broadway, Suite 870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San Diego, California 92101</w:t>
      </w:r>
    </w:p>
    <w:p>
      <w:pPr>
        <w:spacing w:after="0" w:line="219" w:lineRule="exact"/>
        <w:rPr>
          <w:sz w:val="24"/>
          <w:szCs w:val="24"/>
          <w:color w:val="auto"/>
        </w:rPr>
      </w:pPr>
    </w:p>
    <w:p>
      <w:pPr>
        <w:jc w:val="both"/>
        <w:spacing w:after="0" w:line="259"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94"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1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280" w:type="dxa"/>
            <w:vAlign w:val="bottom"/>
          </w:tcPr>
          <w:p>
            <w:pPr>
              <w:jc w:val="right"/>
              <w:ind w:right="2092"/>
              <w:spacing w:after="0"/>
              <w:rPr>
                <w:sz w:val="20"/>
                <w:szCs w:val="20"/>
                <w:color w:val="auto"/>
              </w:rPr>
            </w:pPr>
            <w:r>
              <w:rPr>
                <w:rFonts w:ascii="Arial" w:cs="Arial" w:eastAsia="Arial" w:hAnsi="Arial"/>
                <w:sz w:val="18"/>
                <w:szCs w:val="18"/>
                <w:color w:val="auto"/>
              </w:rPr>
              <w:t>]</w:t>
            </w:r>
          </w:p>
        </w:tc>
        <w:tc>
          <w:tcPr>
            <w:tcW w:w="4860" w:type="dxa"/>
            <w:vAlign w:val="bottom"/>
          </w:tcPr>
          <w:p>
            <w:pPr>
              <w:ind w:left="2180"/>
              <w:spacing w:after="0"/>
              <w:rPr>
                <w:sz w:val="20"/>
                <w:szCs w:val="20"/>
                <w:color w:val="auto"/>
              </w:rPr>
            </w:pPr>
            <w:r>
              <w:rPr>
                <w:rFonts w:ascii="Arial" w:cs="Arial" w:eastAsia="Arial" w:hAnsi="Arial"/>
                <w:sz w:val="18"/>
                <w:szCs w:val="18"/>
                <w:color w:val="auto"/>
              </w:rPr>
              <w:t>Accelerated filer</w:t>
            </w:r>
          </w:p>
        </w:tc>
        <w:tc>
          <w:tcPr>
            <w:tcW w:w="1540" w:type="dxa"/>
            <w:vAlign w:val="bottom"/>
          </w:tcPr>
          <w:p>
            <w:pPr>
              <w:ind w:left="740"/>
              <w:spacing w:after="0"/>
              <w:rPr>
                <w:sz w:val="20"/>
                <w:szCs w:val="20"/>
                <w:color w:val="auto"/>
              </w:rPr>
            </w:pPr>
            <w:r>
              <w:rPr>
                <w:rFonts w:ascii="Arial" w:cs="Arial" w:eastAsia="Arial" w:hAnsi="Arial"/>
                <w:sz w:val="18"/>
                <w:szCs w:val="18"/>
                <w:color w:val="auto"/>
              </w:rPr>
              <w:t>[ ]</w:t>
            </w:r>
          </w:p>
        </w:tc>
      </w:tr>
      <w:tr>
        <w:trPr>
          <w:trHeight w:val="216"/>
        </w:trPr>
        <w:tc>
          <w:tcPr>
            <w:tcW w:w="2140" w:type="dxa"/>
            <w:vAlign w:val="bottom"/>
          </w:tcPr>
          <w:p>
            <w:pPr>
              <w:spacing w:after="0"/>
              <w:rPr>
                <w:sz w:val="20"/>
                <w:szCs w:val="20"/>
                <w:color w:val="auto"/>
              </w:rPr>
            </w:pPr>
            <w:r>
              <w:rPr>
                <w:rFonts w:ascii="Arial" w:cs="Arial" w:eastAsia="Arial" w:hAnsi="Arial"/>
                <w:sz w:val="18"/>
                <w:szCs w:val="18"/>
                <w:color w:val="auto"/>
              </w:rPr>
              <w:t>Non-accelerated filer</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280" w:type="dxa"/>
            <w:vAlign w:val="bottom"/>
          </w:tcPr>
          <w:p>
            <w:pPr>
              <w:jc w:val="right"/>
              <w:ind w:right="2092"/>
              <w:spacing w:after="0"/>
              <w:rPr>
                <w:sz w:val="20"/>
                <w:szCs w:val="20"/>
                <w:color w:val="auto"/>
              </w:rPr>
            </w:pPr>
            <w:r>
              <w:rPr>
                <w:rFonts w:ascii="Arial" w:cs="Arial" w:eastAsia="Arial" w:hAnsi="Arial"/>
                <w:sz w:val="18"/>
                <w:szCs w:val="18"/>
                <w:color w:val="auto"/>
              </w:rPr>
              <w:t>]</w:t>
            </w:r>
          </w:p>
        </w:tc>
        <w:tc>
          <w:tcPr>
            <w:tcW w:w="4860" w:type="dxa"/>
            <w:vAlign w:val="bottom"/>
          </w:tcPr>
          <w:p>
            <w:pPr>
              <w:ind w:left="2180"/>
              <w:spacing w:after="0"/>
              <w:rPr>
                <w:sz w:val="20"/>
                <w:szCs w:val="20"/>
                <w:color w:val="auto"/>
              </w:rPr>
            </w:pPr>
            <w:r>
              <w:rPr>
                <w:rFonts w:ascii="Arial" w:cs="Arial" w:eastAsia="Arial" w:hAnsi="Arial"/>
                <w:sz w:val="18"/>
                <w:szCs w:val="18"/>
                <w:color w:val="auto"/>
              </w:rPr>
              <w:t>Smaller reporting company</w:t>
            </w:r>
          </w:p>
        </w:tc>
        <w:tc>
          <w:tcPr>
            <w:tcW w:w="1540" w:type="dxa"/>
            <w:vAlign w:val="bottom"/>
          </w:tcPr>
          <w:p>
            <w:pPr>
              <w:ind w:left="740"/>
              <w:spacing w:after="0"/>
              <w:rPr>
                <w:sz w:val="20"/>
                <w:szCs w:val="20"/>
                <w:color w:val="auto"/>
              </w:rPr>
            </w:pPr>
            <w:r>
              <w:rPr>
                <w:rFonts w:ascii="Arial" w:cs="Arial" w:eastAsia="Arial" w:hAnsi="Arial"/>
                <w:sz w:val="18"/>
                <w:szCs w:val="18"/>
                <w:color w:val="auto"/>
              </w:rPr>
              <w:t>[X]</w:t>
            </w:r>
          </w:p>
        </w:tc>
      </w:tr>
      <w:tr>
        <w:trPr>
          <w:trHeight w:val="222"/>
        </w:trPr>
        <w:tc>
          <w:tcPr>
            <w:tcW w:w="2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4860" w:type="dxa"/>
            <w:vAlign w:val="bottom"/>
          </w:tcPr>
          <w:p>
            <w:pPr>
              <w:ind w:left="2180"/>
              <w:spacing w:after="0"/>
              <w:rPr>
                <w:sz w:val="20"/>
                <w:szCs w:val="20"/>
                <w:color w:val="auto"/>
              </w:rPr>
            </w:pPr>
            <w:r>
              <w:rPr>
                <w:rFonts w:ascii="Arial" w:cs="Arial" w:eastAsia="Arial" w:hAnsi="Arial"/>
                <w:sz w:val="18"/>
                <w:szCs w:val="18"/>
                <w:color w:val="auto"/>
              </w:rPr>
              <w:t>Emerging growth company</w:t>
            </w:r>
          </w:p>
        </w:tc>
        <w:tc>
          <w:tcPr>
            <w:tcW w:w="1540" w:type="dxa"/>
            <w:vAlign w:val="bottom"/>
          </w:tcPr>
          <w:p>
            <w:pPr>
              <w:ind w:left="740"/>
              <w:spacing w:after="0"/>
              <w:rPr>
                <w:sz w:val="20"/>
                <w:szCs w:val="20"/>
                <w:color w:val="auto"/>
              </w:rPr>
            </w:pPr>
            <w:r>
              <w:rPr>
                <w:rFonts w:ascii="Arial" w:cs="Arial" w:eastAsia="Arial" w:hAnsi="Arial"/>
                <w:sz w:val="18"/>
                <w:szCs w:val="18"/>
                <w:color w:val="auto"/>
              </w:rPr>
              <w:t>[ ]</w:t>
            </w:r>
          </w:p>
        </w:tc>
      </w:tr>
      <w:tr>
        <w:trPr>
          <w:trHeight w:val="218"/>
        </w:trPr>
        <w:tc>
          <w:tcPr>
            <w:tcW w:w="2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tcPr>
          <w:p>
            <w:pPr>
              <w:spacing w:after="0"/>
              <w:rPr>
                <w:sz w:val="18"/>
                <w:szCs w:val="18"/>
                <w:color w:val="auto"/>
              </w:rPr>
            </w:pPr>
          </w:p>
        </w:tc>
        <w:tc>
          <w:tcPr>
            <w:tcW w:w="48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r>
      <w:tr>
        <w:trPr>
          <w:trHeight w:val="136"/>
        </w:trPr>
        <w:tc>
          <w:tcPr>
            <w:tcW w:w="21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280" w:type="dxa"/>
            <w:vAlign w:val="bottom"/>
            <w:tcBorders>
              <w:bottom w:val="single" w:sz="8" w:color="auto"/>
            </w:tcBorders>
          </w:tcPr>
          <w:p>
            <w:pPr>
              <w:spacing w:after="0"/>
              <w:rPr>
                <w:sz w:val="11"/>
                <w:szCs w:val="11"/>
                <w:color w:val="auto"/>
              </w:rPr>
            </w:pPr>
          </w:p>
        </w:tc>
        <w:tc>
          <w:tcPr>
            <w:tcW w:w="486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tcPr>
          <w:p>
            <w:pPr>
              <w:spacing w:after="0"/>
              <w:rPr>
                <w:sz w:val="11"/>
                <w:szCs w:val="11"/>
                <w:color w:val="auto"/>
              </w:rPr>
            </w:pPr>
          </w:p>
        </w:tc>
      </w:tr>
    </w:tbl>
    <w:p>
      <w:pPr>
        <w:sectPr>
          <w:pgSz w:w="11900" w:h="16838" w:orient="portrait"/>
          <w:cols w:equalWidth="0" w:num="1">
            <w:col w:w="11420"/>
          </w:cols>
          <w:pgMar w:left="240" w:top="706" w:right="239" w:bottom="1440" w:gutter="0" w:footer="0" w:header="0"/>
        </w:sectPr>
      </w:pPr>
    </w:p>
    <w:bookmarkStart w:id="1" w:name="page2"/>
    <w:bookmarkEnd w:id="1"/>
    <w:p>
      <w:pPr>
        <w:ind w:right="420"/>
        <w:spacing w:after="0" w:line="268"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7(a)(2)(B) of the Securities Act. [ ]</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744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CALCULATION OF REGISTRATION FEE</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0"/>
        </w:trPr>
        <w:tc>
          <w:tcPr>
            <w:tcW w:w="2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4"/>
              </w:rPr>
              <w:t>Proposed</w:t>
            </w:r>
          </w:p>
        </w:tc>
        <w:tc>
          <w:tcPr>
            <w:tcW w:w="120" w:type="dxa"/>
            <w:vAlign w:val="bottom"/>
          </w:tcPr>
          <w:p>
            <w:pPr>
              <w:spacing w:after="0"/>
              <w:rPr>
                <w:sz w:val="24"/>
                <w:szCs w:val="24"/>
                <w:color w:val="auto"/>
              </w:rPr>
            </w:pPr>
          </w:p>
        </w:tc>
        <w:tc>
          <w:tcPr>
            <w:tcW w:w="980" w:type="dxa"/>
            <w:vAlign w:val="bottom"/>
          </w:tcPr>
          <w:p>
            <w:pPr>
              <w:jc w:val="center"/>
              <w:ind w:right="32"/>
              <w:spacing w:after="0"/>
              <w:rPr>
                <w:sz w:val="20"/>
                <w:szCs w:val="20"/>
                <w:color w:val="auto"/>
              </w:rPr>
            </w:pPr>
            <w:r>
              <w:rPr>
                <w:rFonts w:ascii="Arial" w:cs="Arial" w:eastAsia="Arial" w:hAnsi="Arial"/>
                <w:sz w:val="18"/>
                <w:szCs w:val="18"/>
                <w:b w:val="1"/>
                <w:bCs w:val="1"/>
                <w:color w:val="auto"/>
                <w:w w:val="84"/>
              </w:rPr>
              <w:t>Proposed</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3"/>
              </w:rPr>
              <w:t>Maximum</w:t>
            </w:r>
          </w:p>
        </w:tc>
        <w:tc>
          <w:tcPr>
            <w:tcW w:w="120" w:type="dxa"/>
            <w:vAlign w:val="bottom"/>
          </w:tcPr>
          <w:p>
            <w:pPr>
              <w:spacing w:after="0"/>
              <w:rPr>
                <w:sz w:val="18"/>
                <w:szCs w:val="18"/>
                <w:color w:val="auto"/>
              </w:rPr>
            </w:pPr>
          </w:p>
        </w:tc>
        <w:tc>
          <w:tcPr>
            <w:tcW w:w="980" w:type="dxa"/>
            <w:vAlign w:val="bottom"/>
          </w:tcPr>
          <w:p>
            <w:pPr>
              <w:jc w:val="center"/>
              <w:ind w:right="32"/>
              <w:spacing w:after="0"/>
              <w:rPr>
                <w:sz w:val="20"/>
                <w:szCs w:val="20"/>
                <w:color w:val="auto"/>
              </w:rPr>
            </w:pPr>
            <w:r>
              <w:rPr>
                <w:rFonts w:ascii="Arial" w:cs="Arial" w:eastAsia="Arial" w:hAnsi="Arial"/>
                <w:sz w:val="18"/>
                <w:szCs w:val="18"/>
                <w:b w:val="1"/>
                <w:bCs w:val="1"/>
                <w:color w:val="auto"/>
                <w:w w:val="93"/>
              </w:rPr>
              <w:t>Maximum</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3"/>
          </w:tcPr>
          <w:p>
            <w:pPr>
              <w:ind w:left="20"/>
              <w:spacing w:after="0"/>
              <w:rPr>
                <w:sz w:val="20"/>
                <w:szCs w:val="20"/>
                <w:color w:val="auto"/>
              </w:rPr>
            </w:pPr>
            <w:r>
              <w:rPr>
                <w:rFonts w:ascii="Arial" w:cs="Arial" w:eastAsia="Arial" w:hAnsi="Arial"/>
                <w:sz w:val="18"/>
                <w:szCs w:val="18"/>
                <w:b w:val="1"/>
                <w:bCs w:val="1"/>
                <w:color w:val="auto"/>
              </w:rPr>
              <w:t>Offering Price</w:t>
            </w:r>
          </w:p>
        </w:tc>
        <w:tc>
          <w:tcPr>
            <w:tcW w:w="120" w:type="dxa"/>
            <w:vAlign w:val="bottom"/>
          </w:tcPr>
          <w:p>
            <w:pPr>
              <w:spacing w:after="0"/>
              <w:rPr>
                <w:sz w:val="18"/>
                <w:szCs w:val="18"/>
                <w:color w:val="auto"/>
              </w:rPr>
            </w:pPr>
          </w:p>
        </w:tc>
        <w:tc>
          <w:tcPr>
            <w:tcW w:w="980" w:type="dxa"/>
            <w:vAlign w:val="bottom"/>
          </w:tcPr>
          <w:p>
            <w:pPr>
              <w:jc w:val="center"/>
              <w:ind w:right="12"/>
              <w:spacing w:after="0"/>
              <w:rPr>
                <w:sz w:val="20"/>
                <w:szCs w:val="20"/>
                <w:color w:val="auto"/>
              </w:rPr>
            </w:pPr>
            <w:r>
              <w:rPr>
                <w:rFonts w:ascii="Arial" w:cs="Arial" w:eastAsia="Arial" w:hAnsi="Arial"/>
                <w:sz w:val="18"/>
                <w:szCs w:val="18"/>
                <w:b w:val="1"/>
                <w:bCs w:val="1"/>
                <w:color w:val="auto"/>
                <w:w w:val="85"/>
              </w:rPr>
              <w:t>Aggregate</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Amount of</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1"/>
              </w:rPr>
              <w:t>Amount to be</w:t>
            </w:r>
          </w:p>
        </w:tc>
        <w:tc>
          <w:tcPr>
            <w:tcW w:w="12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per</w:t>
            </w:r>
          </w:p>
        </w:tc>
        <w:tc>
          <w:tcPr>
            <w:tcW w:w="120" w:type="dxa"/>
            <w:vAlign w:val="bottom"/>
          </w:tcPr>
          <w:p>
            <w:pPr>
              <w:spacing w:after="0"/>
              <w:rPr>
                <w:sz w:val="18"/>
                <w:szCs w:val="18"/>
                <w:color w:val="auto"/>
              </w:rPr>
            </w:pPr>
          </w:p>
        </w:tc>
        <w:tc>
          <w:tcPr>
            <w:tcW w:w="980" w:type="dxa"/>
            <w:vAlign w:val="bottom"/>
          </w:tcPr>
          <w:p>
            <w:pPr>
              <w:jc w:val="center"/>
              <w:ind w:right="12"/>
              <w:spacing w:after="0"/>
              <w:rPr>
                <w:sz w:val="20"/>
                <w:szCs w:val="20"/>
                <w:color w:val="auto"/>
              </w:rPr>
            </w:pPr>
            <w:r>
              <w:rPr>
                <w:rFonts w:ascii="Arial" w:cs="Arial" w:eastAsia="Arial" w:hAnsi="Arial"/>
                <w:sz w:val="18"/>
                <w:szCs w:val="18"/>
                <w:b w:val="1"/>
                <w:bCs w:val="1"/>
                <w:color w:val="auto"/>
                <w:w w:val="91"/>
              </w:rPr>
              <w:t>Offering</w:t>
            </w:r>
          </w:p>
        </w:tc>
        <w:tc>
          <w:tcPr>
            <w:tcW w:w="280" w:type="dxa"/>
            <w:vAlign w:val="bottom"/>
          </w:tcPr>
          <w:p>
            <w:pPr>
              <w:spacing w:after="0"/>
              <w:rPr>
                <w:sz w:val="18"/>
                <w:szCs w:val="18"/>
                <w:color w:val="auto"/>
              </w:rPr>
            </w:pPr>
          </w:p>
        </w:tc>
        <w:tc>
          <w:tcPr>
            <w:tcW w:w="122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7"/>
              </w:rPr>
              <w:t>Registration</w:t>
            </w:r>
          </w:p>
        </w:tc>
        <w:tc>
          <w:tcPr>
            <w:tcW w:w="0" w:type="dxa"/>
            <w:vAlign w:val="bottom"/>
          </w:tcPr>
          <w:p>
            <w:pPr>
              <w:spacing w:after="0"/>
              <w:rPr>
                <w:sz w:val="1"/>
                <w:szCs w:val="1"/>
                <w:color w:val="auto"/>
              </w:rPr>
            </w:pPr>
          </w:p>
        </w:tc>
      </w:tr>
      <w:tr>
        <w:trPr>
          <w:trHeight w:val="239"/>
        </w:trPr>
        <w:tc>
          <w:tcPr>
            <w:tcW w:w="6080" w:type="dxa"/>
            <w:vAlign w:val="bottom"/>
            <w:gridSpan w:val="2"/>
          </w:tcPr>
          <w:p>
            <w:pPr>
              <w:spacing w:after="0"/>
              <w:rPr>
                <w:sz w:val="20"/>
                <w:szCs w:val="20"/>
                <w:color w:val="auto"/>
              </w:rPr>
            </w:pPr>
            <w:r>
              <w:rPr>
                <w:rFonts w:ascii="Arial" w:cs="Arial" w:eastAsia="Arial" w:hAnsi="Arial"/>
                <w:sz w:val="18"/>
                <w:szCs w:val="18"/>
                <w:b w:val="1"/>
                <w:bCs w:val="1"/>
                <w:color w:val="auto"/>
              </w:rPr>
              <w:t>Title of Securities to be Registered</w:t>
            </w:r>
          </w:p>
        </w:tc>
        <w:tc>
          <w:tcPr>
            <w:tcW w:w="1380" w:type="dxa"/>
            <w:vAlign w:val="bottom"/>
            <w:gridSpan w:val="2"/>
          </w:tcPr>
          <w:p>
            <w:pPr>
              <w:jc w:val="right"/>
              <w:ind w:right="360"/>
              <w:spacing w:after="0" w:line="232" w:lineRule="exact"/>
              <w:rPr>
                <w:sz w:val="20"/>
                <w:szCs w:val="20"/>
                <w:color w:val="auto"/>
              </w:rPr>
            </w:pPr>
            <w:r>
              <w:rPr>
                <w:rFonts w:ascii="Arial" w:cs="Arial" w:eastAsia="Arial" w:hAnsi="Arial"/>
                <w:sz w:val="18"/>
                <w:szCs w:val="18"/>
                <w:b w:val="1"/>
                <w:bCs w:val="1"/>
                <w:color w:val="auto"/>
                <w:w w:val="88"/>
              </w:rPr>
              <w:t>Registered</w:t>
            </w:r>
            <w:r>
              <w:rPr>
                <w:rFonts w:ascii="Arial" w:cs="Arial" w:eastAsia="Arial" w:hAnsi="Arial"/>
                <w:sz w:val="24"/>
                <w:szCs w:val="24"/>
                <w:b w:val="1"/>
                <w:bCs w:val="1"/>
                <w:color w:val="auto"/>
                <w:w w:val="88"/>
                <w:vertAlign w:val="superscript"/>
              </w:rPr>
              <w:t>(1)</w:t>
            </w:r>
          </w:p>
        </w:tc>
        <w:tc>
          <w:tcPr>
            <w:tcW w:w="120" w:type="dxa"/>
            <w:vAlign w:val="bottom"/>
          </w:tcPr>
          <w:p>
            <w:pPr>
              <w:spacing w:after="0"/>
              <w:rPr>
                <w:sz w:val="20"/>
                <w:szCs w:val="20"/>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3"/>
              </w:rPr>
              <w:t>Share</w:t>
            </w:r>
          </w:p>
        </w:tc>
        <w:tc>
          <w:tcPr>
            <w:tcW w:w="120" w:type="dxa"/>
            <w:vAlign w:val="bottom"/>
          </w:tcPr>
          <w:p>
            <w:pPr>
              <w:spacing w:after="0"/>
              <w:rPr>
                <w:sz w:val="20"/>
                <w:szCs w:val="20"/>
                <w:color w:val="auto"/>
              </w:rPr>
            </w:pPr>
          </w:p>
        </w:tc>
        <w:tc>
          <w:tcPr>
            <w:tcW w:w="980" w:type="dxa"/>
            <w:vAlign w:val="bottom"/>
          </w:tcPr>
          <w:p>
            <w:pPr>
              <w:jc w:val="center"/>
              <w:ind w:right="32"/>
              <w:spacing w:after="0"/>
              <w:rPr>
                <w:sz w:val="20"/>
                <w:szCs w:val="20"/>
                <w:color w:val="auto"/>
              </w:rPr>
            </w:pPr>
            <w:r>
              <w:rPr>
                <w:rFonts w:ascii="Arial" w:cs="Arial" w:eastAsia="Arial" w:hAnsi="Arial"/>
                <w:sz w:val="18"/>
                <w:szCs w:val="18"/>
                <w:b w:val="1"/>
                <w:bCs w:val="1"/>
                <w:color w:val="auto"/>
                <w:w w:val="86"/>
              </w:rPr>
              <w:t>Price</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3"/>
              </w:rPr>
              <w:t>Fee</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w w:val="90"/>
              </w:rPr>
              <w:t>Common Stock, $0.001 par value per share: To be issued under the 2019 Omnibus</w:t>
            </w:r>
          </w:p>
        </w:tc>
        <w:tc>
          <w:tcPr>
            <w:tcW w:w="11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Equity Incentive Plan</w:t>
            </w:r>
          </w:p>
        </w:tc>
        <w:tc>
          <w:tcPr>
            <w:tcW w:w="1380" w:type="dxa"/>
            <w:vAlign w:val="bottom"/>
            <w:gridSpan w:val="2"/>
            <w:shd w:val="clear" w:color="auto" w:fill="CCEEFF"/>
          </w:tcPr>
          <w:p>
            <w:pPr>
              <w:jc w:val="right"/>
              <w:ind w:right="120"/>
              <w:spacing w:after="0" w:line="225" w:lineRule="exact"/>
              <w:rPr>
                <w:sz w:val="20"/>
                <w:szCs w:val="20"/>
                <w:color w:val="auto"/>
              </w:rPr>
            </w:pPr>
            <w:r>
              <w:rPr>
                <w:rFonts w:ascii="Arial" w:cs="Arial" w:eastAsia="Arial" w:hAnsi="Arial"/>
                <w:sz w:val="18"/>
                <w:szCs w:val="18"/>
                <w:color w:val="auto"/>
              </w:rPr>
              <w:t>7,330,000</w:t>
            </w:r>
            <w:r>
              <w:rPr>
                <w:rFonts w:ascii="Arial" w:cs="Arial" w:eastAsia="Arial" w:hAnsi="Arial"/>
                <w:sz w:val="24"/>
                <w:szCs w:val="24"/>
                <w:color w:val="auto"/>
                <w:vertAlign w:val="subscript"/>
              </w:rPr>
              <w:t>(2)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ind w:right="120"/>
              <w:spacing w:after="0" w:line="225" w:lineRule="exact"/>
              <w:rPr>
                <w:sz w:val="20"/>
                <w:szCs w:val="20"/>
                <w:color w:val="auto"/>
              </w:rPr>
            </w:pPr>
            <w:r>
              <w:rPr>
                <w:rFonts w:ascii="Arial" w:cs="Arial" w:eastAsia="Arial" w:hAnsi="Arial"/>
                <w:sz w:val="18"/>
                <w:szCs w:val="18"/>
                <w:color w:val="auto"/>
              </w:rPr>
              <w:t>1.17</w:t>
            </w:r>
            <w:r>
              <w:rPr>
                <w:rFonts w:ascii="Arial" w:cs="Arial" w:eastAsia="Arial" w:hAnsi="Arial"/>
                <w:sz w:val="24"/>
                <w:szCs w:val="24"/>
                <w:color w:val="auto"/>
                <w:vertAlign w:val="subscript"/>
              </w:rPr>
              <w:t>(3)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8,576,100</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1,039.43</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w w:val="95"/>
              </w:rPr>
              <w:t>Common Stock, $0.001 par value per share: Outstanding options issued by the</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080" w:type="dxa"/>
            <w:vAlign w:val="bottom"/>
            <w:gridSpan w:val="2"/>
          </w:tcPr>
          <w:p>
            <w:pPr>
              <w:spacing w:after="0"/>
              <w:rPr>
                <w:sz w:val="20"/>
                <w:szCs w:val="20"/>
                <w:color w:val="auto"/>
              </w:rPr>
            </w:pPr>
            <w:r>
              <w:rPr>
                <w:rFonts w:ascii="Arial" w:cs="Arial" w:eastAsia="Arial" w:hAnsi="Arial"/>
                <w:sz w:val="18"/>
                <w:szCs w:val="18"/>
                <w:color w:val="auto"/>
              </w:rPr>
              <w:t>Registrant under the 2019 Omnibus Equity Incentive Plan</w:t>
            </w:r>
          </w:p>
        </w:tc>
        <w:tc>
          <w:tcPr>
            <w:tcW w:w="1380" w:type="dxa"/>
            <w:vAlign w:val="bottom"/>
            <w:gridSpan w:val="2"/>
          </w:tcPr>
          <w:p>
            <w:pPr>
              <w:jc w:val="right"/>
              <w:ind w:right="120"/>
              <w:spacing w:after="0" w:line="225" w:lineRule="exact"/>
              <w:rPr>
                <w:sz w:val="20"/>
                <w:szCs w:val="20"/>
                <w:color w:val="auto"/>
              </w:rPr>
            </w:pPr>
            <w:r>
              <w:rPr>
                <w:rFonts w:ascii="Arial" w:cs="Arial" w:eastAsia="Arial" w:hAnsi="Arial"/>
                <w:sz w:val="18"/>
                <w:szCs w:val="18"/>
                <w:color w:val="auto"/>
              </w:rPr>
              <w:t>170,000</w:t>
            </w:r>
            <w:r>
              <w:rPr>
                <w:rFonts w:ascii="Arial" w:cs="Arial" w:eastAsia="Arial" w:hAnsi="Arial"/>
                <w:sz w:val="24"/>
                <w:szCs w:val="24"/>
                <w:color w:val="auto"/>
                <w:vertAlign w:val="subscript"/>
              </w:rPr>
              <w:t>(4)</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120"/>
              <w:spacing w:after="0" w:line="225" w:lineRule="exact"/>
              <w:rPr>
                <w:sz w:val="20"/>
                <w:szCs w:val="20"/>
                <w:color w:val="auto"/>
              </w:rPr>
            </w:pPr>
            <w:r>
              <w:rPr>
                <w:rFonts w:ascii="Arial" w:cs="Arial" w:eastAsia="Arial" w:hAnsi="Arial"/>
                <w:sz w:val="18"/>
                <w:szCs w:val="18"/>
                <w:color w:val="auto"/>
              </w:rPr>
              <w:t>1.00</w:t>
            </w:r>
            <w:r>
              <w:rPr>
                <w:rFonts w:ascii="Arial" w:cs="Arial" w:eastAsia="Arial" w:hAnsi="Arial"/>
                <w:sz w:val="24"/>
                <w:szCs w:val="24"/>
                <w:color w:val="auto"/>
                <w:vertAlign w:val="subscript"/>
              </w:rPr>
              <w:t>(5)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170,000</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20.60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w w:val="89"/>
              </w:rPr>
              <w:t>Common Stock, $0.001 par value per share: To be issued under the 2019 Employee</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Stock Purchase Plan</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ind w:right="120"/>
              <w:spacing w:after="0" w:line="225" w:lineRule="exact"/>
              <w:rPr>
                <w:sz w:val="20"/>
                <w:szCs w:val="20"/>
                <w:color w:val="auto"/>
              </w:rPr>
            </w:pPr>
            <w:r>
              <w:rPr>
                <w:rFonts w:ascii="Arial" w:cs="Arial" w:eastAsia="Arial" w:hAnsi="Arial"/>
                <w:sz w:val="18"/>
                <w:szCs w:val="18"/>
                <w:color w:val="auto"/>
              </w:rPr>
              <w:t>1.17</w:t>
            </w:r>
            <w:r>
              <w:rPr>
                <w:rFonts w:ascii="Arial" w:cs="Arial" w:eastAsia="Arial" w:hAnsi="Arial"/>
                <w:sz w:val="24"/>
                <w:szCs w:val="24"/>
                <w:color w:val="auto"/>
                <w:vertAlign w:val="subscript"/>
              </w:rPr>
              <w:t>(3)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1,170,000</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141.80</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8,500,000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9,916,100</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1,201.83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jc w:val="both"/>
        <w:ind w:left="360" w:hanging="352"/>
        <w:spacing w:after="0" w:line="291" w:lineRule="auto"/>
        <w:tabs>
          <w:tab w:leader="none" w:pos="360" w:val="left"/>
        </w:tabs>
        <w:numPr>
          <w:ilvl w:val="0"/>
          <w:numId w:val="1"/>
        </w:numPr>
        <w:rPr>
          <w:rFonts w:ascii="Arial" w:cs="Arial" w:eastAsia="Arial" w:hAnsi="Arial"/>
          <w:sz w:val="16"/>
          <w:szCs w:val="16"/>
          <w:color w:val="auto"/>
        </w:rPr>
      </w:pPr>
      <w:r>
        <w:rPr>
          <w:rFonts w:ascii="Arial" w:cs="Arial" w:eastAsia="Arial" w:hAnsi="Arial"/>
          <w:sz w:val="16"/>
          <w:szCs w:val="16"/>
          <w:color w:val="auto"/>
        </w:rPr>
        <w:t xml:space="preserve">Pursuant to Rule 416(c) under the Securities Act of 1933, as amended (the </w:t>
      </w:r>
      <w:r>
        <w:rPr>
          <w:rFonts w:ascii="Arial" w:cs="Arial" w:eastAsia="Arial" w:hAnsi="Arial"/>
          <w:sz w:val="16"/>
          <w:szCs w:val="16"/>
          <w:i w:val="1"/>
          <w:iCs w:val="1"/>
          <w:color w:val="auto"/>
        </w:rPr>
        <w:t>Securities Act</w:t>
      </w:r>
      <w:r>
        <w:rPr>
          <w:rFonts w:ascii="Arial" w:cs="Arial" w:eastAsia="Arial" w:hAnsi="Arial"/>
          <w:sz w:val="16"/>
          <w:szCs w:val="16"/>
          <w:color w:val="auto"/>
        </w:rPr>
        <w:t xml:space="preserve">), this registration statement on Form S-8 (the </w:t>
      </w:r>
      <w:r>
        <w:rPr>
          <w:rFonts w:ascii="Arial" w:cs="Arial" w:eastAsia="Arial" w:hAnsi="Arial"/>
          <w:sz w:val="16"/>
          <w:szCs w:val="16"/>
          <w:i w:val="1"/>
          <w:iCs w:val="1"/>
          <w:color w:val="auto"/>
        </w:rPr>
        <w:t>Registration</w:t>
      </w:r>
      <w:r>
        <w:rPr>
          <w:rFonts w:ascii="Arial" w:cs="Arial" w:eastAsia="Arial" w:hAnsi="Arial"/>
          <w:sz w:val="16"/>
          <w:szCs w:val="16"/>
          <w:color w:val="auto"/>
        </w:rPr>
        <w:t xml:space="preserve"> </w:t>
      </w:r>
      <w:r>
        <w:rPr>
          <w:rFonts w:ascii="Arial" w:cs="Arial" w:eastAsia="Arial" w:hAnsi="Arial"/>
          <w:sz w:val="16"/>
          <w:szCs w:val="16"/>
          <w:i w:val="1"/>
          <w:iCs w:val="1"/>
          <w:color w:val="auto"/>
        </w:rPr>
        <w:t>Statement</w:t>
      </w:r>
      <w:r>
        <w:rPr>
          <w:rFonts w:ascii="Arial" w:cs="Arial" w:eastAsia="Arial" w:hAnsi="Arial"/>
          <w:sz w:val="16"/>
          <w:szCs w:val="16"/>
          <w:color w:val="auto"/>
        </w:rPr>
        <w:t>) also covers an indeterminate number of shares of common stock, $0.001 par value per share (</w:t>
      </w:r>
      <w:r>
        <w:rPr>
          <w:rFonts w:ascii="Arial" w:cs="Arial" w:eastAsia="Arial" w:hAnsi="Arial"/>
          <w:sz w:val="16"/>
          <w:szCs w:val="16"/>
          <w:i w:val="1"/>
          <w:iCs w:val="1"/>
          <w:color w:val="auto"/>
        </w:rPr>
        <w:t>Common Stock</w:t>
      </w:r>
      <w:r>
        <w:rPr>
          <w:rFonts w:ascii="Arial" w:cs="Arial" w:eastAsia="Arial" w:hAnsi="Arial"/>
          <w:sz w:val="16"/>
          <w:szCs w:val="16"/>
          <w:color w:val="auto"/>
        </w:rPr>
        <w:t>), of VistaGen Therapeutics, Inc. (the</w:t>
      </w:r>
      <w:r>
        <w:rPr>
          <w:rFonts w:ascii="Arial" w:cs="Arial" w:eastAsia="Arial" w:hAnsi="Arial"/>
          <w:sz w:val="16"/>
          <w:szCs w:val="16"/>
          <w:i w:val="1"/>
          <w:iCs w:val="1"/>
          <w:color w:val="auto"/>
        </w:rPr>
        <w:t xml:space="preserve"> Registrant</w:t>
      </w:r>
      <w:r>
        <w:rPr>
          <w:rFonts w:ascii="Arial" w:cs="Arial" w:eastAsia="Arial" w:hAnsi="Arial"/>
          <w:sz w:val="16"/>
          <w:szCs w:val="16"/>
          <w:color w:val="auto"/>
        </w:rPr>
        <w:t>) that may be offered or issued by reason of stock splits, stock dividends or similar transactions. In addition, any shares subject to outstanding</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options or other equity “Awards” (as defined in the VistaGen Therapeutics, Inc. 2019 Omnibus Equity Incentive Plan (the </w:t>
      </w:r>
      <w:r>
        <w:rPr>
          <w:rFonts w:ascii="Arial" w:cs="Arial" w:eastAsia="Arial" w:hAnsi="Arial"/>
          <w:sz w:val="16"/>
          <w:szCs w:val="16"/>
          <w:i w:val="1"/>
          <w:iCs w:val="1"/>
          <w:color w:val="auto"/>
        </w:rPr>
        <w:t>2019 Plan</w:t>
      </w:r>
      <w:r>
        <w:rPr>
          <w:rFonts w:ascii="Arial" w:cs="Arial" w:eastAsia="Arial" w:hAnsi="Arial"/>
          <w:sz w:val="16"/>
          <w:szCs w:val="16"/>
          <w:color w:val="auto"/>
        </w:rPr>
        <w:t>)) under the 2019 Plan that are cancelled, forfeited, expired, terminated, unearned or settled in cash, which in any such case does not result in the issuance of shares, shall be again available for issuance pursuant to Awards granted under the 2019 Plan.</w:t>
      </w:r>
    </w:p>
    <w:p>
      <w:pPr>
        <w:spacing w:after="0" w:line="174" w:lineRule="exact"/>
        <w:rPr>
          <w:rFonts w:ascii="Arial" w:cs="Arial" w:eastAsia="Arial" w:hAnsi="Arial"/>
          <w:sz w:val="16"/>
          <w:szCs w:val="16"/>
          <w:color w:val="auto"/>
        </w:rPr>
      </w:pPr>
    </w:p>
    <w:p>
      <w:pPr>
        <w:jc w:val="both"/>
        <w:ind w:left="360" w:hanging="352"/>
        <w:spacing w:after="0" w:line="289" w:lineRule="auto"/>
        <w:tabs>
          <w:tab w:leader="none" w:pos="360" w:val="left"/>
        </w:tabs>
        <w:numPr>
          <w:ilvl w:val="0"/>
          <w:numId w:val="1"/>
        </w:numPr>
        <w:rPr>
          <w:rFonts w:ascii="Arial" w:cs="Arial" w:eastAsia="Arial" w:hAnsi="Arial"/>
          <w:sz w:val="16"/>
          <w:szCs w:val="16"/>
          <w:color w:val="auto"/>
        </w:rPr>
      </w:pPr>
      <w:r>
        <w:rPr>
          <w:rFonts w:ascii="Arial" w:cs="Arial" w:eastAsia="Arial" w:hAnsi="Arial"/>
          <w:sz w:val="16"/>
          <w:szCs w:val="16"/>
          <w:color w:val="auto"/>
        </w:rPr>
        <w:t xml:space="preserve">Shares of Common Stock initially reserved for issuance under the 2019 Plan consist of (i) 7,500,000 shares registered pursuant to this Registration Statement, plus, (ii) 1,388,412 unallocated shares of Common Stock available for issuance under the Registrant’s Amended and Restated 2016 Stock Incentive Plan (the </w:t>
      </w:r>
      <w:r>
        <w:rPr>
          <w:rFonts w:ascii="Arial" w:cs="Arial" w:eastAsia="Arial" w:hAnsi="Arial"/>
          <w:sz w:val="16"/>
          <w:szCs w:val="16"/>
          <w:i w:val="1"/>
          <w:iCs w:val="1"/>
          <w:color w:val="auto"/>
        </w:rPr>
        <w:t>Prior Plan</w:t>
      </w:r>
      <w:r>
        <w:rPr>
          <w:rFonts w:ascii="Arial" w:cs="Arial" w:eastAsia="Arial" w:hAnsi="Arial"/>
          <w:sz w:val="16"/>
          <w:szCs w:val="16"/>
          <w:color w:val="auto"/>
        </w:rPr>
        <w:t xml:space="preserve">) as of September 5, 2019, the effective date of the 2019 Plan, that were not subject to outstanding Awards (the </w:t>
      </w:r>
      <w:r>
        <w:rPr>
          <w:rFonts w:ascii="Arial" w:cs="Arial" w:eastAsia="Arial" w:hAnsi="Arial"/>
          <w:sz w:val="16"/>
          <w:szCs w:val="16"/>
          <w:i w:val="1"/>
          <w:iCs w:val="1"/>
          <w:color w:val="auto"/>
        </w:rPr>
        <w:t>Carryover</w:t>
      </w:r>
      <w:r>
        <w:rPr>
          <w:rFonts w:ascii="Arial" w:cs="Arial" w:eastAsia="Arial" w:hAnsi="Arial"/>
          <w:sz w:val="16"/>
          <w:szCs w:val="16"/>
          <w:color w:val="auto"/>
        </w:rPr>
        <w:t xml:space="preserve"> </w:t>
      </w:r>
      <w:r>
        <w:rPr>
          <w:rFonts w:ascii="Arial" w:cs="Arial" w:eastAsia="Arial" w:hAnsi="Arial"/>
          <w:sz w:val="16"/>
          <w:szCs w:val="16"/>
          <w:i w:val="1"/>
          <w:iCs w:val="1"/>
          <w:color w:val="auto"/>
        </w:rPr>
        <w:t>Shares</w:t>
      </w:r>
      <w:r>
        <w:rPr>
          <w:rFonts w:ascii="Arial" w:cs="Arial" w:eastAsia="Arial" w:hAnsi="Arial"/>
          <w:sz w:val="16"/>
          <w:szCs w:val="16"/>
          <w:color w:val="auto"/>
        </w:rPr>
        <w:t>) and (iii) shares under the 2019 Plan that are cancelled, forfeited, expired, terminated, unearned or settled in cash, which in any such case does not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result in the issuance of shares (the </w:t>
      </w:r>
      <w:r>
        <w:rPr>
          <w:rFonts w:ascii="Arial" w:cs="Arial" w:eastAsia="Arial" w:hAnsi="Arial"/>
          <w:sz w:val="16"/>
          <w:szCs w:val="16"/>
          <w:i w:val="1"/>
          <w:iCs w:val="1"/>
          <w:color w:val="auto"/>
        </w:rPr>
        <w:t>Unused Shares</w:t>
      </w:r>
      <w:r>
        <w:rPr>
          <w:rFonts w:ascii="Arial" w:cs="Arial" w:eastAsia="Arial" w:hAnsi="Arial"/>
          <w:sz w:val="16"/>
          <w:szCs w:val="16"/>
          <w:color w:val="auto"/>
        </w:rPr>
        <w:t xml:space="preserve">). Pursuant to General Instruction E on Form S-8, the registration fee is calculated with respect to the additional securities registered on this Form S-8 only. Concurrently with the filing of this Registration Statement, the Registrant is filing a post-effective amendment to the prior registration statement on Form S-8 originally filed with the Securities and Exchange Commission (the </w:t>
      </w:r>
      <w:r>
        <w:rPr>
          <w:rFonts w:ascii="Arial" w:cs="Arial" w:eastAsia="Arial" w:hAnsi="Arial"/>
          <w:sz w:val="16"/>
          <w:szCs w:val="16"/>
          <w:i w:val="1"/>
          <w:iCs w:val="1"/>
          <w:color w:val="auto"/>
        </w:rPr>
        <w:t>Commission</w:t>
      </w:r>
      <w:r>
        <w:rPr>
          <w:rFonts w:ascii="Arial" w:cs="Arial" w:eastAsia="Arial" w:hAnsi="Arial"/>
          <w:sz w:val="16"/>
          <w:szCs w:val="16"/>
          <w:color w:val="auto"/>
        </w:rPr>
        <w:t>) on March 9, 2018 (File No. 333-223556) to cover the issuance of the Carryover Shares. For more details, please see the explanatory note following this page.</w:t>
      </w:r>
    </w:p>
    <w:p>
      <w:pPr>
        <w:spacing w:after="0" w:line="172" w:lineRule="exact"/>
        <w:rPr>
          <w:rFonts w:ascii="Arial" w:cs="Arial" w:eastAsia="Arial" w:hAnsi="Arial"/>
          <w:sz w:val="16"/>
          <w:szCs w:val="16"/>
          <w:color w:val="auto"/>
        </w:rPr>
      </w:pPr>
    </w:p>
    <w:p>
      <w:pPr>
        <w:jc w:val="both"/>
        <w:ind w:left="360" w:hanging="352"/>
        <w:spacing w:after="0" w:line="259" w:lineRule="auto"/>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purposes of calculating the registration fee pursuant to Securities Act Rule 457(c) and (h). The proposed maximum offering price per share, proposed maximum aggregate offering price and the amount of the registration fee are based on the average of the high and low prices of the Registrant’s Common Stock reported on the Nasdaq Capital Market on September 25, 2019.</w:t>
      </w:r>
    </w:p>
    <w:p>
      <w:pPr>
        <w:spacing w:after="0" w:line="194" w:lineRule="exact"/>
        <w:rPr>
          <w:rFonts w:ascii="Arial" w:cs="Arial" w:eastAsia="Arial" w:hAnsi="Arial"/>
          <w:sz w:val="18"/>
          <w:szCs w:val="18"/>
          <w:color w:val="auto"/>
        </w:rPr>
      </w:pPr>
    </w:p>
    <w:p>
      <w:pPr>
        <w:ind w:left="360" w:hanging="352"/>
        <w:spacing w:after="0"/>
        <w:tabs>
          <w:tab w:leader="none" w:pos="360" w:val="left"/>
        </w:tabs>
        <w:numPr>
          <w:ilvl w:val="0"/>
          <w:numId w:val="1"/>
        </w:numPr>
        <w:rPr>
          <w:rFonts w:ascii="Arial" w:cs="Arial" w:eastAsia="Arial" w:hAnsi="Arial"/>
          <w:sz w:val="16"/>
          <w:szCs w:val="16"/>
          <w:color w:val="auto"/>
        </w:rPr>
      </w:pPr>
      <w:r>
        <w:rPr>
          <w:rFonts w:ascii="Arial" w:cs="Arial" w:eastAsia="Arial" w:hAnsi="Arial"/>
          <w:sz w:val="16"/>
          <w:szCs w:val="16"/>
          <w:color w:val="auto"/>
        </w:rPr>
        <w:t>Represents 170,000 shares of the Registrant’s Common Stock issuable upon exercise of outstanding stock options previously issued under the 2019 Plan.</w:t>
      </w:r>
    </w:p>
    <w:p>
      <w:pPr>
        <w:spacing w:after="0" w:line="248" w:lineRule="exact"/>
        <w:rPr>
          <w:rFonts w:ascii="Arial" w:cs="Arial" w:eastAsia="Arial" w:hAnsi="Arial"/>
          <w:sz w:val="16"/>
          <w:szCs w:val="16"/>
          <w:color w:val="auto"/>
        </w:rPr>
      </w:pPr>
    </w:p>
    <w:p>
      <w:pPr>
        <w:ind w:left="360" w:right="320" w:hanging="352"/>
        <w:spacing w:after="0" w:line="268" w:lineRule="auto"/>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Calculated in accordance with Rule 457(h) of the Securities Act, based on the proposed maximum aggregate offering price as determined by the exercise price for such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398145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12"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31"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 xml:space="preserve">This Registration Statement on Form S-8 (this </w:t>
      </w:r>
      <w:r>
        <w:rPr>
          <w:rFonts w:ascii="Arial" w:cs="Arial" w:eastAsia="Arial" w:hAnsi="Arial"/>
          <w:sz w:val="16"/>
          <w:szCs w:val="16"/>
          <w:i w:val="1"/>
          <w:iCs w:val="1"/>
          <w:color w:val="auto"/>
        </w:rPr>
        <w:t>Registration Statement</w:t>
      </w:r>
      <w:r>
        <w:rPr>
          <w:rFonts w:ascii="Arial" w:cs="Arial" w:eastAsia="Arial" w:hAnsi="Arial"/>
          <w:sz w:val="16"/>
          <w:szCs w:val="16"/>
          <w:color w:val="auto"/>
        </w:rPr>
        <w:t xml:space="preserve">) is filed by VistaGen Therapeutics, Inc. (the </w:t>
      </w:r>
      <w:r>
        <w:rPr>
          <w:rFonts w:ascii="Arial" w:cs="Arial" w:eastAsia="Arial" w:hAnsi="Arial"/>
          <w:sz w:val="16"/>
          <w:szCs w:val="16"/>
          <w:i w:val="1"/>
          <w:iCs w:val="1"/>
          <w:color w:val="auto"/>
        </w:rPr>
        <w:t>Registrant</w:t>
      </w:r>
      <w:r>
        <w:rPr>
          <w:rFonts w:ascii="Arial" w:cs="Arial" w:eastAsia="Arial" w:hAnsi="Arial"/>
          <w:sz w:val="16"/>
          <w:szCs w:val="16"/>
          <w:color w:val="auto"/>
        </w:rPr>
        <w:t>) to register a total of 8,500,000 shares of its common stock, $0.001 par value per share (</w:t>
      </w:r>
      <w:r>
        <w:rPr>
          <w:rFonts w:ascii="Arial" w:cs="Arial" w:eastAsia="Arial" w:hAnsi="Arial"/>
          <w:sz w:val="16"/>
          <w:szCs w:val="16"/>
          <w:i w:val="1"/>
          <w:iCs w:val="1"/>
          <w:color w:val="auto"/>
        </w:rPr>
        <w:t>Common Stock</w:t>
      </w:r>
      <w:r>
        <w:rPr>
          <w:rFonts w:ascii="Arial" w:cs="Arial" w:eastAsia="Arial" w:hAnsi="Arial"/>
          <w:sz w:val="16"/>
          <w:szCs w:val="16"/>
          <w:color w:val="auto"/>
        </w:rPr>
        <w:t xml:space="preserve">), of which up to 7,330,000 shares of Common Stock may be issued as new awards under the Registrant’s 2019 Omnibus Equity Incentive Plan (the </w:t>
      </w:r>
      <w:r>
        <w:rPr>
          <w:rFonts w:ascii="Arial" w:cs="Arial" w:eastAsia="Arial" w:hAnsi="Arial"/>
          <w:sz w:val="16"/>
          <w:szCs w:val="16"/>
          <w:i w:val="1"/>
          <w:iCs w:val="1"/>
          <w:color w:val="auto"/>
        </w:rPr>
        <w:t>2019 Plan</w:t>
      </w:r>
      <w:r>
        <w:rPr>
          <w:rFonts w:ascii="Arial" w:cs="Arial" w:eastAsia="Arial" w:hAnsi="Arial"/>
          <w:sz w:val="16"/>
          <w:szCs w:val="16"/>
          <w:color w:val="auto"/>
        </w:rPr>
        <w:t xml:space="preserve">), up to 170,000 shares of Common Stock may be issued upon exercise of a previously issued stock option under the 2019 Plan (the </w:t>
      </w:r>
      <w:r>
        <w:rPr>
          <w:rFonts w:ascii="Arial" w:cs="Arial" w:eastAsia="Arial" w:hAnsi="Arial"/>
          <w:sz w:val="16"/>
          <w:szCs w:val="16"/>
          <w:i w:val="1"/>
          <w:iCs w:val="1"/>
          <w:color w:val="auto"/>
        </w:rPr>
        <w:t>Stock Option</w:t>
      </w:r>
      <w:r>
        <w:rPr>
          <w:rFonts w:ascii="Arial" w:cs="Arial" w:eastAsia="Arial" w:hAnsi="Arial"/>
          <w:sz w:val="16"/>
          <w:szCs w:val="16"/>
          <w:color w:val="auto"/>
        </w:rPr>
        <w:t xml:space="preserve">) and up to 1,000,000 shares of Common Stock may be issued under the Registrant’s 2019 Employee Stock Purchase Plan (the </w:t>
      </w:r>
      <w:r>
        <w:rPr>
          <w:rFonts w:ascii="Arial" w:cs="Arial" w:eastAsia="Arial" w:hAnsi="Arial"/>
          <w:sz w:val="16"/>
          <w:szCs w:val="16"/>
          <w:i w:val="1"/>
          <w:iCs w:val="1"/>
          <w:color w:val="auto"/>
        </w:rPr>
        <w:t>2019 ESPP</w:t>
      </w:r>
      <w:r>
        <w:rPr>
          <w:rFonts w:ascii="Arial" w:cs="Arial" w:eastAsia="Arial" w:hAnsi="Arial"/>
          <w:sz w:val="16"/>
          <w:szCs w:val="16"/>
          <w:color w:val="auto"/>
        </w:rPr>
        <w:t xml:space="preserve"> and, together with the 2019 Plan, the </w:t>
      </w:r>
      <w:r>
        <w:rPr>
          <w:rFonts w:ascii="Arial" w:cs="Arial" w:eastAsia="Arial" w:hAnsi="Arial"/>
          <w:sz w:val="16"/>
          <w:szCs w:val="16"/>
          <w:i w:val="1"/>
          <w:iCs w:val="1"/>
          <w:color w:val="auto"/>
        </w:rPr>
        <w:t>Plans</w:t>
      </w:r>
      <w:r>
        <w:rPr>
          <w:rFonts w:ascii="Arial" w:cs="Arial" w:eastAsia="Arial" w:hAnsi="Arial"/>
          <w:sz w:val="16"/>
          <w:szCs w:val="16"/>
          <w:color w:val="auto"/>
        </w:rPr>
        <w:t>).</w:t>
      </w:r>
    </w:p>
    <w:p>
      <w:pPr>
        <w:spacing w:after="0" w:line="170"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 xml:space="preserve">With respect to the 2019 Plan, shares of Common Stock initially reserved for issuance under the 2019 Plan consist of (i) 7,500,000 shares of Common Stock registered pursuant to this Registration Statement, which amount includes the shares of Common Stock issuable upon exercise of the previously issued Stock Option, plus (ii) unallocated shares of Common Stock available for issuance under the Registrant’s Amended and Restated 2016 Stock Incentive Plan (the </w:t>
      </w:r>
      <w:r>
        <w:rPr>
          <w:rFonts w:ascii="Arial" w:cs="Arial" w:eastAsia="Arial" w:hAnsi="Arial"/>
          <w:sz w:val="16"/>
          <w:szCs w:val="16"/>
          <w:i w:val="1"/>
          <w:iCs w:val="1"/>
          <w:color w:val="auto"/>
        </w:rPr>
        <w:t>Prior Plan</w:t>
      </w:r>
      <w:r>
        <w:rPr>
          <w:rFonts w:ascii="Arial" w:cs="Arial" w:eastAsia="Arial" w:hAnsi="Arial"/>
          <w:sz w:val="16"/>
          <w:szCs w:val="16"/>
          <w:color w:val="auto"/>
        </w:rPr>
        <w:t>) as of September 5, 2019, the effective date of the 2019 Plan, that were not subject to outstanding Awards (the</w:t>
      </w:r>
      <w:r>
        <w:rPr>
          <w:rFonts w:ascii="Arial" w:cs="Arial" w:eastAsia="Arial" w:hAnsi="Arial"/>
          <w:sz w:val="16"/>
          <w:szCs w:val="16"/>
          <w:i w:val="1"/>
          <w:iCs w:val="1"/>
          <w:color w:val="auto"/>
        </w:rPr>
        <w:t xml:space="preserve"> Carryover Shares</w:t>
      </w:r>
      <w:r>
        <w:rPr>
          <w:rFonts w:ascii="Arial" w:cs="Arial" w:eastAsia="Arial" w:hAnsi="Arial"/>
          <w:sz w:val="16"/>
          <w:szCs w:val="16"/>
          <w:color w:val="auto"/>
        </w:rPr>
        <w:t>) and shares under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2019 Plan that are cancelled, forfeited, expired, terminated, unearned or settled in cash, which in any such case does not result in the issuance of shares (the </w:t>
      </w:r>
      <w:r>
        <w:rPr>
          <w:rFonts w:ascii="Arial" w:cs="Arial" w:eastAsia="Arial" w:hAnsi="Arial"/>
          <w:sz w:val="16"/>
          <w:szCs w:val="16"/>
          <w:i w:val="1"/>
          <w:iCs w:val="1"/>
          <w:color w:val="auto"/>
        </w:rPr>
        <w:t>Unused Shares</w:t>
      </w:r>
      <w:r>
        <w:rPr>
          <w:rFonts w:ascii="Arial" w:cs="Arial" w:eastAsia="Arial" w:hAnsi="Arial"/>
          <w:sz w:val="16"/>
          <w:szCs w:val="16"/>
          <w:color w:val="auto"/>
        </w:rPr>
        <w:t>). On September 5, 2019, at the Registrant’s 2019 Annual Meeting of Stockholders, the Registrant’s stockholders approved the 2019 Plan to</w:t>
      </w:r>
      <w:r>
        <w:rPr>
          <w:rFonts w:ascii="Arial" w:cs="Arial" w:eastAsia="Arial" w:hAnsi="Arial"/>
          <w:sz w:val="16"/>
          <w:szCs w:val="16"/>
          <w:i w:val="1"/>
          <w:iCs w:val="1"/>
          <w:color w:val="auto"/>
        </w:rPr>
        <w:t xml:space="preserve"> </w:t>
      </w:r>
      <w:r>
        <w:rPr>
          <w:rFonts w:ascii="Arial" w:cs="Arial" w:eastAsia="Arial" w:hAnsi="Arial"/>
          <w:sz w:val="16"/>
          <w:szCs w:val="16"/>
          <w:color w:val="auto"/>
        </w:rPr>
        <w:t>succeed the Prior Plan. Upon stockholder approval of the 2019 Plan, no future awards will be made under the Prior Plan.</w:t>
      </w:r>
    </w:p>
    <w:p>
      <w:pPr>
        <w:spacing w:after="0" w:line="172"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With regard to Unused Shares, such shares cover any shares subject to outstanding options or other equity “Awards” (as defined in the 2019 Plan) under the 2019 Plan that are forfeited, expire or otherwise terminate without issuance of the “Stock” (as defined in the applicable 2019 Plan), or if any such Award is settled for cash or otherwise does not result in the issuance of all or a portion of the Shares subject to such Award (other than Shares tendered or withheld in connection with the exercise of an Award or the satisfaction of withholding tax liabilities), the Shares to which those Awards were subject, shall, to the extent of such forfeiture, expiration, termination, cash settlement or non-issuance, again be available for delivery with respect to Awards under the 2019 Plan.</w:t>
      </w:r>
    </w:p>
    <w:p>
      <w:pPr>
        <w:spacing w:after="0" w:line="170"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 xml:space="preserve">Concurrently with the filing of this Registration Statement, the Registrant is filing a post-effective amendment to its prior registration statement on Form S-8 originally filed with the Securities and Exchange Commission (the </w:t>
      </w:r>
      <w:r>
        <w:rPr>
          <w:rFonts w:ascii="Arial" w:cs="Arial" w:eastAsia="Arial" w:hAnsi="Arial"/>
          <w:sz w:val="18"/>
          <w:szCs w:val="18"/>
          <w:i w:val="1"/>
          <w:iCs w:val="1"/>
          <w:color w:val="auto"/>
        </w:rPr>
        <w:t>Commission</w:t>
      </w:r>
      <w:r>
        <w:rPr>
          <w:rFonts w:ascii="Arial" w:cs="Arial" w:eastAsia="Arial" w:hAnsi="Arial"/>
          <w:sz w:val="18"/>
          <w:szCs w:val="18"/>
          <w:color w:val="auto"/>
        </w:rPr>
        <w:t>) on March 9, 2018 (File No. 333-223556) to cover the issuance of the Carryover Shares from the 2019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403225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Plan Information.</w:t>
      </w:r>
    </w:p>
    <w:p>
      <w:pPr>
        <w:spacing w:after="0" w:line="23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 xml:space="preserve">The information called for by Part I of Form S-8 is omitted from this Registration Statement in accordance with Rule 428 of the Securities Act of 1933, as amended (the </w:t>
      </w:r>
      <w:r>
        <w:rPr>
          <w:rFonts w:ascii="Arial" w:cs="Arial" w:eastAsia="Arial" w:hAnsi="Arial"/>
          <w:sz w:val="18"/>
          <w:szCs w:val="18"/>
          <w:i w:val="1"/>
          <w:iCs w:val="1"/>
          <w:color w:val="auto"/>
        </w:rPr>
        <w:t>Securities Act</w:t>
      </w:r>
      <w:r>
        <w:rPr>
          <w:rFonts w:ascii="Arial" w:cs="Arial" w:eastAsia="Arial" w:hAnsi="Arial"/>
          <w:sz w:val="18"/>
          <w:szCs w:val="18"/>
          <w:color w:val="auto"/>
        </w:rPr>
        <w:t xml:space="preserve">) and the instructions to Form S-8. In accordance with the rules and regulations of the Securities and Exchange Commission (the </w:t>
      </w:r>
      <w:r>
        <w:rPr>
          <w:rFonts w:ascii="Arial" w:cs="Arial" w:eastAsia="Arial" w:hAnsi="Arial"/>
          <w:sz w:val="18"/>
          <w:szCs w:val="18"/>
          <w:i w:val="1"/>
          <w:iCs w:val="1"/>
          <w:color w:val="auto"/>
        </w:rPr>
        <w:t>Commission</w:t>
      </w:r>
      <w:r>
        <w:rPr>
          <w:rFonts w:ascii="Arial" w:cs="Arial" w:eastAsia="Arial" w:hAnsi="Arial"/>
          <w:sz w:val="18"/>
          <w:szCs w:val="18"/>
          <w:color w:val="auto"/>
        </w:rPr>
        <w:t>) and the instructions to Form S-8, such documents are not being filed with the Commission either as part of this Registration Statement or as</w:t>
      </w:r>
      <w:r>
        <w:rPr>
          <w:rFonts w:ascii="Arial" w:cs="Arial" w:eastAsia="Arial" w:hAnsi="Arial"/>
          <w:sz w:val="18"/>
          <w:szCs w:val="18"/>
          <w:i w:val="1"/>
          <w:iCs w:val="1"/>
          <w:color w:val="auto"/>
        </w:rPr>
        <w:t xml:space="preserve"> </w:t>
      </w:r>
      <w:r>
        <w:rPr>
          <w:rFonts w:ascii="Arial" w:cs="Arial" w:eastAsia="Arial" w:hAnsi="Arial"/>
          <w:sz w:val="18"/>
          <w:szCs w:val="18"/>
          <w:color w:val="auto"/>
        </w:rPr>
        <w:t>prospectuses or prospectus supplements pursuant to Rule 424.</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Incorporation of Documents by Reference</w:t>
      </w:r>
    </w:p>
    <w:p>
      <w:pPr>
        <w:spacing w:after="0" w:line="231" w:lineRule="exact"/>
        <w:rPr>
          <w:sz w:val="20"/>
          <w:szCs w:val="20"/>
          <w:color w:val="auto"/>
        </w:rPr>
      </w:pPr>
    </w:p>
    <w:p>
      <w:pPr>
        <w:ind w:left="720"/>
        <w:spacing w:after="0"/>
        <w:rPr>
          <w:sz w:val="20"/>
          <w:szCs w:val="20"/>
          <w:color w:val="auto"/>
        </w:rPr>
      </w:pPr>
      <w:r>
        <w:rPr>
          <w:rFonts w:ascii="Arial" w:cs="Arial" w:eastAsia="Arial" w:hAnsi="Arial"/>
          <w:sz w:val="16"/>
          <w:szCs w:val="16"/>
          <w:color w:val="auto"/>
        </w:rPr>
        <w:t>The following documents, which have been previously filed by the Registrant with the Commission, are hereby incorporated by reference in this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Registration Statement:</w:t>
      </w:r>
    </w:p>
    <w:p>
      <w:pPr>
        <w:spacing w:after="0" w:line="219" w:lineRule="exact"/>
        <w:rPr>
          <w:sz w:val="20"/>
          <w:szCs w:val="20"/>
          <w:color w:val="auto"/>
        </w:rPr>
      </w:pPr>
    </w:p>
    <w:p>
      <w:pPr>
        <w:ind w:left="980" w:hanging="972"/>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Annual Report on Form 10-K for the year ended March 31, 2019, filed on June 25, 2019;</w:t>
      </w:r>
    </w:p>
    <w:p>
      <w:pPr>
        <w:spacing w:after="0" w:line="225" w:lineRule="exact"/>
        <w:rPr>
          <w:rFonts w:ascii="Arial" w:cs="Arial" w:eastAsia="Arial" w:hAnsi="Arial"/>
          <w:sz w:val="18"/>
          <w:szCs w:val="18"/>
          <w:color w:val="auto"/>
        </w:rPr>
      </w:pPr>
    </w:p>
    <w:p>
      <w:pPr>
        <w:ind w:left="980" w:hanging="972"/>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Quarterly Report on Form 10-Q for the year ended June 30, 2019, filed on August 13, 2019;</w:t>
      </w:r>
    </w:p>
    <w:p>
      <w:pPr>
        <w:spacing w:after="0" w:line="225" w:lineRule="exact"/>
        <w:rPr>
          <w:rFonts w:ascii="Arial" w:cs="Arial" w:eastAsia="Arial" w:hAnsi="Arial"/>
          <w:sz w:val="18"/>
          <w:szCs w:val="18"/>
          <w:color w:val="auto"/>
        </w:rPr>
      </w:pPr>
    </w:p>
    <w:p>
      <w:pPr>
        <w:ind w:left="980" w:hanging="972"/>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Current Report on Form 8-K, filed on April 4, 2019;</w:t>
      </w:r>
    </w:p>
    <w:p>
      <w:pPr>
        <w:spacing w:after="0" w:line="225" w:lineRule="exact"/>
        <w:rPr>
          <w:rFonts w:ascii="Arial" w:cs="Arial" w:eastAsia="Arial" w:hAnsi="Arial"/>
          <w:sz w:val="18"/>
          <w:szCs w:val="18"/>
          <w:color w:val="auto"/>
        </w:rPr>
      </w:pPr>
    </w:p>
    <w:p>
      <w:pPr>
        <w:ind w:left="980" w:hanging="972"/>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Current Report on Form 8-K, filed on May 2, 2019;</w:t>
      </w:r>
    </w:p>
    <w:p>
      <w:pPr>
        <w:spacing w:after="0" w:line="225" w:lineRule="exact"/>
        <w:rPr>
          <w:rFonts w:ascii="Arial" w:cs="Arial" w:eastAsia="Arial" w:hAnsi="Arial"/>
          <w:sz w:val="18"/>
          <w:szCs w:val="18"/>
          <w:color w:val="auto"/>
        </w:rPr>
      </w:pPr>
    </w:p>
    <w:p>
      <w:pPr>
        <w:ind w:left="980" w:hanging="972"/>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Current Report on Form 8-K, filed on June 21, 2019;</w:t>
      </w:r>
    </w:p>
    <w:p>
      <w:pPr>
        <w:spacing w:after="0" w:line="225" w:lineRule="exact"/>
        <w:rPr>
          <w:rFonts w:ascii="Arial" w:cs="Arial" w:eastAsia="Arial" w:hAnsi="Arial"/>
          <w:sz w:val="18"/>
          <w:szCs w:val="18"/>
          <w:color w:val="auto"/>
        </w:rPr>
      </w:pPr>
    </w:p>
    <w:p>
      <w:pPr>
        <w:ind w:left="980" w:hanging="972"/>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Current Report on Form 8-K, filed on July 23, 2019;</w:t>
      </w:r>
    </w:p>
    <w:p>
      <w:pPr>
        <w:spacing w:after="0" w:line="225" w:lineRule="exact"/>
        <w:rPr>
          <w:rFonts w:ascii="Arial" w:cs="Arial" w:eastAsia="Arial" w:hAnsi="Arial"/>
          <w:sz w:val="18"/>
          <w:szCs w:val="18"/>
          <w:color w:val="auto"/>
        </w:rPr>
      </w:pPr>
    </w:p>
    <w:p>
      <w:pPr>
        <w:ind w:left="980" w:hanging="972"/>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Current Report on Form 8-K, filed on August 16, 2019;</w:t>
      </w:r>
    </w:p>
    <w:p>
      <w:pPr>
        <w:spacing w:after="0" w:line="225" w:lineRule="exact"/>
        <w:rPr>
          <w:rFonts w:ascii="Arial" w:cs="Arial" w:eastAsia="Arial" w:hAnsi="Arial"/>
          <w:sz w:val="18"/>
          <w:szCs w:val="18"/>
          <w:color w:val="auto"/>
        </w:rPr>
      </w:pPr>
    </w:p>
    <w:p>
      <w:pPr>
        <w:ind w:left="980" w:hanging="972"/>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Current Report on Form 8-K, filed on August 23, 2019;</w:t>
      </w:r>
    </w:p>
    <w:p>
      <w:pPr>
        <w:spacing w:after="0" w:line="225" w:lineRule="exact"/>
        <w:rPr>
          <w:rFonts w:ascii="Arial" w:cs="Arial" w:eastAsia="Arial" w:hAnsi="Arial"/>
          <w:sz w:val="18"/>
          <w:szCs w:val="18"/>
          <w:color w:val="auto"/>
        </w:rPr>
      </w:pPr>
    </w:p>
    <w:p>
      <w:pPr>
        <w:ind w:left="980" w:hanging="972"/>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Current Report on Form 8-K, filed on September 6, 2019;</w:t>
      </w:r>
    </w:p>
    <w:p>
      <w:pPr>
        <w:spacing w:after="0" w:line="252" w:lineRule="exact"/>
        <w:rPr>
          <w:rFonts w:ascii="Arial" w:cs="Arial" w:eastAsia="Arial" w:hAnsi="Arial"/>
          <w:sz w:val="18"/>
          <w:szCs w:val="18"/>
          <w:color w:val="auto"/>
        </w:rPr>
      </w:pPr>
    </w:p>
    <w:p>
      <w:pPr>
        <w:ind w:left="980" w:hanging="972"/>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Current Report on Form 8-K, filed on September 25, 2019; and</w:t>
      </w:r>
    </w:p>
    <w:p>
      <w:pPr>
        <w:spacing w:after="0" w:line="252" w:lineRule="exact"/>
        <w:rPr>
          <w:rFonts w:ascii="Arial" w:cs="Arial" w:eastAsia="Arial" w:hAnsi="Arial"/>
          <w:sz w:val="18"/>
          <w:szCs w:val="18"/>
          <w:color w:val="auto"/>
        </w:rPr>
      </w:pPr>
    </w:p>
    <w:p>
      <w:pPr>
        <w:ind w:left="980" w:hanging="972"/>
        <w:spacing w:after="0" w:line="332" w:lineRule="auto"/>
        <w:tabs>
          <w:tab w:leader="none" w:pos="98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description of our common stock contained in the Registration Statement on Form 8-A filed pursuant to Section 12(b) of the Exchange Act on May 3, 2016, including any amendment or report filed with the Commission for the purpose of updating this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616585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 w:name="page5"/>
    <w:bookmarkEnd w:id="4"/>
    <w:p>
      <w:pPr>
        <w:jc w:val="both"/>
        <w:ind w:firstLine="885"/>
        <w:spacing w:after="0" w:line="290" w:lineRule="auto"/>
        <w:rPr>
          <w:sz w:val="20"/>
          <w:szCs w:val="20"/>
          <w:color w:val="auto"/>
        </w:rPr>
      </w:pPr>
      <w:r>
        <w:rPr>
          <w:rFonts w:ascii="Arial" w:cs="Arial" w:eastAsia="Arial" w:hAnsi="Arial"/>
          <w:sz w:val="16"/>
          <w:szCs w:val="16"/>
          <w:color w:val="auto"/>
        </w:rPr>
        <w:t>Until such time that a post-effective amendment to this Registration Statement has been filed which indicates that all securities offered hereby have been sold or which deregisters all securities remaining unsold at the time of such amendment, all documents subsequently filed by the Registrant pursuant to Sections 13(a), 13(c), 14 and 15(d) of the Securities Exchange Act of 1934, as amended, shall be deemed to be incorporated by reference in this Registration Statement and to be a part hereof from the date of filing of such documents. Any statement contained herein or in a document incorporated or deemed to be incorporated by reference herein shall be deemed to be modified or superseded for purposes of this Registration Statement to the extent that a statement contained herein or in any subsequently filed document which is also deemed to be incorporated by reference herein modifies or supersedes such statement. Any such statement so modified or superseded shall not be deemed, except as so modified or superseded, to constitute a part of this Registration Statement.</w:t>
      </w:r>
    </w:p>
    <w:p>
      <w:pPr>
        <w:spacing w:after="0" w:line="16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Description of Securities</w:t>
      </w:r>
    </w:p>
    <w:p>
      <w:pPr>
        <w:spacing w:after="0" w:line="23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Interests of Named Experts and Counsel</w:t>
      </w:r>
    </w:p>
    <w:p>
      <w:pPr>
        <w:spacing w:after="0" w:line="23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Indemnification of Directors and Officers</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Limitations of liability and indemnification</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Our amended and restated bylaws (</w:t>
      </w:r>
      <w:r>
        <w:rPr>
          <w:rFonts w:ascii="Arial" w:cs="Arial" w:eastAsia="Arial" w:hAnsi="Arial"/>
          <w:sz w:val="18"/>
          <w:szCs w:val="18"/>
          <w:i w:val="1"/>
          <w:iCs w:val="1"/>
          <w:color w:val="auto"/>
        </w:rPr>
        <w:t>bylaws</w:t>
      </w:r>
      <w:r>
        <w:rPr>
          <w:rFonts w:ascii="Arial" w:cs="Arial" w:eastAsia="Arial" w:hAnsi="Arial"/>
          <w:sz w:val="18"/>
          <w:szCs w:val="18"/>
          <w:color w:val="auto"/>
        </w:rPr>
        <w:t>) provide that we will indemnify our directors, officers and employees to the fullest extent permitted by the Nevada Revised Statutes (</w:t>
      </w:r>
      <w:r>
        <w:rPr>
          <w:rFonts w:ascii="Arial" w:cs="Arial" w:eastAsia="Arial" w:hAnsi="Arial"/>
          <w:sz w:val="18"/>
          <w:szCs w:val="18"/>
          <w:i w:val="1"/>
          <w:iCs w:val="1"/>
          <w:color w:val="auto"/>
        </w:rPr>
        <w:t>NRS</w:t>
      </w:r>
      <w:r>
        <w:rPr>
          <w:rFonts w:ascii="Arial" w:cs="Arial" w:eastAsia="Arial" w:hAnsi="Arial"/>
          <w:sz w:val="18"/>
          <w:szCs w:val="18"/>
          <w:color w:val="auto"/>
        </w:rPr>
        <w:t>).</w:t>
      </w:r>
    </w:p>
    <w:p>
      <w:pPr>
        <w:spacing w:after="0" w:line="18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If the NRS are amended to authorize corporate action further eliminating or limiting the personal liability of a director, then the liability of our directors will be eliminated or limited to the fullest extent permitted by the NRS, as so amended. Our Articles of Incorporation do not eliminate a director’s duty of care and, in appropriate circumstances, equitable remedies, such as injunctive or other forms of non-monetary relief, will remain available under the NRS. This provision also does not affect a director’s responsibilities under any other laws, such as the federal securities laws or other state or federal laws. Under our bylaws, we are empowered to enter into indemnification agreements with our directors, officers and employees to purchase insurance on behalf of any person whom we are required or permitted to indemnify.</w:t>
      </w:r>
    </w:p>
    <w:p>
      <w:pPr>
        <w:spacing w:after="0" w:line="19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In addition to the indemnification required in our bylaws, we have entered into indemnification agreements with each of the individuals serving on our board of directors. These agreements provide for the indemnification of our directors to the fullest extent permitted by law. We believe that these bylaw provisions and indemnification agreements are necessary to attract and retain qualified persons as directors, officers and employees. We also maintain directors’ and officers’ liability insurance.</w:t>
      </w:r>
    </w:p>
    <w:p>
      <w:pPr>
        <w:spacing w:after="0" w:line="197" w:lineRule="exact"/>
        <w:rPr>
          <w:sz w:val="20"/>
          <w:szCs w:val="20"/>
          <w:color w:val="auto"/>
        </w:rPr>
      </w:pPr>
    </w:p>
    <w:p>
      <w:pPr>
        <w:jc w:val="both"/>
        <w:ind w:firstLine="696"/>
        <w:spacing w:after="0" w:line="298" w:lineRule="auto"/>
        <w:rPr>
          <w:sz w:val="20"/>
          <w:szCs w:val="20"/>
          <w:color w:val="auto"/>
        </w:rPr>
      </w:pPr>
      <w:r>
        <w:rPr>
          <w:rFonts w:ascii="Arial" w:cs="Arial" w:eastAsia="Arial" w:hAnsi="Arial"/>
          <w:sz w:val="16"/>
          <w:szCs w:val="16"/>
          <w:color w:val="auto"/>
        </w:rPr>
        <w:t>The limitation of liability and indemnification provisions in our bylaws may discourage stockholders from bringing a lawsuit against our directors and officers for breach of their fiduciary duties. They may also reduce the likelihood of derivative litigation against our directors and officers, even though an action, if successful, might benefit us and our stockholders. Further, a stockholder’s investment may be adversely affected to the extent that we pay the costs of settlement and damage awards against our directors and officers pursuant to these indemnification provisions.</w:t>
      </w:r>
    </w:p>
    <w:p>
      <w:pPr>
        <w:spacing w:after="0" w:line="167" w:lineRule="exact"/>
        <w:rPr>
          <w:sz w:val="20"/>
          <w:szCs w:val="20"/>
          <w:color w:val="auto"/>
        </w:rPr>
      </w:pPr>
    </w:p>
    <w:p>
      <w:pPr>
        <w:jc w:val="both"/>
        <w:ind w:firstLine="702"/>
        <w:spacing w:after="0" w:line="259" w:lineRule="auto"/>
        <w:rPr>
          <w:sz w:val="20"/>
          <w:szCs w:val="20"/>
          <w:color w:val="auto"/>
        </w:rPr>
      </w:pPr>
      <w:r>
        <w:rPr>
          <w:rFonts w:ascii="Arial" w:cs="Arial" w:eastAsia="Arial" w:hAnsi="Arial"/>
          <w:sz w:val="18"/>
          <w:szCs w:val="18"/>
          <w:color w:val="auto"/>
        </w:rPr>
        <w:t>Insofar as indemnification for liabilities arising under the Securities Act may be permitted to our directors, officers and certain employees pursuant to the foregoing provisions, or otherwise, we have been advised that, in the opinion of the SEC, such indemnification is against public policy as expressed in the Securities Act, and is, therefore, unenforceable.</w:t>
      </w:r>
    </w:p>
    <w:p>
      <w:pPr>
        <w:spacing w:after="0" w:line="194" w:lineRule="exact"/>
        <w:rPr>
          <w:sz w:val="20"/>
          <w:szCs w:val="20"/>
          <w:color w:val="auto"/>
        </w:rPr>
      </w:pPr>
    </w:p>
    <w:p>
      <w:pPr>
        <w:jc w:val="both"/>
        <w:ind w:firstLine="692"/>
        <w:spacing w:after="0" w:line="268" w:lineRule="auto"/>
        <w:rPr>
          <w:sz w:val="20"/>
          <w:szCs w:val="20"/>
          <w:color w:val="auto"/>
        </w:rPr>
      </w:pPr>
      <w:r>
        <w:rPr>
          <w:rFonts w:ascii="Arial" w:cs="Arial" w:eastAsia="Arial" w:hAnsi="Arial"/>
          <w:sz w:val="18"/>
          <w:szCs w:val="18"/>
          <w:color w:val="auto"/>
        </w:rPr>
        <w:t>There is no pending litigation or proceeding naming us or any of our directors or officers as to which indemnification is being sought, nor are we aware of any pending or threatened litigation that may result in claims for indemnification.</w:t>
      </w:r>
    </w:p>
    <w:p>
      <w:pPr>
        <w:spacing w:after="0" w:line="18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Exemption from Registration Claimed</w:t>
      </w:r>
    </w:p>
    <w:p>
      <w:pPr>
        <w:spacing w:after="0" w:line="23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28"/>
        </w:trPr>
        <w:tc>
          <w:tcPr>
            <w:tcW w:w="660" w:type="dxa"/>
            <w:vAlign w:val="bottom"/>
            <w:gridSpan w:val="6"/>
          </w:tcPr>
          <w:p>
            <w:pPr>
              <w:spacing w:after="0"/>
              <w:rPr>
                <w:sz w:val="20"/>
                <w:szCs w:val="20"/>
                <w:color w:val="auto"/>
              </w:rPr>
            </w:pPr>
            <w:r>
              <w:rPr>
                <w:rFonts w:ascii="Arial" w:cs="Arial" w:eastAsia="Arial" w:hAnsi="Arial"/>
                <w:sz w:val="18"/>
                <w:szCs w:val="18"/>
                <w:b w:val="1"/>
                <w:bCs w:val="1"/>
                <w:color w:val="auto"/>
              </w:rPr>
              <w:t>Item 8.</w:t>
            </w:r>
          </w:p>
        </w:tc>
        <w:tc>
          <w:tcPr>
            <w:tcW w:w="220" w:type="dxa"/>
            <w:vAlign w:val="bottom"/>
          </w:tcPr>
          <w:p>
            <w:pPr>
              <w:spacing w:after="0"/>
              <w:rPr>
                <w:sz w:val="19"/>
                <w:szCs w:val="19"/>
                <w:color w:val="auto"/>
              </w:rPr>
            </w:pPr>
          </w:p>
        </w:tc>
        <w:tc>
          <w:tcPr>
            <w:tcW w:w="4220" w:type="dxa"/>
            <w:vAlign w:val="bottom"/>
          </w:tcPr>
          <w:p>
            <w:pPr>
              <w:ind w:left="40"/>
              <w:spacing w:after="0"/>
              <w:rPr>
                <w:sz w:val="20"/>
                <w:szCs w:val="20"/>
                <w:color w:val="auto"/>
              </w:rPr>
            </w:pPr>
            <w:r>
              <w:rPr>
                <w:rFonts w:ascii="Arial" w:cs="Arial" w:eastAsia="Arial" w:hAnsi="Arial"/>
                <w:sz w:val="18"/>
                <w:szCs w:val="18"/>
                <w:b w:val="1"/>
                <w:bCs w:val="1"/>
                <w:color w:val="auto"/>
              </w:rPr>
              <w:t>Exhibits</w:t>
            </w:r>
          </w:p>
        </w:tc>
        <w:tc>
          <w:tcPr>
            <w:tcW w:w="100" w:type="dxa"/>
            <w:vAlign w:val="bottom"/>
          </w:tcPr>
          <w:p>
            <w:pPr>
              <w:spacing w:after="0"/>
              <w:rPr>
                <w:sz w:val="19"/>
                <w:szCs w:val="19"/>
                <w:color w:val="auto"/>
              </w:rPr>
            </w:pPr>
          </w:p>
        </w:tc>
        <w:tc>
          <w:tcPr>
            <w:tcW w:w="6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0"/>
        </w:trPr>
        <w:tc>
          <w:tcPr>
            <w:tcW w:w="20" w:type="dxa"/>
            <w:vAlign w:val="bottom"/>
          </w:tcPr>
          <w:p>
            <w:pPr>
              <w:spacing w:after="0"/>
              <w:rPr>
                <w:sz w:val="24"/>
                <w:szCs w:val="24"/>
                <w:color w:val="auto"/>
              </w:rPr>
            </w:pPr>
          </w:p>
        </w:tc>
        <w:tc>
          <w:tcPr>
            <w:tcW w:w="640" w:type="dxa"/>
            <w:vAlign w:val="bottom"/>
            <w:gridSpan w:val="5"/>
          </w:tcPr>
          <w:p>
            <w:pPr>
              <w:jc w:val="center"/>
              <w:spacing w:after="0"/>
              <w:rPr>
                <w:sz w:val="20"/>
                <w:szCs w:val="20"/>
                <w:color w:val="auto"/>
              </w:rPr>
            </w:pPr>
            <w:r>
              <w:rPr>
                <w:rFonts w:ascii="Arial" w:cs="Arial" w:eastAsia="Arial" w:hAnsi="Arial"/>
                <w:sz w:val="18"/>
                <w:szCs w:val="18"/>
                <w:b w:val="1"/>
                <w:bCs w:val="1"/>
                <w:color w:val="auto"/>
                <w:w w:val="93"/>
              </w:rPr>
              <w:t>Exhibit</w:t>
            </w:r>
          </w:p>
        </w:tc>
        <w:tc>
          <w:tcPr>
            <w:tcW w:w="2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gridSpan w:val="4"/>
          </w:tcPr>
          <w:p>
            <w:pPr>
              <w:jc w:val="center"/>
              <w:ind w:right="180"/>
              <w:spacing w:after="0"/>
              <w:rPr>
                <w:sz w:val="20"/>
                <w:szCs w:val="20"/>
                <w:color w:val="auto"/>
              </w:rPr>
            </w:pPr>
            <w:r>
              <w:rPr>
                <w:rFonts w:ascii="Arial" w:cs="Arial" w:eastAsia="Arial" w:hAnsi="Arial"/>
                <w:sz w:val="18"/>
                <w:szCs w:val="18"/>
                <w:b w:val="1"/>
                <w:bCs w:val="1"/>
                <w:color w:val="auto"/>
                <w:w w:val="89"/>
              </w:rPr>
              <w:t>No.</w:t>
            </w:r>
          </w:p>
        </w:tc>
        <w:tc>
          <w:tcPr>
            <w:tcW w:w="220" w:type="dxa"/>
            <w:vAlign w:val="bottom"/>
          </w:tcPr>
          <w:p>
            <w:pPr>
              <w:spacing w:after="0"/>
              <w:rPr>
                <w:sz w:val="20"/>
                <w:szCs w:val="20"/>
                <w:color w:val="auto"/>
              </w:rPr>
            </w:pPr>
          </w:p>
        </w:tc>
        <w:tc>
          <w:tcPr>
            <w:tcW w:w="4220" w:type="dxa"/>
            <w:vAlign w:val="bottom"/>
          </w:tcPr>
          <w:p>
            <w:pPr>
              <w:ind w:left="1300"/>
              <w:spacing w:after="0"/>
              <w:rPr>
                <w:sz w:val="20"/>
                <w:szCs w:val="20"/>
                <w:color w:val="auto"/>
              </w:rPr>
            </w:pPr>
            <w:r>
              <w:rPr>
                <w:rFonts w:ascii="Arial" w:cs="Arial" w:eastAsia="Arial" w:hAnsi="Arial"/>
                <w:sz w:val="18"/>
                <w:szCs w:val="18"/>
                <w:b w:val="1"/>
                <w:bCs w:val="1"/>
                <w:color w:val="auto"/>
              </w:rPr>
              <w:t>Document Description</w:t>
            </w:r>
          </w:p>
        </w:tc>
        <w:tc>
          <w:tcPr>
            <w:tcW w:w="100" w:type="dxa"/>
            <w:vAlign w:val="bottom"/>
          </w:tcPr>
          <w:p>
            <w:pPr>
              <w:spacing w:after="0"/>
              <w:rPr>
                <w:sz w:val="20"/>
                <w:szCs w:val="20"/>
                <w:color w:val="auto"/>
              </w:rPr>
            </w:pPr>
          </w:p>
        </w:tc>
        <w:tc>
          <w:tcPr>
            <w:tcW w:w="6220" w:type="dxa"/>
            <w:vAlign w:val="bottom"/>
            <w:gridSpan w:val="2"/>
          </w:tcPr>
          <w:p>
            <w:pPr>
              <w:ind w:left="2080"/>
              <w:spacing w:after="0"/>
              <w:rPr>
                <w:sz w:val="20"/>
                <w:szCs w:val="20"/>
                <w:color w:val="auto"/>
              </w:rPr>
            </w:pPr>
            <w:r>
              <w:rPr>
                <w:rFonts w:ascii="Arial" w:cs="Arial" w:eastAsia="Arial" w:hAnsi="Arial"/>
                <w:sz w:val="18"/>
                <w:szCs w:val="18"/>
                <w:b w:val="1"/>
                <w:bCs w:val="1"/>
                <w:color w:val="auto"/>
              </w:rPr>
              <w:t>Incorporation by Reference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1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20" w:type="dxa"/>
            <w:vAlign w:val="bottom"/>
            <w:gridSpan w:val="3"/>
            <w:shd w:val="clear" w:color="auto" w:fill="CCEEFF"/>
          </w:tcPr>
          <w:p>
            <w:pPr>
              <w:jc w:val="center"/>
              <w:ind w:left="112"/>
              <w:spacing w:after="0" w:line="176" w:lineRule="exact"/>
              <w:rPr>
                <w:sz w:val="20"/>
                <w:szCs w:val="20"/>
                <w:color w:val="auto"/>
              </w:rPr>
            </w:pPr>
            <w:r>
              <w:rPr>
                <w:rFonts w:ascii="Arial" w:cs="Arial" w:eastAsia="Arial" w:hAnsi="Arial"/>
                <w:sz w:val="18"/>
                <w:szCs w:val="18"/>
                <w:color w:val="0000EE"/>
                <w:w w:val="87"/>
              </w:rPr>
              <w:t>5.</w:t>
            </w:r>
            <w:r>
              <w:rPr>
                <w:rFonts w:ascii="Arial" w:cs="Arial" w:eastAsia="Arial" w:hAnsi="Arial"/>
                <w:sz w:val="18"/>
                <w:szCs w:val="18"/>
                <w:u w:val="single" w:color="auto"/>
                <w:color w:val="0000EE"/>
                <w:w w:val="87"/>
              </w:rPr>
              <w:t>1</w:t>
            </w: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440" w:type="dxa"/>
            <w:vAlign w:val="bottom"/>
            <w:gridSpan w:val="2"/>
            <w:shd w:val="clear" w:color="auto" w:fill="CCEEFF"/>
          </w:tcPr>
          <w:p>
            <w:pPr>
              <w:ind w:left="220"/>
              <w:spacing w:after="0" w:line="176" w:lineRule="exact"/>
              <w:rPr>
                <w:sz w:val="20"/>
                <w:szCs w:val="20"/>
                <w:color w:val="auto"/>
              </w:rPr>
            </w:pPr>
            <w:r>
              <w:rPr>
                <w:rFonts w:ascii="Arial" w:cs="Arial" w:eastAsia="Arial" w:hAnsi="Arial"/>
                <w:sz w:val="18"/>
                <w:szCs w:val="18"/>
                <w:color w:val="auto"/>
              </w:rPr>
              <w:t>Opinion of Disclosure Law Group, a Professional</w:t>
            </w:r>
          </w:p>
        </w:tc>
        <w:tc>
          <w:tcPr>
            <w:tcW w:w="100" w:type="dxa"/>
            <w:vAlign w:val="bottom"/>
            <w:shd w:val="clear" w:color="auto" w:fill="CCEEFF"/>
          </w:tcPr>
          <w:p>
            <w:pPr>
              <w:spacing w:after="0"/>
              <w:rPr>
                <w:sz w:val="15"/>
                <w:szCs w:val="15"/>
                <w:color w:val="auto"/>
              </w:rPr>
            </w:pPr>
          </w:p>
        </w:tc>
        <w:tc>
          <w:tcPr>
            <w:tcW w:w="62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0000EE"/>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4440" w:type="dxa"/>
            <w:vAlign w:val="bottom"/>
            <w:tcBorders>
              <w:top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Corporation.</w:t>
            </w:r>
          </w:p>
        </w:tc>
        <w:tc>
          <w:tcPr>
            <w:tcW w:w="100" w:type="dxa"/>
            <w:vAlign w:val="bottom"/>
            <w:tcBorders>
              <w:top w:val="single" w:sz="8" w:color="CCEEFF"/>
            </w:tcBorders>
            <w:shd w:val="clear" w:color="auto" w:fill="CCEEFF"/>
          </w:tcPr>
          <w:p>
            <w:pPr>
              <w:spacing w:after="0"/>
              <w:rPr>
                <w:sz w:val="20"/>
                <w:szCs w:val="20"/>
                <w:color w:val="auto"/>
              </w:rPr>
            </w:pPr>
          </w:p>
        </w:tc>
        <w:tc>
          <w:tcPr>
            <w:tcW w:w="616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40" w:type="dxa"/>
            <w:vAlign w:val="bottom"/>
            <w:gridSpan w:val="5"/>
            <w:shd w:val="clear" w:color="auto" w:fill="CCEEFF"/>
          </w:tcPr>
          <w:p>
            <w:pPr>
              <w:jc w:val="center"/>
              <w:spacing w:after="0" w:line="176" w:lineRule="exact"/>
              <w:rPr>
                <w:sz w:val="20"/>
                <w:szCs w:val="20"/>
                <w:color w:val="auto"/>
              </w:rPr>
            </w:pPr>
            <w:r>
              <w:rPr>
                <w:rFonts w:ascii="Arial" w:cs="Arial" w:eastAsia="Arial" w:hAnsi="Arial"/>
                <w:sz w:val="18"/>
                <w:szCs w:val="18"/>
                <w:color w:val="0000EE"/>
                <w:w w:val="91"/>
              </w:rPr>
              <w:t>23.</w:t>
            </w:r>
            <w:r>
              <w:rPr>
                <w:rFonts w:ascii="Arial" w:cs="Arial" w:eastAsia="Arial" w:hAnsi="Arial"/>
                <w:sz w:val="18"/>
                <w:szCs w:val="18"/>
                <w:u w:val="single" w:color="auto"/>
                <w:color w:val="0000EE"/>
                <w:w w:val="91"/>
              </w:rPr>
              <w:t>1</w:t>
            </w:r>
          </w:p>
        </w:tc>
        <w:tc>
          <w:tcPr>
            <w:tcW w:w="4440" w:type="dxa"/>
            <w:vAlign w:val="bottom"/>
            <w:gridSpan w:val="2"/>
            <w:shd w:val="clear" w:color="auto" w:fill="CCEEFF"/>
          </w:tcPr>
          <w:p>
            <w:pPr>
              <w:ind w:left="220"/>
              <w:spacing w:after="0" w:line="176" w:lineRule="exact"/>
              <w:rPr>
                <w:sz w:val="20"/>
                <w:szCs w:val="20"/>
                <w:color w:val="auto"/>
              </w:rPr>
            </w:pPr>
            <w:r>
              <w:rPr>
                <w:rFonts w:ascii="Arial" w:cs="Arial" w:eastAsia="Arial" w:hAnsi="Arial"/>
                <w:sz w:val="18"/>
                <w:szCs w:val="18"/>
                <w:color w:val="auto"/>
                <w:w w:val="99"/>
              </w:rPr>
              <w:t>Consent of OUM &amp; Co., LLP, independent registered</w:t>
            </w:r>
          </w:p>
        </w:tc>
        <w:tc>
          <w:tcPr>
            <w:tcW w:w="100" w:type="dxa"/>
            <w:vAlign w:val="bottom"/>
            <w:shd w:val="clear" w:color="auto" w:fill="CCEEFF"/>
          </w:tcPr>
          <w:p>
            <w:pPr>
              <w:spacing w:after="0"/>
              <w:rPr>
                <w:sz w:val="15"/>
                <w:szCs w:val="15"/>
                <w:color w:val="auto"/>
              </w:rPr>
            </w:pPr>
          </w:p>
        </w:tc>
        <w:tc>
          <w:tcPr>
            <w:tcW w:w="62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220" w:type="dxa"/>
            <w:vAlign w:val="bottom"/>
            <w:tcBorders>
              <w:top w:val="single" w:sz="8" w:color="0000EE"/>
            </w:tcBorders>
            <w:shd w:val="clear" w:color="auto" w:fill="CCEEFF"/>
          </w:tcPr>
          <w:p>
            <w:pPr>
              <w:spacing w:after="0"/>
              <w:rPr>
                <w:sz w:val="20"/>
                <w:szCs w:val="20"/>
                <w:color w:val="auto"/>
              </w:rPr>
            </w:pPr>
          </w:p>
        </w:tc>
        <w:tc>
          <w:tcPr>
            <w:tcW w:w="60" w:type="dxa"/>
            <w:vAlign w:val="bottom"/>
            <w:tcBorders>
              <w:top w:val="single" w:sz="8" w:color="0000EE"/>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4440" w:type="dxa"/>
            <w:vAlign w:val="bottom"/>
            <w:tcBorders>
              <w:top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public accounting firm</w:t>
            </w:r>
          </w:p>
        </w:tc>
        <w:tc>
          <w:tcPr>
            <w:tcW w:w="100" w:type="dxa"/>
            <w:vAlign w:val="bottom"/>
            <w:tcBorders>
              <w:top w:val="single" w:sz="8" w:color="CCEEFF"/>
            </w:tcBorders>
            <w:shd w:val="clear" w:color="auto" w:fill="CCEEFF"/>
          </w:tcPr>
          <w:p>
            <w:pPr>
              <w:spacing w:after="0"/>
              <w:rPr>
                <w:sz w:val="20"/>
                <w:szCs w:val="20"/>
                <w:color w:val="auto"/>
              </w:rPr>
            </w:pPr>
          </w:p>
        </w:tc>
        <w:tc>
          <w:tcPr>
            <w:tcW w:w="616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40" w:type="dxa"/>
            <w:vAlign w:val="bottom"/>
            <w:gridSpan w:val="5"/>
            <w:shd w:val="clear" w:color="auto" w:fill="CCEEFF"/>
          </w:tcPr>
          <w:p>
            <w:pPr>
              <w:jc w:val="center"/>
              <w:spacing w:after="0" w:line="176" w:lineRule="exact"/>
              <w:rPr>
                <w:sz w:val="20"/>
                <w:szCs w:val="20"/>
                <w:color w:val="auto"/>
              </w:rPr>
            </w:pPr>
            <w:r>
              <w:rPr>
                <w:rFonts w:ascii="Arial" w:cs="Arial" w:eastAsia="Arial" w:hAnsi="Arial"/>
                <w:sz w:val="18"/>
                <w:szCs w:val="18"/>
                <w:color w:val="0000EE"/>
                <w:w w:val="91"/>
              </w:rPr>
              <w:t>23.</w:t>
            </w:r>
            <w:r>
              <w:rPr>
                <w:rFonts w:ascii="Arial" w:cs="Arial" w:eastAsia="Arial" w:hAnsi="Arial"/>
                <w:sz w:val="18"/>
                <w:szCs w:val="18"/>
                <w:u w:val="single" w:color="auto"/>
                <w:color w:val="0000EE"/>
                <w:w w:val="91"/>
              </w:rPr>
              <w:t>2</w:t>
            </w:r>
          </w:p>
        </w:tc>
        <w:tc>
          <w:tcPr>
            <w:tcW w:w="4440" w:type="dxa"/>
            <w:vAlign w:val="bottom"/>
            <w:gridSpan w:val="2"/>
            <w:shd w:val="clear" w:color="auto" w:fill="CCEEFF"/>
          </w:tcPr>
          <w:p>
            <w:pPr>
              <w:ind w:left="220"/>
              <w:spacing w:after="0" w:line="176" w:lineRule="exact"/>
              <w:rPr>
                <w:sz w:val="20"/>
                <w:szCs w:val="20"/>
                <w:color w:val="auto"/>
              </w:rPr>
            </w:pPr>
            <w:r>
              <w:rPr>
                <w:rFonts w:ascii="Arial" w:cs="Arial" w:eastAsia="Arial" w:hAnsi="Arial"/>
                <w:sz w:val="18"/>
                <w:szCs w:val="18"/>
                <w:color w:val="auto"/>
              </w:rPr>
              <w:t>Consent of Disclosure Law Group, a Professional</w:t>
            </w:r>
          </w:p>
        </w:tc>
        <w:tc>
          <w:tcPr>
            <w:tcW w:w="100" w:type="dxa"/>
            <w:vAlign w:val="bottom"/>
            <w:shd w:val="clear" w:color="auto" w:fill="CCEEFF"/>
          </w:tcPr>
          <w:p>
            <w:pPr>
              <w:spacing w:after="0"/>
              <w:rPr>
                <w:sz w:val="15"/>
                <w:szCs w:val="15"/>
                <w:color w:val="auto"/>
              </w:rPr>
            </w:pPr>
          </w:p>
        </w:tc>
        <w:tc>
          <w:tcPr>
            <w:tcW w:w="62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Included in Exhibit 5.1.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220" w:type="dxa"/>
            <w:vAlign w:val="bottom"/>
            <w:tcBorders>
              <w:top w:val="single" w:sz="8" w:color="0000EE"/>
            </w:tcBorders>
            <w:shd w:val="clear" w:color="auto" w:fill="CCEEFF"/>
          </w:tcPr>
          <w:p>
            <w:pPr>
              <w:spacing w:after="0"/>
              <w:rPr>
                <w:sz w:val="20"/>
                <w:szCs w:val="20"/>
                <w:color w:val="auto"/>
              </w:rPr>
            </w:pPr>
          </w:p>
        </w:tc>
        <w:tc>
          <w:tcPr>
            <w:tcW w:w="60" w:type="dxa"/>
            <w:vAlign w:val="bottom"/>
            <w:tcBorders>
              <w:top w:val="single" w:sz="8" w:color="0000EE"/>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4440" w:type="dxa"/>
            <w:vAlign w:val="bottom"/>
            <w:tcBorders>
              <w:top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Corporation.</w:t>
            </w:r>
          </w:p>
        </w:tc>
        <w:tc>
          <w:tcPr>
            <w:tcW w:w="100" w:type="dxa"/>
            <w:vAlign w:val="bottom"/>
            <w:tcBorders>
              <w:top w:val="single" w:sz="8" w:color="CCEEFF"/>
            </w:tcBorders>
            <w:shd w:val="clear" w:color="auto" w:fill="CCEEFF"/>
          </w:tcPr>
          <w:p>
            <w:pPr>
              <w:spacing w:after="0"/>
              <w:rPr>
                <w:sz w:val="20"/>
                <w:szCs w:val="20"/>
                <w:color w:val="auto"/>
              </w:rPr>
            </w:pPr>
          </w:p>
        </w:tc>
        <w:tc>
          <w:tcPr>
            <w:tcW w:w="616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640" w:type="dxa"/>
            <w:vAlign w:val="bottom"/>
            <w:gridSpan w:val="5"/>
            <w:shd w:val="clear" w:color="auto" w:fill="CCEEFF"/>
          </w:tcPr>
          <w:p>
            <w:pPr>
              <w:jc w:val="center"/>
              <w:spacing w:after="0" w:line="176" w:lineRule="exact"/>
              <w:rPr>
                <w:rFonts w:ascii="Arial" w:cs="Arial" w:eastAsia="Arial" w:hAnsi="Arial"/>
                <w:sz w:val="18"/>
                <w:szCs w:val="18"/>
                <w:color w:val="0000EE"/>
                <w:w w:val="91"/>
              </w:rPr>
            </w:pPr>
            <w:hyperlink w:anchor="page7">
              <w:r>
                <w:rPr>
                  <w:rFonts w:ascii="Arial" w:cs="Arial" w:eastAsia="Arial" w:hAnsi="Arial"/>
                  <w:sz w:val="18"/>
                  <w:szCs w:val="18"/>
                  <w:color w:val="0000EE"/>
                  <w:w w:val="91"/>
                </w:rPr>
                <w:t>24.</w:t>
              </w:r>
              <w:r>
                <w:rPr>
                  <w:rFonts w:ascii="Arial" w:cs="Arial" w:eastAsia="Arial" w:hAnsi="Arial"/>
                  <w:sz w:val="18"/>
                  <w:szCs w:val="18"/>
                  <w:u w:val="single" w:color="auto"/>
                  <w:color w:val="0000EE"/>
                  <w:w w:val="91"/>
                </w:rPr>
                <w:t>1</w:t>
              </w:r>
            </w:hyperlink>
          </w:p>
        </w:tc>
        <w:tc>
          <w:tcPr>
            <w:tcW w:w="4440" w:type="dxa"/>
            <w:vAlign w:val="bottom"/>
            <w:gridSpan w:val="2"/>
            <w:shd w:val="clear" w:color="auto" w:fill="CCEEFF"/>
          </w:tcPr>
          <w:p>
            <w:pPr>
              <w:ind w:left="220"/>
              <w:spacing w:after="0" w:line="176" w:lineRule="exact"/>
              <w:rPr>
                <w:sz w:val="20"/>
                <w:szCs w:val="20"/>
                <w:color w:val="auto"/>
              </w:rPr>
            </w:pPr>
            <w:r>
              <w:rPr>
                <w:rFonts w:ascii="Arial" w:cs="Arial" w:eastAsia="Arial" w:hAnsi="Arial"/>
                <w:sz w:val="18"/>
                <w:szCs w:val="18"/>
                <w:color w:val="auto"/>
              </w:rPr>
              <w:t>Power of Attorney</w:t>
            </w:r>
          </w:p>
        </w:tc>
        <w:tc>
          <w:tcPr>
            <w:tcW w:w="100" w:type="dxa"/>
            <w:vAlign w:val="bottom"/>
            <w:shd w:val="clear" w:color="auto" w:fill="CCEEFF"/>
          </w:tcPr>
          <w:p>
            <w:pPr>
              <w:spacing w:after="0"/>
              <w:rPr>
                <w:sz w:val="17"/>
                <w:szCs w:val="17"/>
                <w:color w:val="auto"/>
              </w:rPr>
            </w:pPr>
          </w:p>
        </w:tc>
        <w:tc>
          <w:tcPr>
            <w:tcW w:w="62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Included on the signature page of this Registration Statement.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2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40" w:type="dxa"/>
            <w:vAlign w:val="bottom"/>
            <w:gridSpan w:val="5"/>
            <w:shd w:val="clear" w:color="auto" w:fill="CCEEFF"/>
          </w:tcPr>
          <w:p>
            <w:pPr>
              <w:jc w:val="center"/>
              <w:spacing w:after="0" w:line="176" w:lineRule="exact"/>
              <w:rPr>
                <w:rFonts w:ascii="Arial" w:cs="Arial" w:eastAsia="Arial" w:hAnsi="Arial"/>
                <w:sz w:val="18"/>
                <w:szCs w:val="18"/>
                <w:color w:val="0000EE"/>
                <w:w w:val="91"/>
              </w:rPr>
            </w:pPr>
            <w:hyperlink r:id="rId14">
              <w:r>
                <w:rPr>
                  <w:rFonts w:ascii="Arial" w:cs="Arial" w:eastAsia="Arial" w:hAnsi="Arial"/>
                  <w:sz w:val="18"/>
                  <w:szCs w:val="18"/>
                  <w:color w:val="0000EE"/>
                  <w:w w:val="91"/>
                </w:rPr>
                <w:t>99.</w:t>
              </w:r>
              <w:r>
                <w:rPr>
                  <w:rFonts w:ascii="Arial" w:cs="Arial" w:eastAsia="Arial" w:hAnsi="Arial"/>
                  <w:sz w:val="18"/>
                  <w:szCs w:val="18"/>
                  <w:u w:val="single" w:color="auto"/>
                  <w:color w:val="0000EE"/>
                  <w:w w:val="91"/>
                </w:rPr>
                <w:t>1</w:t>
              </w:r>
            </w:hyperlink>
          </w:p>
        </w:tc>
        <w:tc>
          <w:tcPr>
            <w:tcW w:w="4440" w:type="dxa"/>
            <w:vAlign w:val="bottom"/>
            <w:gridSpan w:val="2"/>
            <w:shd w:val="clear" w:color="auto" w:fill="CCEEFF"/>
          </w:tcPr>
          <w:p>
            <w:pPr>
              <w:ind w:left="220"/>
              <w:spacing w:after="0" w:line="176" w:lineRule="exact"/>
              <w:rPr>
                <w:sz w:val="20"/>
                <w:szCs w:val="20"/>
                <w:color w:val="auto"/>
              </w:rPr>
            </w:pPr>
            <w:r>
              <w:rPr>
                <w:rFonts w:ascii="Arial" w:cs="Arial" w:eastAsia="Arial" w:hAnsi="Arial"/>
                <w:sz w:val="18"/>
                <w:szCs w:val="18"/>
                <w:color w:val="auto"/>
              </w:rPr>
              <w:t>VistaGen Therapeutics, Inc. 2019 Omnibus Equity</w:t>
            </w:r>
          </w:p>
        </w:tc>
        <w:tc>
          <w:tcPr>
            <w:tcW w:w="100" w:type="dxa"/>
            <w:vAlign w:val="bottom"/>
            <w:shd w:val="clear" w:color="auto" w:fill="CCEEFF"/>
          </w:tcPr>
          <w:p>
            <w:pPr>
              <w:spacing w:after="0"/>
              <w:rPr>
                <w:sz w:val="15"/>
                <w:szCs w:val="15"/>
                <w:color w:val="auto"/>
              </w:rPr>
            </w:pPr>
          </w:p>
        </w:tc>
        <w:tc>
          <w:tcPr>
            <w:tcW w:w="62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w w:val="99"/>
              </w:rPr>
              <w:t>Incorporated by reference to Appendix B from the Registrant’s Definitive Proxy</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220" w:type="dxa"/>
            <w:vAlign w:val="bottom"/>
            <w:tcBorders>
              <w:top w:val="single" w:sz="8" w:color="0000EE"/>
            </w:tcBorders>
            <w:shd w:val="clear" w:color="auto" w:fill="CCEEFF"/>
          </w:tcPr>
          <w:p>
            <w:pPr>
              <w:spacing w:after="0"/>
              <w:rPr>
                <w:sz w:val="20"/>
                <w:szCs w:val="20"/>
                <w:color w:val="auto"/>
              </w:rPr>
            </w:pPr>
          </w:p>
        </w:tc>
        <w:tc>
          <w:tcPr>
            <w:tcW w:w="60" w:type="dxa"/>
            <w:vAlign w:val="bottom"/>
            <w:tcBorders>
              <w:top w:val="single" w:sz="8" w:color="0000EE"/>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4440" w:type="dxa"/>
            <w:vAlign w:val="bottom"/>
            <w:tcBorders>
              <w:top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Incentive Plan</w:t>
            </w:r>
          </w:p>
        </w:tc>
        <w:tc>
          <w:tcPr>
            <w:tcW w:w="100" w:type="dxa"/>
            <w:vAlign w:val="bottom"/>
            <w:tcBorders>
              <w:top w:val="single" w:sz="8" w:color="CCEEFF"/>
            </w:tcBorders>
            <w:shd w:val="clear" w:color="auto" w:fill="CCEEFF"/>
          </w:tcPr>
          <w:p>
            <w:pPr>
              <w:spacing w:after="0"/>
              <w:rPr>
                <w:sz w:val="20"/>
                <w:szCs w:val="20"/>
                <w:color w:val="auto"/>
              </w:rPr>
            </w:pPr>
          </w:p>
        </w:tc>
        <w:tc>
          <w:tcPr>
            <w:tcW w:w="62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Statement, filed with the Commission on July 23, 2019.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40" w:type="dxa"/>
            <w:vAlign w:val="bottom"/>
            <w:gridSpan w:val="5"/>
            <w:shd w:val="clear" w:color="auto" w:fill="CCEEFF"/>
          </w:tcPr>
          <w:p>
            <w:pPr>
              <w:jc w:val="center"/>
              <w:spacing w:after="0" w:line="176" w:lineRule="exact"/>
              <w:rPr>
                <w:rFonts w:ascii="Arial" w:cs="Arial" w:eastAsia="Arial" w:hAnsi="Arial"/>
                <w:sz w:val="18"/>
                <w:szCs w:val="18"/>
                <w:color w:val="0000EE"/>
                <w:w w:val="91"/>
              </w:rPr>
            </w:pPr>
            <w:hyperlink r:id="rId14">
              <w:r>
                <w:rPr>
                  <w:rFonts w:ascii="Arial" w:cs="Arial" w:eastAsia="Arial" w:hAnsi="Arial"/>
                  <w:sz w:val="18"/>
                  <w:szCs w:val="18"/>
                  <w:color w:val="0000EE"/>
                  <w:w w:val="91"/>
                </w:rPr>
                <w:t>99.</w:t>
              </w:r>
              <w:r>
                <w:rPr>
                  <w:rFonts w:ascii="Arial" w:cs="Arial" w:eastAsia="Arial" w:hAnsi="Arial"/>
                  <w:sz w:val="18"/>
                  <w:szCs w:val="18"/>
                  <w:u w:val="single" w:color="auto"/>
                  <w:color w:val="0000EE"/>
                  <w:w w:val="91"/>
                </w:rPr>
                <w:t>2</w:t>
              </w:r>
            </w:hyperlink>
          </w:p>
        </w:tc>
        <w:tc>
          <w:tcPr>
            <w:tcW w:w="4440" w:type="dxa"/>
            <w:vAlign w:val="bottom"/>
            <w:gridSpan w:val="2"/>
            <w:shd w:val="clear" w:color="auto" w:fill="CCEEFF"/>
          </w:tcPr>
          <w:p>
            <w:pPr>
              <w:ind w:left="220"/>
              <w:spacing w:after="0" w:line="176" w:lineRule="exact"/>
              <w:rPr>
                <w:sz w:val="20"/>
                <w:szCs w:val="20"/>
                <w:color w:val="auto"/>
              </w:rPr>
            </w:pPr>
            <w:r>
              <w:rPr>
                <w:rFonts w:ascii="Arial" w:cs="Arial" w:eastAsia="Arial" w:hAnsi="Arial"/>
                <w:sz w:val="18"/>
                <w:szCs w:val="18"/>
                <w:color w:val="auto"/>
              </w:rPr>
              <w:t>VistaGen Therapeutics, Inc. 2019 Employee Stock</w:t>
            </w:r>
          </w:p>
        </w:tc>
        <w:tc>
          <w:tcPr>
            <w:tcW w:w="100" w:type="dxa"/>
            <w:vAlign w:val="bottom"/>
            <w:shd w:val="clear" w:color="auto" w:fill="CCEEFF"/>
          </w:tcPr>
          <w:p>
            <w:pPr>
              <w:spacing w:after="0"/>
              <w:rPr>
                <w:sz w:val="15"/>
                <w:szCs w:val="15"/>
                <w:color w:val="auto"/>
              </w:rPr>
            </w:pPr>
          </w:p>
        </w:tc>
        <w:tc>
          <w:tcPr>
            <w:tcW w:w="62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w w:val="99"/>
              </w:rPr>
              <w:t>Incorporated by reference to Appendix C from the Registrant’s Definitive Proxy</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220" w:type="dxa"/>
            <w:vAlign w:val="bottom"/>
            <w:tcBorders>
              <w:top w:val="single" w:sz="8" w:color="0000EE"/>
            </w:tcBorders>
            <w:shd w:val="clear" w:color="auto" w:fill="CCEEFF"/>
          </w:tcPr>
          <w:p>
            <w:pPr>
              <w:spacing w:after="0"/>
              <w:rPr>
                <w:sz w:val="20"/>
                <w:szCs w:val="20"/>
                <w:color w:val="auto"/>
              </w:rPr>
            </w:pPr>
          </w:p>
        </w:tc>
        <w:tc>
          <w:tcPr>
            <w:tcW w:w="60" w:type="dxa"/>
            <w:vAlign w:val="bottom"/>
            <w:tcBorders>
              <w:top w:val="single" w:sz="8" w:color="0000EE"/>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4440" w:type="dxa"/>
            <w:vAlign w:val="bottom"/>
            <w:tcBorders>
              <w:top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Purchase Plan</w:t>
            </w:r>
          </w:p>
        </w:tc>
        <w:tc>
          <w:tcPr>
            <w:tcW w:w="100" w:type="dxa"/>
            <w:vAlign w:val="bottom"/>
            <w:tcBorders>
              <w:top w:val="single" w:sz="8" w:color="CCEEFF"/>
            </w:tcBorders>
            <w:shd w:val="clear" w:color="auto" w:fill="CCEEFF"/>
          </w:tcPr>
          <w:p>
            <w:pPr>
              <w:spacing w:after="0"/>
              <w:rPr>
                <w:sz w:val="20"/>
                <w:szCs w:val="20"/>
                <w:color w:val="auto"/>
              </w:rPr>
            </w:pPr>
          </w:p>
        </w:tc>
        <w:tc>
          <w:tcPr>
            <w:tcW w:w="62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Statement, filed with the Commission on July 23, 2019.</w:t>
            </w:r>
          </w:p>
        </w:tc>
        <w:tc>
          <w:tcPr>
            <w:tcW w:w="0" w:type="dxa"/>
            <w:vAlign w:val="bottom"/>
          </w:tcPr>
          <w:p>
            <w:pPr>
              <w:spacing w:after="0"/>
              <w:rPr>
                <w:sz w:val="1"/>
                <w:szCs w:val="1"/>
                <w:color w:val="auto"/>
              </w:rPr>
            </w:pPr>
          </w:p>
        </w:tc>
      </w:tr>
      <w:tr>
        <w:trPr>
          <w:trHeight w:val="430"/>
        </w:trPr>
        <w:tc>
          <w:tcPr>
            <w:tcW w:w="660" w:type="dxa"/>
            <w:vAlign w:val="bottom"/>
            <w:gridSpan w:val="6"/>
          </w:tcPr>
          <w:p>
            <w:pPr>
              <w:spacing w:after="0"/>
              <w:rPr>
                <w:sz w:val="20"/>
                <w:szCs w:val="20"/>
                <w:color w:val="auto"/>
              </w:rPr>
            </w:pPr>
            <w:r>
              <w:rPr>
                <w:rFonts w:ascii="Arial" w:cs="Arial" w:eastAsia="Arial" w:hAnsi="Arial"/>
                <w:sz w:val="18"/>
                <w:szCs w:val="18"/>
                <w:b w:val="1"/>
                <w:bCs w:val="1"/>
                <w:color w:val="auto"/>
              </w:rPr>
              <w:t>Item 9.</w:t>
            </w:r>
          </w:p>
        </w:tc>
        <w:tc>
          <w:tcPr>
            <w:tcW w:w="220" w:type="dxa"/>
            <w:vAlign w:val="bottom"/>
          </w:tcPr>
          <w:p>
            <w:pPr>
              <w:spacing w:after="0"/>
              <w:rPr>
                <w:sz w:val="24"/>
                <w:szCs w:val="24"/>
                <w:color w:val="auto"/>
              </w:rPr>
            </w:pPr>
          </w:p>
        </w:tc>
        <w:tc>
          <w:tcPr>
            <w:tcW w:w="4220" w:type="dxa"/>
            <w:vAlign w:val="bottom"/>
          </w:tcPr>
          <w:p>
            <w:pPr>
              <w:ind w:left="40"/>
              <w:spacing w:after="0"/>
              <w:rPr>
                <w:sz w:val="20"/>
                <w:szCs w:val="20"/>
                <w:color w:val="auto"/>
              </w:rPr>
            </w:pPr>
            <w:r>
              <w:rPr>
                <w:rFonts w:ascii="Arial" w:cs="Arial" w:eastAsia="Arial" w:hAnsi="Arial"/>
                <w:sz w:val="18"/>
                <w:szCs w:val="18"/>
                <w:b w:val="1"/>
                <w:bCs w:val="1"/>
                <w:color w:val="auto"/>
              </w:rPr>
              <w:t>Undertakings</w:t>
            </w:r>
          </w:p>
        </w:tc>
        <w:tc>
          <w:tcPr>
            <w:tcW w:w="10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680" w:hanging="321"/>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225" w:lineRule="exact"/>
        <w:rPr>
          <w:rFonts w:ascii="Arial" w:cs="Arial" w:eastAsia="Arial" w:hAnsi="Arial"/>
          <w:sz w:val="18"/>
          <w:szCs w:val="18"/>
          <w:color w:val="auto"/>
        </w:rPr>
      </w:pPr>
    </w:p>
    <w:p>
      <w:pPr>
        <w:ind w:left="1020" w:hanging="337"/>
        <w:spacing w:after="0"/>
        <w:tabs>
          <w:tab w:leader="none" w:pos="102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25" w:lineRule="exact"/>
        <w:rPr>
          <w:rFonts w:ascii="Arial" w:cs="Arial" w:eastAsia="Arial" w:hAnsi="Arial"/>
          <w:sz w:val="18"/>
          <w:szCs w:val="18"/>
          <w:color w:val="auto"/>
        </w:rPr>
      </w:pPr>
    </w:p>
    <w:p>
      <w:pPr>
        <w:ind w:left="1380" w:hanging="329"/>
        <w:spacing w:after="0"/>
        <w:tabs>
          <w:tab w:leader="none" w:pos="1380" w:val="left"/>
        </w:tabs>
        <w:numPr>
          <w:ilvl w:val="4"/>
          <w:numId w:val="3"/>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and</w:t>
      </w:r>
    </w:p>
    <w:p>
      <w:pPr>
        <w:spacing w:after="0" w:line="225" w:lineRule="exact"/>
        <w:rPr>
          <w:rFonts w:ascii="Arial" w:cs="Arial" w:eastAsia="Arial" w:hAnsi="Arial"/>
          <w:sz w:val="18"/>
          <w:szCs w:val="18"/>
          <w:color w:val="auto"/>
        </w:rPr>
      </w:pPr>
    </w:p>
    <w:p>
      <w:pPr>
        <w:ind w:firstLine="1047"/>
        <w:spacing w:after="0" w:line="332" w:lineRule="auto"/>
        <w:tabs>
          <w:tab w:leader="none" w:pos="1396" w:val="left"/>
        </w:tabs>
        <w:numPr>
          <w:ilvl w:val="4"/>
          <w:numId w:val="3"/>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the Registration Statement; and</w:t>
      </w:r>
    </w:p>
    <w:p>
      <w:pPr>
        <w:spacing w:after="0" w:line="139" w:lineRule="exact"/>
        <w:rPr>
          <w:rFonts w:ascii="Arial" w:cs="Arial" w:eastAsia="Arial" w:hAnsi="Arial"/>
          <w:sz w:val="16"/>
          <w:szCs w:val="16"/>
          <w:color w:val="auto"/>
        </w:rPr>
      </w:pPr>
    </w:p>
    <w:p>
      <w:pPr>
        <w:ind w:firstLine="1177"/>
        <w:spacing w:after="0" w:line="268" w:lineRule="auto"/>
        <w:tabs>
          <w:tab w:leader="none" w:pos="1545" w:val="left"/>
        </w:tabs>
        <w:numPr>
          <w:ilvl w:val="5"/>
          <w:numId w:val="3"/>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 and</w:t>
      </w:r>
    </w:p>
    <w:p>
      <w:pPr>
        <w:spacing w:after="0" w:line="185" w:lineRule="exact"/>
        <w:rPr>
          <w:rFonts w:ascii="Arial" w:cs="Arial" w:eastAsia="Arial" w:hAnsi="Arial"/>
          <w:sz w:val="18"/>
          <w:szCs w:val="18"/>
          <w:color w:val="auto"/>
        </w:rPr>
      </w:pPr>
    </w:p>
    <w:p>
      <w:pPr>
        <w:jc w:val="both"/>
        <w:ind w:firstLine="821"/>
        <w:spacing w:after="0" w:line="259" w:lineRule="auto"/>
        <w:tabs>
          <w:tab w:leader="none" w:pos="1198" w:val="left"/>
        </w:tabs>
        <w:numPr>
          <w:ilvl w:val="3"/>
          <w:numId w:val="3"/>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 and</w:t>
      </w:r>
    </w:p>
    <w:p>
      <w:pPr>
        <w:spacing w:after="0" w:line="194" w:lineRule="exact"/>
        <w:rPr>
          <w:rFonts w:ascii="Arial" w:cs="Arial" w:eastAsia="Arial" w:hAnsi="Arial"/>
          <w:sz w:val="18"/>
          <w:szCs w:val="18"/>
          <w:color w:val="auto"/>
        </w:rPr>
      </w:pPr>
    </w:p>
    <w:p>
      <w:pPr>
        <w:ind w:right="20" w:firstLine="707"/>
        <w:spacing w:after="0" w:line="268" w:lineRule="auto"/>
        <w:tabs>
          <w:tab w:leader="none" w:pos="1041" w:val="left"/>
        </w:tabs>
        <w:numPr>
          <w:ilvl w:val="2"/>
          <w:numId w:val="3"/>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paragraphs (1)(i) and (1)(ii) above do not apply if the information required to be included in a post-effective amendment by those</w:t>
      </w:r>
      <w:r>
        <w:rPr>
          <w:rFonts w:ascii="Arial" w:cs="Arial" w:eastAsia="Arial" w:hAnsi="Arial"/>
          <w:sz w:val="18"/>
          <w:szCs w:val="18"/>
          <w:i w:val="1"/>
          <w:iCs w:val="1"/>
          <w:color w:val="auto"/>
        </w:rPr>
        <w:t xml:space="preserve"> </w:t>
      </w:r>
      <w:r>
        <w:rPr>
          <w:rFonts w:ascii="Arial" w:cs="Arial" w:eastAsia="Arial" w:hAnsi="Arial"/>
          <w:sz w:val="18"/>
          <w:szCs w:val="18"/>
          <w:color w:val="auto"/>
        </w:rPr>
        <w:t>paragraphs is contained in reports filed with or furnished to the Commission by the Registrant pursuant to Section 13 or Section 15(d) of the Securities Exchange Act that are incorporated by reference in the Registration Statement.</w:t>
      </w:r>
    </w:p>
    <w:p>
      <w:pPr>
        <w:spacing w:after="0" w:line="194" w:lineRule="exact"/>
        <w:rPr>
          <w:sz w:val="20"/>
          <w:szCs w:val="20"/>
          <w:color w:val="auto"/>
        </w:rPr>
      </w:pPr>
    </w:p>
    <w:p>
      <w:pPr>
        <w:jc w:val="both"/>
        <w:ind w:firstLine="446"/>
        <w:spacing w:after="0" w:line="298" w:lineRule="auto"/>
        <w:tabs>
          <w:tab w:leader="none" w:pos="804" w:val="left"/>
        </w:tabs>
        <w:numPr>
          <w:ilvl w:val="1"/>
          <w:numId w:val="4"/>
        </w:numPr>
        <w:rPr>
          <w:rFonts w:ascii="Arial" w:cs="Arial" w:eastAsia="Arial" w:hAnsi="Arial"/>
          <w:sz w:val="16"/>
          <w:szCs w:val="16"/>
          <w:color w:val="auto"/>
        </w:rPr>
      </w:pPr>
      <w:r>
        <w:rPr>
          <w:rFonts w:ascii="Arial" w:cs="Arial" w:eastAsia="Arial" w:hAnsi="Arial"/>
          <w:sz w:val="16"/>
          <w:szCs w:val="16"/>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pacing w:after="0" w:line="166" w:lineRule="exact"/>
        <w:rPr>
          <w:rFonts w:ascii="Arial" w:cs="Arial" w:eastAsia="Arial" w:hAnsi="Arial"/>
          <w:sz w:val="16"/>
          <w:szCs w:val="16"/>
          <w:color w:val="auto"/>
        </w:rPr>
      </w:pPr>
    </w:p>
    <w:p>
      <w:pPr>
        <w:jc w:val="both"/>
        <w:ind w:firstLine="369"/>
        <w:spacing w:after="0" w:line="290" w:lineRule="auto"/>
        <w:tabs>
          <w:tab w:leader="none" w:pos="692" w:val="left"/>
        </w:tabs>
        <w:numPr>
          <w:ilvl w:val="0"/>
          <w:numId w:val="5"/>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South San Francisco, State of California, on September 30, 2019.</w:t>
      </w:r>
    </w:p>
    <w:p>
      <w:pPr>
        <w:spacing w:after="0" w:line="188"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VistaGen Therapeutics, Inc.</w:t>
      </w:r>
    </w:p>
    <w:p>
      <w:pPr>
        <w:spacing w:after="0" w:line="23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Shawn K. Singh</w:t>
      </w:r>
    </w:p>
    <w:p>
      <w:pPr>
        <w:spacing w:after="0" w:line="1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Shawn K. Singh</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Chief Executive Officer</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64" w:lineRule="exact"/>
        <w:rPr>
          <w:sz w:val="20"/>
          <w:szCs w:val="20"/>
          <w:color w:val="auto"/>
        </w:rPr>
      </w:pPr>
    </w:p>
    <w:p>
      <w:pPr>
        <w:jc w:val="both"/>
        <w:ind w:firstLine="486"/>
        <w:spacing w:after="0" w:line="288" w:lineRule="auto"/>
        <w:rPr>
          <w:sz w:val="20"/>
          <w:szCs w:val="20"/>
          <w:color w:val="auto"/>
        </w:rPr>
      </w:pPr>
      <w:r>
        <w:rPr>
          <w:rFonts w:ascii="Arial" w:cs="Arial" w:eastAsia="Arial" w:hAnsi="Arial"/>
          <w:sz w:val="16"/>
          <w:szCs w:val="16"/>
          <w:color w:val="auto"/>
        </w:rPr>
        <w:t>KNOW ALL PERSONS BY THESE PRESENTS, that each person whose signature appears below constitutes and appoints Shawn K. Singh and Jerrold D. Dotson, and each one of them, as his or her true and lawful attorneys-in-fact and agents, with full power of substitution and resubstitution, for him or her and in their name, place and stead, in any and all capacities, to sign any and all amendments (including post-effective amendments) to this registration statement, and to sign any registration statement for the same offering covered by this registration statement that is to be effective on filing pursuant to Rule 462(b) under the Securities Act of 1933, as amended, and all post-effective amendments thereto,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might or could do in person, hereby ratifying and confirming all that said attorneys-in-fact and agents or any of them, or his substitute or substitutes, may lawfully do or cause to be done by virtue hereof.</w:t>
      </w:r>
    </w:p>
    <w:p>
      <w:pPr>
        <w:spacing w:after="0" w:line="174" w:lineRule="exact"/>
        <w:rPr>
          <w:sz w:val="20"/>
          <w:szCs w:val="20"/>
          <w:color w:val="auto"/>
        </w:rPr>
      </w:pPr>
    </w:p>
    <w:p>
      <w:pPr>
        <w:ind w:right="140" w:firstLine="648"/>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0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6"/>
          </w:tcPr>
          <w:p>
            <w:pPr>
              <w:ind w:left="160"/>
              <w:spacing w:after="0"/>
              <w:rPr>
                <w:sz w:val="20"/>
                <w:szCs w:val="20"/>
                <w:color w:val="auto"/>
              </w:rPr>
            </w:pPr>
            <w:r>
              <w:rPr>
                <w:rFonts w:ascii="Arial" w:cs="Arial" w:eastAsia="Arial" w:hAnsi="Arial"/>
                <w:sz w:val="18"/>
                <w:szCs w:val="18"/>
                <w:b w:val="1"/>
                <w:bCs w:val="1"/>
                <w:color w:val="auto"/>
              </w:rPr>
              <w:t>Signature</w:t>
            </w:r>
          </w:p>
        </w:tc>
        <w:tc>
          <w:tcPr>
            <w:tcW w:w="360" w:type="dxa"/>
            <w:vAlign w:val="bottom"/>
          </w:tcPr>
          <w:p>
            <w:pPr>
              <w:spacing w:after="0"/>
              <w:rPr>
                <w:sz w:val="20"/>
                <w:szCs w:val="20"/>
                <w:color w:val="auto"/>
              </w:rPr>
            </w:pPr>
          </w:p>
        </w:tc>
        <w:tc>
          <w:tcPr>
            <w:tcW w:w="5360" w:type="dxa"/>
            <w:vAlign w:val="bottom"/>
            <w:tcBorders>
              <w:bottom w:val="single" w:sz="8" w:color="auto"/>
            </w:tcBorders>
          </w:tcPr>
          <w:p>
            <w:pPr>
              <w:ind w:left="2420"/>
              <w:spacing w:after="0"/>
              <w:rPr>
                <w:sz w:val="20"/>
                <w:szCs w:val="20"/>
                <w:color w:val="auto"/>
              </w:rPr>
            </w:pPr>
            <w:r>
              <w:rPr>
                <w:rFonts w:ascii="Arial" w:cs="Arial" w:eastAsia="Arial" w:hAnsi="Arial"/>
                <w:sz w:val="18"/>
                <w:szCs w:val="18"/>
                <w:b w:val="1"/>
                <w:bCs w:val="1"/>
                <w:color w:val="auto"/>
              </w:rPr>
              <w:t>Title(s)</w:t>
            </w:r>
          </w:p>
        </w:tc>
        <w:tc>
          <w:tcPr>
            <w:tcW w:w="220" w:type="dxa"/>
            <w:vAlign w:val="bottom"/>
          </w:tcPr>
          <w:p>
            <w:pPr>
              <w:spacing w:after="0"/>
              <w:rPr>
                <w:sz w:val="20"/>
                <w:szCs w:val="20"/>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392"/>
        </w:trPr>
        <w:tc>
          <w:tcPr>
            <w:tcW w:w="3200" w:type="dxa"/>
            <w:vAlign w:val="bottom"/>
            <w:gridSpan w:val="8"/>
          </w:tcPr>
          <w:p>
            <w:pPr>
              <w:spacing w:after="0"/>
              <w:rPr>
                <w:sz w:val="20"/>
                <w:szCs w:val="20"/>
                <w:color w:val="auto"/>
              </w:rPr>
            </w:pPr>
            <w:r>
              <w:rPr>
                <w:rFonts w:ascii="Arial" w:cs="Arial" w:eastAsia="Arial" w:hAnsi="Arial"/>
                <w:sz w:val="18"/>
                <w:szCs w:val="18"/>
                <w:color w:val="auto"/>
              </w:rPr>
              <w:t>/s/ Shawn K. Singh</w:t>
            </w:r>
          </w:p>
        </w:tc>
        <w:tc>
          <w:tcPr>
            <w:tcW w:w="36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Chief Executive Officer, and Director</w:t>
            </w:r>
          </w:p>
        </w:tc>
        <w:tc>
          <w:tcPr>
            <w:tcW w:w="220" w:type="dxa"/>
            <w:vAlign w:val="bottom"/>
          </w:tcPr>
          <w:p>
            <w:pPr>
              <w:spacing w:after="0"/>
              <w:rPr>
                <w:sz w:val="24"/>
                <w:szCs w:val="24"/>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85"/>
              </w:rPr>
              <w:t>September 30, 2019</w:t>
            </w:r>
          </w:p>
        </w:tc>
      </w:tr>
      <w:tr>
        <w:trPr>
          <w:trHeight w:val="235"/>
        </w:trPr>
        <w:tc>
          <w:tcPr>
            <w:tcW w:w="136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Shawn K. Singh</w:t>
            </w:r>
          </w:p>
        </w:tc>
        <w:tc>
          <w:tcPr>
            <w:tcW w:w="1840" w:type="dxa"/>
            <w:vAlign w:val="bottom"/>
            <w:gridSpan w:val="5"/>
          </w:tcPr>
          <w:p>
            <w:pPr>
              <w:spacing w:after="0"/>
              <w:rPr>
                <w:sz w:val="20"/>
                <w:szCs w:val="20"/>
                <w:color w:val="auto"/>
              </w:rPr>
            </w:pPr>
          </w:p>
        </w:tc>
        <w:tc>
          <w:tcPr>
            <w:tcW w:w="36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c>
          <w:tcPr>
            <w:tcW w:w="22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394"/>
        </w:trPr>
        <w:tc>
          <w:tcPr>
            <w:tcW w:w="148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w w:val="88"/>
              </w:rPr>
              <w:t>/s/ Jerrold D. Dotson</w:t>
            </w:r>
          </w:p>
        </w:tc>
        <w:tc>
          <w:tcPr>
            <w:tcW w:w="1720" w:type="dxa"/>
            <w:vAlign w:val="bottom"/>
            <w:gridSpan w:val="4"/>
          </w:tcPr>
          <w:p>
            <w:pPr>
              <w:spacing w:after="0"/>
              <w:rPr>
                <w:sz w:val="24"/>
                <w:szCs w:val="24"/>
                <w:color w:val="auto"/>
              </w:rPr>
            </w:pPr>
          </w:p>
        </w:tc>
        <w:tc>
          <w:tcPr>
            <w:tcW w:w="36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Vice President and Chief Financial Officer</w:t>
            </w:r>
          </w:p>
        </w:tc>
        <w:tc>
          <w:tcPr>
            <w:tcW w:w="220" w:type="dxa"/>
            <w:vAlign w:val="bottom"/>
          </w:tcPr>
          <w:p>
            <w:pPr>
              <w:spacing w:after="0"/>
              <w:rPr>
                <w:sz w:val="24"/>
                <w:szCs w:val="24"/>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85"/>
              </w:rPr>
              <w:t>September 30, 2019</w:t>
            </w:r>
          </w:p>
        </w:tc>
      </w:tr>
      <w:tr>
        <w:trPr>
          <w:trHeight w:val="235"/>
        </w:trPr>
        <w:tc>
          <w:tcPr>
            <w:tcW w:w="3200" w:type="dxa"/>
            <w:vAlign w:val="bottom"/>
            <w:gridSpan w:val="8"/>
          </w:tcPr>
          <w:p>
            <w:pPr>
              <w:spacing w:after="0"/>
              <w:rPr>
                <w:sz w:val="20"/>
                <w:szCs w:val="20"/>
                <w:color w:val="auto"/>
              </w:rPr>
            </w:pPr>
            <w:r>
              <w:rPr>
                <w:rFonts w:ascii="Arial" w:cs="Arial" w:eastAsia="Arial" w:hAnsi="Arial"/>
                <w:sz w:val="18"/>
                <w:szCs w:val="18"/>
                <w:color w:val="auto"/>
              </w:rPr>
              <w:t>Jerrold D. Dotson</w:t>
            </w:r>
          </w:p>
        </w:tc>
        <w:tc>
          <w:tcPr>
            <w:tcW w:w="36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i w:val="1"/>
                <w:iCs w:val="1"/>
                <w:color w:val="auto"/>
              </w:rPr>
              <w:t>(Principal Financial and Accounting Officer)</w:t>
            </w:r>
          </w:p>
        </w:tc>
        <w:tc>
          <w:tcPr>
            <w:tcW w:w="22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394"/>
        </w:trPr>
        <w:tc>
          <w:tcPr>
            <w:tcW w:w="162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w w:val="86"/>
              </w:rPr>
              <w:t>/s/ H. Ralph Snodgrass</w:t>
            </w:r>
          </w:p>
        </w:tc>
        <w:tc>
          <w:tcPr>
            <w:tcW w:w="1580" w:type="dxa"/>
            <w:vAlign w:val="bottom"/>
            <w:gridSpan w:val="3"/>
          </w:tcPr>
          <w:p>
            <w:pPr>
              <w:spacing w:after="0"/>
              <w:rPr>
                <w:sz w:val="24"/>
                <w:szCs w:val="24"/>
                <w:color w:val="auto"/>
              </w:rPr>
            </w:pPr>
          </w:p>
        </w:tc>
        <w:tc>
          <w:tcPr>
            <w:tcW w:w="36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President, Chief Scientific Officer and Director</w:t>
            </w:r>
          </w:p>
        </w:tc>
        <w:tc>
          <w:tcPr>
            <w:tcW w:w="220" w:type="dxa"/>
            <w:vAlign w:val="bottom"/>
          </w:tcPr>
          <w:p>
            <w:pPr>
              <w:spacing w:after="0"/>
              <w:rPr>
                <w:sz w:val="24"/>
                <w:szCs w:val="24"/>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85"/>
              </w:rPr>
              <w:t>September 30, 2019</w:t>
            </w:r>
          </w:p>
        </w:tc>
      </w:tr>
      <w:tr>
        <w:trPr>
          <w:trHeight w:val="235"/>
        </w:trPr>
        <w:tc>
          <w:tcPr>
            <w:tcW w:w="3200" w:type="dxa"/>
            <w:vAlign w:val="bottom"/>
            <w:gridSpan w:val="8"/>
          </w:tcPr>
          <w:p>
            <w:pPr>
              <w:spacing w:after="0"/>
              <w:rPr>
                <w:sz w:val="20"/>
                <w:szCs w:val="20"/>
                <w:color w:val="auto"/>
              </w:rPr>
            </w:pPr>
            <w:r>
              <w:rPr>
                <w:rFonts w:ascii="Arial" w:cs="Arial" w:eastAsia="Arial" w:hAnsi="Arial"/>
                <w:sz w:val="18"/>
                <w:szCs w:val="18"/>
                <w:color w:val="auto"/>
              </w:rPr>
              <w:t>H. Ralph Snodgrass, Ph. D.</w:t>
            </w:r>
          </w:p>
        </w:tc>
        <w:tc>
          <w:tcPr>
            <w:tcW w:w="36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394"/>
        </w:trPr>
        <w:tc>
          <w:tcPr>
            <w:tcW w:w="1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4"/>
              </w:rPr>
              <w:t>/s/ Jon S. Saxe</w:t>
            </w:r>
          </w:p>
        </w:tc>
        <w:tc>
          <w:tcPr>
            <w:tcW w:w="2160" w:type="dxa"/>
            <w:vAlign w:val="bottom"/>
            <w:gridSpan w:val="7"/>
          </w:tcPr>
          <w:p>
            <w:pPr>
              <w:spacing w:after="0"/>
              <w:rPr>
                <w:sz w:val="24"/>
                <w:szCs w:val="24"/>
                <w:color w:val="auto"/>
              </w:rPr>
            </w:pPr>
          </w:p>
        </w:tc>
        <w:tc>
          <w:tcPr>
            <w:tcW w:w="36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Chairman of the Board of Directors</w:t>
            </w:r>
          </w:p>
        </w:tc>
        <w:tc>
          <w:tcPr>
            <w:tcW w:w="220" w:type="dxa"/>
            <w:vAlign w:val="bottom"/>
          </w:tcPr>
          <w:p>
            <w:pPr>
              <w:spacing w:after="0"/>
              <w:rPr>
                <w:sz w:val="24"/>
                <w:szCs w:val="24"/>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85"/>
              </w:rPr>
              <w:t>September 30, 2019</w:t>
            </w:r>
          </w:p>
        </w:tc>
      </w:tr>
      <w:tr>
        <w:trPr>
          <w:trHeight w:val="235"/>
        </w:trPr>
        <w:tc>
          <w:tcPr>
            <w:tcW w:w="3200" w:type="dxa"/>
            <w:vAlign w:val="bottom"/>
            <w:gridSpan w:val="8"/>
          </w:tcPr>
          <w:p>
            <w:pPr>
              <w:spacing w:after="0"/>
              <w:rPr>
                <w:sz w:val="20"/>
                <w:szCs w:val="20"/>
                <w:color w:val="auto"/>
              </w:rPr>
            </w:pPr>
            <w:r>
              <w:rPr>
                <w:rFonts w:ascii="Arial" w:cs="Arial" w:eastAsia="Arial" w:hAnsi="Arial"/>
                <w:sz w:val="18"/>
                <w:szCs w:val="18"/>
                <w:color w:val="auto"/>
              </w:rPr>
              <w:t>Jon S. Saxe</w:t>
            </w:r>
          </w:p>
        </w:tc>
        <w:tc>
          <w:tcPr>
            <w:tcW w:w="36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394"/>
        </w:trPr>
        <w:tc>
          <w:tcPr>
            <w:tcW w:w="1640" w:type="dxa"/>
            <w:vAlign w:val="bottom"/>
            <w:tcBorders>
              <w:bottom w:val="single" w:sz="8" w:color="auto"/>
            </w:tcBorders>
            <w:gridSpan w:val="6"/>
          </w:tcPr>
          <w:p>
            <w:pPr>
              <w:spacing w:after="0"/>
              <w:rPr>
                <w:sz w:val="20"/>
                <w:szCs w:val="20"/>
                <w:color w:val="auto"/>
              </w:rPr>
            </w:pPr>
            <w:r>
              <w:rPr>
                <w:rFonts w:ascii="Arial" w:cs="Arial" w:eastAsia="Arial" w:hAnsi="Arial"/>
                <w:sz w:val="18"/>
                <w:szCs w:val="18"/>
                <w:color w:val="auto"/>
                <w:w w:val="88"/>
              </w:rPr>
              <w:t>/s/ Brian J. Underdown</w:t>
            </w:r>
          </w:p>
        </w:tc>
        <w:tc>
          <w:tcPr>
            <w:tcW w:w="1560" w:type="dxa"/>
            <w:vAlign w:val="bottom"/>
            <w:gridSpan w:val="2"/>
          </w:tcPr>
          <w:p>
            <w:pPr>
              <w:spacing w:after="0"/>
              <w:rPr>
                <w:sz w:val="24"/>
                <w:szCs w:val="24"/>
                <w:color w:val="auto"/>
              </w:rPr>
            </w:pPr>
          </w:p>
        </w:tc>
        <w:tc>
          <w:tcPr>
            <w:tcW w:w="36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Director</w:t>
            </w:r>
          </w:p>
        </w:tc>
        <w:tc>
          <w:tcPr>
            <w:tcW w:w="220" w:type="dxa"/>
            <w:vAlign w:val="bottom"/>
          </w:tcPr>
          <w:p>
            <w:pPr>
              <w:spacing w:after="0"/>
              <w:rPr>
                <w:sz w:val="24"/>
                <w:szCs w:val="24"/>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85"/>
              </w:rPr>
              <w:t>September 30, 2019</w:t>
            </w:r>
          </w:p>
        </w:tc>
      </w:tr>
      <w:tr>
        <w:trPr>
          <w:trHeight w:val="235"/>
        </w:trPr>
        <w:tc>
          <w:tcPr>
            <w:tcW w:w="3200" w:type="dxa"/>
            <w:vAlign w:val="bottom"/>
            <w:gridSpan w:val="8"/>
          </w:tcPr>
          <w:p>
            <w:pPr>
              <w:spacing w:after="0"/>
              <w:rPr>
                <w:sz w:val="20"/>
                <w:szCs w:val="20"/>
                <w:color w:val="auto"/>
              </w:rPr>
            </w:pPr>
            <w:r>
              <w:rPr>
                <w:rFonts w:ascii="Arial" w:cs="Arial" w:eastAsia="Arial" w:hAnsi="Arial"/>
                <w:sz w:val="18"/>
                <w:szCs w:val="18"/>
                <w:color w:val="auto"/>
              </w:rPr>
              <w:t>Brian J. Underdown, Ph. D.</w:t>
            </w:r>
          </w:p>
        </w:tc>
        <w:tc>
          <w:tcPr>
            <w:tcW w:w="36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394"/>
        </w:trPr>
        <w:tc>
          <w:tcPr>
            <w:tcW w:w="3200" w:type="dxa"/>
            <w:vAlign w:val="bottom"/>
            <w:gridSpan w:val="8"/>
          </w:tcPr>
          <w:p>
            <w:pPr>
              <w:spacing w:after="0"/>
              <w:rPr>
                <w:sz w:val="20"/>
                <w:szCs w:val="20"/>
                <w:color w:val="auto"/>
              </w:rPr>
            </w:pPr>
            <w:r>
              <w:rPr>
                <w:rFonts w:ascii="Arial" w:cs="Arial" w:eastAsia="Arial" w:hAnsi="Arial"/>
                <w:sz w:val="18"/>
                <w:szCs w:val="18"/>
                <w:color w:val="auto"/>
              </w:rPr>
              <w:t>/s/ Jerry B. Gin</w:t>
            </w:r>
          </w:p>
        </w:tc>
        <w:tc>
          <w:tcPr>
            <w:tcW w:w="36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Director</w:t>
            </w:r>
          </w:p>
        </w:tc>
        <w:tc>
          <w:tcPr>
            <w:tcW w:w="220" w:type="dxa"/>
            <w:vAlign w:val="bottom"/>
          </w:tcPr>
          <w:p>
            <w:pPr>
              <w:spacing w:after="0"/>
              <w:rPr>
                <w:sz w:val="24"/>
                <w:szCs w:val="24"/>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85"/>
              </w:rPr>
              <w:t>September 30, 2019</w:t>
            </w:r>
          </w:p>
        </w:tc>
      </w:tr>
      <w:tr>
        <w:trPr>
          <w:trHeight w:val="20"/>
        </w:trPr>
        <w:tc>
          <w:tcPr>
            <w:tcW w:w="1080" w:type="dxa"/>
            <w:vAlign w:val="bottom"/>
            <w:gridSpan w:val="2"/>
            <w:shd w:val="clear" w:color="auto" w:fill="000000"/>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235"/>
        </w:trPr>
        <w:tc>
          <w:tcPr>
            <w:tcW w:w="3200" w:type="dxa"/>
            <w:vAlign w:val="bottom"/>
            <w:gridSpan w:val="8"/>
          </w:tcPr>
          <w:p>
            <w:pPr>
              <w:spacing w:after="0"/>
              <w:rPr>
                <w:sz w:val="20"/>
                <w:szCs w:val="20"/>
                <w:color w:val="auto"/>
              </w:rPr>
            </w:pPr>
            <w:r>
              <w:rPr>
                <w:rFonts w:ascii="Arial" w:cs="Arial" w:eastAsia="Arial" w:hAnsi="Arial"/>
                <w:sz w:val="18"/>
                <w:szCs w:val="18"/>
                <w:color w:val="auto"/>
              </w:rPr>
              <w:t>Jerry B. Gin, Ph. D., MBA</w:t>
            </w:r>
          </w:p>
        </w:tc>
        <w:tc>
          <w:tcPr>
            <w:tcW w:w="36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394"/>
        </w:trPr>
        <w:tc>
          <w:tcPr>
            <w:tcW w:w="1720" w:type="dxa"/>
            <w:vAlign w:val="bottom"/>
            <w:tcBorders>
              <w:bottom w:val="single" w:sz="8" w:color="auto"/>
            </w:tcBorders>
            <w:gridSpan w:val="7"/>
          </w:tcPr>
          <w:p>
            <w:pPr>
              <w:spacing w:after="0"/>
              <w:rPr>
                <w:sz w:val="20"/>
                <w:szCs w:val="20"/>
                <w:color w:val="auto"/>
              </w:rPr>
            </w:pPr>
            <w:r>
              <w:rPr>
                <w:rFonts w:ascii="Arial" w:cs="Arial" w:eastAsia="Arial" w:hAnsi="Arial"/>
                <w:sz w:val="18"/>
                <w:szCs w:val="18"/>
                <w:color w:val="auto"/>
                <w:w w:val="90"/>
              </w:rPr>
              <w:t>/s/ Ann M. Cunningham</w:t>
            </w:r>
          </w:p>
        </w:tc>
        <w:tc>
          <w:tcPr>
            <w:tcW w:w="1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Director</w:t>
            </w:r>
          </w:p>
        </w:tc>
        <w:tc>
          <w:tcPr>
            <w:tcW w:w="220" w:type="dxa"/>
            <w:vAlign w:val="bottom"/>
          </w:tcPr>
          <w:p>
            <w:pPr>
              <w:spacing w:after="0"/>
              <w:rPr>
                <w:sz w:val="24"/>
                <w:szCs w:val="24"/>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85"/>
              </w:rPr>
              <w:t>September 30, 2019</w:t>
            </w:r>
          </w:p>
        </w:tc>
      </w:tr>
      <w:tr>
        <w:trPr>
          <w:trHeight w:val="235"/>
        </w:trPr>
        <w:tc>
          <w:tcPr>
            <w:tcW w:w="3200" w:type="dxa"/>
            <w:vAlign w:val="bottom"/>
            <w:gridSpan w:val="8"/>
          </w:tcPr>
          <w:p>
            <w:pPr>
              <w:spacing w:after="0"/>
              <w:rPr>
                <w:sz w:val="20"/>
                <w:szCs w:val="20"/>
                <w:color w:val="auto"/>
              </w:rPr>
            </w:pPr>
            <w:r>
              <w:rPr>
                <w:rFonts w:ascii="Arial" w:cs="Arial" w:eastAsia="Arial" w:hAnsi="Arial"/>
                <w:sz w:val="18"/>
                <w:szCs w:val="18"/>
                <w:color w:val="auto"/>
              </w:rPr>
              <w:t>Ann M. Cunningham</w:t>
            </w:r>
          </w:p>
        </w:tc>
        <w:tc>
          <w:tcPr>
            <w:tcW w:w="36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873"/>
        </w:trPr>
        <w:tc>
          <w:tcPr>
            <w:tcW w:w="10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53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57" w:right="23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2095500</wp:posOffset>
            </wp:positionH>
            <wp:positionV relativeFrom="page">
              <wp:posOffset>320675</wp:posOffset>
            </wp:positionV>
            <wp:extent cx="3378835" cy="19812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3378835" cy="1981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VistaGen Therapeutics,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343 Allerton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South San Francisco, CA 94080</w:t>
      </w:r>
    </w:p>
    <w:p>
      <w:pPr>
        <w:spacing w:after="0" w:line="246" w:lineRule="exact"/>
        <w:rPr>
          <w:sz w:val="20"/>
          <w:szCs w:val="20"/>
          <w:color w:val="auto"/>
        </w:rPr>
      </w:pPr>
    </w:p>
    <w:p>
      <w:pPr>
        <w:ind w:left="360"/>
        <w:spacing w:after="0"/>
        <w:tabs>
          <w:tab w:leader="none" w:pos="12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color w:val="auto"/>
        </w:rPr>
        <w:t>Registration Statement on Form S-8 for VistaGen Therapeutics, Inc.</w:t>
      </w:r>
    </w:p>
    <w:p>
      <w:pPr>
        <w:spacing w:after="0" w:line="200" w:lineRule="exact"/>
        <w:rPr>
          <w:sz w:val="20"/>
          <w:szCs w:val="20"/>
          <w:color w:val="auto"/>
        </w:rPr>
      </w:pPr>
    </w:p>
    <w:p>
      <w:pPr>
        <w:spacing w:after="0" w:line="24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Dear Ladies and Gentlemen:</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We have acted as counsel to VistaGen Therapeutics, Inc., a Nevada corporation (the “</w:t>
      </w:r>
      <w:r>
        <w:rPr>
          <w:rFonts w:ascii="Arial" w:cs="Arial" w:eastAsia="Arial" w:hAnsi="Arial"/>
          <w:sz w:val="16"/>
          <w:szCs w:val="16"/>
          <w:i w:val="1"/>
          <w:iCs w:val="1"/>
          <w:color w:val="auto"/>
        </w:rPr>
        <w:t>Company</w:t>
      </w:r>
      <w:r>
        <w:rPr>
          <w:rFonts w:ascii="Arial" w:cs="Arial" w:eastAsia="Arial" w:hAnsi="Arial"/>
          <w:sz w:val="16"/>
          <w:szCs w:val="16"/>
          <w:color w:val="auto"/>
        </w:rPr>
        <w:t>”), in connection with the preparation of a Registration Statement on Form S-8 (the “</w:t>
      </w:r>
      <w:r>
        <w:rPr>
          <w:rFonts w:ascii="Arial" w:cs="Arial" w:eastAsia="Arial" w:hAnsi="Arial"/>
          <w:sz w:val="16"/>
          <w:szCs w:val="16"/>
          <w:i w:val="1"/>
          <w:iCs w:val="1"/>
          <w:color w:val="auto"/>
        </w:rPr>
        <w:t>Registration Statement</w:t>
      </w:r>
      <w:r>
        <w:rPr>
          <w:rFonts w:ascii="Arial" w:cs="Arial" w:eastAsia="Arial" w:hAnsi="Arial"/>
          <w:sz w:val="16"/>
          <w:szCs w:val="16"/>
          <w:color w:val="auto"/>
        </w:rPr>
        <w:t>”) under the Securities Act of 1933, as amended (the “</w:t>
      </w:r>
      <w:r>
        <w:rPr>
          <w:rFonts w:ascii="Arial" w:cs="Arial" w:eastAsia="Arial" w:hAnsi="Arial"/>
          <w:sz w:val="16"/>
          <w:szCs w:val="16"/>
          <w:i w:val="1"/>
          <w:iCs w:val="1"/>
          <w:color w:val="auto"/>
        </w:rPr>
        <w:t>Act</w:t>
      </w:r>
      <w:r>
        <w:rPr>
          <w:rFonts w:ascii="Arial" w:cs="Arial" w:eastAsia="Arial" w:hAnsi="Arial"/>
          <w:sz w:val="16"/>
          <w:szCs w:val="16"/>
          <w:color w:val="auto"/>
        </w:rPr>
        <w:t>”). The Registration Statement relates to the registration of (i) a total of 7,500,000 shares (the “</w:t>
      </w:r>
      <w:r>
        <w:rPr>
          <w:rFonts w:ascii="Arial" w:cs="Arial" w:eastAsia="Arial" w:hAnsi="Arial"/>
          <w:sz w:val="16"/>
          <w:szCs w:val="16"/>
          <w:i w:val="1"/>
          <w:iCs w:val="1"/>
          <w:color w:val="auto"/>
        </w:rPr>
        <w:t>Plan Shares</w:t>
      </w:r>
      <w:r>
        <w:rPr>
          <w:rFonts w:ascii="Arial" w:cs="Arial" w:eastAsia="Arial" w:hAnsi="Arial"/>
          <w:sz w:val="16"/>
          <w:szCs w:val="16"/>
          <w:color w:val="auto"/>
        </w:rPr>
        <w:t>”) of the Company’s common stock, par value $0.001 per share, issuable under the VistaGen Therapeutics, Inc. 2019 Omnibus Equity Incentive Plan (the “</w:t>
      </w:r>
      <w:r>
        <w:rPr>
          <w:rFonts w:ascii="Arial" w:cs="Arial" w:eastAsia="Arial" w:hAnsi="Arial"/>
          <w:sz w:val="16"/>
          <w:szCs w:val="16"/>
          <w:i w:val="1"/>
          <w:iCs w:val="1"/>
          <w:color w:val="auto"/>
        </w:rPr>
        <w:t>2019 Plan</w:t>
      </w:r>
      <w:r>
        <w:rPr>
          <w:rFonts w:ascii="Arial" w:cs="Arial" w:eastAsia="Arial" w:hAnsi="Arial"/>
          <w:sz w:val="16"/>
          <w:szCs w:val="16"/>
          <w:color w:val="auto"/>
        </w:rPr>
        <w:t>”), including those Plan Shares issuable upon exercise of certain stock options previously issued under the 2019 Plan, and (ii) 1,000,000 shares (the “</w:t>
      </w:r>
      <w:r>
        <w:rPr>
          <w:rFonts w:ascii="Arial" w:cs="Arial" w:eastAsia="Arial" w:hAnsi="Arial"/>
          <w:sz w:val="16"/>
          <w:szCs w:val="16"/>
          <w:i w:val="1"/>
          <w:iCs w:val="1"/>
          <w:color w:val="auto"/>
        </w:rPr>
        <w:t>ESPP Shares</w:t>
      </w:r>
      <w:r>
        <w:rPr>
          <w:rFonts w:ascii="Arial" w:cs="Arial" w:eastAsia="Arial" w:hAnsi="Arial"/>
          <w:sz w:val="16"/>
          <w:szCs w:val="16"/>
          <w:color w:val="auto"/>
        </w:rPr>
        <w:t>” and, together with the Plan Shares, the “</w:t>
      </w:r>
      <w:r>
        <w:rPr>
          <w:rFonts w:ascii="Arial" w:cs="Arial" w:eastAsia="Arial" w:hAnsi="Arial"/>
          <w:sz w:val="16"/>
          <w:szCs w:val="16"/>
          <w:i w:val="1"/>
          <w:iCs w:val="1"/>
          <w:color w:val="auto"/>
        </w:rPr>
        <w:t>Shares</w:t>
      </w:r>
      <w:r>
        <w:rPr>
          <w:rFonts w:ascii="Arial" w:cs="Arial" w:eastAsia="Arial" w:hAnsi="Arial"/>
          <w:sz w:val="16"/>
          <w:szCs w:val="16"/>
          <w:color w:val="auto"/>
        </w:rPr>
        <w:t>”) of the Company’s common stock, par value $0.001 per share, issuable under the VistaGen Therapeutics, Inc. 2019 Employee Stock Purchase Plan (the “</w:t>
      </w:r>
      <w:r>
        <w:rPr>
          <w:rFonts w:ascii="Arial" w:cs="Arial" w:eastAsia="Arial" w:hAnsi="Arial"/>
          <w:sz w:val="16"/>
          <w:szCs w:val="16"/>
          <w:i w:val="1"/>
          <w:iCs w:val="1"/>
          <w:color w:val="auto"/>
        </w:rPr>
        <w:t>ESPP</w:t>
      </w:r>
      <w:r>
        <w:rPr>
          <w:rFonts w:ascii="Arial" w:cs="Arial" w:eastAsia="Arial" w:hAnsi="Arial"/>
          <w:sz w:val="16"/>
          <w:szCs w:val="16"/>
          <w:color w:val="auto"/>
        </w:rPr>
        <w:t>” and, together with the 2019 Plan, the “</w:t>
      </w:r>
      <w:r>
        <w:rPr>
          <w:rFonts w:ascii="Arial" w:cs="Arial" w:eastAsia="Arial" w:hAnsi="Arial"/>
          <w:sz w:val="16"/>
          <w:szCs w:val="16"/>
          <w:i w:val="1"/>
          <w:iCs w:val="1"/>
          <w:color w:val="auto"/>
        </w:rPr>
        <w:t>Plans</w:t>
      </w:r>
      <w:r>
        <w:rPr>
          <w:rFonts w:ascii="Arial" w:cs="Arial" w:eastAsia="Arial" w:hAnsi="Arial"/>
          <w:sz w:val="16"/>
          <w:szCs w:val="16"/>
          <w:color w:val="auto"/>
        </w:rPr>
        <w:t>”), each as referenced in the Registration Statement.</w:t>
      </w:r>
    </w:p>
    <w:p>
      <w:pPr>
        <w:spacing w:after="0" w:line="172"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6"/>
          <w:szCs w:val="16"/>
          <w:color w:val="auto"/>
        </w:rPr>
        <w:t>In connection with this opinion letter, we have examined the Registration Statement and originals, or copies certified or otherwise identified to our satisfaction as being true copies, of the Restated Articles of Incorporation of the Company, as amended, and the Amended and Restated Bylaws of the Company, and such other documents, records and other instruments as we have deemed appropriate for purposes of the opinion set forth herein.</w:t>
      </w:r>
    </w:p>
    <w:p>
      <w:pPr>
        <w:spacing w:after="0" w:line="16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assumed the genuineness of all signatures, the legal capacity of all natural persons, the authenticity of the documents submitted to us as originals, the conformity with the originals of all documents submitted to us as certified, facsimile or photostatic copies and the authenticity of the originals of all documents submitted to us as copies.</w:t>
      </w:r>
    </w:p>
    <w:p>
      <w:pPr>
        <w:spacing w:after="0" w:line="19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Based upon the foregoing, we are of the opinion that the Shares have been duly authorized and, when and to the extent issued in accordance with the terms of the applicable Plans and, with respect to the Plan Shares, when and to the extent issued in accordance with the terms of any award agreement entered into under the 2019 Plan, the Shares will be validly issued, fully paid and nonassessable.</w:t>
      </w:r>
    </w:p>
    <w:p>
      <w:pPr>
        <w:spacing w:after="0" w:line="19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In rendering the opinion set forth above, we express no opinion as to the laws of any jurisdiction other than the Nevada Revised Statutes and the federal laws of the United States of America.</w:t>
      </w:r>
    </w:p>
    <w:p>
      <w:pPr>
        <w:spacing w:after="0" w:line="18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hereby consent to the use of this opinion as Exhibit 5.1 to the Registration Statement. In giving such consent, we do not hereby admit that we are acting within the category of persons whose consent is required under Section 7 of the Act or the rules or regulations of the U.S. Securities and Exchange Commission thereunder.</w:t>
      </w:r>
    </w:p>
    <w:p>
      <w:pPr>
        <w:spacing w:after="0" w:line="200" w:lineRule="exact"/>
        <w:rPr>
          <w:sz w:val="20"/>
          <w:szCs w:val="20"/>
          <w:color w:val="auto"/>
        </w:rPr>
      </w:pPr>
    </w:p>
    <w:p>
      <w:pPr>
        <w:spacing w:after="0" w:line="23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Disclosure Law Group</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Disclosure Law Group, a Professional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CONSENT OF INDEPENDENT REGISTERED PUBLIC ACCOUNTING FIRM</w:t>
      </w:r>
    </w:p>
    <w:p>
      <w:pPr>
        <w:spacing w:after="0" w:line="23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hereby consent to the incorporation by reference in this Registration Statement on Form S-8 of VistaGen Therapeutics, Inc., pertaining to the VistaGen Therapeutics, Inc. 2019 Omnibus Equity Incentive Plan and the VistaGen Therapeutics, Inc. 2019 Employee Stock Purchase Plan of our report dated June 25, 2019 (which report expresses an unqualified opinion and includes an explanatory paragraph expressing substantial doubt about the Company’s ability to continue as a going concern), relating to the consolidated financial statements of VistaGen Therapeutics, Inc. appearing in the Company’s Annual Report on Form 10-K for the fiscal year ended March 31, 2019.</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/s/ OUM &amp; CO. LLP</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34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lowerLetter"/>
      <w:start w:val="1"/>
    </w:lvl>
    <w:lvl w:ilvl="1">
      <w:lvlJc w:val="left"/>
      <w:lvlText w:val="(%2)"/>
      <w:numFmt w:val="decimal"/>
      <w:start w:val="1"/>
    </w:lvl>
    <w:lvl w:ilvl="2">
      <w:lvlJc w:val="left"/>
      <w:lvlText w:val="(%3)"/>
      <w:numFmt w:val="decimal"/>
      <w:start w:val="2"/>
    </w:lvl>
    <w:lvl w:ilvl="3">
      <w:lvlJc w:val="left"/>
      <w:lvlText w:val="(%4)"/>
      <w:numFmt w:val="decimal"/>
      <w:start w:val="1"/>
    </w:lvl>
    <w:lvl w:ilvl="4">
      <w:lvlJc w:val="left"/>
      <w:lvlText w:val="(%5)"/>
      <w:numFmt w:val="lowerRoman"/>
      <w:start w:val="1"/>
    </w:lvl>
    <w:lvl w:ilvl="5">
      <w:lvlJc w:val="left"/>
      <w:lvlText w:val="(%6)"/>
      <w:numFmt w:val="lowerLetter"/>
      <w:start w:val="61"/>
    </w:lvl>
  </w:abstractNum>
  <w:abstractNum w:abstractNumId="3">
    <w:nsid w:val="238E1F29"/>
    <w:multiLevelType w:val="hybridMultilevel"/>
    <w:lvl w:ilvl="0">
      <w:lvlJc w:val="left"/>
      <w:lvlText w:val="%1"/>
      <w:numFmt w:val="lowerLetter"/>
      <w:start w:val="1"/>
    </w:lvl>
    <w:lvl w:ilvl="1">
      <w:lvlJc w:val="left"/>
      <w:lvlText w:val="(%2)"/>
      <w:numFmt w:val="lowerLetter"/>
      <w:start w:val="2"/>
    </w:lvl>
  </w:abstractNum>
  <w:abstractNum w:abstractNumId="4">
    <w:nsid w:val="46E87CCD"/>
    <w:multiLevelType w:val="hybridMultilevel"/>
    <w:lvl w:ilvl="0">
      <w:lvlJc w:val="left"/>
      <w:lvlText w:val="(%1)"/>
      <w:numFmt w:val="lowerLetter"/>
      <w:start w:val="3"/>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jpeg"/><Relationship Id="rId17" Type="http://schemas.openxmlformats.org/officeDocument/2006/relationships/image" Target="media/image9.png"/><Relationship Id="rId18" Type="http://schemas.openxmlformats.org/officeDocument/2006/relationships/image" Target="media/image10.png"/><Relationship Id="rId14" Type="http://schemas.openxmlformats.org/officeDocument/2006/relationships/hyperlink" Target="http://www.sec.gov/Archives/edgar/data/1411685/000165495419008434/def14a_july26201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2019-11-28T17:33:08Z</dcterms:created>
  <dcterms:modified xsi:type="dcterms:W3CDTF">2019-11-28T17:33:08Z</dcterms:modified>
</cp:coreProperties>
</file>