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3)</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VistaGen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92840H202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1" w:lineRule="exact"/>
        <w:rPr>
          <w:sz w:val="24"/>
          <w:szCs w:val="24"/>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Rule 13d-1(b)</w:t>
      </w:r>
    </w:p>
    <w:p>
      <w:pPr>
        <w:spacing w:after="0" w:line="252" w:lineRule="exact"/>
        <w:rPr>
          <w:sz w:val="24"/>
          <w:szCs w:val="24"/>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Rule 13d-1(c)</w:t>
      </w:r>
    </w:p>
    <w:p>
      <w:pPr>
        <w:spacing w:after="0" w:line="256" w:lineRule="exact"/>
        <w:rPr>
          <w:sz w:val="24"/>
          <w:szCs w:val="24"/>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ind w:firstLine="8"/>
        <w:spacing w:after="0" w:line="282" w:lineRule="auto"/>
        <w:tabs>
          <w:tab w:leader="none" w:pos="1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2" w:lineRule="exact"/>
        <w:rPr>
          <w:sz w:val="24"/>
          <w:szCs w:val="24"/>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Potential persons who are to respond to the collection of information contained in this form are not required to respond unless the form displays a currently valid OMB control number.</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64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92840H202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1400" w:hanging="744"/>
        <w:spacing w:after="0"/>
        <w:tabs>
          <w:tab w:leader="none" w:pos="1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5" w:lineRule="exact"/>
        <w:rPr>
          <w:rFonts w:ascii="Times New Roman" w:cs="Times New Roman" w:eastAsia="Times New Roman" w:hAnsi="Times New Roman"/>
          <w:sz w:val="18"/>
          <w:szCs w:val="18"/>
          <w:color w:val="auto"/>
        </w:rPr>
      </w:pPr>
    </w:p>
    <w:p>
      <w:pPr>
        <w:ind w:left="1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Acuta Capital Partners, LLC</w:t>
      </w:r>
    </w:p>
    <w:p>
      <w:pPr>
        <w:spacing w:after="0" w:line="200" w:lineRule="exact"/>
        <w:rPr>
          <w:rFonts w:ascii="Times New Roman" w:cs="Times New Roman" w:eastAsia="Times New Roman" w:hAnsi="Times New Roman"/>
          <w:sz w:val="18"/>
          <w:szCs w:val="18"/>
          <w:color w:val="auto"/>
        </w:rPr>
      </w:pPr>
    </w:p>
    <w:p>
      <w:pPr>
        <w:spacing w:after="0" w:line="380"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9" w:lineRule="exact"/>
        <w:rPr>
          <w:rFonts w:ascii="Times New Roman" w:cs="Times New Roman" w:eastAsia="Times New Roman" w:hAnsi="Times New Roman"/>
          <w:sz w:val="18"/>
          <w:szCs w:val="18"/>
          <w:color w:val="auto"/>
        </w:rPr>
      </w:pPr>
    </w:p>
    <w:p>
      <w:pPr>
        <w:ind w:left="1640" w:hanging="242"/>
        <w:spacing w:after="0"/>
        <w:tabs>
          <w:tab w:leader="none" w:pos="16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36" w:lineRule="exact"/>
        <w:rPr>
          <w:rFonts w:ascii="Times New Roman" w:cs="Times New Roman" w:eastAsia="Times New Roman" w:hAnsi="Times New Roman"/>
          <w:sz w:val="18"/>
          <w:szCs w:val="18"/>
          <w:color w:val="auto"/>
        </w:rPr>
      </w:pPr>
    </w:p>
    <w:p>
      <w:pPr>
        <w:ind w:left="1660" w:hanging="262"/>
        <w:spacing w:after="0"/>
        <w:tabs>
          <w:tab w:leader="none" w:pos="1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0" w:lineRule="exact"/>
        <w:rPr>
          <w:rFonts w:ascii="Times New Roman" w:cs="Times New Roman" w:eastAsia="Times New Roman" w:hAnsi="Times New Roman"/>
          <w:sz w:val="18"/>
          <w:szCs w:val="18"/>
          <w:color w:val="auto"/>
        </w:rPr>
      </w:pPr>
    </w:p>
    <w:p>
      <w:pPr>
        <w:spacing w:after="0" w:line="376"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 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w:t>
            </w:r>
          </w:p>
        </w:tc>
        <w:tc>
          <w:tcPr>
            <w:tcW w:w="5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460" w:type="dxa"/>
            <w:vAlign w:val="bottom"/>
          </w:tcPr>
          <w:p>
            <w:pPr>
              <w:spacing w:after="0"/>
              <w:rPr>
                <w:sz w:val="20"/>
                <w:szCs w:val="20"/>
                <w:color w:val="auto"/>
              </w:rPr>
            </w:pPr>
          </w:p>
        </w:tc>
        <w:tc>
          <w:tcPr>
            <w:tcW w:w="22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0" w:type="dxa"/>
            <w:vAlign w:val="bottom"/>
          </w:tcPr>
          <w:p>
            <w:pPr>
              <w:spacing w:after="0"/>
              <w:rPr>
                <w:sz w:val="1"/>
                <w:szCs w:val="1"/>
                <w:color w:val="auto"/>
              </w:rPr>
            </w:pPr>
          </w:p>
        </w:tc>
      </w:tr>
      <w:tr>
        <w:trPr>
          <w:trHeight w:val="277"/>
        </w:trPr>
        <w:tc>
          <w:tcPr>
            <w:tcW w:w="1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11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Sole Voting Power</w:t>
            </w:r>
          </w:p>
        </w:tc>
        <w:tc>
          <w:tcPr>
            <w:tcW w:w="2460" w:type="dxa"/>
            <w:vAlign w:val="bottom"/>
          </w:tcPr>
          <w:p>
            <w:pPr>
              <w:jc w:val="right"/>
              <w:ind w:right="1750"/>
              <w:spacing w:after="0"/>
              <w:rPr>
                <w:sz w:val="20"/>
                <w:szCs w:val="20"/>
                <w:color w:val="auto"/>
              </w:rPr>
            </w:pPr>
            <w:r>
              <w:rPr>
                <w:rFonts w:ascii="Times New Roman" w:cs="Times New Roman" w:eastAsia="Times New Roman" w:hAnsi="Times New Roman"/>
                <w:sz w:val="18"/>
                <w:szCs w:val="18"/>
                <w:b w:val="1"/>
                <w:bCs w:val="1"/>
                <w:color w:val="auto"/>
              </w:rPr>
              <w:t>-0-</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20" w:type="dxa"/>
            <w:vAlign w:val="bottom"/>
            <w:vMerge w:val="continue"/>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14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122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Shares</w:t>
            </w:r>
          </w:p>
        </w:tc>
        <w:tc>
          <w:tcPr>
            <w:tcW w:w="740" w:type="dxa"/>
            <w:vAlign w:val="bottom"/>
          </w:tcPr>
          <w:p>
            <w:pPr>
              <w:spacing w:after="0"/>
              <w:rPr>
                <w:sz w:val="14"/>
                <w:szCs w:val="14"/>
                <w:color w:val="auto"/>
              </w:rPr>
            </w:pPr>
          </w:p>
        </w:tc>
        <w:tc>
          <w:tcPr>
            <w:tcW w:w="420" w:type="dxa"/>
            <w:vAlign w:val="bottom"/>
          </w:tcPr>
          <w:p>
            <w:pPr>
              <w:jc w:val="right"/>
              <w:ind w:right="110"/>
              <w:spacing w:after="0" w:line="170" w:lineRule="exact"/>
              <w:rPr>
                <w:sz w:val="20"/>
                <w:szCs w:val="20"/>
                <w:color w:val="auto"/>
              </w:rPr>
            </w:pPr>
            <w:r>
              <w:rPr>
                <w:rFonts w:ascii="Times New Roman" w:cs="Times New Roman" w:eastAsia="Times New Roman" w:hAnsi="Times New Roman"/>
                <w:sz w:val="18"/>
                <w:szCs w:val="18"/>
                <w:color w:val="auto"/>
              </w:rPr>
              <w:t>6.</w:t>
            </w:r>
          </w:p>
        </w:tc>
        <w:tc>
          <w:tcPr>
            <w:tcW w:w="4140" w:type="dxa"/>
            <w:vAlign w:val="bottom"/>
          </w:tcPr>
          <w:p>
            <w:pPr>
              <w:ind w:left="220"/>
              <w:spacing w:after="0" w:line="170" w:lineRule="exact"/>
              <w:rPr>
                <w:sz w:val="20"/>
                <w:szCs w:val="20"/>
                <w:color w:val="auto"/>
              </w:rPr>
            </w:pPr>
            <w:r>
              <w:rPr>
                <w:rFonts w:ascii="Times New Roman" w:cs="Times New Roman" w:eastAsia="Times New Roman" w:hAnsi="Times New Roman"/>
                <w:sz w:val="18"/>
                <w:szCs w:val="18"/>
                <w:color w:val="auto"/>
              </w:rPr>
              <w:t>Shared Voting Power</w:t>
            </w:r>
          </w:p>
        </w:tc>
        <w:tc>
          <w:tcPr>
            <w:tcW w:w="2460" w:type="dxa"/>
            <w:vAlign w:val="bottom"/>
          </w:tcPr>
          <w:p>
            <w:pPr>
              <w:jc w:val="right"/>
              <w:ind w:right="1750"/>
              <w:spacing w:after="0" w:line="170" w:lineRule="exact"/>
              <w:rPr>
                <w:sz w:val="20"/>
                <w:szCs w:val="20"/>
                <w:color w:val="auto"/>
              </w:rPr>
            </w:pPr>
            <w:r>
              <w:rPr>
                <w:rFonts w:ascii="Times New Roman" w:cs="Times New Roman" w:eastAsia="Times New Roman" w:hAnsi="Times New Roman"/>
                <w:sz w:val="18"/>
                <w:szCs w:val="18"/>
                <w:b w:val="1"/>
                <w:bCs w:val="1"/>
                <w:color w:val="auto"/>
              </w:rPr>
              <w:t>0</w:t>
            </w: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1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Owned by</w:t>
            </w:r>
          </w:p>
        </w:tc>
        <w:tc>
          <w:tcPr>
            <w:tcW w:w="1160" w:type="dxa"/>
            <w:vAlign w:val="bottom"/>
            <w:gridSpan w:val="2"/>
          </w:tcPr>
          <w:p>
            <w:pPr>
              <w:spacing w:after="0"/>
              <w:rPr>
                <w:sz w:val="4"/>
                <w:szCs w:val="4"/>
                <w:color w:val="auto"/>
              </w:rPr>
            </w:pPr>
          </w:p>
        </w:tc>
        <w:tc>
          <w:tcPr>
            <w:tcW w:w="4140" w:type="dxa"/>
            <w:vAlign w:val="bottom"/>
          </w:tcPr>
          <w:p>
            <w:pPr>
              <w:spacing w:after="0"/>
              <w:rPr>
                <w:sz w:val="4"/>
                <w:szCs w:val="4"/>
                <w:color w:val="auto"/>
              </w:rPr>
            </w:pPr>
          </w:p>
        </w:tc>
        <w:tc>
          <w:tcPr>
            <w:tcW w:w="2460" w:type="dxa"/>
            <w:vAlign w:val="bottom"/>
          </w:tcPr>
          <w:p>
            <w:pPr>
              <w:spacing w:after="0"/>
              <w:rPr>
                <w:sz w:val="4"/>
                <w:szCs w:val="4"/>
                <w:color w:val="auto"/>
              </w:rPr>
            </w:pPr>
          </w:p>
        </w:tc>
        <w:tc>
          <w:tcPr>
            <w:tcW w:w="2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22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Borders>
              <w:top w:val="single" w:sz="8" w:color="auto"/>
            </w:tcBorders>
          </w:tcPr>
          <w:p>
            <w:pPr>
              <w:jc w:val="right"/>
              <w:ind w:right="110"/>
              <w:spacing w:after="0" w:line="162" w:lineRule="exact"/>
              <w:rPr>
                <w:sz w:val="20"/>
                <w:szCs w:val="20"/>
                <w:color w:val="auto"/>
              </w:rPr>
            </w:pPr>
            <w:r>
              <w:rPr>
                <w:rFonts w:ascii="Times New Roman" w:cs="Times New Roman" w:eastAsia="Times New Roman" w:hAnsi="Times New Roman"/>
                <w:sz w:val="18"/>
                <w:szCs w:val="18"/>
                <w:color w:val="auto"/>
              </w:rPr>
              <w:t>7.</w:t>
            </w:r>
          </w:p>
        </w:tc>
        <w:tc>
          <w:tcPr>
            <w:tcW w:w="4140" w:type="dxa"/>
            <w:vAlign w:val="bottom"/>
            <w:tcBorders>
              <w:top w:val="single" w:sz="8" w:color="auto"/>
            </w:tcBorders>
          </w:tcPr>
          <w:p>
            <w:pPr>
              <w:ind w:left="220"/>
              <w:spacing w:after="0" w:line="162" w:lineRule="exact"/>
              <w:rPr>
                <w:sz w:val="20"/>
                <w:szCs w:val="20"/>
                <w:color w:val="auto"/>
              </w:rPr>
            </w:pPr>
            <w:r>
              <w:rPr>
                <w:rFonts w:ascii="Times New Roman" w:cs="Times New Roman" w:eastAsia="Times New Roman" w:hAnsi="Times New Roman"/>
                <w:sz w:val="18"/>
                <w:szCs w:val="18"/>
                <w:color w:val="auto"/>
              </w:rPr>
              <w:t>Sole Dispositive Power</w:t>
            </w:r>
          </w:p>
        </w:tc>
        <w:tc>
          <w:tcPr>
            <w:tcW w:w="2460" w:type="dxa"/>
            <w:vAlign w:val="bottom"/>
            <w:tcBorders>
              <w:top w:val="single" w:sz="8" w:color="auto"/>
            </w:tcBorders>
          </w:tcPr>
          <w:p>
            <w:pPr>
              <w:jc w:val="right"/>
              <w:ind w:right="1750"/>
              <w:spacing w:after="0" w:line="162" w:lineRule="exact"/>
              <w:rPr>
                <w:sz w:val="20"/>
                <w:szCs w:val="20"/>
                <w:color w:val="auto"/>
              </w:rPr>
            </w:pPr>
            <w:r>
              <w:rPr>
                <w:rFonts w:ascii="Times New Roman" w:cs="Times New Roman" w:eastAsia="Times New Roman" w:hAnsi="Times New Roman"/>
                <w:sz w:val="18"/>
                <w:szCs w:val="18"/>
                <w:b w:val="1"/>
                <w:bCs w:val="1"/>
                <w:color w:val="auto"/>
              </w:rPr>
              <w:t>-0-</w:t>
            </w:r>
          </w:p>
        </w:tc>
        <w:tc>
          <w:tcPr>
            <w:tcW w:w="22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Each Reporting</w:t>
            </w: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1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74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4140" w:type="dxa"/>
            <w:vAlign w:val="bottom"/>
            <w:tcBorders>
              <w:bottom w:val="single" w:sz="8" w:color="auto"/>
            </w:tcBorders>
          </w:tcPr>
          <w:p>
            <w:pPr>
              <w:spacing w:after="0"/>
              <w:rPr>
                <w:sz w:val="6"/>
                <w:szCs w:val="6"/>
                <w:color w:val="auto"/>
              </w:rPr>
            </w:pPr>
          </w:p>
        </w:tc>
        <w:tc>
          <w:tcPr>
            <w:tcW w:w="246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220" w:type="dxa"/>
            <w:vAlign w:val="bottom"/>
            <w:vMerge w:val="continue"/>
          </w:tcPr>
          <w:p>
            <w:pPr>
              <w:spacing w:after="0"/>
              <w:rPr>
                <w:sz w:val="11"/>
                <w:szCs w:val="11"/>
                <w:color w:val="auto"/>
              </w:rPr>
            </w:pPr>
          </w:p>
        </w:tc>
        <w:tc>
          <w:tcPr>
            <w:tcW w:w="116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8.</w:t>
            </w:r>
          </w:p>
        </w:tc>
        <w:tc>
          <w:tcPr>
            <w:tcW w:w="41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460" w:type="dxa"/>
            <w:vAlign w:val="bottom"/>
            <w:vMerge w:val="restart"/>
          </w:tcPr>
          <w:p>
            <w:pPr>
              <w:jc w:val="right"/>
              <w:ind w:right="1670"/>
              <w:spacing w:after="0"/>
              <w:rPr>
                <w:sz w:val="20"/>
                <w:szCs w:val="20"/>
                <w:color w:val="auto"/>
              </w:rPr>
            </w:pPr>
            <w:r>
              <w:rPr>
                <w:rFonts w:ascii="Times New Roman" w:cs="Times New Roman" w:eastAsia="Times New Roman" w:hAnsi="Times New Roman"/>
                <w:sz w:val="18"/>
                <w:szCs w:val="18"/>
                <w:b w:val="1"/>
                <w:bCs w:val="1"/>
                <w:color w:val="auto"/>
              </w:rPr>
              <w:t>0</w:t>
            </w: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2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4140" w:type="dxa"/>
            <w:vAlign w:val="bottom"/>
            <w:vMerge w:val="continue"/>
          </w:tcPr>
          <w:p>
            <w:pPr>
              <w:spacing w:after="0"/>
              <w:rPr>
                <w:sz w:val="8"/>
                <w:szCs w:val="8"/>
                <w:color w:val="auto"/>
              </w:rPr>
            </w:pPr>
          </w:p>
        </w:tc>
        <w:tc>
          <w:tcPr>
            <w:tcW w:w="2460" w:type="dxa"/>
            <w:vAlign w:val="bottom"/>
            <w:vMerge w:val="continue"/>
          </w:tcPr>
          <w:p>
            <w:pPr>
              <w:spacing w:after="0"/>
              <w:rPr>
                <w:sz w:val="8"/>
                <w:szCs w:val="8"/>
                <w:color w:val="auto"/>
              </w:rPr>
            </w:pPr>
          </w:p>
        </w:tc>
        <w:tc>
          <w:tcPr>
            <w:tcW w:w="2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1220" w:type="dxa"/>
            <w:vAlign w:val="bottom"/>
            <w:tcBorders>
              <w:bottom w:val="single" w:sz="8" w:color="auto"/>
            </w:tcBorders>
          </w:tcPr>
          <w:p>
            <w:pPr>
              <w:spacing w:after="0"/>
              <w:rPr>
                <w:sz w:val="17"/>
                <w:szCs w:val="17"/>
                <w:color w:val="auto"/>
              </w:rPr>
            </w:pPr>
          </w:p>
        </w:tc>
        <w:tc>
          <w:tcPr>
            <w:tcW w:w="5300" w:type="dxa"/>
            <w:vAlign w:val="bottom"/>
            <w:tcBorders>
              <w:bottom w:val="single" w:sz="8" w:color="auto"/>
            </w:tcBorders>
            <w:gridSpan w:val="3"/>
          </w:tcPr>
          <w:p>
            <w:pPr>
              <w:spacing w:after="0"/>
              <w:rPr>
                <w:sz w:val="17"/>
                <w:szCs w:val="17"/>
                <w:color w:val="auto"/>
              </w:rPr>
            </w:pPr>
          </w:p>
        </w:tc>
        <w:tc>
          <w:tcPr>
            <w:tcW w:w="246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w:t>
            </w:r>
          </w:p>
        </w:tc>
        <w:tc>
          <w:tcPr>
            <w:tcW w:w="5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46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77"/>
        </w:trPr>
        <w:tc>
          <w:tcPr>
            <w:tcW w:w="122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4"/>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w:t>
            </w:r>
          </w:p>
        </w:tc>
        <w:tc>
          <w:tcPr>
            <w:tcW w:w="77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w:t>
            </w:r>
          </w:p>
        </w:tc>
        <w:tc>
          <w:tcPr>
            <w:tcW w:w="0" w:type="dxa"/>
            <w:vAlign w:val="bottom"/>
          </w:tcPr>
          <w:p>
            <w:pPr>
              <w:spacing w:after="0"/>
              <w:rPr>
                <w:sz w:val="1"/>
                <w:szCs w:val="1"/>
                <w:color w:val="auto"/>
              </w:rPr>
            </w:pPr>
          </w:p>
        </w:tc>
      </w:tr>
      <w:tr>
        <w:trPr>
          <w:trHeight w:val="277"/>
        </w:trPr>
        <w:tc>
          <w:tcPr>
            <w:tcW w:w="122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gridSpan w:val="3"/>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11.</w:t>
            </w:r>
          </w:p>
        </w:tc>
        <w:tc>
          <w:tcPr>
            <w:tcW w:w="5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46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w:t>
            </w:r>
          </w:p>
        </w:tc>
        <w:tc>
          <w:tcPr>
            <w:tcW w:w="0" w:type="dxa"/>
            <w:vAlign w:val="bottom"/>
          </w:tcPr>
          <w:p>
            <w:pPr>
              <w:spacing w:after="0"/>
              <w:rPr>
                <w:sz w:val="1"/>
                <w:szCs w:val="1"/>
                <w:color w:val="auto"/>
              </w:rPr>
            </w:pPr>
          </w:p>
        </w:tc>
      </w:tr>
      <w:tr>
        <w:trPr>
          <w:trHeight w:val="277"/>
        </w:trPr>
        <w:tc>
          <w:tcPr>
            <w:tcW w:w="122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gridSpan w:val="3"/>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12.</w:t>
            </w:r>
          </w:p>
        </w:tc>
        <w:tc>
          <w:tcPr>
            <w:tcW w:w="5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246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OO, IA</w:t>
            </w:r>
          </w:p>
        </w:tc>
        <w:tc>
          <w:tcPr>
            <w:tcW w:w="0" w:type="dxa"/>
            <w:vAlign w:val="bottom"/>
          </w:tcPr>
          <w:p>
            <w:pPr>
              <w:spacing w:after="0"/>
              <w:rPr>
                <w:sz w:val="1"/>
                <w:szCs w:val="1"/>
                <w:color w:val="auto"/>
              </w:rPr>
            </w:pPr>
          </w:p>
        </w:tc>
      </w:tr>
      <w:tr>
        <w:trPr>
          <w:trHeight w:val="277"/>
        </w:trPr>
        <w:tc>
          <w:tcPr>
            <w:tcW w:w="1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71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92840H202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400" w:hanging="744"/>
        <w:spacing w:after="0"/>
        <w:tabs>
          <w:tab w:leader="none" w:pos="1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5" w:lineRule="exact"/>
        <w:rPr>
          <w:rFonts w:ascii="Times New Roman" w:cs="Times New Roman" w:eastAsia="Times New Roman" w:hAnsi="Times New Roman"/>
          <w:sz w:val="18"/>
          <w:szCs w:val="18"/>
          <w:color w:val="auto"/>
        </w:rPr>
      </w:pPr>
    </w:p>
    <w:p>
      <w:pPr>
        <w:ind w:left="1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Anupam Dalal</w:t>
      </w:r>
    </w:p>
    <w:p>
      <w:pPr>
        <w:spacing w:after="0" w:line="200" w:lineRule="exact"/>
        <w:rPr>
          <w:rFonts w:ascii="Times New Roman" w:cs="Times New Roman" w:eastAsia="Times New Roman" w:hAnsi="Times New Roman"/>
          <w:sz w:val="18"/>
          <w:szCs w:val="18"/>
          <w:color w:val="auto"/>
        </w:rPr>
      </w:pPr>
    </w:p>
    <w:p>
      <w:pPr>
        <w:spacing w:after="0" w:line="380"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9" w:lineRule="exact"/>
        <w:rPr>
          <w:rFonts w:ascii="Times New Roman" w:cs="Times New Roman" w:eastAsia="Times New Roman" w:hAnsi="Times New Roman"/>
          <w:sz w:val="18"/>
          <w:szCs w:val="18"/>
          <w:color w:val="auto"/>
        </w:rPr>
      </w:pPr>
    </w:p>
    <w:p>
      <w:pPr>
        <w:ind w:left="1640" w:hanging="242"/>
        <w:spacing w:after="0"/>
        <w:tabs>
          <w:tab w:leader="none" w:pos="1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36" w:lineRule="exact"/>
        <w:rPr>
          <w:rFonts w:ascii="Times New Roman" w:cs="Times New Roman" w:eastAsia="Times New Roman" w:hAnsi="Times New Roman"/>
          <w:sz w:val="18"/>
          <w:szCs w:val="18"/>
          <w:color w:val="auto"/>
        </w:rPr>
      </w:pPr>
    </w:p>
    <w:p>
      <w:pPr>
        <w:ind w:left="1660" w:hanging="262"/>
        <w:spacing w:after="0"/>
        <w:tabs>
          <w:tab w:leader="none" w:pos="1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0" w:lineRule="exact"/>
        <w:rPr>
          <w:rFonts w:ascii="Times New Roman" w:cs="Times New Roman" w:eastAsia="Times New Roman" w:hAnsi="Times New Roman"/>
          <w:sz w:val="18"/>
          <w:szCs w:val="18"/>
          <w:color w:val="auto"/>
        </w:rPr>
      </w:pPr>
    </w:p>
    <w:p>
      <w:pPr>
        <w:spacing w:after="0" w:line="376"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 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w:t>
            </w:r>
          </w:p>
        </w:tc>
        <w:tc>
          <w:tcPr>
            <w:tcW w:w="5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320" w:type="dxa"/>
            <w:vAlign w:val="bottom"/>
          </w:tcPr>
          <w:p>
            <w:pPr>
              <w:spacing w:after="0"/>
              <w:rPr>
                <w:sz w:val="20"/>
                <w:szCs w:val="20"/>
                <w:color w:val="auto"/>
              </w:rPr>
            </w:pPr>
          </w:p>
        </w:tc>
        <w:tc>
          <w:tcPr>
            <w:tcW w:w="24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0" w:type="dxa"/>
            <w:vAlign w:val="bottom"/>
          </w:tcPr>
          <w:p>
            <w:pPr>
              <w:spacing w:after="0"/>
              <w:rPr>
                <w:sz w:val="1"/>
                <w:szCs w:val="1"/>
                <w:color w:val="auto"/>
              </w:rPr>
            </w:pPr>
          </w:p>
        </w:tc>
      </w:tr>
      <w:tr>
        <w:trPr>
          <w:trHeight w:val="277"/>
        </w:trPr>
        <w:tc>
          <w:tcPr>
            <w:tcW w:w="1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11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Sole Voting Power</w:t>
            </w:r>
          </w:p>
        </w:tc>
        <w:tc>
          <w:tcPr>
            <w:tcW w:w="2320" w:type="dxa"/>
            <w:vAlign w:val="bottom"/>
          </w:tcPr>
          <w:p>
            <w:pPr>
              <w:jc w:val="right"/>
              <w:ind w:right="1610"/>
              <w:spacing w:after="0"/>
              <w:rPr>
                <w:sz w:val="20"/>
                <w:szCs w:val="20"/>
                <w:color w:val="auto"/>
              </w:rPr>
            </w:pPr>
            <w:r>
              <w:rPr>
                <w:rFonts w:ascii="Times New Roman" w:cs="Times New Roman" w:eastAsia="Times New Roman" w:hAnsi="Times New Roman"/>
                <w:sz w:val="18"/>
                <w:szCs w:val="18"/>
                <w:b w:val="1"/>
                <w:bCs w:val="1"/>
                <w:color w:val="auto"/>
              </w:rPr>
              <w:t>-0-</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20" w:type="dxa"/>
            <w:vAlign w:val="bottom"/>
            <w:vMerge w:val="continue"/>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1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122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Shares</w:t>
            </w:r>
          </w:p>
        </w:tc>
        <w:tc>
          <w:tcPr>
            <w:tcW w:w="740" w:type="dxa"/>
            <w:vAlign w:val="bottom"/>
          </w:tcPr>
          <w:p>
            <w:pPr>
              <w:spacing w:after="0"/>
              <w:rPr>
                <w:sz w:val="14"/>
                <w:szCs w:val="14"/>
                <w:color w:val="auto"/>
              </w:rPr>
            </w:pPr>
          </w:p>
        </w:tc>
        <w:tc>
          <w:tcPr>
            <w:tcW w:w="420" w:type="dxa"/>
            <w:vAlign w:val="bottom"/>
          </w:tcPr>
          <w:p>
            <w:pPr>
              <w:jc w:val="right"/>
              <w:ind w:right="110"/>
              <w:spacing w:after="0" w:line="170" w:lineRule="exact"/>
              <w:rPr>
                <w:sz w:val="20"/>
                <w:szCs w:val="20"/>
                <w:color w:val="auto"/>
              </w:rPr>
            </w:pPr>
            <w:r>
              <w:rPr>
                <w:rFonts w:ascii="Times New Roman" w:cs="Times New Roman" w:eastAsia="Times New Roman" w:hAnsi="Times New Roman"/>
                <w:sz w:val="18"/>
                <w:szCs w:val="18"/>
                <w:color w:val="auto"/>
              </w:rPr>
              <w:t>6.</w:t>
            </w:r>
          </w:p>
        </w:tc>
        <w:tc>
          <w:tcPr>
            <w:tcW w:w="4140" w:type="dxa"/>
            <w:vAlign w:val="bottom"/>
          </w:tcPr>
          <w:p>
            <w:pPr>
              <w:ind w:left="220"/>
              <w:spacing w:after="0" w:line="170" w:lineRule="exact"/>
              <w:rPr>
                <w:sz w:val="20"/>
                <w:szCs w:val="20"/>
                <w:color w:val="auto"/>
              </w:rPr>
            </w:pPr>
            <w:r>
              <w:rPr>
                <w:rFonts w:ascii="Times New Roman" w:cs="Times New Roman" w:eastAsia="Times New Roman" w:hAnsi="Times New Roman"/>
                <w:sz w:val="18"/>
                <w:szCs w:val="18"/>
                <w:color w:val="auto"/>
              </w:rPr>
              <w:t>Shared Voting Power</w:t>
            </w:r>
          </w:p>
        </w:tc>
        <w:tc>
          <w:tcPr>
            <w:tcW w:w="2320" w:type="dxa"/>
            <w:vAlign w:val="bottom"/>
          </w:tcPr>
          <w:p>
            <w:pPr>
              <w:jc w:val="right"/>
              <w:ind w:right="1610"/>
              <w:spacing w:after="0" w:line="170" w:lineRule="exact"/>
              <w:rPr>
                <w:sz w:val="20"/>
                <w:szCs w:val="20"/>
                <w:color w:val="auto"/>
              </w:rPr>
            </w:pPr>
            <w:r>
              <w:rPr>
                <w:rFonts w:ascii="Times New Roman" w:cs="Times New Roman" w:eastAsia="Times New Roman" w:hAnsi="Times New Roman"/>
                <w:sz w:val="18"/>
                <w:szCs w:val="18"/>
                <w:b w:val="1"/>
                <w:bCs w:val="1"/>
                <w:color w:val="auto"/>
              </w:rPr>
              <w:t>0</w:t>
            </w: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1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Owned by</w:t>
            </w:r>
          </w:p>
        </w:tc>
        <w:tc>
          <w:tcPr>
            <w:tcW w:w="1160" w:type="dxa"/>
            <w:vAlign w:val="bottom"/>
            <w:gridSpan w:val="2"/>
          </w:tcPr>
          <w:p>
            <w:pPr>
              <w:spacing w:after="0"/>
              <w:rPr>
                <w:sz w:val="4"/>
                <w:szCs w:val="4"/>
                <w:color w:val="auto"/>
              </w:rPr>
            </w:pPr>
          </w:p>
        </w:tc>
        <w:tc>
          <w:tcPr>
            <w:tcW w:w="4140" w:type="dxa"/>
            <w:vAlign w:val="bottom"/>
          </w:tcPr>
          <w:p>
            <w:pPr>
              <w:spacing w:after="0"/>
              <w:rPr>
                <w:sz w:val="4"/>
                <w:szCs w:val="4"/>
                <w:color w:val="auto"/>
              </w:rPr>
            </w:pPr>
          </w:p>
        </w:tc>
        <w:tc>
          <w:tcPr>
            <w:tcW w:w="2320" w:type="dxa"/>
            <w:vAlign w:val="bottom"/>
          </w:tcPr>
          <w:p>
            <w:pPr>
              <w:spacing w:after="0"/>
              <w:rPr>
                <w:sz w:val="4"/>
                <w:szCs w:val="4"/>
                <w:color w:val="auto"/>
              </w:rPr>
            </w:pPr>
          </w:p>
        </w:tc>
        <w:tc>
          <w:tcPr>
            <w:tcW w:w="2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22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Borders>
              <w:top w:val="single" w:sz="8" w:color="auto"/>
            </w:tcBorders>
          </w:tcPr>
          <w:p>
            <w:pPr>
              <w:jc w:val="right"/>
              <w:ind w:right="110"/>
              <w:spacing w:after="0" w:line="162" w:lineRule="exact"/>
              <w:rPr>
                <w:sz w:val="20"/>
                <w:szCs w:val="20"/>
                <w:color w:val="auto"/>
              </w:rPr>
            </w:pPr>
            <w:r>
              <w:rPr>
                <w:rFonts w:ascii="Times New Roman" w:cs="Times New Roman" w:eastAsia="Times New Roman" w:hAnsi="Times New Roman"/>
                <w:sz w:val="18"/>
                <w:szCs w:val="18"/>
                <w:color w:val="auto"/>
              </w:rPr>
              <w:t>7.</w:t>
            </w:r>
          </w:p>
        </w:tc>
        <w:tc>
          <w:tcPr>
            <w:tcW w:w="4140" w:type="dxa"/>
            <w:vAlign w:val="bottom"/>
            <w:tcBorders>
              <w:top w:val="single" w:sz="8" w:color="auto"/>
            </w:tcBorders>
          </w:tcPr>
          <w:p>
            <w:pPr>
              <w:ind w:left="220"/>
              <w:spacing w:after="0" w:line="162" w:lineRule="exact"/>
              <w:rPr>
                <w:sz w:val="20"/>
                <w:szCs w:val="20"/>
                <w:color w:val="auto"/>
              </w:rPr>
            </w:pPr>
            <w:r>
              <w:rPr>
                <w:rFonts w:ascii="Times New Roman" w:cs="Times New Roman" w:eastAsia="Times New Roman" w:hAnsi="Times New Roman"/>
                <w:sz w:val="18"/>
                <w:szCs w:val="18"/>
                <w:color w:val="auto"/>
              </w:rPr>
              <w:t>Sole Dispositive Power</w:t>
            </w:r>
          </w:p>
        </w:tc>
        <w:tc>
          <w:tcPr>
            <w:tcW w:w="2320" w:type="dxa"/>
            <w:vAlign w:val="bottom"/>
            <w:tcBorders>
              <w:top w:val="single" w:sz="8" w:color="auto"/>
            </w:tcBorders>
          </w:tcPr>
          <w:p>
            <w:pPr>
              <w:jc w:val="right"/>
              <w:ind w:right="1610"/>
              <w:spacing w:after="0" w:line="162" w:lineRule="exact"/>
              <w:rPr>
                <w:sz w:val="20"/>
                <w:szCs w:val="20"/>
                <w:color w:val="auto"/>
              </w:rPr>
            </w:pPr>
            <w:r>
              <w:rPr>
                <w:rFonts w:ascii="Times New Roman" w:cs="Times New Roman" w:eastAsia="Times New Roman" w:hAnsi="Times New Roman"/>
                <w:sz w:val="18"/>
                <w:szCs w:val="18"/>
                <w:b w:val="1"/>
                <w:bCs w:val="1"/>
                <w:color w:val="auto"/>
              </w:rPr>
              <w:t>-0-</w:t>
            </w:r>
          </w:p>
        </w:tc>
        <w:tc>
          <w:tcPr>
            <w:tcW w:w="24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Each Reporting</w:t>
            </w: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1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74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4140" w:type="dxa"/>
            <w:vAlign w:val="bottom"/>
            <w:tcBorders>
              <w:bottom w:val="single" w:sz="8" w:color="auto"/>
            </w:tcBorders>
          </w:tcPr>
          <w:p>
            <w:pPr>
              <w:spacing w:after="0"/>
              <w:rPr>
                <w:sz w:val="6"/>
                <w:szCs w:val="6"/>
                <w:color w:val="auto"/>
              </w:rPr>
            </w:pPr>
          </w:p>
        </w:tc>
        <w:tc>
          <w:tcPr>
            <w:tcW w:w="2320" w:type="dxa"/>
            <w:vAlign w:val="bottom"/>
            <w:tcBorders>
              <w:bottom w:val="single" w:sz="8" w:color="auto"/>
            </w:tcBorders>
          </w:tcPr>
          <w:p>
            <w:pPr>
              <w:spacing w:after="0"/>
              <w:rPr>
                <w:sz w:val="6"/>
                <w:szCs w:val="6"/>
                <w:color w:val="auto"/>
              </w:rPr>
            </w:pPr>
          </w:p>
        </w:tc>
        <w:tc>
          <w:tcPr>
            <w:tcW w:w="24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220" w:type="dxa"/>
            <w:vAlign w:val="bottom"/>
            <w:vMerge w:val="continue"/>
          </w:tcPr>
          <w:p>
            <w:pPr>
              <w:spacing w:after="0"/>
              <w:rPr>
                <w:sz w:val="11"/>
                <w:szCs w:val="11"/>
                <w:color w:val="auto"/>
              </w:rPr>
            </w:pPr>
          </w:p>
        </w:tc>
        <w:tc>
          <w:tcPr>
            <w:tcW w:w="116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8.</w:t>
            </w:r>
          </w:p>
        </w:tc>
        <w:tc>
          <w:tcPr>
            <w:tcW w:w="41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320" w:type="dxa"/>
            <w:vAlign w:val="bottom"/>
            <w:vMerge w:val="restart"/>
          </w:tcPr>
          <w:p>
            <w:pPr>
              <w:jc w:val="right"/>
              <w:ind w:right="1650"/>
              <w:spacing w:after="0"/>
              <w:rPr>
                <w:sz w:val="20"/>
                <w:szCs w:val="20"/>
                <w:color w:val="auto"/>
              </w:rPr>
            </w:pPr>
            <w:r>
              <w:rPr>
                <w:rFonts w:ascii="Times New Roman" w:cs="Times New Roman" w:eastAsia="Times New Roman" w:hAnsi="Times New Roman"/>
                <w:sz w:val="18"/>
                <w:szCs w:val="18"/>
                <w:b w:val="1"/>
                <w:bCs w:val="1"/>
                <w:color w:val="auto"/>
              </w:rPr>
              <w:t>0</w:t>
            </w:r>
          </w:p>
        </w:tc>
        <w:tc>
          <w:tcPr>
            <w:tcW w:w="2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2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4140" w:type="dxa"/>
            <w:vAlign w:val="bottom"/>
            <w:vMerge w:val="continue"/>
          </w:tcPr>
          <w:p>
            <w:pPr>
              <w:spacing w:after="0"/>
              <w:rPr>
                <w:sz w:val="8"/>
                <w:szCs w:val="8"/>
                <w:color w:val="auto"/>
              </w:rPr>
            </w:pPr>
          </w:p>
        </w:tc>
        <w:tc>
          <w:tcPr>
            <w:tcW w:w="2320" w:type="dxa"/>
            <w:vAlign w:val="bottom"/>
            <w:vMerge w:val="continue"/>
          </w:tcPr>
          <w:p>
            <w:pPr>
              <w:spacing w:after="0"/>
              <w:rPr>
                <w:sz w:val="8"/>
                <w:szCs w:val="8"/>
                <w:color w:val="auto"/>
              </w:rPr>
            </w:pPr>
          </w:p>
        </w:tc>
        <w:tc>
          <w:tcPr>
            <w:tcW w:w="2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1220" w:type="dxa"/>
            <w:vAlign w:val="bottom"/>
            <w:tcBorders>
              <w:bottom w:val="single" w:sz="8" w:color="auto"/>
            </w:tcBorders>
          </w:tcPr>
          <w:p>
            <w:pPr>
              <w:spacing w:after="0"/>
              <w:rPr>
                <w:sz w:val="17"/>
                <w:szCs w:val="17"/>
                <w:color w:val="auto"/>
              </w:rPr>
            </w:pPr>
          </w:p>
        </w:tc>
        <w:tc>
          <w:tcPr>
            <w:tcW w:w="5300" w:type="dxa"/>
            <w:vAlign w:val="bottom"/>
            <w:tcBorders>
              <w:bottom w:val="single" w:sz="8" w:color="auto"/>
            </w:tcBorders>
            <w:gridSpan w:val="3"/>
          </w:tcPr>
          <w:p>
            <w:pPr>
              <w:spacing w:after="0"/>
              <w:rPr>
                <w:sz w:val="17"/>
                <w:szCs w:val="17"/>
                <w:color w:val="auto"/>
              </w:rPr>
            </w:pPr>
          </w:p>
        </w:tc>
        <w:tc>
          <w:tcPr>
            <w:tcW w:w="23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w:t>
            </w:r>
          </w:p>
        </w:tc>
        <w:tc>
          <w:tcPr>
            <w:tcW w:w="5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32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77"/>
        </w:trPr>
        <w:tc>
          <w:tcPr>
            <w:tcW w:w="122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gridSpan w:val="4"/>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w:t>
            </w:r>
          </w:p>
        </w:tc>
        <w:tc>
          <w:tcPr>
            <w:tcW w:w="76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w:t>
            </w:r>
          </w:p>
        </w:tc>
        <w:tc>
          <w:tcPr>
            <w:tcW w:w="0" w:type="dxa"/>
            <w:vAlign w:val="bottom"/>
          </w:tcPr>
          <w:p>
            <w:pPr>
              <w:spacing w:after="0"/>
              <w:rPr>
                <w:sz w:val="1"/>
                <w:szCs w:val="1"/>
                <w:color w:val="auto"/>
              </w:rPr>
            </w:pPr>
          </w:p>
        </w:tc>
      </w:tr>
      <w:tr>
        <w:trPr>
          <w:trHeight w:val="277"/>
        </w:trPr>
        <w:tc>
          <w:tcPr>
            <w:tcW w:w="122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gridSpan w:val="3"/>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11.</w:t>
            </w:r>
          </w:p>
        </w:tc>
        <w:tc>
          <w:tcPr>
            <w:tcW w:w="5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32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w:t>
            </w:r>
          </w:p>
        </w:tc>
        <w:tc>
          <w:tcPr>
            <w:tcW w:w="0" w:type="dxa"/>
            <w:vAlign w:val="bottom"/>
          </w:tcPr>
          <w:p>
            <w:pPr>
              <w:spacing w:after="0"/>
              <w:rPr>
                <w:sz w:val="1"/>
                <w:szCs w:val="1"/>
                <w:color w:val="auto"/>
              </w:rPr>
            </w:pPr>
          </w:p>
        </w:tc>
      </w:tr>
      <w:tr>
        <w:trPr>
          <w:trHeight w:val="277"/>
        </w:trPr>
        <w:tc>
          <w:tcPr>
            <w:tcW w:w="122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gridSpan w:val="3"/>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12.</w:t>
            </w:r>
          </w:p>
        </w:tc>
        <w:tc>
          <w:tcPr>
            <w:tcW w:w="5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232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IN, HC</w:t>
            </w:r>
          </w:p>
        </w:tc>
        <w:tc>
          <w:tcPr>
            <w:tcW w:w="0" w:type="dxa"/>
            <w:vAlign w:val="bottom"/>
          </w:tcPr>
          <w:p>
            <w:pPr>
              <w:spacing w:after="0"/>
              <w:rPr>
                <w:sz w:val="1"/>
                <w:szCs w:val="1"/>
                <w:color w:val="auto"/>
              </w:rPr>
            </w:pPr>
          </w:p>
        </w:tc>
      </w:tr>
      <w:tr>
        <w:trPr>
          <w:trHeight w:val="277"/>
        </w:trPr>
        <w:tc>
          <w:tcPr>
            <w:tcW w:w="1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68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92840H202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56" w:lineRule="exact"/>
        <w:rPr>
          <w:sz w:val="20"/>
          <w:szCs w:val="20"/>
          <w:color w:val="auto"/>
        </w:rPr>
      </w:pPr>
    </w:p>
    <w:p>
      <w:pPr>
        <w:ind w:left="1500" w:hanging="750"/>
        <w:spacing w:after="0"/>
        <w:tabs>
          <w:tab w:leader="none" w:pos="1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75"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VistaGen Therapeutics, Inc.</w:t>
      </w:r>
    </w:p>
    <w:p>
      <w:pPr>
        <w:spacing w:after="0" w:line="200" w:lineRule="exact"/>
        <w:rPr>
          <w:rFonts w:ascii="Times New Roman" w:cs="Times New Roman" w:eastAsia="Times New Roman" w:hAnsi="Times New Roman"/>
          <w:sz w:val="18"/>
          <w:szCs w:val="18"/>
          <w:color w:val="auto"/>
        </w:rPr>
      </w:pPr>
    </w:p>
    <w:p>
      <w:pPr>
        <w:spacing w:after="0" w:line="339" w:lineRule="exact"/>
        <w:rPr>
          <w:rFonts w:ascii="Times New Roman" w:cs="Times New Roman" w:eastAsia="Times New Roman" w:hAnsi="Times New Roman"/>
          <w:sz w:val="18"/>
          <w:szCs w:val="18"/>
          <w:color w:val="auto"/>
        </w:rPr>
      </w:pPr>
    </w:p>
    <w:p>
      <w:pPr>
        <w:ind w:left="1500" w:hanging="750"/>
        <w:spacing w:after="0"/>
        <w:tabs>
          <w:tab w:leader="none" w:pos="1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275"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343 Allerton Avenue, South San Francisco, CA 94080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28575</wp:posOffset>
            </wp:positionV>
            <wp:extent cx="618934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-751205</wp:posOffset>
            </wp:positionV>
            <wp:extent cx="618934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89345" cy="1714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56" w:lineRule="exact"/>
        <w:rPr>
          <w:sz w:val="20"/>
          <w:szCs w:val="20"/>
          <w:color w:val="auto"/>
        </w:rPr>
      </w:pPr>
    </w:p>
    <w:p>
      <w:pPr>
        <w:ind w:left="1500" w:hanging="750"/>
        <w:spacing w:after="0"/>
        <w:tabs>
          <w:tab w:leader="none" w:pos="1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persons filing this statement are:</w:t>
      </w:r>
    </w:p>
    <w:p>
      <w:pPr>
        <w:spacing w:after="0" w:line="275"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Acuta Capital Partners LLC (“Acuta”) and Dr. Anupam Dalal (collectively, the “Filers”).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9" w:lineRule="exact"/>
        <w:rPr>
          <w:rFonts w:ascii="Times New Roman" w:cs="Times New Roman" w:eastAsia="Times New Roman" w:hAnsi="Times New Roman"/>
          <w:sz w:val="18"/>
          <w:szCs w:val="18"/>
          <w:color w:val="auto"/>
        </w:rPr>
      </w:pPr>
    </w:p>
    <w:p>
      <w:pPr>
        <w:ind w:left="1500" w:hanging="750"/>
        <w:spacing w:after="0"/>
        <w:tabs>
          <w:tab w:leader="none" w:pos="1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office of the Filers is located at:</w:t>
      </w:r>
    </w:p>
    <w:p>
      <w:pPr>
        <w:spacing w:after="0" w:line="275"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1301 Shoreway Road, Suite 340, Belmont, CA 94002</w:t>
      </w:r>
    </w:p>
    <w:p>
      <w:pPr>
        <w:spacing w:after="0" w:line="283" w:lineRule="exact"/>
        <w:rPr>
          <w:rFonts w:ascii="Times New Roman" w:cs="Times New Roman" w:eastAsia="Times New Roman" w:hAnsi="Times New Roman"/>
          <w:sz w:val="18"/>
          <w:szCs w:val="18"/>
          <w:color w:val="auto"/>
        </w:rPr>
      </w:pPr>
    </w:p>
    <w:p>
      <w:pPr>
        <w:ind w:left="1500" w:hanging="750"/>
        <w:spacing w:after="0"/>
        <w:tabs>
          <w:tab w:leader="none" w:pos="1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citizenship of Filers, see Item 4 of the cover sheet for each Filer.</w:t>
      </w:r>
    </w:p>
    <w:p>
      <w:pPr>
        <w:spacing w:after="0" w:line="275" w:lineRule="exact"/>
        <w:rPr>
          <w:rFonts w:ascii="Times New Roman" w:cs="Times New Roman" w:eastAsia="Times New Roman" w:hAnsi="Times New Roman"/>
          <w:sz w:val="18"/>
          <w:szCs w:val="18"/>
          <w:color w:val="auto"/>
        </w:rPr>
      </w:pPr>
    </w:p>
    <w:p>
      <w:pPr>
        <w:ind w:left="1500" w:hanging="750"/>
        <w:spacing w:after="0"/>
        <w:tabs>
          <w:tab w:leader="none" w:pos="15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This statement relates to the Issuer’s shares of </w:t>
      </w:r>
      <w:r>
        <w:rPr>
          <w:rFonts w:ascii="Times New Roman" w:cs="Times New Roman" w:eastAsia="Times New Roman" w:hAnsi="Times New Roman"/>
          <w:sz w:val="17"/>
          <w:szCs w:val="17"/>
          <w:b w:val="1"/>
          <w:bCs w:val="1"/>
          <w:color w:val="auto"/>
        </w:rPr>
        <w:t>Common Stock, par value $0.001 per share</w:t>
      </w:r>
      <w:r>
        <w:rPr>
          <w:rFonts w:ascii="Times New Roman" w:cs="Times New Roman" w:eastAsia="Times New Roman" w:hAnsi="Times New Roman"/>
          <w:sz w:val="17"/>
          <w:szCs w:val="17"/>
          <w:color w:val="auto"/>
        </w:rPr>
        <w:t xml:space="preserve"> (the “Stock”).</w:t>
      </w:r>
    </w:p>
    <w:p>
      <w:pPr>
        <w:spacing w:after="0" w:line="290" w:lineRule="exact"/>
        <w:rPr>
          <w:rFonts w:ascii="Times New Roman" w:cs="Times New Roman" w:eastAsia="Times New Roman" w:hAnsi="Times New Roman"/>
          <w:sz w:val="17"/>
          <w:szCs w:val="17"/>
          <w:color w:val="auto"/>
        </w:rPr>
      </w:pPr>
    </w:p>
    <w:p>
      <w:pPr>
        <w:ind w:left="1500" w:hanging="750"/>
        <w:spacing w:after="0"/>
        <w:tabs>
          <w:tab w:leader="none" w:pos="1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CUSIP number of the Issuer is: </w:t>
      </w:r>
      <w:r>
        <w:rPr>
          <w:rFonts w:ascii="Times New Roman" w:cs="Times New Roman" w:eastAsia="Times New Roman" w:hAnsi="Times New Roman"/>
          <w:sz w:val="18"/>
          <w:szCs w:val="18"/>
          <w:b w:val="1"/>
          <w:bCs w:val="1"/>
          <w:color w:val="auto"/>
        </w:rPr>
        <w:t>92840H202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139"/>
          </w:cols>
          <w:pgMar w:left="320" w:top="684"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92840H202</w:t>
      </w:r>
    </w:p>
    <w:p>
      <w:pPr>
        <w:spacing w:after="0" w:line="252"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rule 240.13d-1(b) or 240.13d-2(b) or (c), check whether the person filing is a:</w:t>
      </w:r>
    </w:p>
    <w:p>
      <w:pPr>
        <w:spacing w:after="0" w:line="229" w:lineRule="exact"/>
        <w:rPr>
          <w:sz w:val="20"/>
          <w:szCs w:val="20"/>
          <w:color w:val="auto"/>
        </w:rPr>
      </w:pPr>
    </w:p>
    <w:p>
      <w:pPr>
        <w:ind w:left="1400" w:hanging="744"/>
        <w:spacing w:after="0"/>
        <w:tabs>
          <w:tab w:leader="none" w:pos="1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7"/>
          <w:szCs w:val="17"/>
          <w:color w:val="auto"/>
        </w:rPr>
        <w:t>Broker or dealer registered under section 15 of the Act (15 U.S.C. 78o).</w:t>
      </w:r>
    </w:p>
    <w:p>
      <w:pPr>
        <w:spacing w:after="0" w:line="279"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]Bank as defined in section 3(a)(6) of the Act (15 U.S.C. 78c).</w:t>
      </w:r>
    </w:p>
    <w:p>
      <w:pPr>
        <w:spacing w:after="0" w:line="279"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7"/>
          <w:szCs w:val="17"/>
          <w:color w:val="auto"/>
        </w:rPr>
        <w:t>Insurance company as defined in section 3(a)(19) of the Act (15 U.S.C. 78c).</w:t>
      </w:r>
    </w:p>
    <w:p>
      <w:pPr>
        <w:spacing w:after="0" w:line="279"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]Investment company registered under section 8 of the Investment Company Act of 1940 (15 U.S.C. 80a-8).</w:t>
      </w:r>
    </w:p>
    <w:p>
      <w:pPr>
        <w:spacing w:after="0" w:line="279"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 ]</w:t>
      </w:r>
      <w:r>
        <w:rPr>
          <w:rFonts w:ascii="Times New Roman" w:cs="Times New Roman" w:eastAsia="Times New Roman" w:hAnsi="Times New Roman"/>
          <w:sz w:val="17"/>
          <w:szCs w:val="17"/>
          <w:color w:val="auto"/>
        </w:rPr>
        <w:t>An investment adviser in accordance with section 240.13d-1(b)(1)(ii)(E) as to Acuta.</w:t>
      </w:r>
    </w:p>
    <w:p>
      <w:pPr>
        <w:spacing w:after="0" w:line="279"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7"/>
          <w:szCs w:val="17"/>
          <w:color w:val="auto"/>
        </w:rPr>
        <w:t>An employee benefit plan or endowment fund in accordance with section 240.13d-1(b)(1)(ii)(F).</w:t>
      </w:r>
    </w:p>
    <w:p>
      <w:pPr>
        <w:spacing w:after="0" w:line="279"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 ]A parent holding company or control person in accordance with 240.13d-1(b)(1)(ii)(G)</w:t>
      </w:r>
    </w:p>
    <w:p>
      <w:pPr>
        <w:spacing w:after="0" w:line="36"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as to Dr. Dalal.</w:t>
      </w:r>
    </w:p>
    <w:p>
      <w:pPr>
        <w:spacing w:after="0" w:line="279" w:lineRule="exact"/>
        <w:rPr>
          <w:sz w:val="20"/>
          <w:szCs w:val="20"/>
          <w:color w:val="auto"/>
        </w:rPr>
      </w:pPr>
    </w:p>
    <w:p>
      <w:pPr>
        <w:ind w:left="1400" w:hanging="744"/>
        <w:spacing w:after="0"/>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7"/>
          <w:szCs w:val="17"/>
          <w:color w:val="auto"/>
        </w:rPr>
        <w:t>A savings association as defined in section 3(b) of the Federal Deposit Insurance Act (12 U.S.C. 1813).</w:t>
      </w:r>
    </w:p>
    <w:p>
      <w:pPr>
        <w:spacing w:after="0" w:line="279" w:lineRule="exact"/>
        <w:rPr>
          <w:rFonts w:ascii="Times New Roman" w:cs="Times New Roman" w:eastAsia="Times New Roman" w:hAnsi="Times New Roman"/>
          <w:sz w:val="18"/>
          <w:szCs w:val="18"/>
          <w:color w:val="auto"/>
        </w:rPr>
      </w:pPr>
    </w:p>
    <w:p>
      <w:pPr>
        <w:ind w:left="2140" w:right="100" w:hanging="1484"/>
        <w:spacing w:after="0" w:line="282" w:lineRule="auto"/>
        <w:tabs>
          <w:tab w:leader="none" w:pos="139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 church plan that is excluded from the definition of an investment company under section 3(c)(14) of the Investment Company Act of 1940 (15 U.S.C. 80a-3).</w:t>
      </w:r>
    </w:p>
    <w:p>
      <w:pPr>
        <w:spacing w:after="0" w:line="188"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]Group, in accordance with section 240.13d-1(b)(1)(ii)(J).</w:t>
      </w:r>
    </w:p>
    <w:p>
      <w:pPr>
        <w:spacing w:after="0" w:line="248"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Items 5-9 and 11 of the cover page for each Filer.</w:t>
      </w:r>
    </w:p>
    <w:p>
      <w:pPr>
        <w:spacing w:after="0" w:line="221"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funds managed by Acuta hold the Stock for the benefit of their investors and have the right to receive or the power to direct the receipt of dividends from, or the proceeds from the sale of, the Stock.</w:t>
      </w:r>
    </w:p>
    <w:p>
      <w:pPr>
        <w:spacing w:after="0" w:line="158" w:lineRule="exact"/>
        <w:rPr>
          <w:sz w:val="20"/>
          <w:szCs w:val="20"/>
          <w:color w:val="auto"/>
        </w:rPr>
      </w:pPr>
    </w:p>
    <w:p>
      <w:pPr>
        <w:ind w:left="1400" w:right="100" w:hanging="1389"/>
        <w:spacing w:after="0" w:line="286" w:lineRule="auto"/>
        <w:tabs>
          <w:tab w:leader="none" w:pos="13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Acuta is the general partner and investment adviser of investment funds. Dr. Dalal is the control person of Acuta.</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71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92840H202</w:t>
      </w:r>
    </w:p>
    <w:p>
      <w:pPr>
        <w:spacing w:after="0" w:line="225"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500"/>
          </w:cols>
          <w:pgMar w:left="320" w:top="684" w:right="1079" w:bottom="144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 Acuta and Dr. Dalal:</w:t>
      </w:r>
    </w:p>
    <w:p>
      <w:pPr>
        <w:spacing w:after="0" w:line="211" w:lineRule="exact"/>
        <w:rPr>
          <w:sz w:val="20"/>
          <w:szCs w:val="20"/>
          <w:color w:val="auto"/>
        </w:rPr>
      </w:pPr>
    </w:p>
    <w:p>
      <w:pPr>
        <w:sectPr>
          <w:pgSz w:w="11900" w:h="16838" w:orient="portrait"/>
          <w:cols w:equalWidth="0" w:num="2">
            <w:col w:w="1100" w:space="100"/>
            <w:col w:w="9300"/>
          </w:cols>
          <w:pgMar w:left="320" w:top="684" w:right="1079" w:bottom="1440" w:gutter="0" w:footer="0" w:header="0"/>
          <w:type w:val="continuous"/>
        </w:sectPr>
      </w:pPr>
    </w:p>
    <w:p>
      <w:pPr>
        <w:spacing w:after="0" w:line="56"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00"/>
          </w:cols>
          <w:pgMar w:left="320" w:top="684" w:right="107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92840H202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Dated: February 14, 2023</w:t>
            </w:r>
          </w:p>
        </w:tc>
        <w:tc>
          <w:tcPr>
            <w:tcW w:w="5820" w:type="dxa"/>
            <w:vAlign w:val="bottom"/>
          </w:tcPr>
          <w:p>
            <w:pPr>
              <w:spacing w:after="0"/>
              <w:rPr>
                <w:sz w:val="20"/>
                <w:szCs w:val="20"/>
                <w:color w:val="auto"/>
              </w:rPr>
            </w:pPr>
          </w:p>
        </w:tc>
      </w:tr>
      <w:tr>
        <w:trPr>
          <w:trHeight w:val="432"/>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Acuta Capital Partners LLC</w:t>
            </w:r>
          </w:p>
        </w:tc>
        <w:tc>
          <w:tcPr>
            <w:tcW w:w="5820" w:type="dxa"/>
            <w:vAlign w:val="bottom"/>
          </w:tcPr>
          <w:p>
            <w:pPr>
              <w:spacing w:after="0"/>
              <w:rPr>
                <w:sz w:val="24"/>
                <w:szCs w:val="24"/>
                <w:color w:val="auto"/>
              </w:rPr>
            </w:pPr>
          </w:p>
        </w:tc>
      </w:tr>
      <w:tr>
        <w:trPr>
          <w:trHeight w:val="452"/>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/s/ Scott R. Smith</w:t>
            </w:r>
          </w:p>
        </w:tc>
        <w:tc>
          <w:tcPr>
            <w:tcW w:w="5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 Anupam Dalal</w:t>
            </w:r>
          </w:p>
        </w:tc>
      </w:tr>
      <w:tr>
        <w:trPr>
          <w:trHeight w:val="238"/>
        </w:trPr>
        <w:tc>
          <w:tcPr>
            <w:tcW w:w="280" w:type="dxa"/>
            <w:vAlign w:val="bottom"/>
          </w:tcPr>
          <w:p>
            <w:pPr>
              <w:spacing w:after="0"/>
              <w:rPr>
                <w:sz w:val="20"/>
                <w:szCs w:val="20"/>
                <w:color w:val="auto"/>
              </w:rPr>
            </w:pPr>
          </w:p>
        </w:tc>
        <w:tc>
          <w:tcPr>
            <w:tcW w:w="5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Scott R. Smith, Chief Operating Officer</w:t>
            </w:r>
          </w:p>
        </w:tc>
        <w:tc>
          <w:tcPr>
            <w:tcW w:w="100" w:type="dxa"/>
            <w:vAlign w:val="bottom"/>
          </w:tcPr>
          <w:p>
            <w:pPr>
              <w:spacing w:after="0"/>
              <w:rPr>
                <w:sz w:val="20"/>
                <w:szCs w:val="20"/>
                <w:color w:val="auto"/>
              </w:rPr>
            </w:pPr>
          </w:p>
        </w:tc>
        <w:tc>
          <w:tcPr>
            <w:tcW w:w="5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Anupam Dalal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68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92840H202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 REGARDING JOINT FILING</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STATEMENT ON SCHEDULE 13D OR 13G</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undersigned agree to file jointly with the Securities and Exchange Commission (the “SEC”) any and all statements on Schedule 13D, Schedule 13G or Forms 3, 4 or 5 (and any amendments or supplements thereto) required under section 13(d) or 16(a) of the Securities Exchange Act of 1934, as amended, in connection with purchases by the undersigned of the securities of any issuer. For that purpose, the undersigned hereby constitute and appoint Acuta Capital Partners LLC, a Delaware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February 14, 2023</w:t>
            </w:r>
          </w:p>
        </w:tc>
        <w:tc>
          <w:tcPr>
            <w:tcW w:w="100" w:type="dxa"/>
            <w:vAlign w:val="bottom"/>
          </w:tcPr>
          <w:p>
            <w:pPr>
              <w:spacing w:after="0"/>
              <w:rPr>
                <w:sz w:val="20"/>
                <w:szCs w:val="20"/>
                <w:color w:val="auto"/>
              </w:rPr>
            </w:pPr>
          </w:p>
        </w:tc>
        <w:tc>
          <w:tcPr>
            <w:tcW w:w="5820" w:type="dxa"/>
            <w:vAlign w:val="bottom"/>
          </w:tcPr>
          <w:p>
            <w:pPr>
              <w:spacing w:after="0"/>
              <w:rPr>
                <w:sz w:val="20"/>
                <w:szCs w:val="20"/>
                <w:color w:val="auto"/>
              </w:rPr>
            </w:pPr>
          </w:p>
        </w:tc>
      </w:tr>
      <w:tr>
        <w:trPr>
          <w:trHeight w:val="432"/>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Acuta Capital Partners LLC</w:t>
            </w:r>
          </w:p>
        </w:tc>
        <w:tc>
          <w:tcPr>
            <w:tcW w:w="100" w:type="dxa"/>
            <w:vAlign w:val="bottom"/>
          </w:tcPr>
          <w:p>
            <w:pPr>
              <w:spacing w:after="0"/>
              <w:rPr>
                <w:sz w:val="24"/>
                <w:szCs w:val="24"/>
                <w:color w:val="auto"/>
              </w:rPr>
            </w:pPr>
          </w:p>
        </w:tc>
        <w:tc>
          <w:tcPr>
            <w:tcW w:w="5820" w:type="dxa"/>
            <w:vAlign w:val="bottom"/>
          </w:tcPr>
          <w:p>
            <w:pPr>
              <w:spacing w:after="0"/>
              <w:rPr>
                <w:sz w:val="24"/>
                <w:szCs w:val="24"/>
                <w:color w:val="auto"/>
              </w:rPr>
            </w:pPr>
          </w:p>
        </w:tc>
      </w:tr>
      <w:tr>
        <w:trPr>
          <w:trHeight w:val="507"/>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Scott R. Smith</w:t>
            </w:r>
          </w:p>
        </w:tc>
        <w:tc>
          <w:tcPr>
            <w:tcW w:w="100" w:type="dxa"/>
            <w:vAlign w:val="bottom"/>
          </w:tcPr>
          <w:p>
            <w:pPr>
              <w:spacing w:after="0"/>
              <w:rPr>
                <w:sz w:val="24"/>
                <w:szCs w:val="24"/>
                <w:color w:val="auto"/>
              </w:rPr>
            </w:pPr>
          </w:p>
        </w:tc>
        <w:tc>
          <w:tcPr>
            <w:tcW w:w="582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/s/ Anupam Dalal</w:t>
            </w:r>
          </w:p>
        </w:tc>
      </w:tr>
      <w:tr>
        <w:trPr>
          <w:trHeight w:val="238"/>
        </w:trPr>
        <w:tc>
          <w:tcPr>
            <w:tcW w:w="280" w:type="dxa"/>
            <w:vAlign w:val="bottom"/>
          </w:tcPr>
          <w:p>
            <w:pPr>
              <w:spacing w:after="0"/>
              <w:rPr>
                <w:sz w:val="20"/>
                <w:szCs w:val="20"/>
                <w:color w:val="auto"/>
              </w:rPr>
            </w:pPr>
          </w:p>
        </w:tc>
        <w:tc>
          <w:tcPr>
            <w:tcW w:w="5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Scott R. Smith, Chief Operating Officer</w:t>
            </w:r>
          </w:p>
        </w:tc>
        <w:tc>
          <w:tcPr>
            <w:tcW w:w="100" w:type="dxa"/>
            <w:vAlign w:val="bottom"/>
          </w:tcPr>
          <w:p>
            <w:pPr>
              <w:spacing w:after="0"/>
              <w:rPr>
                <w:sz w:val="20"/>
                <w:szCs w:val="20"/>
                <w:color w:val="auto"/>
              </w:rPr>
            </w:pPr>
          </w:p>
        </w:tc>
        <w:tc>
          <w:tcPr>
            <w:tcW w:w="5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Anupam Dalal</w:t>
            </w:r>
          </w:p>
        </w:tc>
      </w:tr>
    </w:tbl>
    <w:p>
      <w:pPr>
        <w:spacing w:after="0" w:line="1" w:lineRule="exact"/>
        <w:rPr>
          <w:sz w:val="20"/>
          <w:szCs w:val="20"/>
          <w:color w:val="auto"/>
        </w:rPr>
      </w:pPr>
    </w:p>
    <w:sectPr>
      <w:pgSz w:w="11900" w:h="16838" w:orient="portrait"/>
      <w:cols w:equalWidth="0" w:num="1">
        <w:col w:w="11240"/>
      </w:cols>
      <w:pgMar w:left="320" w:top="7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lvl w:ilvl="1">
      <w:lvlJc w:val="left"/>
      <w:lvlText w:val="(%2)"/>
      <w:numFmt w:val="lowerLetter"/>
      <w:start w:val="1"/>
    </w:lvl>
  </w:abstractNum>
  <w:abstractNum w:abstractNumId="2">
    <w:nsid w:val="46E87CCD"/>
    <w:multiLevelType w:val="hybridMultilevel"/>
    <w:lvl w:ilvl="0">
      <w:lvlJc w:val="left"/>
      <w:lvlText w:val="%1."/>
      <w:numFmt w:val="decimal"/>
      <w:start w:val="1"/>
    </w:lvl>
    <w:lvl w:ilvl="1">
      <w:lvlJc w:val="left"/>
      <w:lvlText w:val="(%2)"/>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2023-02-14T14:37:04Z</dcterms:created>
  <dcterms:modified xsi:type="dcterms:W3CDTF">2023-02-14T14:37:04Z</dcterms:modified>
</cp:coreProperties>
</file>