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92840H400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October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13d-1(b)</w:t>
      </w:r>
    </w:p>
    <w:p>
      <w:pPr>
        <w:spacing w:after="0" w:line="38" w:lineRule="exact"/>
        <w:rPr>
          <w:sz w:val="24"/>
          <w:szCs w:val="24"/>
          <w:color w:val="auto"/>
        </w:rPr>
      </w:pPr>
    </w:p>
    <w:p>
      <w:pPr>
        <w:jc w:val="both"/>
        <w:ind w:left="660" w:right="9340" w:hanging="4"/>
        <w:spacing w:after="0" w:line="304"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13d-1(c) </w:t>
      </w:r>
      <w:r>
        <w:rPr>
          <w:rFonts w:ascii="Arial" w:cs="Arial" w:eastAsia="Arial" w:hAnsi="Arial"/>
          <w:sz w:val="19"/>
          <w:szCs w:val="19"/>
          <w:color w:val="auto"/>
        </w:rPr>
        <w:t xml:space="preserve">o </w:t>
      </w:r>
      <w:r>
        <w:rPr>
          <w:rFonts w:ascii="Arial" w:cs="Arial" w:eastAsia="Arial" w:hAnsi="Arial"/>
          <w:sz w:val="15"/>
          <w:szCs w:val="15"/>
          <w:color w:val="auto"/>
        </w:rPr>
        <w:t>Rule 13d-1(d)</w:t>
      </w:r>
    </w:p>
    <w:p>
      <w:pPr>
        <w:spacing w:after="0" w:line="3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352425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92840H400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Great Point Partners,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continue"/>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0" w:type="dxa"/>
            <w:vAlign w:val="bottom"/>
            <w:tcBorders>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tcPr>
          <w:p>
            <w:pPr>
              <w:spacing w:after="0"/>
              <w:rPr>
                <w:sz w:val="8"/>
                <w:szCs w:val="8"/>
                <w:color w:val="auto"/>
              </w:rPr>
            </w:pPr>
          </w:p>
        </w:tc>
        <w:tc>
          <w:tcPr>
            <w:tcW w:w="4740" w:type="dxa"/>
            <w:vAlign w:val="bottom"/>
            <w:gridSpan w:val="2"/>
            <w:vMerge w:val="continue"/>
          </w:tcPr>
          <w:p>
            <w:pPr>
              <w:spacing w:after="0"/>
              <w:rPr>
                <w:sz w:val="8"/>
                <w:szCs w:val="8"/>
                <w:color w:val="auto"/>
              </w:rPr>
            </w:pPr>
          </w:p>
        </w:tc>
        <w:tc>
          <w:tcPr>
            <w:tcW w:w="3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0" w:type="dxa"/>
            <w:vAlign w:val="bottom"/>
            <w:tcBorders>
              <w:right w:val="single" w:sz="8" w:color="auto"/>
            </w:tcBorders>
            <w:shd w:val="clear" w:color="auto" w:fill="000000"/>
          </w:tcPr>
          <w:p>
            <w:pPr>
              <w:spacing w:after="0"/>
              <w:rPr>
                <w:sz w:val="10"/>
                <w:szCs w:val="10"/>
                <w:color w:val="auto"/>
              </w:rPr>
            </w:pPr>
          </w:p>
        </w:tc>
        <w:tc>
          <w:tcPr>
            <w:tcW w:w="560" w:type="dxa"/>
            <w:vAlign w:val="bottom"/>
          </w:tcPr>
          <w:p>
            <w:pPr>
              <w:spacing w:after="0"/>
              <w:rPr>
                <w:sz w:val="10"/>
                <w:szCs w:val="10"/>
                <w:color w:val="auto"/>
              </w:rPr>
            </w:pPr>
          </w:p>
        </w:tc>
        <w:tc>
          <w:tcPr>
            <w:tcW w:w="1680" w:type="dxa"/>
            <w:vAlign w:val="bottom"/>
            <w:tcBorders>
              <w:right w:val="single" w:sz="8" w:color="auto"/>
            </w:tcBorders>
            <w:gridSpan w:val="2"/>
            <w:vMerge w:val="continue"/>
          </w:tcPr>
          <w:p>
            <w:pPr>
              <w:spacing w:after="0"/>
              <w:rPr>
                <w:sz w:val="10"/>
                <w:szCs w:val="10"/>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2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33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right w:val="single" w:sz="8" w:color="auto"/>
            </w:tcBorders>
          </w:tcPr>
          <w:p>
            <w:pPr>
              <w:spacing w:after="0"/>
              <w:rPr>
                <w:sz w:val="18"/>
                <w:szCs w:val="18"/>
                <w:color w:val="auto"/>
              </w:rPr>
            </w:pP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2,792,927</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790"/>
              <w:spacing w:after="0"/>
              <w:rPr>
                <w:sz w:val="20"/>
                <w:szCs w:val="20"/>
                <w:color w:val="auto"/>
              </w:rPr>
            </w:pPr>
            <w:r>
              <w:rPr>
                <w:rFonts w:ascii="Arial" w:cs="Arial" w:eastAsia="Arial" w:hAnsi="Arial"/>
                <w:sz w:val="18"/>
                <w:szCs w:val="18"/>
                <w:color w:val="auto"/>
                <w:w w:val="95"/>
              </w:rPr>
              <w:t>EACH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Borders>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right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4520" w:type="dxa"/>
            <w:vAlign w:val="bottom"/>
          </w:tcPr>
          <w:p>
            <w:pPr>
              <w:spacing w:after="0"/>
              <w:rPr>
                <w:sz w:val="4"/>
                <w:szCs w:val="4"/>
                <w:color w:val="auto"/>
              </w:rPr>
            </w:pPr>
          </w:p>
        </w:tc>
        <w:tc>
          <w:tcPr>
            <w:tcW w:w="33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vMerge w:val="restart"/>
          </w:tcPr>
          <w:p>
            <w:pPr>
              <w:jc w:val="center"/>
              <w:ind w:right="810"/>
              <w:spacing w:after="0" w:line="203" w:lineRule="exact"/>
              <w:rPr>
                <w:sz w:val="20"/>
                <w:szCs w:val="20"/>
                <w:color w:val="auto"/>
              </w:rPr>
            </w:pPr>
            <w:r>
              <w:rPr>
                <w:rFonts w:ascii="Arial" w:cs="Arial" w:eastAsia="Arial" w:hAnsi="Arial"/>
                <w:sz w:val="18"/>
                <w:szCs w:val="18"/>
                <w:color w:val="auto"/>
                <w:w w:val="99"/>
              </w:rPr>
              <w:t>WITH</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Borders>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2,792,927</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2,792,927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0"/>
        </w:trPr>
        <w:tc>
          <w:tcPr>
            <w:tcW w:w="40" w:type="dxa"/>
            <w:vAlign w:val="bottom"/>
            <w:tcBorders>
              <w:right w:val="single" w:sz="8" w:color="auto"/>
            </w:tcBorders>
            <w:shd w:val="clear" w:color="auto" w:fill="000000"/>
          </w:tcPr>
          <w:p>
            <w:pPr>
              <w:spacing w:after="0"/>
              <w:rPr>
                <w:sz w:val="24"/>
                <w:szCs w:val="24"/>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4"/>
                <w:szCs w:val="24"/>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Arial" w:cs="Arial" w:eastAsia="Arial" w:hAnsi="Arial"/>
                <w:sz w:val="18"/>
                <w:szCs w:val="18"/>
                <w:color w:val="auto"/>
              </w:rPr>
              <w:t>x</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shd w:val="clear" w:color="auto" w:fill="000000"/>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0" w:type="dxa"/>
            <w:vAlign w:val="bottom"/>
            <w:tcBorders>
              <w:right w:val="single" w:sz="8" w:color="auto"/>
            </w:tcBorders>
            <w:shd w:val="clear" w:color="auto" w:fill="000000"/>
          </w:tcPr>
          <w:p>
            <w:pPr>
              <w:spacing w:after="0"/>
              <w:rPr>
                <w:sz w:val="24"/>
                <w:szCs w:val="24"/>
                <w:color w:val="auto"/>
              </w:rPr>
            </w:pPr>
          </w:p>
        </w:tc>
        <w:tc>
          <w:tcPr>
            <w:tcW w:w="560" w:type="dxa"/>
            <w:vAlign w:val="bottom"/>
            <w:vMerge w:val="continue"/>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9.99%</w:t>
            </w:r>
            <w:r>
              <w:rPr>
                <w:rFonts w:ascii="Arial" w:cs="Arial" w:eastAsia="Arial" w:hAnsi="Arial"/>
                <w:sz w:val="29"/>
                <w:szCs w:val="29"/>
                <w:color w:val="auto"/>
                <w:vertAlign w:val="superscript"/>
              </w:rPr>
              <w:t>2</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520" w:type="dxa"/>
            <w:vAlign w:val="bottom"/>
            <w:tcBorders>
              <w:bottom w:val="single" w:sz="8" w:color="auto"/>
            </w:tcBorders>
          </w:tcPr>
          <w:p>
            <w:pPr>
              <w:spacing w:after="0"/>
              <w:rPr>
                <w:sz w:val="21"/>
                <w:szCs w:val="21"/>
                <w:color w:val="auto"/>
              </w:rPr>
            </w:pPr>
          </w:p>
        </w:tc>
        <w:tc>
          <w:tcPr>
            <w:tcW w:w="3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IA/OO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firstLine="8"/>
        <w:spacing w:after="0" w:line="242" w:lineRule="auto"/>
        <w:tabs>
          <w:tab w:leader="none" w:pos="112" w:val="left"/>
        </w:tabs>
        <w:numPr>
          <w:ilvl w:val="0"/>
          <w:numId w:val="2"/>
        </w:numPr>
        <w:rPr>
          <w:rFonts w:ascii="Arial" w:cs="Arial" w:eastAsia="Arial" w:hAnsi="Arial"/>
          <w:sz w:val="28"/>
          <w:szCs w:val="28"/>
          <w:color w:val="auto"/>
          <w:vertAlign w:val="superscript"/>
        </w:rPr>
      </w:pPr>
      <w:r>
        <w:rPr>
          <w:rFonts w:ascii="Arial" w:cs="Arial" w:eastAsia="Arial" w:hAnsi="Arial"/>
          <w:sz w:val="17"/>
          <w:szCs w:val="17"/>
          <w:color w:val="auto"/>
        </w:rPr>
        <w:t>In addition to an aggregate of 1,858,735 shares of the Issuer's common stock (the "Common Stock") in the aggregate held outright, the reporting persons hold in the aggregate warrants to purchase 2,055,834 shares of Common Stock; however, the provisions of such warrants restrict the exercise of such warrants to the extent that, after giving effect to such exercise, the holder of the warrants and its affiliates, together with any other person or entities with which such holder would constitute a group, would beneficially own in excess of 9.99% of the number of shares of Common Stock outstanding immediately after giving effect to such exercise (the "Beneficial Ownership Cap"). As a result, an aggregate of 934,192 shares underlying such warrants are beneficially owned by the reporting persons.</w:t>
      </w:r>
    </w:p>
    <w:p>
      <w:pPr>
        <w:spacing w:after="0" w:line="242" w:lineRule="exact"/>
        <w:rPr>
          <w:sz w:val="20"/>
          <w:szCs w:val="20"/>
          <w:color w:val="auto"/>
        </w:rPr>
      </w:pPr>
    </w:p>
    <w:p>
      <w:pPr>
        <w:jc w:val="both"/>
        <w:ind w:firstLine="8"/>
        <w:spacing w:after="0" w:line="232" w:lineRule="auto"/>
        <w:tabs>
          <w:tab w:leader="none" w:pos="112"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Based on a total of 27,957,230 shares outstanding, which is the sum of (i) 22,885,961 common shares outstanding as reported by the Issuer in its 424B Prospectus filed with the Securities and Exchange Commission (the "SEC") on October 2, 2023, (ii) 4,137,077 shares of common stock sold under the Issuer’s ATM program since June 30, 2023 as reported in the same Prospectus, and (iii) 934,192 shares of the Common Stock issuable upon exercise of warrants held by the reporting persons (subject to the Beneficial Ownership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375285</wp:posOffset>
            </wp:positionV>
            <wp:extent cx="71361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3873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92840H400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Dr. Jeffrey R. Jay, M.D.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USA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2,792,927</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2,792,927</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2,792,927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0"/>
        </w:trPr>
        <w:tc>
          <w:tcPr>
            <w:tcW w:w="40" w:type="dxa"/>
            <w:vAlign w:val="bottom"/>
            <w:tcBorders>
              <w:right w:val="single" w:sz="8" w:color="auto"/>
            </w:tcBorders>
            <w:shd w:val="clear" w:color="auto" w:fill="000000"/>
          </w:tcPr>
          <w:p>
            <w:pPr>
              <w:spacing w:after="0"/>
              <w:rPr>
                <w:sz w:val="24"/>
                <w:szCs w:val="24"/>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4"/>
                <w:szCs w:val="24"/>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Arial" w:cs="Arial" w:eastAsia="Arial" w:hAnsi="Arial"/>
                <w:sz w:val="18"/>
                <w:szCs w:val="18"/>
                <w:color w:val="auto"/>
              </w:rPr>
              <w:t>x</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shd w:val="clear" w:color="auto" w:fill="000000"/>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0" w:type="dxa"/>
            <w:vAlign w:val="bottom"/>
            <w:tcBorders>
              <w:right w:val="single" w:sz="8" w:color="auto"/>
            </w:tcBorders>
            <w:shd w:val="clear" w:color="auto" w:fill="000000"/>
          </w:tcPr>
          <w:p>
            <w:pPr>
              <w:spacing w:after="0"/>
              <w:rPr>
                <w:sz w:val="24"/>
                <w:szCs w:val="24"/>
                <w:color w:val="auto"/>
              </w:rPr>
            </w:pPr>
          </w:p>
        </w:tc>
        <w:tc>
          <w:tcPr>
            <w:tcW w:w="560" w:type="dxa"/>
            <w:vAlign w:val="bottom"/>
            <w:vMerge w:val="continue"/>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9.99%</w:t>
            </w:r>
            <w:r>
              <w:rPr>
                <w:rFonts w:ascii="Arial" w:cs="Arial" w:eastAsia="Arial" w:hAnsi="Arial"/>
                <w:sz w:val="29"/>
                <w:szCs w:val="29"/>
                <w:color w:val="auto"/>
                <w:vertAlign w:val="superscript"/>
              </w:rPr>
              <w:t>2</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520" w:type="dxa"/>
            <w:vAlign w:val="bottom"/>
            <w:tcBorders>
              <w:bottom w:val="single" w:sz="8" w:color="auto"/>
            </w:tcBorders>
          </w:tcPr>
          <w:p>
            <w:pPr>
              <w:spacing w:after="0"/>
              <w:rPr>
                <w:sz w:val="21"/>
                <w:szCs w:val="21"/>
                <w:color w:val="auto"/>
              </w:rPr>
            </w:pPr>
          </w:p>
        </w:tc>
        <w:tc>
          <w:tcPr>
            <w:tcW w:w="3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IN/HC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firstLine="8"/>
        <w:spacing w:after="0" w:line="242" w:lineRule="auto"/>
        <w:tabs>
          <w:tab w:leader="none" w:pos="112"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In addition to an aggregate of 1,858,735 shares of the Issuer's common stock (the "Common Stock") in the aggregate held outright, the reporting persons hold in the aggregate warrants to purchase 2,055,834 shares of Common Stock; however, the provisions of such warrants restrict the exercise of such warrants to the extent that, after giving effect to such exercise, the holder of the warrants and its affiliates, together with any other person or entities with which such holder would constitute a group, would beneficially own in excess of 9.99% of the number of shares of Common Stock outstanding immediately after giving effect to such exercise (the "Beneficial Ownership Cap"). As a result, an aggregate of 934,192 shares underlying such warrants are beneficially owned by the reporting persons.</w:t>
      </w:r>
    </w:p>
    <w:p>
      <w:pPr>
        <w:spacing w:after="0" w:line="242" w:lineRule="exact"/>
        <w:rPr>
          <w:sz w:val="20"/>
          <w:szCs w:val="20"/>
          <w:color w:val="auto"/>
        </w:rPr>
      </w:pPr>
    </w:p>
    <w:p>
      <w:pPr>
        <w:jc w:val="both"/>
        <w:ind w:firstLine="8"/>
        <w:spacing w:after="0" w:line="232" w:lineRule="auto"/>
        <w:tabs>
          <w:tab w:leader="none" w:pos="112"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Based on a total of 27,957,230 shares outstanding, which is the sum of (i) 22,885,961 common shares outstanding as reported by the Issuer in its 424B Prospectus filed with the Securities and Exchange Commission (the "SEC") on October 2, 2023, (ii) 4,137,077 shares of common stock sold under the Issuer’s ATM program since June 30, 2023 as reported in the same Prospectus, and (iii) 934,192 shares of the Common Stock issuable upon exercise of warrants held by the reporting persons (subject to the Beneficial Ownership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375285</wp:posOffset>
            </wp:positionV>
            <wp:extent cx="713613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44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CUSIP No. 92840H400</w:t>
            </w: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8"/>
                <w:szCs w:val="18"/>
                <w:color w:val="auto"/>
              </w:rPr>
              <w:t>Mr. Ortav Yehudai</w:t>
            </w: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8"/>
                <w:szCs w:val="18"/>
                <w:color w:val="auto"/>
              </w:rPr>
              <w:t>USA</w:t>
            </w: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20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200" w:type="dxa"/>
            <w:vAlign w:val="bottom"/>
          </w:tcPr>
          <w:p>
            <w:pPr>
              <w:spacing w:after="0"/>
              <w:rPr>
                <w:sz w:val="18"/>
                <w:szCs w:val="18"/>
                <w:color w:val="auto"/>
              </w:rPr>
            </w:pPr>
          </w:p>
        </w:tc>
        <w:tc>
          <w:tcPr>
            <w:tcW w:w="6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6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2,792,927</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200" w:type="dxa"/>
            <w:vAlign w:val="bottom"/>
          </w:tcPr>
          <w:p>
            <w:pPr>
              <w:spacing w:after="0"/>
              <w:rPr>
                <w:sz w:val="17"/>
                <w:szCs w:val="17"/>
                <w:color w:val="auto"/>
              </w:rPr>
            </w:pPr>
          </w:p>
        </w:tc>
        <w:tc>
          <w:tcPr>
            <w:tcW w:w="6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8"/>
                <w:szCs w:val="18"/>
                <w:color w:val="auto"/>
              </w:rPr>
            </w:pPr>
          </w:p>
        </w:tc>
        <w:tc>
          <w:tcPr>
            <w:tcW w:w="6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2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2,792,927</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2,792,927</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0"/>
        </w:trPr>
        <w:tc>
          <w:tcPr>
            <w:tcW w:w="40" w:type="dxa"/>
            <w:vAlign w:val="bottom"/>
            <w:tcBorders>
              <w:right w:val="single" w:sz="8" w:color="auto"/>
            </w:tcBorders>
            <w:shd w:val="clear" w:color="auto" w:fill="000000"/>
          </w:tcPr>
          <w:p>
            <w:pPr>
              <w:spacing w:after="0"/>
              <w:rPr>
                <w:sz w:val="24"/>
                <w:szCs w:val="24"/>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4"/>
                <w:szCs w:val="24"/>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Arial" w:cs="Arial" w:eastAsia="Arial" w:hAnsi="Arial"/>
                <w:sz w:val="18"/>
                <w:szCs w:val="18"/>
                <w:color w:val="auto"/>
              </w:rPr>
              <w:t>x</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shd w:val="clear" w:color="auto" w:fill="000000"/>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0" w:type="dxa"/>
            <w:vAlign w:val="bottom"/>
            <w:tcBorders>
              <w:right w:val="single" w:sz="8" w:color="auto"/>
            </w:tcBorders>
            <w:shd w:val="clear" w:color="auto" w:fill="000000"/>
          </w:tcPr>
          <w:p>
            <w:pPr>
              <w:spacing w:after="0"/>
              <w:rPr>
                <w:sz w:val="24"/>
                <w:szCs w:val="24"/>
                <w:color w:val="auto"/>
              </w:rPr>
            </w:pPr>
          </w:p>
        </w:tc>
        <w:tc>
          <w:tcPr>
            <w:tcW w:w="560" w:type="dxa"/>
            <w:vAlign w:val="bottom"/>
            <w:vMerge w:val="continue"/>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9.99%</w:t>
            </w:r>
            <w:r>
              <w:rPr>
                <w:rFonts w:ascii="Arial" w:cs="Arial" w:eastAsia="Arial" w:hAnsi="Arial"/>
                <w:sz w:val="29"/>
                <w:szCs w:val="29"/>
                <w:color w:val="auto"/>
                <w:vertAlign w:val="superscript"/>
              </w:rPr>
              <w:t>2</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520" w:type="dxa"/>
            <w:vAlign w:val="bottom"/>
            <w:tcBorders>
              <w:bottom w:val="single" w:sz="8" w:color="auto"/>
            </w:tcBorders>
          </w:tcPr>
          <w:p>
            <w:pPr>
              <w:spacing w:after="0"/>
              <w:rPr>
                <w:sz w:val="21"/>
                <w:szCs w:val="21"/>
                <w:color w:val="auto"/>
              </w:rPr>
            </w:pPr>
          </w:p>
        </w:tc>
        <w:tc>
          <w:tcPr>
            <w:tcW w:w="3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8"/>
                <w:szCs w:val="18"/>
                <w:color w:val="auto"/>
              </w:rPr>
              <w:t>IN/HC</w:t>
            </w: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firstLine="8"/>
        <w:spacing w:after="0" w:line="242" w:lineRule="auto"/>
        <w:tabs>
          <w:tab w:leader="none" w:pos="112"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color w:val="auto"/>
        </w:rPr>
        <w:t>In addition to an aggregate of 1,858,735 shares of the Issuer's common stock (the "Common Stock") in the aggregate held outright, the reporting persons hold in the aggregate warrants to purchase 2,055,834 shares of Common Stock; however, the provisions of such warrants restrict the exercise of such warrants to the extent that, after giving effect to such exercise, the holder of the warrants and its affiliates, together with any other person or entities with which such holder would constitute a group, would beneficially own in excess of 9.99% of the number of shares of Common Stock outstanding immediately after giving effect to such exercise (the "Beneficial Ownership Cap"). As a result, an aggregate of 934,192 shares underlying such warrants are beneficially owned by the reporting persons.</w:t>
      </w:r>
    </w:p>
    <w:p>
      <w:pPr>
        <w:spacing w:after="0" w:line="242" w:lineRule="exact"/>
        <w:rPr>
          <w:sz w:val="20"/>
          <w:szCs w:val="20"/>
          <w:color w:val="auto"/>
        </w:rPr>
      </w:pPr>
    </w:p>
    <w:p>
      <w:pPr>
        <w:jc w:val="both"/>
        <w:ind w:firstLine="8"/>
        <w:spacing w:after="0" w:line="232" w:lineRule="auto"/>
        <w:tabs>
          <w:tab w:leader="none" w:pos="112"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Based on a total of 27,957,230 shares outstanding, which is the sum of (i) 22,885,961 common shares outstanding as reported by the Issuer in its 424B Prospectus filed with the Securities and Exchange Commission (the "SEC") on October 2, 2023, (ii) 4,137,077 shares of common stock sold under the Issuer’s ATM program since June 30, 2023 as reported in the same Prospectus, and (iii) 934,192 shares of the Common Stock issuable upon exercise of warrants held by the reporting persons (subject to the Beneficial Ownership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118110</wp:posOffset>
            </wp:positionV>
            <wp:extent cx="713613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92840H400</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Vistagen Therapeutics, Inc.</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343 Allerton Ave.</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South San Francisco, California 94080</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Names of Persons Filing: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Great Point Partners, LLC</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Dr. Jeffrey R. Jay, M.D.</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Mr. Ortav Yehudai</w:t>
      </w:r>
    </w:p>
    <w:p>
      <w:pPr>
        <w:spacing w:after="0" w:line="211" w:lineRule="exact"/>
        <w:rPr>
          <w:sz w:val="20"/>
          <w:szCs w:val="20"/>
          <w:color w:val="auto"/>
        </w:rPr>
      </w:pPr>
    </w:p>
    <w:p>
      <w:pPr>
        <w:jc w:val="both"/>
        <w:ind w:left="800"/>
        <w:spacing w:after="0" w:line="263" w:lineRule="auto"/>
        <w:rPr>
          <w:sz w:val="20"/>
          <w:szCs w:val="20"/>
          <w:color w:val="auto"/>
        </w:rPr>
      </w:pPr>
      <w:r>
        <w:rPr>
          <w:rFonts w:ascii="Arial" w:cs="Arial" w:eastAsia="Arial" w:hAnsi="Arial"/>
          <w:sz w:val="18"/>
          <w:szCs w:val="18"/>
          <w:color w:val="auto"/>
        </w:rPr>
        <w:t>The Reporting Persons have entered into a Joint Filing Agreement, dated October 12, 2023, a copy of which is filed with this SCHEDULE 13G as Exhibit A, pursuant to which the Reporting Persons have agreed to file this statement jointly in accordance with the provisions of Rule 13d-1(k)(1) under the Act.</w:t>
      </w:r>
    </w:p>
    <w:p>
      <w:pPr>
        <w:spacing w:after="0" w:line="18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address of the principal business office of each of the Reporting Persons is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165 Mason Street, 3rd Floor</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Greenwich, CT 06830</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(c) Citizenship:</w:t>
      </w:r>
    </w:p>
    <w:p>
      <w:pPr>
        <w:spacing w:after="0" w:line="121"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Great Point Partners, LLC is a limited liability company organized under the laws of the State of Delaware. Dr. Jeffrey R. Jay, M.D. is a citizen of the United States. Mr. Ortav Yehudai is a citizen of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$0.001 par value per share (the “common stock”)</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92840H400</w:t>
      </w:r>
    </w:p>
    <w:p>
      <w:pPr>
        <w:spacing w:after="0" w:line="33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92840H400</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6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06" w:lineRule="exact"/>
        <w:rPr>
          <w:sz w:val="20"/>
          <w:szCs w:val="20"/>
          <w:color w:val="auto"/>
        </w:rPr>
      </w:pPr>
    </w:p>
    <w:p>
      <w:pPr>
        <w:ind w:left="600" w:hanging="295"/>
        <w:spacing w:after="0" w:line="207" w:lineRule="exact"/>
        <w:tabs>
          <w:tab w:leader="none" w:pos="600" w:val="left"/>
        </w:tabs>
        <w:numPr>
          <w:ilvl w:val="0"/>
          <w:numId w:val="8"/>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8"/>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8"/>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8"/>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69" w:lineRule="exact"/>
        <w:rPr>
          <w:rFonts w:ascii="Arial" w:cs="Arial" w:eastAsia="Arial" w:hAnsi="Arial"/>
          <w:sz w:val="18"/>
          <w:szCs w:val="18"/>
          <w:color w:val="auto"/>
        </w:rPr>
      </w:pPr>
    </w:p>
    <w:p>
      <w:pPr>
        <w:ind w:left="600" w:hanging="295"/>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7"/>
          <w:szCs w:val="17"/>
          <w:color w:val="auto"/>
        </w:rPr>
        <w:t>An investment adviser in accordance with §240.13d-1(b)(1)(ii)(E);</w:t>
      </w:r>
    </w:p>
    <w:p>
      <w:pPr>
        <w:spacing w:after="0" w:line="91"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8"/>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8"/>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8"/>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200" w:hanging="595"/>
        <w:spacing w:after="0" w:line="243" w:lineRule="exact"/>
        <w:tabs>
          <w:tab w:leader="none" w:pos="603" w:val="left"/>
        </w:tabs>
        <w:numPr>
          <w:ilvl w:val="0"/>
          <w:numId w:val="8"/>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8"/>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460" w:hanging="595"/>
        <w:spacing w:after="0" w:line="243" w:lineRule="exact"/>
        <w:tabs>
          <w:tab w:leader="none" w:pos="603" w:val="left"/>
        </w:tabs>
        <w:numPr>
          <w:ilvl w:val="0"/>
          <w:numId w:val="8"/>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92840H400</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7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ectPr>
          <w:pgSz w:w="11900" w:h="16838" w:orient="portrait"/>
          <w:cols w:equalWidth="0" w:num="1">
            <w:col w:w="11240"/>
          </w:cols>
          <w:pgMar w:left="320" w:top="663" w:right="339" w:bottom="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The information required by Items 4(a) - (c) is set forth in Rows (5) - (11) of the cover pages for the Reporting Persons and is incorporated herein by reference.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percentage set forth in Row (11) of the cover pages for the Reporting Persons are based on a total of 27,957,230 shares outstanding, which is the sum of (i) 22,885,961 common shares outstanding as reported by the Issuer in its 424B Prospectus filed with the Securities and Exchange Commission (the "SEC") on October 2, 2023, (ii) 4,137,077 shares of common stock sold under the Issuer’s ATM program since June 30, 2023 as reported in the same Prospectus, and (iii) 934,192 shares of the Common Stock issuable upon exercise of warrants held by the reporting persons (subject to the Beneficial Ownership Cap).</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Biomedical Value Fund, L.P. (“BVF”) is the record holder of 1,055,761 shares of Common Stock (the “BVF Shares”). Such shares constitute 3.78% of the shares of Common Stock outstanding, computed in accordance with Rule 13d-3. BVF is the record holder of warrants to purchase an additional 1,167,713 shares of Common Stock (the “BVF Warrants”). As a result of the Beneficial Ownership Cap, 530,621 shares underlying such warrants are exercisable, which constitutes 1.90% of the shares of Common Stock outstanding, computed in accordance with Rule 13d-3. Each of Dr. Jeffrey R. Jay, M.D. (“Dr. Jay”), as Senior Managing Member of Great Point, and Mr. Ortav Yehudai (“Mr. Yehudai”), as Managing Director of Great Point, has voting and investment power with respect to the BVF Shares, and therefore may be deemed to be the beneficial owner of the BVF Shares.</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Biomedical Offshore Value Fund, Ltd. (“BOVF”) is the record holder of 676,580 shares of Common Stock (the “BOVF Shares”). Such shares constitute 2.42% of the shares of Common Stock outstanding, computed in accordance with Rule 13d-3. BOVF is the record holder of warrants to purchase an additional 748,324 shares of Common Stock (the “BOVF Warrants”). As a result of the Beneficial Ownership Cap, 340,046 shares underlying such warrants are exercisable, which constitutes 1.21% of the shares of Common Stock outstanding, computed in accordance with Rule 13d-3. Each of Dr. Jeffrey R. Jay, M.D. (“Dr. Jay”), as Senior Managing Member of Great Point, and Mr. Ortav Yehudai (“Mr. Yehudai”), as Managing Director of Great Point, has voting and investment power with respect to the BOVF Shares, and therefore may be deemed to be the beneficial owner of the BOVF Shares.</w:t>
      </w:r>
    </w:p>
    <w:p>
      <w:pPr>
        <w:spacing w:after="0" w:line="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Cheyne Global Equity Fund (an Open-Ended Fund of Cheyne Select Master Fund ICAV) (“CGEF”) is the record holder of 126,394 shares of Common Stock (the “CGEF Shares”). Such shares constitute 0.45% of the shares of Common Stock outstanding, computed in accordance with Rule 13d-3. CGEF is the record holder of warrants to purchase an additional 139,797 shares of Common Stock (the “CGEF Warrants”). As a result of the Beneficial Ownership Cap, 63,525 shares underlying such warrants are exercisable, which constitutes 0.23% of the shares of Common Stock outstanding, computed in accordance with Rule 13d-3. Each of Dr. Jeffrey R. Jay, M.D. (“Dr. Jay”), as senior managing member of Great Point, and Mr. Ortav Yehudai (“Mr. Yehudai”), as Managing Director of Great Point, has voting and investment power with respect to the CGEF Shares, and therefore may be deemed to be the beneficial owner of the CGEF Shares.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the above, Great Point, Dr. Jay and Mr. Yehudai disclaim beneficial ownership of the BVF Shares, the BOVF Shares, and the CGEF Shares, except to the extent of their respective pecuniary interests.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136" w:lineRule="exact"/>
        <w:rPr>
          <w:sz w:val="20"/>
          <w:szCs w:val="20"/>
          <w:color w:val="auto"/>
        </w:rPr>
      </w:pPr>
    </w:p>
    <w:p>
      <w:pPr>
        <w:ind w:left="180" w:hanging="180"/>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Great Point Partners, LLC</w:t>
      </w:r>
    </w:p>
    <w:p>
      <w:pPr>
        <w:spacing w:after="0" w:line="121" w:lineRule="exact"/>
        <w:rPr>
          <w:sz w:val="20"/>
          <w:szCs w:val="20"/>
          <w:color w:val="auto"/>
        </w:rPr>
      </w:pPr>
    </w:p>
    <w:p>
      <w:pPr>
        <w:ind w:left="240" w:hanging="240"/>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2,792,927</w:t>
      </w:r>
    </w:p>
    <w:p>
      <w:pPr>
        <w:spacing w:after="0" w:line="120" w:lineRule="exact"/>
        <w:rPr>
          <w:rFonts w:ascii="Arial" w:cs="Arial" w:eastAsia="Arial" w:hAnsi="Arial"/>
          <w:sz w:val="18"/>
          <w:szCs w:val="18"/>
          <w:color w:val="auto"/>
        </w:rPr>
      </w:pPr>
    </w:p>
    <w:p>
      <w:pPr>
        <w:ind w:left="260" w:hanging="260"/>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9.99%</w:t>
      </w:r>
      <w:r>
        <w:rPr>
          <w:rFonts w:ascii="Arial" w:cs="Arial" w:eastAsia="Arial" w:hAnsi="Arial"/>
          <w:sz w:val="29"/>
          <w:szCs w:val="29"/>
          <w:color w:val="auto"/>
          <w:vertAlign w:val="superscript"/>
        </w:rPr>
        <w:t>1</w:t>
      </w:r>
    </w:p>
    <w:p>
      <w:pPr>
        <w:spacing w:after="0" w:line="43" w:lineRule="exact"/>
        <w:rPr>
          <w:rFonts w:ascii="Arial" w:cs="Arial" w:eastAsia="Arial" w:hAnsi="Arial"/>
          <w:sz w:val="18"/>
          <w:szCs w:val="18"/>
          <w:color w:val="auto"/>
        </w:rPr>
      </w:pPr>
    </w:p>
    <w:p>
      <w:pPr>
        <w:ind w:left="240" w:hanging="240"/>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01" w:lineRule="exact"/>
        <w:rPr>
          <w:rFonts w:ascii="Arial" w:cs="Arial" w:eastAsia="Arial" w:hAnsi="Arial"/>
          <w:sz w:val="18"/>
          <w:szCs w:val="18"/>
          <w:color w:val="auto"/>
        </w:rPr>
      </w:pPr>
    </w:p>
    <w:p>
      <w:pPr>
        <w:ind w:left="580" w:hanging="220"/>
        <w:spacing w:after="0"/>
        <w:tabs>
          <w:tab w:leader="none" w:pos="5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117" w:lineRule="exact"/>
        <w:rPr>
          <w:rFonts w:ascii="Arial" w:cs="Arial" w:eastAsia="Arial" w:hAnsi="Arial"/>
          <w:sz w:val="18"/>
          <w:szCs w:val="18"/>
          <w:color w:val="auto"/>
        </w:rPr>
      </w:pPr>
    </w:p>
    <w:p>
      <w:pPr>
        <w:ind w:left="620" w:hanging="260"/>
        <w:spacing w:after="0"/>
        <w:tabs>
          <w:tab w:leader="none" w:pos="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direct the vote: 2,792,927</w:t>
      </w:r>
    </w:p>
    <w:p>
      <w:pPr>
        <w:spacing w:after="0" w:line="117" w:lineRule="exact"/>
        <w:rPr>
          <w:rFonts w:ascii="Arial" w:cs="Arial" w:eastAsia="Arial" w:hAnsi="Arial"/>
          <w:sz w:val="18"/>
          <w:szCs w:val="18"/>
          <w:color w:val="auto"/>
        </w:rPr>
      </w:pPr>
    </w:p>
    <w:p>
      <w:pPr>
        <w:ind w:left="680" w:hanging="320"/>
        <w:spacing w:after="0"/>
        <w:tabs>
          <w:tab w:leader="none" w:pos="6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17" w:lineRule="exact"/>
        <w:rPr>
          <w:rFonts w:ascii="Arial" w:cs="Arial" w:eastAsia="Arial" w:hAnsi="Arial"/>
          <w:sz w:val="18"/>
          <w:szCs w:val="18"/>
          <w:color w:val="auto"/>
        </w:rPr>
      </w:pPr>
    </w:p>
    <w:p>
      <w:pPr>
        <w:ind w:left="660" w:hanging="300"/>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2,792,927</w:t>
      </w:r>
    </w:p>
    <w:p>
      <w:pPr>
        <w:spacing w:after="0" w:line="200" w:lineRule="exact"/>
        <w:rPr>
          <w:sz w:val="20"/>
          <w:szCs w:val="20"/>
          <w:color w:val="auto"/>
        </w:rPr>
      </w:pPr>
    </w:p>
    <w:p>
      <w:pPr>
        <w:spacing w:after="0" w:line="237" w:lineRule="exact"/>
        <w:rPr>
          <w:sz w:val="20"/>
          <w:szCs w:val="20"/>
          <w:color w:val="auto"/>
        </w:rPr>
      </w:pPr>
    </w:p>
    <w:p>
      <w:pPr>
        <w:ind w:left="180" w:hanging="180"/>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Dr. Jeffrey R. Jay, M.D.</w:t>
      </w:r>
    </w:p>
    <w:p>
      <w:pPr>
        <w:spacing w:after="0" w:line="121" w:lineRule="exact"/>
        <w:rPr>
          <w:sz w:val="20"/>
          <w:szCs w:val="20"/>
          <w:color w:val="auto"/>
        </w:rPr>
      </w:pPr>
    </w:p>
    <w:p>
      <w:pPr>
        <w:ind w:left="240" w:hanging="240"/>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beneficially owned: 2,792,927</w:t>
      </w:r>
    </w:p>
    <w:p>
      <w:pPr>
        <w:spacing w:after="0" w:line="120" w:lineRule="exact"/>
        <w:rPr>
          <w:rFonts w:ascii="Arial" w:cs="Arial" w:eastAsia="Arial" w:hAnsi="Arial"/>
          <w:sz w:val="18"/>
          <w:szCs w:val="18"/>
          <w:color w:val="auto"/>
        </w:rPr>
      </w:pPr>
    </w:p>
    <w:p>
      <w:pPr>
        <w:ind w:left="260" w:hanging="260"/>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9.99%</w:t>
      </w:r>
      <w:r>
        <w:rPr>
          <w:rFonts w:ascii="Arial" w:cs="Arial" w:eastAsia="Arial" w:hAnsi="Arial"/>
          <w:sz w:val="29"/>
          <w:szCs w:val="29"/>
          <w:color w:val="auto"/>
          <w:vertAlign w:val="superscript"/>
        </w:rPr>
        <w:t>1</w:t>
      </w:r>
    </w:p>
    <w:p>
      <w:pPr>
        <w:spacing w:after="0" w:line="43" w:lineRule="exact"/>
        <w:rPr>
          <w:rFonts w:ascii="Arial" w:cs="Arial" w:eastAsia="Arial" w:hAnsi="Arial"/>
          <w:sz w:val="18"/>
          <w:szCs w:val="18"/>
          <w:color w:val="auto"/>
        </w:rPr>
      </w:pPr>
    </w:p>
    <w:p>
      <w:pPr>
        <w:ind w:left="240" w:hanging="240"/>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01" w:lineRule="exact"/>
        <w:rPr>
          <w:rFonts w:ascii="Arial" w:cs="Arial" w:eastAsia="Arial" w:hAnsi="Arial"/>
          <w:sz w:val="18"/>
          <w:szCs w:val="18"/>
          <w:color w:val="auto"/>
        </w:rPr>
      </w:pPr>
    </w:p>
    <w:p>
      <w:pPr>
        <w:ind w:left="580" w:hanging="220"/>
        <w:spacing w:after="0"/>
        <w:tabs>
          <w:tab w:leader="none" w:pos="5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117" w:lineRule="exact"/>
        <w:rPr>
          <w:rFonts w:ascii="Arial" w:cs="Arial" w:eastAsia="Arial" w:hAnsi="Arial"/>
          <w:sz w:val="18"/>
          <w:szCs w:val="18"/>
          <w:color w:val="auto"/>
        </w:rPr>
      </w:pPr>
    </w:p>
    <w:p>
      <w:pPr>
        <w:ind w:left="620" w:hanging="260"/>
        <w:spacing w:after="0"/>
        <w:tabs>
          <w:tab w:leader="none" w:pos="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vote or direct the vote: 2,792,927</w:t>
      </w:r>
    </w:p>
    <w:p>
      <w:pPr>
        <w:spacing w:after="0" w:line="117" w:lineRule="exact"/>
        <w:rPr>
          <w:rFonts w:ascii="Arial" w:cs="Arial" w:eastAsia="Arial" w:hAnsi="Arial"/>
          <w:sz w:val="18"/>
          <w:szCs w:val="18"/>
          <w:color w:val="auto"/>
        </w:rPr>
      </w:pPr>
    </w:p>
    <w:p>
      <w:pPr>
        <w:ind w:left="680" w:hanging="320"/>
        <w:spacing w:after="0"/>
        <w:tabs>
          <w:tab w:leader="none" w:pos="6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17" w:lineRule="exact"/>
        <w:rPr>
          <w:rFonts w:ascii="Arial" w:cs="Arial" w:eastAsia="Arial" w:hAnsi="Arial"/>
          <w:sz w:val="18"/>
          <w:szCs w:val="18"/>
          <w:color w:val="auto"/>
        </w:rPr>
      </w:pPr>
    </w:p>
    <w:p>
      <w:pPr>
        <w:ind w:left="660" w:hanging="300"/>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2,792,927</w:t>
      </w:r>
    </w:p>
    <w:p>
      <w:pPr>
        <w:spacing w:after="0" w:line="200" w:lineRule="exact"/>
        <w:rPr>
          <w:sz w:val="20"/>
          <w:szCs w:val="20"/>
          <w:color w:val="auto"/>
        </w:rPr>
      </w:pPr>
    </w:p>
    <w:p>
      <w:pPr>
        <w:spacing w:after="0" w:line="237" w:lineRule="exact"/>
        <w:rPr>
          <w:sz w:val="20"/>
          <w:szCs w:val="20"/>
          <w:color w:val="auto"/>
        </w:rPr>
      </w:pPr>
    </w:p>
    <w:p>
      <w:pPr>
        <w:ind w:left="180" w:hanging="180"/>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Mr. Ortav Yehudai</w:t>
      </w:r>
    </w:p>
    <w:p>
      <w:pPr>
        <w:spacing w:after="0" w:line="121" w:lineRule="exact"/>
        <w:rPr>
          <w:sz w:val="20"/>
          <w:szCs w:val="20"/>
          <w:color w:val="auto"/>
        </w:rPr>
      </w:pPr>
    </w:p>
    <w:p>
      <w:pPr>
        <w:ind w:left="240" w:hanging="240"/>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beneficially owned: 2,792,927</w:t>
      </w:r>
    </w:p>
    <w:p>
      <w:pPr>
        <w:spacing w:after="0" w:line="120" w:lineRule="exact"/>
        <w:rPr>
          <w:rFonts w:ascii="Arial" w:cs="Arial" w:eastAsia="Arial" w:hAnsi="Arial"/>
          <w:sz w:val="18"/>
          <w:szCs w:val="18"/>
          <w:color w:val="auto"/>
        </w:rPr>
      </w:pPr>
    </w:p>
    <w:p>
      <w:pPr>
        <w:ind w:left="260" w:hanging="260"/>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9.99%</w:t>
      </w:r>
      <w:r>
        <w:rPr>
          <w:rFonts w:ascii="Arial" w:cs="Arial" w:eastAsia="Arial" w:hAnsi="Arial"/>
          <w:sz w:val="29"/>
          <w:szCs w:val="29"/>
          <w:color w:val="auto"/>
          <w:vertAlign w:val="superscript"/>
        </w:rPr>
        <w:t>1</w:t>
      </w:r>
    </w:p>
    <w:p>
      <w:pPr>
        <w:spacing w:after="0" w:line="43" w:lineRule="exact"/>
        <w:rPr>
          <w:rFonts w:ascii="Arial" w:cs="Arial" w:eastAsia="Arial" w:hAnsi="Arial"/>
          <w:sz w:val="18"/>
          <w:szCs w:val="18"/>
          <w:color w:val="auto"/>
        </w:rPr>
      </w:pPr>
    </w:p>
    <w:p>
      <w:pPr>
        <w:ind w:left="240" w:hanging="240"/>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01" w:lineRule="exact"/>
        <w:rPr>
          <w:rFonts w:ascii="Arial" w:cs="Arial" w:eastAsia="Arial" w:hAnsi="Arial"/>
          <w:sz w:val="18"/>
          <w:szCs w:val="18"/>
          <w:color w:val="auto"/>
        </w:rPr>
      </w:pPr>
    </w:p>
    <w:p>
      <w:pPr>
        <w:ind w:left="580" w:hanging="220"/>
        <w:spacing w:after="0"/>
        <w:tabs>
          <w:tab w:leader="none" w:pos="5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117" w:lineRule="exact"/>
        <w:rPr>
          <w:rFonts w:ascii="Arial" w:cs="Arial" w:eastAsia="Arial" w:hAnsi="Arial"/>
          <w:sz w:val="18"/>
          <w:szCs w:val="18"/>
          <w:color w:val="auto"/>
        </w:rPr>
      </w:pPr>
    </w:p>
    <w:p>
      <w:pPr>
        <w:ind w:left="620" w:hanging="260"/>
        <w:spacing w:after="0"/>
        <w:tabs>
          <w:tab w:leader="none" w:pos="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vote or direct the vote: 2,792,927</w:t>
      </w:r>
    </w:p>
    <w:p>
      <w:pPr>
        <w:spacing w:after="0" w:line="117" w:lineRule="exact"/>
        <w:rPr>
          <w:rFonts w:ascii="Arial" w:cs="Arial" w:eastAsia="Arial" w:hAnsi="Arial"/>
          <w:sz w:val="18"/>
          <w:szCs w:val="18"/>
          <w:color w:val="auto"/>
        </w:rPr>
      </w:pPr>
    </w:p>
    <w:p>
      <w:pPr>
        <w:ind w:left="680" w:hanging="320"/>
        <w:spacing w:after="0"/>
        <w:tabs>
          <w:tab w:leader="none" w:pos="6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17" w:lineRule="exact"/>
        <w:rPr>
          <w:rFonts w:ascii="Arial" w:cs="Arial" w:eastAsia="Arial" w:hAnsi="Arial"/>
          <w:sz w:val="18"/>
          <w:szCs w:val="18"/>
          <w:color w:val="auto"/>
        </w:rPr>
      </w:pPr>
    </w:p>
    <w:p>
      <w:pPr>
        <w:ind w:left="660" w:hanging="300"/>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2,792,927</w:t>
      </w:r>
    </w:p>
    <w:p>
      <w:pPr>
        <w:sectPr>
          <w:pgSz w:w="11900" w:h="16838" w:orient="portrait"/>
          <w:cols w:equalWidth="0" w:num="1">
            <w:col w:w="10440"/>
          </w:cols>
          <w:pgMar w:left="1120" w:top="125" w:right="339" w:bottom="268" w:gutter="0" w:footer="0" w:header="0"/>
        </w:sectPr>
      </w:pPr>
    </w:p>
    <w:bookmarkStart w:id="6" w:name="page7"/>
    <w:bookmarkEnd w:id="6"/>
    <w:p>
      <w:pPr>
        <w:jc w:val="both"/>
        <w:ind w:firstLine="8"/>
        <w:spacing w:after="0" w:line="232" w:lineRule="auto"/>
        <w:tabs>
          <w:tab w:leader="none" w:pos="112"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Based on a total of 27,957,230 shares outstanding, which is the sum of (i) 22,885,961 common shares outstanding as reported by the Issuer in its 424B Prospectus filed with the Securities and Exchange Commission (the "SEC") on October 2, 2023, (ii) 4,137,077 shares of common stock sold under the Issuer’s ATM program since June 30, 2023 as reported in the same Prospectus, and (iii) 934,192 shares of the Common Stock issuable upon exercise of warrants held by the reporting persons (subject to the Beneficial Ownership Cap).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ind w:left="400" w:firstLine="396"/>
        <w:spacing w:after="0" w:line="260"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4.</w:t>
      </w:r>
    </w:p>
    <w:p>
      <w:pPr>
        <w:spacing w:after="0" w:line="99" w:lineRule="exact"/>
        <w:rPr>
          <w:sz w:val="20"/>
          <w:szCs w:val="20"/>
          <w:color w:val="auto"/>
        </w:rPr>
      </w:pPr>
    </w:p>
    <w:p>
      <w:pPr>
        <w:ind w:left="1300" w:hanging="1295"/>
        <w:spacing w:after="0" w:line="261"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jc w:val="both"/>
        <w:ind w:left="80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66"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92840H400</w:t>
            </w:r>
          </w:p>
        </w:tc>
        <w:tc>
          <w:tcPr>
            <w:tcW w:w="452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12, 2023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Great Point Partners, LLC</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tab/>
        <w:t>/s/ 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Dr. Jeffrey R. Jay, M.D., as Senior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Managing Member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Dr. Jeffrey R. Jay, M.D.</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tab/>
        <w:t>/s/ 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Dr. Jeffrey R. Jay, M.D.</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Mr. Ortav Yehudai</w:t>
      </w:r>
    </w:p>
    <w:p>
      <w:pPr>
        <w:spacing w:after="0" w:line="229"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tab/>
        <w:t>/s/ Mr. Ortav Yehudai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829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Ortav Yehudai</w:t>
      </w:r>
    </w:p>
    <w:p>
      <w:pPr>
        <w:sectPr>
          <w:pgSz w:w="11900" w:h="16838" w:orient="portrait"/>
          <w:cols w:equalWidth="0" w:num="1">
            <w:col w:w="11240"/>
          </w:cols>
          <w:pgMar w:left="320" w:top="730" w:right="339" w:bottom="1440"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92840H400</w:t>
            </w:r>
          </w:p>
        </w:tc>
        <w:tc>
          <w:tcPr>
            <w:tcW w:w="452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rPr>
          <w:sz w:val="20"/>
          <w:szCs w:val="20"/>
          <w:color w:val="auto"/>
        </w:rPr>
      </w:pPr>
      <w:r>
        <w:rPr>
          <w:rFonts w:ascii="Arial" w:cs="Arial" w:eastAsia="Arial" w:hAnsi="Arial"/>
          <w:sz w:val="18"/>
          <w:szCs w:val="18"/>
          <w:u w:val="single" w:color="auto"/>
          <w:color w:val="auto"/>
        </w:rPr>
        <w:t>Exhibit A</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13d-1(k)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agree as follows:</w:t>
      </w:r>
    </w:p>
    <w:p>
      <w:pPr>
        <w:spacing w:after="0" w:line="225" w:lineRule="exact"/>
        <w:rPr>
          <w:sz w:val="20"/>
          <w:szCs w:val="20"/>
          <w:color w:val="auto"/>
        </w:rPr>
      </w:pPr>
    </w:p>
    <w:p>
      <w:pPr>
        <w:ind w:firstLine="8"/>
        <w:spacing w:after="0" w:line="277" w:lineRule="auto"/>
        <w:tabs>
          <w:tab w:leader="none" w:pos="2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them is individually eligible to use the SCHEDULE 13G to which this Exhibit is attached, and such SCHEDULE 13G is filed on behalf of each of them; and</w:t>
      </w:r>
    </w:p>
    <w:p>
      <w:pPr>
        <w:spacing w:after="0" w:line="170" w:lineRule="exact"/>
        <w:rPr>
          <w:rFonts w:ascii="Arial" w:cs="Arial" w:eastAsia="Arial" w:hAnsi="Arial"/>
          <w:sz w:val="18"/>
          <w:szCs w:val="18"/>
          <w:color w:val="auto"/>
        </w:rPr>
      </w:pPr>
    </w:p>
    <w:p>
      <w:pPr>
        <w:jc w:val="both"/>
        <w:ind w:firstLine="8"/>
        <w:spacing w:after="0" w:line="286" w:lineRule="auto"/>
        <w:tabs>
          <w:tab w:leader="none" w:pos="265" w:val="left"/>
        </w:tabs>
        <w:numPr>
          <w:ilvl w:val="0"/>
          <w:numId w:val="16"/>
        </w:numPr>
        <w:rPr>
          <w:rFonts w:ascii="Arial" w:cs="Arial" w:eastAsia="Arial" w:hAnsi="Arial"/>
          <w:sz w:val="17"/>
          <w:szCs w:val="17"/>
          <w:color w:val="auto"/>
        </w:rPr>
      </w:pPr>
      <w:r>
        <w:rPr>
          <w:rFonts w:ascii="Arial" w:cs="Arial" w:eastAsia="Arial" w:hAnsi="Arial"/>
          <w:sz w:val="17"/>
          <w:szCs w:val="17"/>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12, 2023</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Great Point Partners, LLC</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tab/>
        <w:t>/s/ 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Dr. Jeffrey R. Jay, M.D., as Senior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Managing Member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Dr. Jeffrey R. Jay, M.D.</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tab/>
        <w:t>/s/ 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Dr. Jeffrey R. Jay, M.D.</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Mr. Ortav Yehudai</w:t>
      </w:r>
    </w:p>
    <w:p>
      <w:pPr>
        <w:spacing w:after="0" w:line="229"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tab/>
        <w:t>/s/ Mr. Ortav Yehudai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829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Ortav Yehudai</w:t>
      </w:r>
    </w:p>
    <w:sectPr>
      <w:pgSz w:w="11900" w:h="16838" w:orient="portrait"/>
      <w:cols w:equalWidth="0" w:num="1">
        <w:col w:w="11240"/>
      </w:cols>
      <w:pgMar w:left="320" w:top="7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bullet"/>
      <w:start w:val="1"/>
    </w:lvl>
  </w:abstractNum>
  <w:abstractNum w:abstractNumId="2">
    <w:nsid w:val="12200854"/>
    <w:multiLevelType w:val="hybridMultilevel"/>
    <w:lvl w:ilvl="0">
      <w:lvlJc w:val="left"/>
      <w:lvlText w:val="2"/>
      <w:numFmt w:val="bullet"/>
      <w:start w:val="1"/>
    </w:lvl>
  </w:abstractNum>
  <w:abstractNum w:abstractNumId="3">
    <w:nsid w:val="4DB127F8"/>
    <w:multiLevelType w:val="hybridMultilevel"/>
    <w:lvl w:ilvl="0">
      <w:lvlJc w:val="left"/>
      <w:lvlText w:val="1"/>
      <w:numFmt w:val="bullet"/>
      <w:start w:val="1"/>
    </w:lvl>
  </w:abstractNum>
  <w:abstractNum w:abstractNumId="4">
    <w:nsid w:val="216231B"/>
    <w:multiLevelType w:val="hybridMultilevel"/>
    <w:lvl w:ilvl="0">
      <w:lvlJc w:val="left"/>
      <w:lvlText w:val="2"/>
      <w:numFmt w:val="bullet"/>
      <w:start w:val="1"/>
    </w:lvl>
  </w:abstractNum>
  <w:abstractNum w:abstractNumId="5">
    <w:nsid w:val="1F16E9E8"/>
    <w:multiLevelType w:val="hybridMultilevel"/>
    <w:lvl w:ilvl="0">
      <w:lvlJc w:val="left"/>
      <w:lvlText w:val="1"/>
      <w:numFmt w:val="bullet"/>
      <w:start w:val="1"/>
    </w:lvl>
  </w:abstractNum>
  <w:abstractNum w:abstractNumId="6">
    <w:nsid w:val="1190CDE7"/>
    <w:multiLevelType w:val="hybridMultilevel"/>
    <w:lvl w:ilvl="0">
      <w:lvlJc w:val="left"/>
      <w:lvlText w:val="2"/>
      <w:numFmt w:val="bullet"/>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lowerLetter"/>
      <w:start w:val="1"/>
    </w:lvl>
    <w:lvl w:ilvl="1">
      <w:lvlJc w:val="left"/>
      <w:lvlText w:val="(%2)"/>
      <w:numFmt w:val="lowerRoman"/>
      <w:start w:val="1"/>
    </w:lvl>
  </w:abstractNum>
  <w:abstractNum w:abstractNumId="10">
    <w:nsid w:val="109CF92E"/>
    <w:multiLevelType w:val="hybridMultilevel"/>
    <w:lvl w:ilvl="0">
      <w:lvlJc w:val="left"/>
      <w:lvlText w:val="%1."/>
      <w:numFmt w:val="decimal"/>
      <w:start w:val="2"/>
    </w:lvl>
  </w:abstractNum>
  <w:abstractNum w:abstractNumId="11">
    <w:nsid w:val="DED7263"/>
    <w:multiLevelType w:val="hybridMultilevel"/>
    <w:lvl w:ilvl="0">
      <w:lvlJc w:val="left"/>
      <w:lvlText w:val="(%1)"/>
      <w:numFmt w:val="lowerLetter"/>
      <w:start w:val="1"/>
    </w:lvl>
    <w:lvl w:ilvl="1">
      <w:lvlJc w:val="left"/>
      <w:lvlText w:val="(%2)"/>
      <w:numFmt w:val="lowerRoman"/>
      <w:start w:val="1"/>
    </w:lvl>
  </w:abstractNum>
  <w:abstractNum w:abstractNumId="12">
    <w:nsid w:val="7FDCC233"/>
    <w:multiLevelType w:val="hybridMultilevel"/>
    <w:lvl w:ilvl="0">
      <w:lvlJc w:val="left"/>
      <w:lvlText w:val="%1."/>
      <w:numFmt w:val="decimal"/>
      <w:start w:val="3"/>
    </w:lvl>
  </w:abstractNum>
  <w:abstractNum w:abstractNumId="13">
    <w:nsid w:val="1BEFD79F"/>
    <w:multiLevelType w:val="hybridMultilevel"/>
    <w:lvl w:ilvl="0">
      <w:lvlJc w:val="left"/>
      <w:lvlText w:val="(%1)"/>
      <w:numFmt w:val="lowerLetter"/>
      <w:start w:val="1"/>
    </w:lvl>
    <w:lvl w:ilvl="1">
      <w:lvlJc w:val="left"/>
      <w:lvlText w:val="(%2)"/>
      <w:numFmt w:val="lowerRoman"/>
      <w:start w:val="1"/>
    </w:lvl>
  </w:abstractNum>
  <w:abstractNum w:abstractNumId="14">
    <w:nsid w:val="41A7C4C9"/>
    <w:multiLevelType w:val="hybridMultilevel"/>
    <w:lvl w:ilvl="0">
      <w:lvlJc w:val="left"/>
      <w:lvlText w:val="1"/>
      <w:numFmt w:val="bullet"/>
      <w:start w:val="1"/>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2023-10-12T15:07:28Z</dcterms:created>
  <dcterms:modified xsi:type="dcterms:W3CDTF">2023-10-12T15:07:28Z</dcterms:modified>
</cp:coreProperties>
</file>