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August 4,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received an extension notification (the “</w:t>
      </w:r>
      <w:r>
        <w:rPr>
          <w:rFonts w:ascii="Times New Roman;serif" w:hAnsi="Times New Roman;serif"/>
          <w:b w:val="false"/>
          <w:i/>
          <w:color w:val="000000"/>
          <w:sz w:val="20"/>
        </w:rPr>
        <w:t>Extension</w:t>
      </w:r>
      <w:r>
        <w:rPr>
          <w:color w:val="000000"/>
        </w:rPr>
        <w:t xml:space="preserve"> </w:t>
      </w:r>
      <w:r>
        <w:rPr>
          <w:rFonts w:ascii="Times New Roman;serif" w:hAnsi="Times New Roman;serif"/>
          <w:b w:val="false"/>
          <w:i/>
          <w:color w:val="000000"/>
          <w:sz w:val="20"/>
        </w:rPr>
        <w:t>Notice</w:t>
      </w:r>
      <w:r>
        <w:rPr>
          <w:color w:val="000000"/>
        </w:rPr>
        <w:t>”</w:t>
      </w:r>
      <w:r>
        <w:rPr>
          <w:rFonts w:ascii="Times New Roman;serif" w:hAnsi="Times New Roman;serif"/>
          <w:b w:val="false"/>
          <w:color w:val="000000"/>
          <w:sz w:val="20"/>
        </w:rPr>
        <w:t>) from the Listing Qualifications Staff of The Nasdaq Stock Market, LLC (“</w:t>
      </w:r>
      <w:r>
        <w:rPr>
          <w:rFonts w:ascii="Times New Roman;serif" w:hAnsi="Times New Roman;serif"/>
          <w:b w:val="false"/>
          <w:i/>
          <w:color w:val="000000"/>
          <w:sz w:val="20"/>
        </w:rPr>
        <w:t>Nasdaq</w:t>
      </w:r>
      <w:r>
        <w:rPr>
          <w:color w:val="000000"/>
        </w:rPr>
        <w:t>”</w:t>
      </w:r>
      <w:r>
        <w:rPr>
          <w:rFonts w:ascii="Times New Roman;serif" w:hAnsi="Times New Roman;serif"/>
          <w:b w:val="false"/>
          <w:color w:val="000000"/>
          <w:sz w:val="20"/>
        </w:rPr>
        <w:t>) granting the Company a 180-day extension, until February 1, 2027 (the “</w:t>
      </w:r>
      <w:r>
        <w:rPr>
          <w:rFonts w:ascii="Times New Roman;serif" w:hAnsi="Times New Roman;serif"/>
          <w:b w:val="false"/>
          <w:i/>
          <w:color w:val="000000"/>
          <w:sz w:val="20"/>
        </w:rPr>
        <w:t>Extension Period</w:t>
      </w:r>
      <w:r>
        <w:rPr>
          <w:color w:val="000000"/>
        </w:rPr>
        <w:t>”</w:t>
      </w:r>
      <w:r>
        <w:rPr>
          <w:rFonts w:ascii="Times New Roman;serif" w:hAnsi="Times New Roman;serif"/>
          <w:b w:val="false"/>
          <w:color w:val="000000"/>
          <w:sz w:val="20"/>
        </w:rPr>
        <w:t>), to regain compliance with the requirement for the Company’s common stock, par value $0.001 per share (“</w:t>
      </w:r>
      <w:r>
        <w:rPr>
          <w:rFonts w:ascii="Times New Roman;serif" w:hAnsi="Times New Roman;serif"/>
          <w:b w:val="false"/>
          <w:i/>
          <w:color w:val="000000"/>
          <w:sz w:val="20"/>
        </w:rPr>
        <w:t>Common Stock</w:t>
      </w:r>
      <w:r>
        <w:rPr>
          <w:color w:val="000000"/>
        </w:rPr>
        <w:t>”</w:t>
      </w:r>
      <w:r>
        <w:rPr>
          <w:rFonts w:ascii="Times New Roman;serif" w:hAnsi="Times New Roman;serif"/>
          <w:b w:val="false"/>
          <w:color w:val="000000"/>
          <w:sz w:val="20"/>
        </w:rPr>
        <w:t>), to maintain a minimum bid price of $1.00 per share for continued listing on the Nasdaq Capital Market, as set forth in Nasdaq Listing Rule 5550(a)(2) (the “</w:t>
      </w:r>
      <w:r>
        <w:rPr>
          <w:rFonts w:ascii="Times New Roman;serif" w:hAnsi="Times New Roman;serif"/>
          <w:b w:val="false"/>
          <w:i/>
          <w:color w:val="000000"/>
          <w:sz w:val="20"/>
        </w:rPr>
        <w:t>Minimum Bid Price Requirement</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Extension Notice has no immediate effect on the continued listing status of the Company's Common Stock on the Nasdaq Capital Market, and the Company’s listing remains fully effective.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the Company’s Current Report on Form 8-K, filed on February 6, 2026, the Company was notified by Nasdaq that its Common Stock failed to meet the Minimum Bid Price Requirement for a period of 30 consecutive business days. As of the date of this Report, the Company has not yet regained compliance with the Minimum Bid Price Requirement, and instead advised Nasdaq of its intent to cure the deficiency within the Extension Period.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If the Company does not regain compliance with the Minimum Bid Price Requirement within the Extension Period, Nasdaq will provide written notification to the Company that its Common Stock will be subject to delisting, at which time the Company may appeal Nasdaq’s delisting determination to a Nasdaq Hearing Panel (the “</w:t>
      </w:r>
      <w:r>
        <w:rPr>
          <w:rFonts w:ascii="Times New Roman;serif" w:hAnsi="Times New Roman;serif"/>
          <w:b w:val="false"/>
          <w:i/>
          <w:color w:val="000000"/>
          <w:sz w:val="20"/>
        </w:rPr>
        <w:t>Panel</w:t>
      </w:r>
      <w:r>
        <w:rPr>
          <w:color w:val="000000"/>
        </w:rPr>
        <w:t>”</w:t>
      </w:r>
      <w:r>
        <w:rPr>
          <w:rFonts w:ascii="Times New Roman;serif" w:hAnsi="Times New Roman;serif"/>
          <w:b w:val="false"/>
          <w:color w:val="000000"/>
          <w:sz w:val="20"/>
        </w:rPr>
        <w:t xml:space="preserve">). There can be no assurance that, if the Company does need to appeal a Nasdaq delisting determination to the Panel, such appeal would be successful.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51" w:type="dxa"/>
        <w:jc w:val="left"/>
        <w:tblInd w:w="0" w:type="dxa"/>
        <w:tblLayout w:type="fixed"/>
        <w:tblCellMar>
          <w:top w:w="28" w:type="dxa"/>
          <w:left w:w="28" w:type="dxa"/>
          <w:bottom w:w="28" w:type="dxa"/>
          <w:right w:w="28" w:type="dxa"/>
        </w:tblCellMar>
      </w:tblPr>
      <w:tblGrid>
        <w:gridCol w:w="667"/>
        <w:gridCol w:w="587"/>
        <w:gridCol w:w="590"/>
        <w:gridCol w:w="366"/>
        <w:gridCol w:w="366"/>
        <w:gridCol w:w="366"/>
        <w:gridCol w:w="937"/>
        <w:gridCol w:w="937"/>
        <w:gridCol w:w="133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3472</Characters>
  <CharactersWithSpaces>4075</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