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As filed with the Securities and Exchange Commission on May 20, 2014</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333- 195901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S-1 /A</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VISTAGEN THERAPEUTICS,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2"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3020" w:type="dxa"/>
            <w:vAlign w:val="bottom"/>
          </w:tcPr>
          <w:p>
            <w:pPr>
              <w:jc w:val="center"/>
              <w:ind w:right="79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3841</w:t>
            </w:r>
          </w:p>
        </w:tc>
        <w:tc>
          <w:tcPr>
            <w:tcW w:w="2620" w:type="dxa"/>
            <w:vAlign w:val="bottom"/>
          </w:tcPr>
          <w:p>
            <w:pPr>
              <w:jc w:val="center"/>
              <w:ind w:left="892"/>
              <w:spacing w:after="0"/>
              <w:rPr>
                <w:sz w:val="20"/>
                <w:szCs w:val="20"/>
                <w:color w:val="auto"/>
              </w:rPr>
            </w:pPr>
            <w:r>
              <w:rPr>
                <w:rFonts w:ascii="Times New Roman" w:cs="Times New Roman" w:eastAsia="Times New Roman" w:hAnsi="Times New Roman"/>
                <w:sz w:val="18"/>
                <w:szCs w:val="18"/>
                <w:b w:val="1"/>
                <w:bCs w:val="1"/>
                <w:color w:val="auto"/>
                <w:w w:val="96"/>
              </w:rPr>
              <w:t>20-5093315</w:t>
            </w:r>
          </w:p>
        </w:tc>
      </w:tr>
      <w:tr>
        <w:trPr>
          <w:trHeight w:val="212"/>
        </w:trPr>
        <w:tc>
          <w:tcPr>
            <w:tcW w:w="3020" w:type="dxa"/>
            <w:vAlign w:val="bottom"/>
          </w:tcPr>
          <w:p>
            <w:pPr>
              <w:jc w:val="center"/>
              <w:ind w:right="792"/>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3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(Primary Standard Industrial</w:t>
            </w:r>
          </w:p>
        </w:tc>
        <w:tc>
          <w:tcPr>
            <w:tcW w:w="26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1"/>
        </w:trPr>
        <w:tc>
          <w:tcPr>
            <w:tcW w:w="3020" w:type="dxa"/>
            <w:vAlign w:val="bottom"/>
          </w:tcPr>
          <w:p>
            <w:pPr>
              <w:jc w:val="center"/>
              <w:ind w:right="792"/>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Classification Code Number)</w:t>
            </w:r>
          </w:p>
        </w:tc>
        <w:tc>
          <w:tcPr>
            <w:tcW w:w="26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Identification Number)</w:t>
            </w: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Shawn K. Singh, J.D.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VistaGen Therapeutics, Inc.</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of all communications to:</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W. Rumsey, Esq.</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Law Group, LLP</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West Broadway, Suite 700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(619) 795-1134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(619) 330-2101</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46" w:lineRule="exact"/>
        <w:rPr>
          <w:sz w:val="24"/>
          <w:szCs w:val="24"/>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check the following box. [X]</w:t>
      </w:r>
    </w:p>
    <w:p>
      <w:pPr>
        <w:spacing w:after="0" w:line="19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9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0" w:lineRule="exact"/>
        <w:rPr>
          <w:sz w:val="24"/>
          <w:szCs w:val="24"/>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ind w:left="3560" w:right="320" w:hanging="5006"/>
        <w:spacing w:after="0" w:line="251" w:lineRule="auto"/>
        <w:tabs>
          <w:tab w:leader="none" w:pos="3540" w:val="left"/>
        </w:tabs>
        <w:rPr>
          <w:sz w:val="20"/>
          <w:szCs w:val="20"/>
          <w:color w:val="auto"/>
        </w:rPr>
      </w:pPr>
      <w:r>
        <w:rPr>
          <w:rFonts w:ascii="Times New Roman" w:cs="Times New Roman" w:eastAsia="Times New Roman" w:hAnsi="Times New Roman"/>
          <w:sz w:val="18"/>
          <w:szCs w:val="18"/>
          <w:color w:val="auto"/>
        </w:rPr>
        <w:t>Large accelerated filer [ ]</w:t>
      </w:r>
      <w:r>
        <w:rPr>
          <w:sz w:val="20"/>
          <w:szCs w:val="20"/>
          <w:color w:val="auto"/>
        </w:rPr>
        <w:tab/>
      </w:r>
      <w:r>
        <w:rPr>
          <w:rFonts w:ascii="Times New Roman" w:cs="Times New Roman" w:eastAsia="Times New Roman" w:hAnsi="Times New Roman"/>
          <w:sz w:val="18"/>
          <w:szCs w:val="18"/>
          <w:color w:val="auto"/>
        </w:rPr>
        <w:t>Accelerated filer [ ] Non-accelerated filer [ ] Smaller reporting company [X]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253605" cy="44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72"/>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060" w:type="dxa"/>
            <w:vAlign w:val="bottom"/>
            <w:gridSpan w:val="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 Maximum</w:t>
            </w:r>
          </w:p>
        </w:tc>
        <w:tc>
          <w:tcPr>
            <w:tcW w:w="220" w:type="dxa"/>
            <w:vAlign w:val="bottom"/>
          </w:tcPr>
          <w:p>
            <w:pPr>
              <w:spacing w:after="0"/>
              <w:rPr>
                <w:sz w:val="24"/>
                <w:szCs w:val="24"/>
                <w:color w:val="auto"/>
              </w:rPr>
            </w:pPr>
          </w:p>
        </w:tc>
        <w:tc>
          <w:tcPr>
            <w:tcW w:w="1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Proposed Maximum</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8"/>
              </w:rPr>
              <w:t>Title Of Each Class Of</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 Be</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Offering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120" w:type="dxa"/>
            <w:vAlign w:val="bottom"/>
          </w:tcPr>
          <w:p>
            <w:pPr>
              <w:spacing w:after="0"/>
              <w:rPr>
                <w:sz w:val="18"/>
                <w:szCs w:val="18"/>
                <w:color w:val="auto"/>
              </w:rPr>
            </w:pPr>
          </w:p>
        </w:tc>
        <w:tc>
          <w:tcPr>
            <w:tcW w:w="1600" w:type="dxa"/>
            <w:vAlign w:val="bottom"/>
            <w:gridSpan w:val="2"/>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8"/>
              </w:rPr>
              <w:t>Amount Of</w:t>
            </w:r>
          </w:p>
        </w:tc>
      </w:tr>
      <w:tr>
        <w:trPr>
          <w:trHeight w:val="239"/>
        </w:trPr>
        <w:tc>
          <w:tcPr>
            <w:tcW w:w="20" w:type="dxa"/>
            <w:vAlign w:val="bottom"/>
          </w:tcPr>
          <w:p>
            <w:pPr>
              <w:spacing w:after="0"/>
              <w:rPr>
                <w:sz w:val="20"/>
                <w:szCs w:val="20"/>
                <w:color w:val="auto"/>
              </w:rPr>
            </w:pPr>
          </w:p>
        </w:tc>
        <w:tc>
          <w:tcPr>
            <w:tcW w:w="360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6"/>
              </w:rPr>
              <w:t>Securities To Be Registered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320"/>
              <w:spacing w:after="0" w:line="233" w:lineRule="exact"/>
              <w:rPr>
                <w:sz w:val="20"/>
                <w:szCs w:val="20"/>
                <w:color w:val="auto"/>
              </w:rPr>
            </w:pPr>
            <w:r>
              <w:rPr>
                <w:rFonts w:ascii="Times New Roman" w:cs="Times New Roman" w:eastAsia="Times New Roman" w:hAnsi="Times New Roman"/>
                <w:sz w:val="18"/>
                <w:szCs w:val="18"/>
                <w:b w:val="1"/>
                <w:bCs w:val="1"/>
                <w:color w:val="auto"/>
                <w:w w:val="95"/>
              </w:rPr>
              <w:t xml:space="preserve">Offering Price </w:t>
            </w:r>
            <w:r>
              <w:rPr>
                <w:rFonts w:ascii="Times New Roman" w:cs="Times New Roman" w:eastAsia="Times New Roman" w:hAnsi="Times New Roman"/>
                <w:sz w:val="24"/>
                <w:szCs w:val="24"/>
                <w:b w:val="1"/>
                <w:bCs w:val="1"/>
                <w:color w:val="auto"/>
                <w:w w:val="95"/>
                <w:vertAlign w:val="superscript"/>
              </w:rPr>
              <w:t>(1)</w:t>
            </w:r>
          </w:p>
        </w:tc>
        <w:tc>
          <w:tcPr>
            <w:tcW w:w="120" w:type="dxa"/>
            <w:vAlign w:val="bottom"/>
          </w:tcPr>
          <w:p>
            <w:pPr>
              <w:spacing w:after="0"/>
              <w:rPr>
                <w:sz w:val="20"/>
                <w:szCs w:val="20"/>
                <w:color w:val="auto"/>
              </w:rPr>
            </w:pPr>
          </w:p>
        </w:tc>
        <w:tc>
          <w:tcPr>
            <w:tcW w:w="1600" w:type="dxa"/>
            <w:vAlign w:val="bottom"/>
            <w:gridSpan w:val="2"/>
          </w:tcPr>
          <w:p>
            <w:pPr>
              <w:jc w:val="center"/>
              <w:ind w:right="218"/>
              <w:spacing w:after="0"/>
              <w:rPr>
                <w:sz w:val="20"/>
                <w:szCs w:val="20"/>
                <w:color w:val="auto"/>
              </w:rPr>
            </w:pPr>
            <w:r>
              <w:rPr>
                <w:rFonts w:ascii="Times New Roman" w:cs="Times New Roman" w:eastAsia="Times New Roman" w:hAnsi="Times New Roman"/>
                <w:sz w:val="18"/>
                <w:szCs w:val="18"/>
                <w:b w:val="1"/>
                <w:bCs w:val="1"/>
                <w:color w:val="auto"/>
                <w:w w:val="98"/>
              </w:rPr>
              <w:t>Registration Fee</w:t>
            </w:r>
          </w:p>
        </w:tc>
      </w:tr>
      <w:tr>
        <w:trPr>
          <w:trHeight w:val="326"/>
        </w:trPr>
        <w:tc>
          <w:tcPr>
            <w:tcW w:w="20" w:type="dxa"/>
            <w:vAlign w:val="bottom"/>
          </w:tcPr>
          <w:p>
            <w:pPr>
              <w:spacing w:after="0"/>
              <w:rPr>
                <w:sz w:val="24"/>
                <w:szCs w:val="24"/>
                <w:color w:val="auto"/>
              </w:rPr>
            </w:pPr>
          </w:p>
        </w:tc>
        <w:tc>
          <w:tcPr>
            <w:tcW w:w="3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Common stock, par value $0.001 per share </w:t>
            </w:r>
            <w:r>
              <w:rPr>
                <w:rFonts w:ascii="Times New Roman" w:cs="Times New Roman" w:eastAsia="Times New Roman" w:hAnsi="Times New Roman"/>
                <w:sz w:val="24"/>
                <w:szCs w:val="24"/>
                <w:color w:val="auto"/>
                <w:vertAlign w:val="superscript"/>
              </w:rPr>
              <w:t>(2)</w:t>
            </w: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top w:val="single" w:sz="8" w:color="auto"/>
            </w:tcBorders>
          </w:tcPr>
          <w:p>
            <w:pPr>
              <w:jc w:val="right"/>
              <w:ind w:right="155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r>
    </w:tbl>
    <w:p>
      <w:pPr>
        <w:spacing w:after="0" w:line="107" w:lineRule="exact"/>
        <w:rPr>
          <w:sz w:val="20"/>
          <w:szCs w:val="20"/>
          <w:color w:val="auto"/>
        </w:rPr>
      </w:pPr>
    </w:p>
    <w:p>
      <w:pPr>
        <w:ind w:left="580" w:hanging="574"/>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457(o) under the Securities Act of 1933.</w:t>
      </w:r>
    </w:p>
    <w:p>
      <w:pPr>
        <w:spacing w:after="0" w:line="243" w:lineRule="exact"/>
        <w:rPr>
          <w:rFonts w:ascii="Times New Roman" w:cs="Times New Roman" w:eastAsia="Times New Roman" w:hAnsi="Times New Roman"/>
          <w:sz w:val="18"/>
          <w:szCs w:val="18"/>
          <w:color w:val="auto"/>
        </w:rPr>
      </w:pPr>
    </w:p>
    <w:p>
      <w:pPr>
        <w:ind w:left="580" w:hanging="574"/>
        <w:spacing w:after="0" w:line="274"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under one prospectus, our direct offering of an indeterminate number of shares of our common stock that may be sold by us from time to time, for a maximum aggregate offering price of all securities not to exceed $10,000,000.</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393065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FF0000"/>
        </w:rPr>
        <w:t>Subject to Completion, dated __________, 2014</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167640</wp:posOffset>
            </wp:positionV>
            <wp:extent cx="2028825" cy="951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88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___________ Shares of Common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________ shares of our common stock (the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on a "best efforts" basis through our officers and directors, who will not receive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or other remuneration for selling shares.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is no minimum number of shares that must be sold by us for the Offering to close, and therefore we may receive no proceeds or very minimal proceeds from the Offering. The aggregate offering price of all securities sold under this Offering may not exceed $__________.</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retain the proceeds from the sale of any of the offered shares that are sold. The Offering is being conducted on a self-underwritten, best efforts basis, which means this prospectus will permit our officers and directors to sell the shares directly to the public, with no commission or other remuneration payable to them for any shares they may sell. The Company may not sell the shares to the public until the Registration Statement of which this prospectus is a part is declared effective by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arrangement to place the proceeds from this Offering in an escrow, trust or similar account. Any funds raised from sales of shares to the public pursuant to this Offering will be immediately available to us for our use and retained by us regardless of whether or not there are any additional sales under this Offering. You will not have the right to withdraw your funds during the Offering. We may offer and sell these securities through the method described under “Plan of Distribution” in this prospectus.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will terminate upon the earlier to occur of: (i) the sale of all _________ shares being offered, or (ii) 365 days after the Registration Statement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this prospectus is a part is declared effective by the SEC.</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securities are not listed on any national securities exchange. Our common stock is quoted on the Over-the-Counter Market (OTCQB) under the symbol “VSTA”. On May 9, 2014 the closing price for our common stock was $0.40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9 of this prospectus.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4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2"/>
        </w:trPr>
        <w:tc>
          <w:tcPr>
            <w:tcW w:w="55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Price to the public </w:t>
            </w:r>
            <w:r>
              <w:rPr>
                <w:rFonts w:ascii="Times New Roman" w:cs="Times New Roman" w:eastAsia="Times New Roman" w:hAnsi="Times New Roman"/>
                <w:sz w:val="24"/>
                <w:szCs w:val="24"/>
                <w:color w:val="auto"/>
                <w:vertAlign w:val="superscript"/>
              </w:rPr>
              <w:t>(1)</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_____</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_____</w:t>
            </w:r>
          </w:p>
        </w:tc>
      </w:tr>
      <w:tr>
        <w:trPr>
          <w:trHeight w:val="23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_____</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_____</w:t>
            </w:r>
          </w:p>
        </w:tc>
      </w:tr>
    </w:tbl>
    <w:p>
      <w:pPr>
        <w:spacing w:after="0" w:line="174" w:lineRule="exact"/>
        <w:rPr>
          <w:sz w:val="20"/>
          <w:szCs w:val="20"/>
          <w:color w:val="auto"/>
        </w:rPr>
      </w:pPr>
    </w:p>
    <w:p>
      <w:pPr>
        <w:ind w:firstLine="6"/>
        <w:spacing w:after="0" w:line="225" w:lineRule="auto"/>
        <w:tabs>
          <w:tab w:leader="none" w:pos="198"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Omitted in reliance upon Rule 430A under the Securities Act and may be based upon a discount to the market price of the Company's common stock at the time of pricing not later than 15 business days after the effective date of the registration statement of which this prospectus is a part.</w:t>
      </w:r>
    </w:p>
    <w:p>
      <w:pPr>
        <w:spacing w:after="0" w:line="21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8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The date of this prospectus is __________,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0740" w:type="dxa"/>
            <w:vAlign w:val="bottom"/>
            <w:gridSpan w:val="20"/>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720" w:type="dxa"/>
            <w:vAlign w:val="bottom"/>
            <w:gridSpan w:val="19"/>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Prospectus Summary</w:t>
            </w:r>
          </w:p>
        </w:tc>
        <w:tc>
          <w:tcPr>
            <w:tcW w:w="6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Borders>
              <w:top w:val="single" w:sz="8" w:color="0000EE"/>
              <w:bottom w:val="single" w:sz="8" w:color="0000EE"/>
            </w:tcBorders>
            <w:gridSpan w:val="4"/>
          </w:tcPr>
          <w:p>
            <w:pPr>
              <w:spacing w:after="0" w:line="172"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Risk Factors</w:t>
              </w:r>
            </w:hyperlink>
          </w:p>
        </w:tc>
        <w:tc>
          <w:tcPr>
            <w:tcW w:w="580" w:type="dxa"/>
            <w:vAlign w:val="bottom"/>
            <w:tcBorders>
              <w:top w:val="single" w:sz="8" w:color="0000EE"/>
            </w:tcBorders>
            <w:gridSpan w:val="6"/>
          </w:tcPr>
          <w:p>
            <w:pPr>
              <w:spacing w:after="0"/>
              <w:rPr>
                <w:sz w:val="14"/>
                <w:szCs w:val="14"/>
                <w:color w:val="auto"/>
              </w:rPr>
            </w:pPr>
          </w:p>
        </w:tc>
        <w:tc>
          <w:tcPr>
            <w:tcW w:w="9240" w:type="dxa"/>
            <w:vAlign w:val="bottom"/>
            <w:tcBorders>
              <w:top w:val="single" w:sz="8" w:color="CCEEFF"/>
            </w:tcBorders>
            <w:gridSpan w:val="9"/>
          </w:tcPr>
          <w:p>
            <w:pPr>
              <w:spacing w:after="0"/>
              <w:rPr>
                <w:sz w:val="14"/>
                <w:szCs w:val="14"/>
                <w:color w:val="auto"/>
              </w:rPr>
            </w:pPr>
          </w:p>
        </w:tc>
        <w:tc>
          <w:tcPr>
            <w:tcW w:w="68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Borders>
              <w:bottom w:val="single" w:sz="8" w:color="0000EE"/>
            </w:tcBorders>
            <w:gridSpan w:val="17"/>
            <w:shd w:val="clear" w:color="auto" w:fill="CCEEFF"/>
          </w:tcPr>
          <w:p>
            <w:pPr>
              <w:spacing w:after="0" w:line="192"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Special Note Regarding Forward-Looking Statements</w:t>
              </w:r>
            </w:hyperlink>
          </w:p>
        </w:tc>
        <w:tc>
          <w:tcPr>
            <w:tcW w:w="6920" w:type="dxa"/>
            <w:vAlign w:val="bottom"/>
            <w:tcBorders>
              <w:bottom w:val="single" w:sz="8" w:color="CCEEFF"/>
            </w:tcBorders>
            <w:gridSpan w:val="2"/>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Borders>
              <w:bottom w:val="single" w:sz="8" w:color="0000EE"/>
            </w:tcBorders>
            <w:gridSpan w:val="8"/>
          </w:tcPr>
          <w:p>
            <w:pPr>
              <w:spacing w:after="0" w:line="172" w:lineRule="exact"/>
              <w:rPr>
                <w:sz w:val="20"/>
                <w:szCs w:val="20"/>
                <w:color w:val="auto"/>
              </w:rPr>
            </w:pPr>
            <w:r>
              <w:rPr>
                <w:rFonts w:ascii="Times New Roman" w:cs="Times New Roman" w:eastAsia="Times New Roman" w:hAnsi="Times New Roman"/>
                <w:sz w:val="18"/>
                <w:szCs w:val="18"/>
                <w:color w:val="0000EE"/>
                <w:w w:val="95"/>
              </w:rPr>
              <w:t>Use of Proceeds</w:t>
            </w:r>
          </w:p>
        </w:tc>
        <w:tc>
          <w:tcPr>
            <w:tcW w:w="9580" w:type="dxa"/>
            <w:vAlign w:val="bottom"/>
            <w:gridSpan w:val="11"/>
          </w:tcPr>
          <w:p>
            <w:pPr>
              <w:spacing w:after="0"/>
              <w:rPr>
                <w:sz w:val="14"/>
                <w:szCs w:val="14"/>
                <w:color w:val="auto"/>
              </w:rPr>
            </w:pPr>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720" w:type="dxa"/>
            <w:vAlign w:val="bottom"/>
            <w:gridSpan w:val="1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Dividend policy</w:t>
            </w:r>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top w:val="single" w:sz="8" w:color="0000EE"/>
              <w:bottom w:val="single" w:sz="8" w:color="0000EE"/>
            </w:tcBorders>
            <w:gridSpan w:val="5"/>
          </w:tcPr>
          <w:p>
            <w:pPr>
              <w:spacing w:after="0" w:line="172" w:lineRule="exact"/>
              <w:rPr>
                <w:rFonts w:ascii="Times New Roman" w:cs="Times New Roman" w:eastAsia="Times New Roman" w:hAnsi="Times New Roman"/>
                <w:sz w:val="18"/>
                <w:szCs w:val="18"/>
                <w:color w:val="0000EE"/>
                <w:w w:val="94"/>
              </w:rPr>
            </w:pPr>
            <w:hyperlink w:anchor="page50">
              <w:r>
                <w:rPr>
                  <w:rFonts w:ascii="Times New Roman" w:cs="Times New Roman" w:eastAsia="Times New Roman" w:hAnsi="Times New Roman"/>
                  <w:sz w:val="18"/>
                  <w:szCs w:val="18"/>
                  <w:color w:val="0000EE"/>
                  <w:w w:val="94"/>
                </w:rPr>
                <w:t>Capitalization</w:t>
              </w:r>
            </w:hyperlink>
          </w:p>
        </w:tc>
        <w:tc>
          <w:tcPr>
            <w:tcW w:w="140" w:type="dxa"/>
            <w:vAlign w:val="bottom"/>
            <w:tcBorders>
              <w:top w:val="single" w:sz="8" w:color="0000EE"/>
            </w:tcBorders>
            <w:gridSpan w:val="2"/>
          </w:tcPr>
          <w:p>
            <w:pPr>
              <w:spacing w:after="0"/>
              <w:rPr>
                <w:sz w:val="14"/>
                <w:szCs w:val="14"/>
                <w:color w:val="auto"/>
              </w:rPr>
            </w:pPr>
          </w:p>
        </w:tc>
        <w:tc>
          <w:tcPr>
            <w:tcW w:w="9600" w:type="dxa"/>
            <w:vAlign w:val="bottom"/>
            <w:tcBorders>
              <w:top w:val="single" w:sz="8" w:color="CCEEFF"/>
            </w:tcBorders>
            <w:gridSpan w:val="12"/>
          </w:tcPr>
          <w:p>
            <w:pPr>
              <w:spacing w:after="0"/>
              <w:rPr>
                <w:sz w:val="14"/>
                <w:szCs w:val="14"/>
                <w:color w:val="auto"/>
              </w:rPr>
            </w:pPr>
          </w:p>
        </w:tc>
        <w:tc>
          <w:tcPr>
            <w:tcW w:w="68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 w:type="dxa"/>
            <w:vAlign w:val="bottom"/>
            <w:tcBorders>
              <w:bottom w:val="single" w:sz="8" w:color="0000EE"/>
            </w:tcBorders>
            <w:gridSpan w:val="2"/>
            <w:shd w:val="clear" w:color="auto" w:fill="CCEEFF"/>
          </w:tcPr>
          <w:p>
            <w:pPr>
              <w:spacing w:after="0" w:line="192" w:lineRule="exact"/>
              <w:rPr>
                <w:rFonts w:ascii="Times New Roman" w:cs="Times New Roman" w:eastAsia="Times New Roman" w:hAnsi="Times New Roman"/>
                <w:sz w:val="18"/>
                <w:szCs w:val="18"/>
                <w:color w:val="0000EE"/>
                <w:w w:val="93"/>
              </w:rPr>
            </w:pPr>
            <w:hyperlink w:anchor="page51">
              <w:r>
                <w:rPr>
                  <w:rFonts w:ascii="Times New Roman" w:cs="Times New Roman" w:eastAsia="Times New Roman" w:hAnsi="Times New Roman"/>
                  <w:sz w:val="18"/>
                  <w:szCs w:val="18"/>
                  <w:color w:val="0000EE"/>
                  <w:w w:val="93"/>
                </w:rPr>
                <w:t>Dilution</w:t>
              </w:r>
            </w:hyperlink>
          </w:p>
        </w:tc>
        <w:tc>
          <w:tcPr>
            <w:tcW w:w="10140" w:type="dxa"/>
            <w:vAlign w:val="bottom"/>
            <w:tcBorders>
              <w:bottom w:val="single" w:sz="8" w:color="CCEEFF"/>
            </w:tcBorders>
            <w:gridSpan w:val="17"/>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720" w:type="dxa"/>
            <w:vAlign w:val="bottom"/>
            <w:gridSpan w:val="19"/>
          </w:tcPr>
          <w:p>
            <w:pPr>
              <w:spacing w:after="0" w:line="172" w:lineRule="exact"/>
              <w:rPr>
                <w:sz w:val="20"/>
                <w:szCs w:val="20"/>
                <w:color w:val="auto"/>
              </w:rPr>
            </w:pPr>
            <w:r>
              <w:rPr>
                <w:rFonts w:ascii="Times New Roman" w:cs="Times New Roman" w:eastAsia="Times New Roman" w:hAnsi="Times New Roman"/>
                <w:sz w:val="18"/>
                <w:szCs w:val="18"/>
                <w:color w:val="0000EE"/>
              </w:rPr>
              <w:t>Selected Financial Data</w:t>
            </w:r>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0720" w:type="dxa"/>
            <w:vAlign w:val="bottom"/>
            <w:gridSpan w:val="1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Borders>
              <w:top w:val="single" w:sz="8" w:color="0000EE"/>
              <w:bottom w:val="single" w:sz="8" w:color="0000EE"/>
            </w:tcBorders>
            <w:gridSpan w:val="3"/>
          </w:tcPr>
          <w:p>
            <w:pPr>
              <w:spacing w:after="0" w:line="172" w:lineRule="exact"/>
              <w:rPr>
                <w:rFonts w:ascii="Times New Roman" w:cs="Times New Roman" w:eastAsia="Times New Roman" w:hAnsi="Times New Roman"/>
                <w:sz w:val="18"/>
                <w:szCs w:val="18"/>
                <w:color w:val="0000EE"/>
                <w:w w:val="93"/>
              </w:rPr>
            </w:pPr>
            <w:hyperlink w:anchor="page71">
              <w:r>
                <w:rPr>
                  <w:rFonts w:ascii="Times New Roman" w:cs="Times New Roman" w:eastAsia="Times New Roman" w:hAnsi="Times New Roman"/>
                  <w:sz w:val="18"/>
                  <w:szCs w:val="18"/>
                  <w:color w:val="0000EE"/>
                  <w:w w:val="93"/>
                </w:rPr>
                <w:t>Business</w:t>
              </w:r>
            </w:hyperlink>
          </w:p>
        </w:tc>
        <w:tc>
          <w:tcPr>
            <w:tcW w:w="5700" w:type="dxa"/>
            <w:vAlign w:val="bottom"/>
            <w:tcBorders>
              <w:top w:val="single" w:sz="8" w:color="0000EE"/>
            </w:tcBorders>
            <w:gridSpan w:val="15"/>
          </w:tcPr>
          <w:p>
            <w:pPr>
              <w:spacing w:after="0"/>
              <w:rPr>
                <w:sz w:val="14"/>
                <w:szCs w:val="14"/>
                <w:color w:val="auto"/>
              </w:rPr>
            </w:pPr>
          </w:p>
        </w:tc>
        <w:tc>
          <w:tcPr>
            <w:tcW w:w="440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720" w:type="dxa"/>
            <w:vAlign w:val="bottom"/>
            <w:gridSpan w:val="19"/>
            <w:shd w:val="clear" w:color="auto" w:fill="CCEEFF"/>
          </w:tcPr>
          <w:p>
            <w:pPr>
              <w:spacing w:after="0" w:line="19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Management</w:t>
              </w:r>
            </w:hyperlink>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44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0720" w:type="dxa"/>
            <w:vAlign w:val="bottom"/>
            <w:gridSpan w:val="19"/>
          </w:tcPr>
          <w:p>
            <w:pPr>
              <w:spacing w:after="0" w:line="17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Related Party Transactions</w:t>
              </w:r>
            </w:hyperlink>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60" w:type="dxa"/>
            <w:vAlign w:val="bottom"/>
            <w:tcBorders>
              <w:top w:val="single" w:sz="8" w:color="0000EE"/>
              <w:bottom w:val="single" w:sz="8" w:color="0000EE"/>
              <w:right w:val="single" w:sz="8" w:color="CCEEFF"/>
            </w:tcBorders>
            <w:gridSpan w:val="11"/>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9"/>
              </w:rPr>
              <w:t>Principal Stockholders</w:t>
            </w: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8840" w:type="dxa"/>
            <w:vAlign w:val="bottom"/>
            <w:tcBorders>
              <w:bottom w:val="single" w:sz="8" w:color="CCEEFF"/>
            </w:tcBorders>
            <w:gridSpan w:val="7"/>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720" w:type="dxa"/>
            <w:vAlign w:val="bottom"/>
            <w:gridSpan w:val="19"/>
          </w:tcPr>
          <w:p>
            <w:pPr>
              <w:spacing w:after="0" w:line="17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0720" w:type="dxa"/>
            <w:vAlign w:val="bottom"/>
            <w:gridSpan w:val="1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tcBorders>
              <w:top w:val="single" w:sz="8" w:color="0000EE"/>
            </w:tcBorders>
            <w:gridSpan w:val="15"/>
          </w:tcPr>
          <w:p>
            <w:pPr>
              <w:spacing w:after="0" w:line="172"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Plan of Distribution</w:t>
              </w:r>
            </w:hyperlink>
          </w:p>
        </w:tc>
        <w:tc>
          <w:tcPr>
            <w:tcW w:w="8560" w:type="dxa"/>
            <w:vAlign w:val="bottom"/>
            <w:tcBorders>
              <w:top w:val="single" w:sz="8" w:color="CCEEFF"/>
            </w:tcBorders>
            <w:gridSpan w:val="4"/>
          </w:tcPr>
          <w:p>
            <w:pPr>
              <w:spacing w:after="0"/>
              <w:rPr>
                <w:sz w:val="14"/>
                <w:szCs w:val="14"/>
                <w:color w:val="auto"/>
              </w:rPr>
            </w:pPr>
          </w:p>
        </w:tc>
        <w:tc>
          <w:tcPr>
            <w:tcW w:w="68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122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0" w:type="dxa"/>
            <w:vAlign w:val="bottom"/>
            <w:tcBorders>
              <w:top w:val="single" w:sz="8" w:color="0000EE"/>
              <w:bottom w:val="single" w:sz="8" w:color="0000EE"/>
            </w:tcBorders>
            <w:gridSpan w:val="5"/>
            <w:shd w:val="clear" w:color="auto" w:fill="CCEEFF"/>
          </w:tcPr>
          <w:p>
            <w:pPr>
              <w:spacing w:after="0" w:line="192" w:lineRule="exact"/>
              <w:rPr>
                <w:rFonts w:ascii="Times New Roman" w:cs="Times New Roman" w:eastAsia="Times New Roman" w:hAnsi="Times New Roman"/>
                <w:sz w:val="18"/>
                <w:szCs w:val="18"/>
                <w:color w:val="0000EE"/>
                <w:w w:val="95"/>
              </w:rPr>
            </w:pPr>
            <w:hyperlink w:anchor="page128">
              <w:r>
                <w:rPr>
                  <w:rFonts w:ascii="Times New Roman" w:cs="Times New Roman" w:eastAsia="Times New Roman" w:hAnsi="Times New Roman"/>
                  <w:sz w:val="18"/>
                  <w:szCs w:val="18"/>
                  <w:color w:val="0000EE"/>
                  <w:w w:val="95"/>
                </w:rPr>
                <w:t>Legal Matters</w:t>
              </w:r>
            </w:hyperlink>
          </w:p>
        </w:tc>
        <w:tc>
          <w:tcPr>
            <w:tcW w:w="40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9340" w:type="dxa"/>
            <w:vAlign w:val="bottom"/>
            <w:tcBorders>
              <w:bottom w:val="single" w:sz="8" w:color="CCEEFF"/>
            </w:tcBorders>
            <w:gridSpan w:val="10"/>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720" w:type="dxa"/>
            <w:vAlign w:val="bottom"/>
            <w:gridSpan w:val="19"/>
          </w:tcPr>
          <w:p>
            <w:pPr>
              <w:spacing w:after="0" w:line="172" w:lineRule="exact"/>
              <w:rPr>
                <w:sz w:val="20"/>
                <w:szCs w:val="20"/>
                <w:color w:val="auto"/>
              </w:rPr>
            </w:pPr>
            <w:r>
              <w:rPr>
                <w:rFonts w:ascii="Times New Roman" w:cs="Times New Roman" w:eastAsia="Times New Roman" w:hAnsi="Times New Roman"/>
                <w:sz w:val="18"/>
                <w:szCs w:val="18"/>
                <w:color w:val="0000EE"/>
              </w:rPr>
              <w:t>Experts</w:t>
            </w:r>
          </w:p>
        </w:tc>
        <w:tc>
          <w:tcPr>
            <w:tcW w:w="6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Borders>
              <w:bottom w:val="single" w:sz="8" w:color="0000EE"/>
            </w:tcBorders>
            <w:gridSpan w:val="16"/>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6"/>
              </w:rPr>
              <w:t>Where You Can Find More Information</w:t>
            </w:r>
          </w:p>
        </w:tc>
        <w:tc>
          <w:tcPr>
            <w:tcW w:w="7920" w:type="dxa"/>
            <w:vAlign w:val="bottom"/>
            <w:tcBorders>
              <w:bottom w:val="single" w:sz="8" w:color="CCEEFF"/>
            </w:tcBorders>
            <w:gridSpan w:val="3"/>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6"/>
              </w:rPr>
              <w:t>127</w:t>
            </w:r>
          </w:p>
        </w:tc>
        <w:tc>
          <w:tcPr>
            <w:tcW w:w="0" w:type="dxa"/>
            <w:vAlign w:val="bottom"/>
          </w:tcPr>
          <w:p>
            <w:pPr>
              <w:spacing w:after="0"/>
              <w:rPr>
                <w:sz w:val="1"/>
                <w:szCs w:val="1"/>
                <w:color w:val="auto"/>
              </w:rPr>
            </w:pPr>
          </w:p>
        </w:tc>
      </w:tr>
      <w:tr>
        <w:trPr>
          <w:trHeight w:val="172"/>
        </w:trPr>
        <w:tc>
          <w:tcPr>
            <w:tcW w:w="20" w:type="dxa"/>
            <w:vAlign w:val="bottom"/>
            <w:tcBorders>
              <w:bottom w:val="single" w:sz="8" w:color="0000EE"/>
            </w:tcBorders>
          </w:tcPr>
          <w:p>
            <w:pPr>
              <w:spacing w:after="0"/>
              <w:rPr>
                <w:sz w:val="14"/>
                <w:szCs w:val="14"/>
                <w:color w:val="auto"/>
              </w:rPr>
            </w:pPr>
          </w:p>
        </w:tc>
        <w:tc>
          <w:tcPr>
            <w:tcW w:w="2100" w:type="dxa"/>
            <w:vAlign w:val="bottom"/>
            <w:tcBorders>
              <w:bottom w:val="single" w:sz="8" w:color="0000EE"/>
            </w:tcBorders>
            <w:gridSpan w:val="14"/>
          </w:tcPr>
          <w:p>
            <w:pPr>
              <w:spacing w:after="0" w:line="172" w:lineRule="exact"/>
              <w:rPr>
                <w:rFonts w:ascii="Times New Roman" w:cs="Times New Roman" w:eastAsia="Times New Roman" w:hAnsi="Times New Roman"/>
                <w:sz w:val="18"/>
                <w:szCs w:val="18"/>
                <w:color w:val="0000EE"/>
                <w:w w:val="96"/>
              </w:rPr>
            </w:pPr>
            <w:hyperlink w:anchor="page148">
              <w:r>
                <w:rPr>
                  <w:rFonts w:ascii="Times New Roman" w:cs="Times New Roman" w:eastAsia="Times New Roman" w:hAnsi="Times New Roman"/>
                  <w:sz w:val="18"/>
                  <w:szCs w:val="18"/>
                  <w:color w:val="0000EE"/>
                  <w:w w:val="96"/>
                </w:rPr>
                <w:t>Index to Financial Statements</w:t>
              </w:r>
            </w:hyperlink>
          </w:p>
        </w:tc>
        <w:tc>
          <w:tcPr>
            <w:tcW w:w="8620" w:type="dxa"/>
            <w:vAlign w:val="bottom"/>
            <w:gridSpan w:val="5"/>
          </w:tcPr>
          <w:p>
            <w:pPr>
              <w:spacing w:after="0"/>
              <w:rPr>
                <w:sz w:val="14"/>
                <w:szCs w:val="14"/>
                <w:color w:val="auto"/>
              </w:rPr>
            </w:pPr>
          </w:p>
        </w:tc>
        <w:tc>
          <w:tcPr>
            <w:tcW w:w="68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authorized anyone to provide you with additional information or information different from that contained in this prospectus.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w:t>
      </w:r>
    </w:p>
    <w:p>
      <w:pPr>
        <w:spacing w:after="0" w:line="208"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8"/>
          <w:szCs w:val="18"/>
          <w:color w:val="auto"/>
        </w:rPr>
        <w:t xml:space="preserve">We own or have rights to use a number of common law trademarks and trade names that we use in connection with our business, including VistaGen Therapeutics, Inc., VistaGen, our logo, </w:t>
      </w:r>
      <w:r>
        <w:rPr>
          <w:rFonts w:ascii="Times New Roman" w:cs="Times New Roman" w:eastAsia="Times New Roman" w:hAnsi="Times New Roman"/>
          <w:sz w:val="18"/>
          <w:szCs w:val="18"/>
          <w:i w:val="1"/>
          <w:iCs w:val="1"/>
          <w:color w:val="auto"/>
        </w:rPr>
        <w:t>Better Cells Lead to Better Medicine, Human Clinical Trials in a Test Tube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ECG in a Test Tube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Putting Humans Firs</w:t>
      </w: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Drug Rescue Variants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CardioSafe </w:t>
      </w:r>
      <w:r>
        <w:rPr>
          <w:rFonts w:ascii="Times New Roman" w:cs="Times New Roman" w:eastAsia="Times New Roman" w:hAnsi="Times New Roman"/>
          <w:sz w:val="18"/>
          <w:szCs w:val="18"/>
          <w:color w:val="auto"/>
        </w:rPr>
        <w:t>3D and</w:t>
      </w:r>
      <w:r>
        <w:rPr>
          <w:rFonts w:ascii="Times New Roman" w:cs="Times New Roman" w:eastAsia="Times New Roman" w:hAnsi="Times New Roman"/>
          <w:sz w:val="18"/>
          <w:szCs w:val="18"/>
          <w:i w:val="1"/>
          <w:iCs w:val="1"/>
          <w:color w:val="auto"/>
        </w:rPr>
        <w:t xml:space="preserve"> LiverSafe </w:t>
      </w:r>
      <w:r>
        <w:rPr>
          <w:rFonts w:ascii="Times New Roman" w:cs="Times New Roman" w:eastAsia="Times New Roman" w:hAnsi="Times New Roman"/>
          <w:sz w:val="18"/>
          <w:szCs w:val="18"/>
          <w:color w:val="auto"/>
        </w:rPr>
        <w:t>3D. Solely for convenience, the trademarks and trade names referred to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portions of this prospectus may have been included without the TM symbol, but any such references are not intended to indicate in any way that we will not assert to the fullest extent under applicable law our rights to use those trademarks and trade names. All other trademarks, service marks and trade names referred to in this prospectus, if any, are, to our knowledge, the property of their respective owners.</w:t>
      </w:r>
    </w:p>
    <w:p>
      <w:pPr>
        <w:spacing w:after="0" w:line="213"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Unless the context otherwise requires, the words “VistaGen Therapeutics, Inc.” “VistaGen,” “we,” “the Company,” “us” and “our” refer to VistaGen Therapeutics, Inc., a Nevada corporation. “VistaGen California” refers to VistaGen Therapeutics, Inc., a California corporation and our wholly-owned subsidiary.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the section entitled “Risk factors” and our financial statements and related notes included elsewhere in this prospectus.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a stem cell company headquartered in South San Francisco, California and focused on drug rescue and regenerative medicine. We believe </w:t>
      </w:r>
      <w:r>
        <w:rPr>
          <w:rFonts w:ascii="Times New Roman" w:cs="Times New Roman" w:eastAsia="Times New Roman" w:hAnsi="Times New Roman"/>
          <w:sz w:val="18"/>
          <w:szCs w:val="18"/>
          <w:i w:val="1"/>
          <w:iCs w:val="1"/>
          <w:color w:val="auto"/>
        </w:rPr>
        <w:t>better cells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lead to better medicine</w:t>
      </w:r>
      <w:r>
        <w:rPr>
          <w:rFonts w:ascii="Times New Roman" w:cs="Times New Roman" w:eastAsia="Times New Roman" w:hAnsi="Times New Roman"/>
          <w:sz w:val="18"/>
          <w:szCs w:val="18"/>
          <w:color w:val="auto"/>
        </w:rPr>
        <w:t>™ and that the key to making better cells is precisely controlling the differentiation of human pluripotent stem cells, which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blocks of all cells of the human body. For over 15 years, our stem cell research and development teams and collaborators have focused on controlling the differentiation of pluripotent stem cells to produce multiple types of mature, functional, adult human cells, with emphasis on human heart and liver cells for drug rescue applications.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Stem Cell Technology Platform - Human Clinical Trials in a Test Tube™</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stem cell technology platform, which we refer to as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is based on a combination of proprietary and exclusively licensed technologies for controlling the differentiation of human pluripotent stem cells into multiple types of mature, functional, adult human cells that we use, or plan to develop, to reproduce complex human biology and disease. We are currently producing heart cells and liver cells for our drug rescue applications. Upon completion of this offering, we intend to focus on the drug rescue applications utilizing human heart and liver cells, and further advance, through collaborative research projects, pharmaceutical applications of stem cell-derived blood, bone, cartilage, heart, liver and pancreatic beta-islet cells, including exploring opportunities to leverage our stem cell technology platform for regenerative medicine purposes. Our emphasis in the regenerative medicine arena will be on developing novel human disease models for discovery of small molecule drugs and biologics that activate the endogenous growth and healing processes enabling the body to repair tissue damage caused by certain degenerative diseases.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CardioSafe 3D™</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Using mature cardiomyocytes (heart cells) differentiated from human pluripotent stem cells, we have developed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 a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 used to assess new drug candidates for potential cardiac toxicity before they are tested in animals or humans. We believe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capable of predicting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cardiac effects, both toxic and non-toxic, of small molecule drug candidates with greater speed and precision than the long-established, surrogate safety models most often used in drug development, including models using animal cells or live animals, and cellular assays using cadaver, immortalized or transformed cells. Our pluripotent stem cell derived cardiomyocytes (heart cells) and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are key components of our </w:t>
      </w:r>
      <w:r>
        <w:rPr>
          <w:rFonts w:ascii="Times New Roman" w:cs="Times New Roman" w:eastAsia="Times New Roman" w:hAnsi="Times New Roman"/>
          <w:sz w:val="18"/>
          <w:szCs w:val="18"/>
          <w:i w:val="1"/>
          <w:iCs w:val="1"/>
          <w:color w:val="auto"/>
        </w:rPr>
        <w:t>Human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Trials in a Test Tube </w:t>
      </w:r>
      <w:r>
        <w:rPr>
          <w:rFonts w:ascii="Times New Roman" w:cs="Times New Roman" w:eastAsia="Times New Roman" w:hAnsi="Times New Roman"/>
          <w:sz w:val="18"/>
          <w:szCs w:val="18"/>
          <w:color w:val="auto"/>
        </w:rPr>
        <w:t>platform and drug rescue programs.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LiverSafe 3D™</w:t>
      </w:r>
    </w:p>
    <w:p>
      <w:pPr>
        <w:spacing w:after="0" w:line="2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Using mature, hepatocytes (liver cells) derived from human pluripotent stem cells, with adult functional properties, we are currently validating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our second novel stem cell technology-based bioassay system. We believe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will enable us to assess new drug candidates for potential liver toxicity and metabolism-based safety issues resulting in adverse drug-drug interactions, early in development, before animal or human testing. Drug-related liver toxicity and adverse drug metabolism, as a group, represent one of the top-two reasons for safety-related drug failure during clinical development. We plan to use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and the clinically predictive liver biology insight we believe it provides, to expand the scope of our commercial opportunities related to drug rescue.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Rescue</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believe drug rescue, using our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systems,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the foundation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is the highest-value near term commercial application of the human cells we produce. Detailed information is available to us in the public domain regarding the efficacy, pharmacology, formulation and toxicity of promising small molecule drug candidates developed by pharmaceutical and biotechnology companies which have failed due to unexpected heart or liver toxicity. These promising drug candidates have already been tested extensively and validated by a pharmaceutical or biotechnology company for their therapeutic (efficacy) and commercial potential. We refer to these promising new drug candidates that have been discovered, developed and ultimately terminated by pharmaceutical and biotechnology companies as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Failure of promising new drug candidates due to unexpected human clinical toxicity highlights the need for new paradigms to evaluate potential toxicity early in drug development. While efforts of pharmaceutical and biotechnology companies to improve their prediction of human clinical toxicity for new drug candidates is ongoing, the existence of many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offers us an opportunity to use our novel drug rescue technology to take advantage of these promising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each with early signs of efficacy, by eliminating the toxicity that caused them to be terminated, and bring new, safer versions back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development protected by new intellectual property. We refer to these new, safer versions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produce with our medicinal chemistry collaborator and validate internally in our bioassay systems as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designed our drug rescue model to leverage publicly available information and substantial prior investment by pharmaceutical companies and others 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The key commercial objective of our drug rescue model is to generate revenue from license, development and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arrangements involving the new, safer and proprietary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produce with our medicinal chemistry collaborator and validate internally in our bioassay systems prior to license. We anticipate that each validated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will be suitable as a promising drug development program, either internally or in collaboration with a strategic partner. Through stem cell technology-based drug rescue, we intend to become a leading source of proprietary, small molecule drug candidates to the global pharmaceutical industry.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Rescue Strategy</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believe the pre-existing public domain knowledge base supporting the therapeutic and commercial potential of our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will provide us with a valuable head start as we launch our drug rescue programs. Leveraging the substantial prior investments by global pharmaceutical companies and others in discovery and efficacy validation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is an essential component of our drug rescue strategy.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current drug rescue emphasis is on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discontinued prior to FDA market approval due to unexpected cardiac safety concerns. By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enhance our understanding of the cardiac liability profile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biological insight not previously available when the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was originally discovered and developed, we believe we can demonstrate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proof-of-concept as to the efficacy and safety of </w:t>
      </w:r>
      <w:r>
        <w:rPr>
          <w:rFonts w:ascii="Times New Roman" w:cs="Times New Roman" w:eastAsia="Times New Roman" w:hAnsi="Times New Roman"/>
          <w:sz w:val="18"/>
          <w:szCs w:val="18"/>
          <w:i w:val="1"/>
          <w:iCs w:val="1"/>
          <w:color w:val="auto"/>
        </w:rPr>
        <w:t xml:space="preserve">Drug Rescue Variants </w:t>
      </w:r>
      <w:r>
        <w:rPr>
          <w:rFonts w:ascii="Times New Roman" w:cs="Times New Roman" w:eastAsia="Times New Roman" w:hAnsi="Times New Roman"/>
          <w:sz w:val="18"/>
          <w:szCs w:val="18"/>
          <w:color w:val="auto"/>
        </w:rPr>
        <w:t>earlier in development and with substantially less investment in discovery and development than was required of the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companies prior to their decision to terminate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current drug rescue strategy are as follows:</w:t>
      </w:r>
    </w:p>
    <w:p>
      <w:pPr>
        <w:spacing w:after="0" w:line="242" w:lineRule="exact"/>
        <w:rPr>
          <w:sz w:val="20"/>
          <w:szCs w:val="20"/>
          <w:color w:val="auto"/>
        </w:rPr>
      </w:pPr>
    </w:p>
    <w:p>
      <w:pPr>
        <w:jc w:val="both"/>
        <w:ind w:left="640" w:hanging="338"/>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identify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preferred provider of contract medicinal chemistry and contract clinical development services, respectively;</w:t>
      </w:r>
    </w:p>
    <w:p>
      <w:pPr>
        <w:spacing w:after="0" w:line="206"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leverage substantial prior R&amp;D investments made by global pharmaceutical companies and others to support the therapeutic and commercial potential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as an important criterion for selection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potential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enhance our understanding of the cardiac liability profile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important biological insight not available when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were originally discovered and developed by pharmaceutical companies;</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leverage our knowledgebase about each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specific chemistry to design and produce a portfolio of novel potential lead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for each</w:t>
      </w:r>
      <w:r>
        <w:rPr>
          <w:rFonts w:ascii="Times New Roman" w:cs="Times New Roman" w:eastAsia="Times New Roman" w:hAnsi="Times New Roman"/>
          <w:sz w:val="18"/>
          <w:szCs w:val="18"/>
          <w:i w:val="1"/>
          <w:iCs w:val="1"/>
          <w:color w:val="auto"/>
        </w:rPr>
        <w:t xml:space="preserve"> Drug Rescue Candidate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pre-existing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efficacy models to assess the efficacy and cardiac safety of potential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identify and validate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and</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 each validated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global pharmaceutical company in a revenue-generating agreement providing for the full development, market approval and commercial sale of the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Rescue Candidates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current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are set forth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Drug Rescue Candidate</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Developer</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Terminated</w:t>
            </w: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Reason for Termination</w:t>
            </w:r>
          </w:p>
        </w:tc>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Mechanism</w:t>
            </w:r>
          </w:p>
        </w:tc>
      </w:tr>
      <w:tr>
        <w:trPr>
          <w:trHeight w:val="212"/>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VSTA-1C05</w:t>
            </w:r>
          </w:p>
        </w:tc>
        <w:tc>
          <w:tcPr>
            <w:tcW w:w="13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Cancer</w:t>
            </w:r>
          </w:p>
        </w:tc>
        <w:tc>
          <w:tcPr>
            <w:tcW w:w="11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Pharma</w:t>
            </w:r>
          </w:p>
        </w:tc>
        <w:tc>
          <w:tcPr>
            <w:tcW w:w="12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Phase 1/2</w:t>
            </w:r>
          </w:p>
        </w:tc>
        <w:tc>
          <w:tcPr>
            <w:tcW w:w="2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Cardiotoxicity</w:t>
            </w:r>
          </w:p>
        </w:tc>
        <w:tc>
          <w:tcPr>
            <w:tcW w:w="2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Aurora kinase inhibitors</w:t>
            </w: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VSTA-1A08</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Cancer</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w:t>
            </w: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Cardiotoxicity</w:t>
            </w:r>
          </w:p>
        </w:tc>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PI3 kinase inhibitor</w:t>
            </w:r>
          </w:p>
        </w:tc>
      </w:tr>
      <w:tr>
        <w:trPr>
          <w:trHeight w:val="212"/>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VSTA-2A21</w:t>
            </w:r>
          </w:p>
        </w:tc>
        <w:tc>
          <w:tcPr>
            <w:tcW w:w="1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Dementia</w:t>
            </w: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Pharma</w:t>
            </w:r>
          </w:p>
        </w:tc>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Preclinical</w:t>
            </w:r>
          </w:p>
        </w:tc>
        <w:tc>
          <w:tcPr>
            <w:tcW w:w="2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Cardiotoxicity</w:t>
            </w: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Nicotinic a7 receptors</w:t>
            </w:r>
          </w:p>
        </w:tc>
      </w:tr>
      <w:tr>
        <w:trPr>
          <w:trHeight w:val="231"/>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VSTA-5A03</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HIV</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Pharma</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w:t>
            </w: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Cardiotoxicity</w:t>
            </w:r>
          </w:p>
        </w:tc>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Integrase inhibitor</w:t>
            </w:r>
          </w:p>
        </w:tc>
      </w:tr>
    </w:tbl>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believe our exclusive focus on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with established, therapeutic and commercial potential, and our ability to build on that valuable head start using our expertise in human biology, will help us to generate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without incurring many of the high costs and risks typically inherent in the labor-intensive early-stage drug discovery screening necessary to identify a lead compound that has a desired therapeutic profile. Although we plan to continue to identify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in the public domain, we may also seek to acquire rights to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not currently available to us in the public domain by entering into contractual arrangements with third-parties.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Licensing of Drug Rescue Variants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many pharmaceutical companies are experiencing, and will continue to experience, critical R&amp;D productivity issues, as measured by their lack of, or very low number of, FDA-approved products each year during the past decade. For example, in 2013, the U.S. pharmaceutical industry invested over $51 billion in R&amp;D and the Center for Drug Evaluation and Research (CDER) of the FDA approved a total of only thirty-nine novel drugs, known as New Molecular Entities (NMEs). In 2013, CDER approved only twenty-seven NMEs, thirteen of which NME approvals (48%) were received by only five pharmaceutical companies, including Bayer (2), GlaxoSmithKline (4), Johnson &amp; Johnson (3), Roche (2) and Takeda (2). Despite remarkable levels of R&amp;D investment by the global pharmaceutical industry as a whole, since 2003, the FDA has only approved an average of approximately twenty-six NMEs per year. In addition, we believe many pharmaceutical companies with established products that are no longer patent protected are also experiencing substantial market pressure from generic competition.</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a result of R&amp;D productivity issues, diminishing product pipelines and generic competition, we believe there is and will continue to be a critical need among pharmaceutical companies to license the new, safer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are focused on developing, including companies that originally discovered, developed and ultimately discontinued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select for our drug rescue programs.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Once we achieve proof-of-concept (POC)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 to the efficacy and safety of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we intend to announce the results of our internal POC studies and, at that time, consider whether we will seek to license that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pharmaceutical company, including the company that developed the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or further develop it on our own. If we decide to license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pharmaceutical 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and that we will receive licensing revenue through payments to us from the license upon signing the license agreement, achievement of development and regulatory milestones, and, if approved and marketed, upon commercial sales.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and Drug Discovery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Although we believe the best and most valuable near term commercial application of our stem cell technology platform,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is for small molecule drug rescue, we also believe stem cell technology-based regenerative medicine has the potential to transform healthcare in the U.S. over the next decade by altering the fundamental mechanisms of disease and help slow rapidly rising healthcare costs in the U.S. Upon completion of this offering, we intend to explore opportunities to leverage our stem cell technology platform for regenerative medicine purposes, with emphasis on developing novel human disease models for discovery of small molecule drugs and biologics with regenerative and therapeutic potential. Our regenerative medicine focus will be based on our expertise in human biology and differentiation of human pluripotent stem cells to develop functional adult human cells and tissues involved in human disease, including blood, bone, cartilage, heart, liver and insulin-producing pancreatic beta-islet cells. Our objective will be to explore regenerative medicine opportunities through pilot nonclinical proof-of-concept studies, after which we intend to assess any potential opportunities for further development and commercialization of therapeutically and commercially promising regenerative medicine programs, either on our own or with strategic partners.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Neuropathic Pain, Epilepsy and Depression</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$8.8 million of grant funding awarded from the U.S. National Institutes of Health, we have successfully completed Phase 1 development of AV-101. AV-101, also known as “L-4-chlorokynurenine” and “4-Cl-KYN”, is an orally available small molecule prodrug candidate aimed at the multi-billion dollar neurological disease and disorders market, including neuropathic pain, a serious and chronic condition causing pain after an injury or disease of the peripheral or central nervous system, epilepsy and depression. Our AV-101 IND application on file at the FDA covers clinical development for neuropathic pain. However, we believe the Phase 1 AV-101 safety studies completed to date will support development of AV-101 for multiple indications, including epilepsy and depression. Upon completion of this offering, we intend to pursue potential opportunities for further development and commercialization of AV-101 for neuropathic pain, epilepsy and depression, either on our own or with a strategic partner. In the event that we successfully complete a strategic partnering arrangement for AV-101, we plan to use the net proceeds from such an arrangement to expand our drug rescue and regenerative medicine programs.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are discussed more fully under the caption “Risk factors” and include, but are not limited to, the following:</w:t>
      </w:r>
    </w:p>
    <w:p>
      <w:pPr>
        <w:spacing w:after="0" w:line="217" w:lineRule="exact"/>
        <w:rPr>
          <w:sz w:val="20"/>
          <w:szCs w:val="20"/>
          <w:color w:val="auto"/>
        </w:rPr>
      </w:pPr>
    </w:p>
    <w:p>
      <w:pPr>
        <w:ind w:left="280" w:hanging="274"/>
        <w:spacing w:after="0" w:line="304" w:lineRule="auto"/>
        <w:tabs>
          <w:tab w:leader="none" w:pos="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and anticipate that we will continue to incur substantial losses for the foreseeable future. We may never achieve or sustain profitability, which would depress the market price of our common stock, and could cause you to lose all or a part of your investment.</w:t>
      </w:r>
    </w:p>
    <w:p>
      <w:pPr>
        <w:spacing w:after="0" w:line="141" w:lineRule="exact"/>
        <w:rPr>
          <w:rFonts w:ascii="Times New Roman" w:cs="Times New Roman" w:eastAsia="Times New Roman" w:hAnsi="Times New Roman"/>
          <w:sz w:val="17"/>
          <w:szCs w:val="17"/>
          <w:color w:val="auto"/>
        </w:rPr>
      </w:pPr>
    </w:p>
    <w:p>
      <w:pPr>
        <w:ind w:left="280" w:hanging="274"/>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products that achieve sufficient market acceptance, our revenue will be adversely affected.</w:t>
      </w:r>
    </w:p>
    <w:p>
      <w:pPr>
        <w:spacing w:after="0" w:line="215" w:lineRule="exact"/>
        <w:rPr>
          <w:rFonts w:ascii="Times New Roman" w:cs="Times New Roman" w:eastAsia="Times New Roman" w:hAnsi="Times New Roman"/>
          <w:sz w:val="18"/>
          <w:szCs w:val="18"/>
          <w:color w:val="auto"/>
        </w:rPr>
      </w:pPr>
    </w:p>
    <w:p>
      <w:pPr>
        <w:jc w:val="both"/>
        <w:ind w:left="280" w:hanging="274"/>
        <w:spacing w:after="0" w:line="256"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future success is highly dependent upon our ability to produce, validate and license to pharmaceutical and biotechnology companies novel </w:t>
      </w:r>
      <w:r>
        <w:rPr>
          <w:rFonts w:ascii="Times New Roman" w:cs="Times New Roman" w:eastAsia="Times New Roman" w:hAnsi="Times New Roman"/>
          <w:sz w:val="18"/>
          <w:szCs w:val="18"/>
          <w:i w:val="1"/>
          <w:iCs w:val="1"/>
          <w:color w:val="auto"/>
        </w:rPr>
        <w:t>Drug Rescue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Variants</w:t>
      </w:r>
      <w:r>
        <w:rPr>
          <w:rFonts w:ascii="Times New Roman" w:cs="Times New Roman" w:eastAsia="Times New Roman" w:hAnsi="Times New Roman"/>
          <w:sz w:val="18"/>
          <w:szCs w:val="18"/>
          <w:color w:val="auto"/>
        </w:rPr>
        <w:t>, which are intended to be safer, proprietary chemical variants of once-promising small molecule drug candidates which pharmaceutical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others discovered, determined to have therapeutic and commercial potential, and ultimately discontinued due to heart or liver safety concerns after substantial investment and prior to receiving FDA approval.</w:t>
      </w:r>
    </w:p>
    <w:p>
      <w:pPr>
        <w:spacing w:after="0" w:line="179" w:lineRule="exact"/>
        <w:rPr>
          <w:rFonts w:ascii="Times New Roman" w:cs="Times New Roman" w:eastAsia="Times New Roman" w:hAnsi="Times New Roman"/>
          <w:sz w:val="18"/>
          <w:szCs w:val="18"/>
          <w:color w:val="auto"/>
        </w:rPr>
      </w:pPr>
    </w:p>
    <w:p>
      <w:pPr>
        <w:ind w:left="280" w:hanging="274"/>
        <w:spacing w:after="0" w:line="274"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human heart cell- and liver cell-based bioassay systems may not be meaningfully more clinically predictive of human biology than surrogate safety models currently used in drug development.</w:t>
      </w:r>
    </w:p>
    <w:p>
      <w:pPr>
        <w:spacing w:after="0" w:line="163" w:lineRule="exact"/>
        <w:rPr>
          <w:rFonts w:ascii="Times New Roman" w:cs="Times New Roman" w:eastAsia="Times New Roman" w:hAnsi="Times New Roman"/>
          <w:sz w:val="18"/>
          <w:szCs w:val="18"/>
          <w:color w:val="auto"/>
        </w:rPr>
      </w:pPr>
    </w:p>
    <w:p>
      <w:pPr>
        <w:ind w:left="280" w:hanging="274"/>
        <w:spacing w:after="0" w:line="274"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life sciences field undergoes rapid technological changes, frequent new product introductions, changing needs and preferences, emerging competition, evolving standards and strong competition.</w:t>
      </w:r>
    </w:p>
    <w:p>
      <w:pPr>
        <w:spacing w:after="0" w:line="163"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certain technologies that are licensed to us. If we are unable to maintain our licenses, our business could be adversely affected.</w:t>
      </w:r>
    </w:p>
    <w:p>
      <w:pPr>
        <w:spacing w:after="0" w:line="217" w:lineRule="exact"/>
        <w:rPr>
          <w:rFonts w:ascii="Times New Roman" w:cs="Times New Roman" w:eastAsia="Times New Roman" w:hAnsi="Times New Roman"/>
          <w:sz w:val="18"/>
          <w:szCs w:val="18"/>
          <w:color w:val="auto"/>
        </w:rPr>
      </w:pPr>
    </w:p>
    <w:p>
      <w:pPr>
        <w:ind w:left="280" w:hanging="274"/>
        <w:spacing w:after="0" w:line="274"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technology through patents and other means is uncertain and we may be involved in lawsuits to protect or enforce our patents and proprietary rights or to defend against intellectual property infringement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VistaGen Therapeutics, Inc. (formerly Excaliber Enterprises, Ltd.),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Times New Roman" w:cs="Times New Roman" w:eastAsia="Times New Roman" w:hAnsi="Times New Roman"/>
          <w:sz w:val="18"/>
          <w:szCs w:val="18"/>
          <w:i w:val="1"/>
          <w:iCs w:val="1"/>
          <w:color w:val="auto"/>
        </w:rPr>
        <w:t>www.vistagen.com</w:t>
      </w:r>
      <w:r>
        <w:rPr>
          <w:rFonts w:ascii="Times New Roman" w:cs="Times New Roman" w:eastAsia="Times New Roman" w:hAnsi="Times New Roman"/>
          <w:sz w:val="18"/>
          <w:szCs w:val="18"/>
          <w:color w:val="auto"/>
        </w:rPr>
        <w:t>. The information on our website is not part of this prospectus. We have included our website address as a factual reference and do not intend it to be an active link to our website.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480" w:type="dxa"/>
            <w:vAlign w:val="bottom"/>
          </w:tcPr>
          <w:p>
            <w:pPr>
              <w:spacing w:after="0"/>
              <w:rPr>
                <w:sz w:val="20"/>
                <w:szCs w:val="20"/>
                <w:color w:val="auto"/>
              </w:rPr>
            </w:pPr>
          </w:p>
        </w:tc>
        <w:tc>
          <w:tcPr>
            <w:tcW w:w="6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244"/>
        </w:trPr>
        <w:tc>
          <w:tcPr>
            <w:tcW w:w="4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 offered by VistaGen Therapeutics, Inc.</w:t>
            </w: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_________ shares</w:t>
            </w:r>
          </w:p>
        </w:tc>
        <w:tc>
          <w:tcPr>
            <w:tcW w:w="0" w:type="dxa"/>
            <w:vAlign w:val="bottom"/>
          </w:tcPr>
          <w:p>
            <w:pPr>
              <w:spacing w:after="0"/>
              <w:rPr>
                <w:sz w:val="1"/>
                <w:szCs w:val="1"/>
                <w:color w:val="auto"/>
              </w:rPr>
            </w:pPr>
          </w:p>
        </w:tc>
      </w:tr>
      <w:tr>
        <w:trPr>
          <w:trHeight w:val="32"/>
        </w:trPr>
        <w:tc>
          <w:tcPr>
            <w:tcW w:w="44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4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_________ shares</w:t>
            </w: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4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funding our</w:t>
            </w:r>
          </w:p>
        </w:tc>
        <w:tc>
          <w:tcPr>
            <w:tcW w:w="0" w:type="dxa"/>
            <w:vAlign w:val="bottom"/>
          </w:tcPr>
          <w:p>
            <w:pPr>
              <w:spacing w:after="0"/>
              <w:rPr>
                <w:sz w:val="1"/>
                <w:szCs w:val="1"/>
                <w:color w:val="auto"/>
              </w:rPr>
            </w:pPr>
          </w:p>
        </w:tc>
      </w:tr>
      <w:tr>
        <w:trPr>
          <w:trHeight w:val="210"/>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operations, approximately as follows: $______ for research and product</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development expenses related to our stem cell technology-based </w:t>
            </w:r>
            <w:r>
              <w:rPr>
                <w:rFonts w:ascii="Times New Roman" w:cs="Times New Roman" w:eastAsia="Times New Roman" w:hAnsi="Times New Roman"/>
                <w:sz w:val="18"/>
                <w:szCs w:val="18"/>
                <w:i w:val="1"/>
                <w:iCs w:val="1"/>
                <w:color w:val="auto"/>
              </w:rPr>
              <w:t>Human</w:t>
            </w:r>
          </w:p>
        </w:tc>
        <w:tc>
          <w:tcPr>
            <w:tcW w:w="0" w:type="dxa"/>
            <w:vAlign w:val="bottom"/>
          </w:tcPr>
          <w:p>
            <w:pPr>
              <w:spacing w:after="0"/>
              <w:rPr>
                <w:sz w:val="1"/>
                <w:szCs w:val="1"/>
                <w:color w:val="auto"/>
              </w:rPr>
            </w:pPr>
          </w:p>
        </w:tc>
      </w:tr>
      <w:tr>
        <w:trPr>
          <w:trHeight w:val="214"/>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 xml:space="preserve">Clinical Trials in a Test Tube </w:t>
            </w:r>
            <w:r>
              <w:rPr>
                <w:rFonts w:ascii="Times New Roman" w:cs="Times New Roman" w:eastAsia="Times New Roman" w:hAnsi="Times New Roman"/>
                <w:sz w:val="18"/>
                <w:szCs w:val="18"/>
                <w:color w:val="auto"/>
                <w:w w:val="99"/>
              </w:rPr>
              <w:t>platform, including</w:t>
            </w:r>
            <w:r>
              <w:rPr>
                <w:rFonts w:ascii="Times New Roman" w:cs="Times New Roman" w:eastAsia="Times New Roman" w:hAnsi="Times New Roman"/>
                <w:sz w:val="18"/>
                <w:szCs w:val="18"/>
                <w:i w:val="1"/>
                <w:iCs w:val="1"/>
                <w:color w:val="auto"/>
                <w:w w:val="99"/>
              </w:rPr>
              <w:t xml:space="preserve"> Drug Rescue Variants</w:t>
            </w:r>
            <w:r>
              <w:rPr>
                <w:rFonts w:ascii="Times New Roman" w:cs="Times New Roman" w:eastAsia="Times New Roman" w:hAnsi="Times New Roman"/>
                <w:sz w:val="18"/>
                <w:szCs w:val="18"/>
                <w:color w:val="auto"/>
                <w:w w:val="99"/>
              </w:rPr>
              <w:t>, novel</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human cell-based assay systems for drug discovery, and pilot nonclinical</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regenerative medicine studies; $______ for general and administrative</w:t>
            </w:r>
          </w:p>
        </w:tc>
        <w:tc>
          <w:tcPr>
            <w:tcW w:w="0" w:type="dxa"/>
            <w:vAlign w:val="bottom"/>
          </w:tcPr>
          <w:p>
            <w:pPr>
              <w:spacing w:after="0"/>
              <w:rPr>
                <w:sz w:val="1"/>
                <w:szCs w:val="1"/>
                <w:color w:val="auto"/>
              </w:rPr>
            </w:pPr>
          </w:p>
        </w:tc>
      </w:tr>
      <w:tr>
        <w:trPr>
          <w:trHeight w:val="125"/>
        </w:trPr>
        <w:tc>
          <w:tcPr>
            <w:tcW w:w="4480" w:type="dxa"/>
            <w:vAlign w:val="bottom"/>
            <w:tcBorders>
              <w:lef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expenses, including audit, legal and other professional services related to</w:t>
            </w:r>
          </w:p>
        </w:tc>
        <w:tc>
          <w:tcPr>
            <w:tcW w:w="0" w:type="dxa"/>
            <w:vAlign w:val="bottom"/>
          </w:tcPr>
          <w:p>
            <w:pPr>
              <w:spacing w:after="0"/>
              <w:rPr>
                <w:sz w:val="1"/>
                <w:szCs w:val="1"/>
                <w:color w:val="auto"/>
              </w:rPr>
            </w:pPr>
          </w:p>
        </w:tc>
      </w:tr>
      <w:tr>
        <w:trPr>
          <w:trHeight w:val="87"/>
        </w:trPr>
        <w:tc>
          <w:tcPr>
            <w:tcW w:w="4480" w:type="dxa"/>
            <w:vAlign w:val="bottom"/>
            <w:tcBorders>
              <w:lef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5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being public company; $______ for property, plant and equipment expenses;</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the remaining proceeds for working capital and other general corporate</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purposes. We may also acquire or invest in complementary businesses or other</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assets; however, we currently have no agreements or commitments to complete</w:t>
            </w: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such transaction. See “Use of Proceeds” on page 44.</w:t>
            </w: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4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any</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Dividend policy</w:t>
            </w:r>
          </w:p>
        </w:tc>
        <w:tc>
          <w:tcPr>
            <w:tcW w:w="124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on our common stock in the near future. You should read the</w:t>
            </w:r>
          </w:p>
        </w:tc>
        <w:tc>
          <w:tcPr>
            <w:tcW w:w="0" w:type="dxa"/>
            <w:vAlign w:val="bottom"/>
          </w:tcPr>
          <w:p>
            <w:pPr>
              <w:spacing w:after="0"/>
              <w:rPr>
                <w:sz w:val="1"/>
                <w:szCs w:val="1"/>
                <w:color w:val="auto"/>
              </w:rPr>
            </w:pPr>
          </w:p>
        </w:tc>
      </w:tr>
      <w:tr>
        <w:trPr>
          <w:trHeight w:val="125"/>
        </w:trPr>
        <w:tc>
          <w:tcPr>
            <w:tcW w:w="4480" w:type="dxa"/>
            <w:vAlign w:val="bottom"/>
            <w:tcBorders>
              <w:lef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“Dividend policy” section of this prospectus for more information on future</w:t>
            </w:r>
          </w:p>
        </w:tc>
        <w:tc>
          <w:tcPr>
            <w:tcW w:w="0" w:type="dxa"/>
            <w:vAlign w:val="bottom"/>
          </w:tcPr>
          <w:p>
            <w:pPr>
              <w:spacing w:after="0"/>
              <w:rPr>
                <w:sz w:val="1"/>
                <w:szCs w:val="1"/>
                <w:color w:val="auto"/>
              </w:rPr>
            </w:pPr>
          </w:p>
        </w:tc>
      </w:tr>
      <w:tr>
        <w:trPr>
          <w:trHeight w:val="87"/>
        </w:trPr>
        <w:tc>
          <w:tcPr>
            <w:tcW w:w="4480" w:type="dxa"/>
            <w:vAlign w:val="bottom"/>
            <w:tcBorders>
              <w:lef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5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declarations and payments of dividends.</w:t>
            </w: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4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OTCQB symbol</w:t>
            </w:r>
          </w:p>
        </w:tc>
        <w:tc>
          <w:tcPr>
            <w:tcW w:w="124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VSTA</w:t>
            </w: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48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124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See “Risk factors” beginning on page 9 of this prospectus for a discussion of</w:t>
            </w:r>
          </w:p>
        </w:tc>
        <w:tc>
          <w:tcPr>
            <w:tcW w:w="0" w:type="dxa"/>
            <w:vAlign w:val="bottom"/>
          </w:tcPr>
          <w:p>
            <w:pPr>
              <w:spacing w:after="0"/>
              <w:rPr>
                <w:sz w:val="1"/>
                <w:szCs w:val="1"/>
                <w:color w:val="auto"/>
              </w:rPr>
            </w:pPr>
          </w:p>
        </w:tc>
      </w:tr>
      <w:tr>
        <w:trPr>
          <w:trHeight w:val="125"/>
        </w:trPr>
        <w:tc>
          <w:tcPr>
            <w:tcW w:w="4480" w:type="dxa"/>
            <w:vAlign w:val="bottom"/>
            <w:tcBorders>
              <w:lef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factors you should carefully consider before investing in our securities.</w:t>
            </w:r>
          </w:p>
        </w:tc>
        <w:tc>
          <w:tcPr>
            <w:tcW w:w="0" w:type="dxa"/>
            <w:vAlign w:val="bottom"/>
          </w:tcPr>
          <w:p>
            <w:pPr>
              <w:spacing w:after="0"/>
              <w:rPr>
                <w:sz w:val="1"/>
                <w:szCs w:val="1"/>
                <w:color w:val="auto"/>
              </w:rPr>
            </w:pPr>
          </w:p>
        </w:tc>
      </w:tr>
      <w:tr>
        <w:trPr>
          <w:trHeight w:val="106"/>
        </w:trPr>
        <w:tc>
          <w:tcPr>
            <w:tcW w:w="4480" w:type="dxa"/>
            <w:vAlign w:val="bottom"/>
            <w:tcBorders>
              <w:lef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24,236,877 shares outstanding as of April 30, 2014, and does not include, as of that date:</w:t>
      </w:r>
    </w:p>
    <w:p>
      <w:pPr>
        <w:spacing w:after="0" w:line="190" w:lineRule="exact"/>
        <w:rPr>
          <w:sz w:val="20"/>
          <w:szCs w:val="20"/>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4,227,357 shares issuable upon the exercise of outstanding options;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735,200 shares of our common stock reserved for issuance in connection with future awards under our stock 2008 Stock Incentive Plan;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17,845,633 shares of our common stock that have been reserved for issuance upon exercise of outstanding warrants;</w:t>
      </w:r>
    </w:p>
    <w:p>
      <w:pPr>
        <w:spacing w:after="0" w:line="21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upon the exchange of our Series A Preferred Stock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w:t>
      </w:r>
    </w:p>
    <w:p>
      <w:pPr>
        <w:spacing w:after="0" w:line="24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our common stock issuable upon the exercise of warrants to be issued upon the exchange of our Series A Preferred; and</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shares of common stock and warrants issued upon the purchase of units consisting of shares of common stock, promissory notes and common stock purchase warrants issued in a private placement after April 30, 2014</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following table presents summary financial data for the periods indicated. The summary statements of operations data for the years ended March 31, 2012 and 2013 and the balance sheet data as of March 31, 2012 and 2013 have been derived from our audited financial statements and notes thereto, which are included elsewhere in this prospectus. The unaudited summary statements of operations data for the nine months ended December 31, 2012 and 2013 and the unaudited balance sheet data as of December 31, 2013 have been derived from our unaudited financial statements included elsewhere in this prospectus. We have prepared the unaudited financial information on the same basis as the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the results to be expected for the full fiscal year. You should read this information together with our financial statements and related notes, “Management’s Discussion and Analysis of Financial Condition and Results of Operations,” “Use of Proceeds” and “Capitalization” included elsewhere in this prospectus.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2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2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3,431</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warrant and other derivative liabilities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(1,636)</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(12,208)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(23,080)</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 loss attributable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common stockholders</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18,108,444</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14,736,651</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21,554,929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Pro-forma net loss attributable to common stockholders, basic and diluted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_____</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_____</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_____</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used in computing pro-forma basic and diluted net loss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________</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40" w:hanging="334"/>
        <w:spacing w:after="0" w:line="27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weighted-average common shares used in computing pro forma net loss per share attributable to common stockholders in the table above gives effect to the issuance of ________ shares of common stock pursuant to this Offering on a retroactive basis for each of the periods presented.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20" w:type="dxa"/>
            <w:vAlign w:val="bottom"/>
          </w:tcPr>
          <w:p>
            <w:pPr>
              <w:spacing w:after="0"/>
              <w:rPr>
                <w:sz w:val="24"/>
                <w:szCs w:val="24"/>
                <w:color w:val="auto"/>
              </w:rPr>
            </w:pPr>
          </w:p>
        </w:tc>
        <w:tc>
          <w:tcPr>
            <w:tcW w:w="1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March 31,</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Pro forma</w:t>
            </w:r>
          </w:p>
        </w:tc>
        <w:tc>
          <w:tcPr>
            <w:tcW w:w="0" w:type="dxa"/>
            <w:vAlign w:val="bottom"/>
          </w:tcPr>
          <w:p>
            <w:pPr>
              <w:spacing w:after="0"/>
              <w:rPr>
                <w:sz w:val="1"/>
                <w:szCs w:val="1"/>
                <w:color w:val="auto"/>
              </w:rPr>
            </w:pPr>
          </w:p>
        </w:tc>
      </w:tr>
      <w:tr>
        <w:trPr>
          <w:trHeight w:val="239"/>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2"/>
              <w:spacing w:after="0" w:line="233" w:lineRule="exact"/>
              <w:rPr>
                <w:sz w:val="20"/>
                <w:szCs w:val="20"/>
                <w:color w:val="auto"/>
              </w:rPr>
            </w:pPr>
            <w:r>
              <w:rPr>
                <w:rFonts w:ascii="Times New Roman" w:cs="Times New Roman" w:eastAsia="Times New Roman" w:hAnsi="Times New Roman"/>
                <w:sz w:val="18"/>
                <w:szCs w:val="18"/>
                <w:color w:val="auto"/>
                <w:w w:val="99"/>
              </w:rPr>
              <w:t>as adjusted</w:t>
            </w:r>
            <w:r>
              <w:rPr>
                <w:rFonts w:ascii="Times New Roman" w:cs="Times New Roman" w:eastAsia="Times New Roman" w:hAnsi="Times New Roman"/>
                <w:sz w:val="24"/>
                <w:szCs w:val="24"/>
                <w:color w:val="auto"/>
                <w:w w:val="99"/>
                <w:vertAlign w:val="superscript"/>
              </w:rPr>
              <w:t>(1)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3,712</w:t>
            </w: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(54,783)</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(68,812)</w:t>
            </w: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(12,556)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hanging="334"/>
        <w:spacing w:after="0" w:line="27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balance sheet data reflects estimated net proceeds of $______ received pursuant to the sale of ________ shares of our common stock at an assumed public offering price of $____ per share, inclusive of estimated Offering expenses, as of December 31, 2013.</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development stage biotechnology company with no approved products, which makes it difficult to assess our future viability.</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development stage biotechnology company. Since inception, we have generated approximately $16.4 million of revenues from strategic collaborations and grant awards. However,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208" w:lineRule="exact"/>
        <w:rPr>
          <w:sz w:val="20"/>
          <w:szCs w:val="20"/>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product candidates;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required regulatory approvals for commercialization of products we produce;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sales, distribution and marketing capabilities;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capital resources and manage our spending as costs and expenses increase due to research, production, development, regulatory approval and commercialization of product candidates.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we are unsuccessful in accomplishing these fundamental objectives, we may not be able to develop product candidates, raise capital, expand our business or continue our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ability to produce product candidates, including Drug Rescue Variants, using stem cell technology, human cells derived from stem cells, our proprietary human cell-based bioassay systems and medicinal chemistry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we cannot provide any assurance that we will successfully produce Drug Rescue Variants or other product candidates, or that, if produced, any of our Drug Rescue Variants or other product candidates will be developed and commercialized.</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Research programs designed to identify and produce product candidates, including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require substantial technical, financial and human resources, whether or not any product candidates are ultimately identified and produced. In particular, our drug rescue programs may initially show promise in identifying potential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yet fail to yield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suitable for preclinical or clinical development or commercialization for many reasons, including the following:</w:t>
      </w:r>
    </w:p>
    <w:p>
      <w:pPr>
        <w:spacing w:after="0" w:line="204" w:lineRule="exact"/>
        <w:rPr>
          <w:sz w:val="20"/>
          <w:szCs w:val="20"/>
          <w:color w:val="auto"/>
        </w:rPr>
      </w:pPr>
    </w:p>
    <w:p>
      <w:pPr>
        <w:ind w:left="640" w:hanging="33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research methodology may not be successful in identifying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competitors may develop alternatives that render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obsolete;</w:t>
      </w:r>
    </w:p>
    <w:p>
      <w:pPr>
        <w:spacing w:after="0" w:line="243"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may, on further study, be shown to have harmful side effects or other characteristics that indicate it is unlikely to be effective or otherwise does not meet applicable regulatory criteria;</w:t>
      </w:r>
    </w:p>
    <w:p>
      <w:pPr>
        <w:spacing w:after="0" w:line="186"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may not be capable of being produced in commercial quantities at an acceptable cost, or at all; or</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may not be accepted as safe and effective by regulatory authorities, patients, the medical community or third-party payors</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future success depends heavily on our ability to use stem cell technology, human cells derived from stem cells, proprietary human cell-based bioassay systems, especially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medicinal chemistry to produce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develop, obtain regulatory approval for, and commercialize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on our own or in strategic collaborations, which may never occur. We have limited operating history with respect to the identification and assessment of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no operating history with respect to the production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we may never be able to produce 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If we are unable to identify suitable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for our drug rescue programs or produce suitable lead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for license to and preclinical and clinical development by pharmaceutical companies and others, we may not be able to obtain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revenues in future periods, which likely would result in significant harm to our financial position and adversely impact our stock price. Even if we do produce 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we can give no assurance that we will be able to develop and commercialize it as a marketable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own or in a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collaboration. There are a number of factors, in addition to the utility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that may impact our ability to identify and assess </w:t>
      </w:r>
      <w:r>
        <w:rPr>
          <w:rFonts w:ascii="Times New Roman" w:cs="Times New Roman" w:eastAsia="Times New Roman" w:hAnsi="Times New Roman"/>
          <w:sz w:val="18"/>
          <w:szCs w:val="18"/>
          <w:i w:val="1"/>
          <w:iCs w:val="1"/>
          <w:color w:val="auto"/>
        </w:rPr>
        <w:t>Drug Rescue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Candidates </w:t>
      </w:r>
      <w:r>
        <w:rPr>
          <w:rFonts w:ascii="Times New Roman" w:cs="Times New Roman" w:eastAsia="Times New Roman" w:hAnsi="Times New Roman"/>
          <w:sz w:val="18"/>
          <w:szCs w:val="18"/>
          <w:color w:val="auto"/>
        </w:rPr>
        <w:t>and produce, develop and commercialize</w:t>
      </w:r>
      <w:r>
        <w:rPr>
          <w:rFonts w:ascii="Times New Roman" w:cs="Times New Roman" w:eastAsia="Times New Roman" w:hAnsi="Times New Roman"/>
          <w:sz w:val="18"/>
          <w:szCs w:val="18"/>
          <w:i w:val="1"/>
          <w:iCs w:val="1"/>
          <w:color w:val="auto"/>
        </w:rPr>
        <w:t xml:space="preserve"> Drug Rescue Variants</w:t>
      </w:r>
      <w:r>
        <w:rPr>
          <w:rFonts w:ascii="Times New Roman" w:cs="Times New Roman" w:eastAsia="Times New Roman" w:hAnsi="Times New Roman"/>
          <w:sz w:val="18"/>
          <w:szCs w:val="18"/>
          <w:color w:val="auto"/>
        </w:rPr>
        <w:t>, independently or with strategic partners, including:</w:t>
      </w:r>
    </w:p>
    <w:p>
      <w:pPr>
        <w:spacing w:after="0" w:line="184" w:lineRule="exact"/>
        <w:rPr>
          <w:sz w:val="20"/>
          <w:szCs w:val="20"/>
          <w:color w:val="auto"/>
        </w:rPr>
      </w:pPr>
    </w:p>
    <w:p>
      <w:pPr>
        <w:ind w:left="780" w:hanging="443"/>
        <w:spacing w:after="0" w:line="276"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identify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in the public domain, obtain sufficient quantities of them, and assess them using our assay systems;</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seek to rescue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that are not available to us in the public domain, the extent to which third parties may be willing to license or sell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to us on commercially reasonable terms;</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medicinal chemistry collaborator’s ability to design and produce proprietary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based on the novel biology and structure-function insight we provide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or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and</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resources available to us to develop and commercialize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internally, or, if we license them to strategic partners, the resources such partners choose to dedicate to development and commercialization of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licensed from us.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internal validation studies have not been subjected to extensive external peer review or validation.</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proprietary internal studies conducted to validate the utility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for drug rescue, including our ability to use it to predict the cardiac effects, both toxic and nontoxic,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have not been subjected to extensive external peer review or validation. It is possible, therefore, that the results we have obtained from our successful internal validation studies may not be replicable by external peer reviewers. We are currently focused on identifying and assessing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available in the public domain. However, should we seek to license or acquire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from third-parties, and such third-parties cannot replicate our results or do not have confidence in the capabilities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it may be difficult for us to acquire from them certain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which might be of interest to us. Even if such results can be replicated by external peer reviewers or other third-parties, they may nevertheless conclude that their current screening models are better than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that a license to the </w:t>
      </w:r>
      <w:r>
        <w:rPr>
          <w:rFonts w:ascii="Times New Roman" w:cs="Times New Roman" w:eastAsia="Times New Roman" w:hAnsi="Times New Roman"/>
          <w:sz w:val="18"/>
          <w:szCs w:val="18"/>
          <w:i w:val="1"/>
          <w:iCs w:val="1"/>
          <w:color w:val="auto"/>
        </w:rPr>
        <w:t>Drug Rescue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Candidate </w:t>
      </w:r>
      <w:r>
        <w:rPr>
          <w:rFonts w:ascii="Times New Roman" w:cs="Times New Roman" w:eastAsia="Times New Roman" w:hAnsi="Times New Roman"/>
          <w:sz w:val="18"/>
          <w:szCs w:val="18"/>
          <w:color w:val="auto"/>
        </w:rPr>
        <w:t>we seek from them is not warranted. Our drug rescue business model is predicated on our ability to identify and, if information is not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available in the public domain, obtain licenses from third-parties to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of interest to us. If third-party licenses are required, and if we cannot obtain such licenses to on reasonable terms, or at all, our business may be adversely affected.</w:t>
      </w:r>
    </w:p>
    <w:p>
      <w:pPr>
        <w:spacing w:after="0" w:line="2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fails to predict accurately and efficiently the cardiac effects, both toxic and nontoxic, of Drug Rescue Candidates and Drug Rescue Variants, then our drug rescue business will be adversely affected.</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success is highly dependent on our ability to 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identify and predict, accurately and efficiently, the potential toxic and nontoxic cardiac effects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fully validated LiverSafe 3D for potential drug rescue applications, and we may never do so.</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successfully developed proprietary protocols for controlling the differentiation of human pluripotent stem cells to produce functional, mature, adult liver cells. However, we have not yet fully validated our ability to use the human liver cells we produce for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to predict important biological effects, both toxic and nontoxic, of reference drugs,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on the human liver, including direct liver toxicity and drug metabolism. Furthermore, we may never be able to do so, which could adversely affect our business and the potential applications of our </w:t>
      </w:r>
      <w:r>
        <w:rPr>
          <w:rFonts w:ascii="Times New Roman" w:cs="Times New Roman" w:eastAsia="Times New Roman" w:hAnsi="Times New Roman"/>
          <w:sz w:val="18"/>
          <w:szCs w:val="18"/>
          <w:i w:val="1"/>
          <w:iCs w:val="1"/>
          <w:color w:val="auto"/>
        </w:rPr>
        <w:t>Human Clinical Trials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a Test Tube </w:t>
      </w:r>
      <w:r>
        <w:rPr>
          <w:rFonts w:ascii="Times New Roman" w:cs="Times New Roman" w:eastAsia="Times New Roman" w:hAnsi="Times New Roman"/>
          <w:sz w:val="18"/>
          <w:szCs w:val="18"/>
          <w:color w:val="auto"/>
        </w:rPr>
        <w:t>platform for drug rescue and regenerative medicine.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and, when validated, LiverSafe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may not be meaningfully more predictive of the behavior of human cells than existing products.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drug rescue business is highly dependent, in the first instance, upon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in the second instance, when fully validated, </w:t>
      </w:r>
      <w:r>
        <w:rPr>
          <w:rFonts w:ascii="Times New Roman" w:cs="Times New Roman" w:eastAsia="Times New Roman" w:hAnsi="Times New Roman"/>
          <w:sz w:val="18"/>
          <w:szCs w:val="18"/>
          <w:i w:val="1"/>
          <w:iCs w:val="1"/>
          <w:color w:val="auto"/>
        </w:rPr>
        <w:t xml:space="preserve">LiverSafe </w:t>
      </w:r>
      <w:r>
        <w:rPr>
          <w:rFonts w:ascii="Times New Roman" w:cs="Times New Roman" w:eastAsia="Times New Roman" w:hAnsi="Times New Roman"/>
          <w:sz w:val="18"/>
          <w:szCs w:val="18"/>
          <w:color w:val="auto"/>
        </w:rPr>
        <w:t>3D, being more accurate, efficient and clinically predictive than long-established surrogate safety models, including animal cells and live animals,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immortalized, primary and transformed cells, currently used by pharmaceutical companies and others. We cannot give assurance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when fully-validated,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will be more efficient or accurate at predicting the heart or liver safety of new drug candidates than the testing models currently used.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producing Drug Rescue Variants for which there proves to be no demand.</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 generate revenue from our drug rescue activities, we must produce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for which there proves to be demand within the healthcare marketplace, and, if we intend to license a particular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for development and commercialization prior to market approval, then also among pharmaceutical companies and other potential strategic collaborators. However, we may produce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for which there proves to be no or limited demand in the healthcare market and/or among pharmaceutical companies and others. If we misinterpret market conditions, underestimate development costs and/or seek to rescue the wrong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we may fail to generate sufficient revenue or other value, on our own or in collaboration with others, to justify our investments, and our drug rescue business may be adversely affected.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Our human pluripotent stem cell technology is new and technically complex, and the time and resources necessary to develop new cell types and bioassay systems are difficult to predict in advance. We intend to devote significant personnel and financial resources to research and development activities designed to expand, in the case of drug rescue, and explore, in the case of regenerative medicine, potential applications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In particular, we are planning to conduct development programs related to producing and using functional, mature adult liver cells to validate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as a novel bioassay system for drug rescue, as well as exploratory nonclinical regenerative medicine programs involving blood, bone, cartilage, heart, liver and insulin-producing pancreatic beta-islet cells.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liver and pancreatic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liver and insulin-producing pancreatic beta-islet cells could have a substantial adverse effect on our potential drug rescue and regenerative medicine business opportunities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keep up with rapid technological changes in our field, we will be unable to operate profitably.</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effectively than we can to new opportunities. In light of these advantages, even if our technology is effective in producing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potential development partners might prefer new drug candidates available from others or develop their own new drug candidates in lieu of licensing or purchasing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We may not be able to compete effectively against these organizations. Our failure to compete effectively could materially and adversely affect our business, financial condition and results of operations.</w:t>
      </w:r>
    </w:p>
    <w:p>
      <w:pPr>
        <w:spacing w:after="0" w:line="2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 candidates before, or more successfully, than we do.</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future success depends on our ability to demonstrate and maintain a competitive advantage with respect to the design, development and commercialization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Our competitors may succeed in developing product candidates for the same indications we are pursuing before we do, obtaining regulatory approval for competing products or gaining acceptance of their products within the same markets that we are targeting for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If, either on our own or in collaboration with a strategic partner, we are not "first to market" with one of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our competitive position could be compromised because it may be more difficult for us or our partner to obtain marketing approval for our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and successfully market it as a second competitor.</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expect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commercialize, either independently or in collaboration, will compete with products from other companies in the biotechnology and pharmaceutical industries.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88" w:lineRule="exact"/>
        <w:rPr>
          <w:sz w:val="20"/>
          <w:szCs w:val="20"/>
          <w:color w:val="auto"/>
        </w:rPr>
      </w:pPr>
    </w:p>
    <w:p>
      <w:pPr>
        <w:ind w:left="640" w:hanging="338"/>
        <w:spacing w:after="0" w:line="27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 develop, produce and commercialize, either on our own or with collaborators,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are superior to other products in development or in the market;</w:t>
      </w:r>
    </w:p>
    <w:p>
      <w:pPr>
        <w:spacing w:after="0" w:line="188"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medical, sales and marketing and commercial personnel or collaborators;</w:t>
      </w:r>
    </w:p>
    <w:p>
      <w:pPr>
        <w:spacing w:after="0" w:line="241"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 patent and/or other proprietary protection for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 either on our own or in collaboration with strategic partners, required regulatory approvals for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Established competitors may invest heavily to quickly discover and develop novel compounds that could make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Other companies, academic institutions, government agencies and other public and private research organizations are conducting research, seeking patent protection and establishing collaborative arrangements for research, development and marketing of assays similar to ours and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may produce. These companies and institutions also compete with us in recruiting and retaining qualified scientific and management personnel, obtaining collaborators and licensees, as well as in acquiring technologies complementary to our programs.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a result of the foregoing, our competitors may develop more effective or more affordable products, or achieve earlier patent protection or product commercialization than we will. Most significantly, competitive products may render any technologies and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develop obsolete, which would negatively impact our business and ability to sustain operations.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With respect to drug rescue,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These established companies have a competitive advantage over us due to their size, cash resources and greater clinical development and commercialization capabilities. In addition, companies that perceive us to be a competitor may be unwilling to sell or license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rights to us. We have limited experience in negotiating licenses to drug candidates and there can be no assurances that we will be able to acquire or obtain licenses to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in the future, on commercially reasonable terms, if at all, should we elect to pursue such third-party licenses. If we are unable to acquire or obtain licenses to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seek, our business may be adversely affected.</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Restrictions on research and development involving human embryonic stem cells and political commentary regarding such research and development could impair our ability to conduct or sponsor certain potential collaborative research and development programs and adversely affect the market price of our common stock.</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Some of our most important ongoing and planned research and development programs involve the use of human embryonic stem cells (hESCs).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fertilization (IVF)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(iPSCs), or our plans to pursue pilot nonclinical regenerative medicine studies involving human cells derived from iPSCs, because their derivation does not involve the use of embryonic tissues.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Human Clinical Trials in a Test Tube platform could be harmed.</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use both hESCs and iPSCs for drug rescue purposes. However, we anticipate that our future exploratory research and development focused on potential regenerative medicine applications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applications of our </w:t>
      </w:r>
      <w:r>
        <w:rPr>
          <w:rFonts w:ascii="Times New Roman" w:cs="Times New Roman" w:eastAsia="Times New Roman" w:hAnsi="Times New Roman"/>
          <w:sz w:val="18"/>
          <w:szCs w:val="18"/>
          <w:i w:val="1"/>
          <w:iCs w:val="1"/>
          <w:color w:val="auto"/>
        </w:rPr>
        <w:t>Human Clinical Trials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Test Tube </w:t>
      </w:r>
      <w:r>
        <w:rPr>
          <w:rFonts w:ascii="Times New Roman" w:cs="Times New Roman" w:eastAsia="Times New Roman" w:hAnsi="Times New Roman"/>
          <w:sz w:val="18"/>
          <w:szCs w:val="18"/>
          <w:color w:val="auto"/>
        </w:rPr>
        <w:t>platform, this would negatively affect our ability to explore expansion of our platform, including, in particular, where it would be preferable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iPSCs to reproduce rather than approximate the effects of certain specific genetic variations.</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produce, develop trials and commercialize our Drug Rescue Variants.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success depends in part on our continued ability to attract, retain and motivate highly qualified management and scientific and technical personnel. We are highly dependent upon our senior management, as well as other employees, consultants and scientific collaborators. As of April 30, 2014, we had 10 full-time employees, which may make us more reliant on our individual employees than companies with a greater number of employees. Although none of our key scientific personnel or members of our senior management has informed us that he or she intends to resign or retire in the near future, the loss of services of any of these individuals could delay or prevent the successful development of potential expansions and applications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and our production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disrupt our administrative functions.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strategy, including our drug rescue strategy. Our consultants and advisors may be employed by employers other than us and may have commitments under consulting or advisory contracts with other entities that may limit their availability to us.</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scientific misconduct.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 In addition, during the course of our operations, our directors, executives and employees may have access to material, nonpublic information regarding our business, our results of operations or potential transactions we are considering.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adoption of an Insider Trading Policy, we may not be able to prevent a director, executive or employee from trading in our common stock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we seek to advance our proposed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drug rescue programs, produce and develop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develop and validate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If we produce and develop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regenerative medicine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any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11" w:lineRule="exact"/>
        <w:rPr>
          <w:sz w:val="20"/>
          <w:szCs w:val="20"/>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decreased demand for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other products that we may develop;</w:t>
      </w:r>
    </w:p>
    <w:p>
      <w:pPr>
        <w:spacing w:after="0" w:line="24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To the extent we enter into licensing or collaboration agreements to develop and commercialize our product candidates, including Drug Rescue Variants, our dependence on such relationships may adversely affect our business.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may depend on our ability to enter into such agreements with third-party collaborators. We face significant competition in seeking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cannot provide any assurance that our future collaborations will not terminate development before achievement of revenue-generating milestones or market approval, that our future collaborative arrangements will result in successful development and commercialization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that we will derive any revenues from such future arrangements. The failure of any collaborator to conduct, successfully and diligently, their collaborative activities relating to the product candidate we license or sell to them would have a material adverse effect on us. Additionally, to the extent that we are unable to license or sell our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to pharmaceutical companies or others, we would require substantial additional capital to undertake development and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for any such product candidate on our own, and that substantial additional capital may not be available to us on a timely basis, on reasonable terms, or at all.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208" w:lineRule="exact"/>
        <w:rPr>
          <w:sz w:val="20"/>
          <w:szCs w:val="20"/>
          <w:color w:val="auto"/>
        </w:rPr>
      </w:pPr>
    </w:p>
    <w:p>
      <w:pPr>
        <w:jc w:val="both"/>
        <w:ind w:left="640" w:hanging="338"/>
        <w:spacing w:after="0" w:line="282"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Times New Roman" w:cs="Times New Roman" w:eastAsia="Times New Roman" w:hAnsi="Times New Roman"/>
          <w:sz w:val="17"/>
          <w:szCs w:val="17"/>
          <w:color w:val="auto"/>
        </w:rPr>
      </w:pPr>
    </w:p>
    <w:p>
      <w:pPr>
        <w:jc w:val="both"/>
        <w:ind w:left="640" w:hanging="338"/>
        <w:spacing w:after="0" w:line="260"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202" w:lineRule="exact"/>
        <w:rPr>
          <w:rFonts w:ascii="Times New Roman" w:cs="Times New Roman" w:eastAsia="Times New Roman" w:hAnsi="Times New Roman"/>
          <w:sz w:val="18"/>
          <w:szCs w:val="18"/>
          <w:color w:val="auto"/>
        </w:rPr>
      </w:pPr>
    </w:p>
    <w:p>
      <w:pPr>
        <w:jc w:val="both"/>
        <w:ind w:left="640" w:hanging="338"/>
        <w:spacing w:after="0" w:line="251"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212"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0" w:lineRule="exact"/>
        <w:rPr>
          <w:rFonts w:ascii="Times New Roman" w:cs="Times New Roman" w:eastAsia="Times New Roman" w:hAnsi="Times New Roman"/>
          <w:sz w:val="18"/>
          <w:szCs w:val="18"/>
          <w:color w:val="auto"/>
        </w:rPr>
      </w:pPr>
    </w:p>
    <w:p>
      <w:pPr>
        <w:jc w:val="both"/>
        <w:ind w:left="640" w:hanging="338"/>
        <w:spacing w:after="0" w:line="260"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202" w:lineRule="exact"/>
        <w:rPr>
          <w:rFonts w:ascii="Times New Roman" w:cs="Times New Roman" w:eastAsia="Times New Roman" w:hAnsi="Times New Roman"/>
          <w:sz w:val="18"/>
          <w:szCs w:val="18"/>
          <w:color w:val="auto"/>
        </w:rPr>
      </w:pPr>
    </w:p>
    <w:p>
      <w:pPr>
        <w:jc w:val="both"/>
        <w:ind w:left="640" w:hanging="338"/>
        <w:spacing w:after="0" w:line="253"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208"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anti-kickback, fraud and abuse and healthcare laws and regulations in foreign countries.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19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social and ethical concerns surrounding the use of iPSCs, biological materials and genetic information could impair our operations.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that our future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1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human cell-based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human cells and human cell-based bioassay systems, including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contract manufacturers to produce our product candidate supplies and we intend to rely on such third-party manufacturers to produce commercial supplies of any approved product candidates we develop on our own. Any failure by a third-party manufacturer to produce for us supplies of product candidates we elect to develop on our own may delay or impair our ability to initiate or complete clinical trials, commercialize our product candidates, or continue to sell any products we commercialize.</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do not currently own or operate any manufacturing facilities, and we lack sufficient internal staff to produce product candidate supplies ourselves. As a result, we plan to work with third-party contract manufacturers to produce sufficient quantities of our product candidates for future preclinical and clinical testing and commercialization. If we are unable to arrange for such a third-party manufacturing source, or fail to do so on commercially reasonable terms or on a timely basis, we or our potential strategic partner may not be able to successfully produce, develop, and market our product candidates or may be delayed in doing so.</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limited staffing. 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2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enter into licensing or collaboration agreements for the sales, marketing and distribution of our Drug Rescue Variants and other product candidates, such as AV-101, we may not be successful in commercializing our Drug Rescue Variants and other product candidates.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currently have a relatively small number of employees and do not have a sales or marketing infrastructure, and we, including our executive officers, do not have any significant sales, marketing or distribution experience. We will be opportunistic in seeking to collaborate with others to develop and commercialize </w:t>
      </w:r>
      <w:r>
        <w:rPr>
          <w:rFonts w:ascii="Times New Roman" w:cs="Times New Roman" w:eastAsia="Times New Roman" w:hAnsi="Times New Roman"/>
          <w:sz w:val="18"/>
          <w:szCs w:val="18"/>
          <w:i w:val="1"/>
          <w:iCs w:val="1"/>
          <w:color w:val="auto"/>
        </w:rPr>
        <w:t xml:space="preserve">Drug Rescue Variants </w:t>
      </w:r>
      <w:r>
        <w:rPr>
          <w:rFonts w:ascii="Times New Roman" w:cs="Times New Roman" w:eastAsia="Times New Roman" w:hAnsi="Times New Roman"/>
          <w:sz w:val="18"/>
          <w:szCs w:val="18"/>
          <w:color w:val="auto"/>
        </w:rPr>
        <w:t>and future products if and when they are developed and approved. If we enter into arrangements with third parties to perform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and to interruption by man-made problems such as computer viruses or terrorism.</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 region known for seismic activity. A significant natural disaster, such as an earthquake, fire or a flood, could harm our business. In addition, our servers are vulnerable to computer viruses, break-ins and similar disruptions from unauthorized tampering with our computer systems. In addition, acts of terrorism or war could cause disruptions in our business or the economy as a whole.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becoming a public company by means of a strategic reverse merger in 2011, we have been subject to the reporting requirements of the Securities Exchange Act of 1934, as amended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which requires that we file annual, quarterly and current reports with respect to our business and financial condition, and the rules and regulations implemented by the Securities and Exchange Commission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are rigorous and we may not be able to continue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federal securities laws, rules or regulations could subject us to fines or regulatory actions, which may materially adversely affect our business, results of operations and financial condition.</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compliance with the Sarbanes-Oxley Act of 2002 and SEC rules concerning internal controls is costly, difficult and time-consuming.</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May 2011, we did not operate as a publicly-traded company. Given our limited size and personnel resources, it is costly, difficult and time consuming for us to maintain the internal controls and reporting procedures of publicly traded companies required by the Sarbanes-Oxley Act of 2002. If we are unable to comply with the Sarbanes-Oxley Act’s internal controls and disclosure requirements, we may not be able to obtain the independent registered public accounting firm attestations that the Sarbanes-Oxley Act of 2002 requires certain publicly-traded companies to obtain. If it is determined that we have a material weakness in our internal control over financial reporting, or if our independent registered accounting firm is unable to provide an unqualified attestation report on our internal controls when such a report is required, we could incur additional costs and suffer adverse publicity and other consequences of any such determination, investors could lose confidence in our financial information and the price of our common stock could decline.</w:t>
      </w:r>
    </w:p>
    <w:p>
      <w:pPr>
        <w:spacing w:after="0" w:line="2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cannot be certain if the reduced disclosure requirements and relief from certain other significant obligations that are applicable to smaller reporting companies will make our common stock less attractive to investors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 “smaller reporting company,” as defined in the Exchange Act and, as such, we are exempted from various reporting requirements that are applicable to larger public companies, including, but not limited to, being required to comply with the auditor attestation requirements of Section 404 of the Sarbanes-Oxley Act of 2002, more extensive disclosure obligations regarding executive compensation in our periodic reports and proxy statements, the requirements to hold a nonbinding advisory vote on executive compensation and shareholder approval of any golden parachute payments not previously approved. Our classification as a “smaller reporting company” is determined on September 30 of each year, based on whether our public float (the product of the number of outstanding shares of our common stock held by non-affiliate (less than 10% ownership) stockholders multiplied by the closing market price of our common stock) on that day is less than $75 million. We intend to take advantage of these reporting exemptions until we no longer qualify as a “smaller reporting company.” Subsequent to the completion of this Offering and, in the event we experience an increase in the market price for our stock, we may no longer be classified as a “smaller reporting company.” We cannot predict whether investors find our common stock less attractive because we are currently relying on these exemptions. If some investors find our common stock less attractive, there may be a less active trading market for our common stock and our stock price may be more volatile.</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in accordance with GAAP. Our management is currently required to assess the effectiveness of our controls and we are required to disclose changes made in our internal control over financial reporting on a quarterly basis. As a “smaller reporting company,” however, our independent registered public accounting firm is not required to attest to the effectiveness of our internal control over financial reporting pursuant to Section 404 of the Sarbanes-Oxley Act of 2002. If we cannot continue to favorably assess the effectiveness of our internal control over financial reporting, or if our independent registered public accounting firm is unable to provide an unqualified attestation report on our internal controls whenever required in the future, investors could lose confidence in our financial information and the price of our common stock could decline. Additionally, should we cease to be a “smaller reporting company”, we will incur additional expense and management effort to facilitate the required attestation of the effectiveness of our internal control over financial reporting by our independent registered public accounting firm.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Production, Development, and Regulatory Approval of Product Candidates</w:t>
      </w:r>
    </w:p>
    <w:p>
      <w:pPr>
        <w:spacing w:after="0" w:line="2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currently dependent on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and medicinal chemistry to produce lead product candidates, and we cannot provide any assurance that we will produce any product candidates that will be commercialized.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To date, we have invested a significant portion of our efforts and financial resources in the development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AV-101, which has successfully completed Phase 1 clinical development. Our future success depends heavily on our ability to successfully produce and, either on our own or in collaboration with others, develop, obtain regulatory approval for, and commercialize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AV-101, which may never occur. We currently generate no revenues, and we may never be able to develop or commercialize a marketable drug.</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Before we generate any revenues from product sales, we must produce additional product candidates through drug rescue and we or our potential strategic collaborator must complete preclinical and clinical development of one or more of our product candidates, conduct human subject research,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not previously submitted a biologics license application, or BLA, or a new drug application or NDA, to the FDA, or similar drug approval filings to comparable foreign authorities, for any product candidate.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or our potential collaborator may also seek regulatory approval to commercialize our product candidates in the United States, the European Union and potentially in additional foreign countries. While the scope of regulatory approval is similar in other countries, to obtain separate regulatory approval in many other countries we must comply with numerous and varying regulatory requirements of such countries regarding safety and efficacy, clinical trials and commercial sales, pricing and distribution of our product candidates, and we cannot predict success in these jurisdictions.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Developing and obtaining FDA approval to develop, market and sell new Drug Rescue Variants in the U.S. is complex, expensive, time-consuming and uncertain.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seeking FDA approval to sell a new prescription drug in the United States must test it in various ways. Currently, first are laboratory and animal tests. Next are tests in humans to see if the drug candidate is safe and effective when used to treat or diagnose a disease. After testing the drug candidate, the company developing it then sends the FDA an application called a New Drug Application (NDA). Some drug candidates are made out of biologic materials, including human cells, such as the human cells derived from human pluripotent stem cells. Instead of an NDA, new biologic drug candidates are approved using a Biologics License Application (BLA). Whether an NDA or a BLA, the application includes:</w:t>
      </w:r>
    </w:p>
    <w:p>
      <w:pPr>
        <w:spacing w:after="0" w:line="208" w:lineRule="exact"/>
        <w:rPr>
          <w:sz w:val="20"/>
          <w:szCs w:val="20"/>
          <w:color w:val="auto"/>
        </w:rPr>
      </w:pPr>
    </w:p>
    <w:p>
      <w:pPr>
        <w:ind w:left="640" w:hanging="36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candidate’s test results;</w:t>
      </w:r>
    </w:p>
    <w:p>
      <w:pPr>
        <w:spacing w:after="0" w:line="243" w:lineRule="exact"/>
        <w:rPr>
          <w:rFonts w:ascii="Times New Roman" w:cs="Times New Roman" w:eastAsia="Times New Roman" w:hAnsi="Times New Roman"/>
          <w:sz w:val="18"/>
          <w:szCs w:val="18"/>
          <w:color w:val="auto"/>
        </w:rPr>
      </w:pPr>
    </w:p>
    <w:p>
      <w:pPr>
        <w:ind w:left="640" w:hanging="36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information to demonstrate the company developing the drug candidate can properly manufacture it; and</w:t>
      </w:r>
    </w:p>
    <w:p>
      <w:pPr>
        <w:spacing w:after="0" w:line="243" w:lineRule="exact"/>
        <w:rPr>
          <w:rFonts w:ascii="Times New Roman" w:cs="Times New Roman" w:eastAsia="Times New Roman" w:hAnsi="Times New Roman"/>
          <w:sz w:val="18"/>
          <w:szCs w:val="18"/>
          <w:color w:val="auto"/>
        </w:rPr>
      </w:pPr>
    </w:p>
    <w:p>
      <w:pPr>
        <w:ind w:left="640" w:hanging="369"/>
        <w:spacing w:after="0" w:line="27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label for the drug candidate, which provides necessary information about the drug candidate, including uses for which it has been shown to be effective, possible risks, and how to use it.</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 review by FDA physicians and scientists shows the drug candidate's benefits outweigh its known risks and the drug candidate can be manufactured in a way that ensures a quality product, the drug candidate is approved and can be marketed in the United States.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drug and biological product development and approval takes many years, involves the expenditure of substantial resources and is uncertain to succeed. Many new drug and biological candidates appear promising in early stages of development but ultimately do not reach the market because they cannot meet FDA or other regulatory requirements. In addition, there can be no assurance that the current regulatory framework will not change through regulatory, legislative or judicial actions or that additional regulations will not arise during development that may affect approval, delay the submission or review of an application, if required, or require additional expenditures by us or our prospective collaborators.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activities required before a new drug or biological candidate may be approved for marketing in the U.S. begin with nonclinical testing, which includes laboratory evaluation and animal studies to assess the potential safety and efficacy of the product as formulated. Results of nonclinical studies are summarized in an Investigational New Drug (IND) application to the FDA. Human clinical trials may begin 30 days following submission of an IND application, unless the FDA requires additional time to review the application or raise questions.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(IRB)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 our collaborator’s future clinical trials can be delayed or halted for many reasons, including:</w:t>
      </w:r>
    </w:p>
    <w:p>
      <w:pPr>
        <w:spacing w:after="0" w:line="244" w:lineRule="exact"/>
        <w:rPr>
          <w:sz w:val="20"/>
          <w:szCs w:val="20"/>
          <w:color w:val="auto"/>
        </w:rPr>
      </w:pPr>
    </w:p>
    <w:p>
      <w:pPr>
        <w:jc w:val="both"/>
        <w:ind w:left="640" w:hanging="338"/>
        <w:spacing w:after="0" w:line="260"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reaching agreement on acceptable terms with prospective contract manufacturing organizations (CMOs), contract research organizations (CROs), and clinical trial sites, the terms of which can be subject to extensive negotiation and may vary significantly among different CROs and trial sites;</w:t>
      </w:r>
    </w:p>
    <w:p>
      <w:pPr>
        <w:spacing w:after="0" w:line="202"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and CMOs, or investigators to comply with regulatory requirements or otherwise meet their contractual obligations in a timely manner;</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the necessary approvals from regulators or institutional review boards (IRBs) in order to commence a clinical trial at a prospective trial site;</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a supply of drug product sufficient to complete preclinical studies and clinical trials;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requiring alterations to study designs, preclinical strategy or manufacturing plans;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and variability in the number and types of patients available for clinical trials, or high drop-out rates of patients;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protocols or dropping out of a trial and/or the inability to add new clinical trial sites;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including serious adverse events associated with our product candidates and patients' exposure to unacceptable health risks;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a competitor of marketing approval for a product targeting an indication that one of our product candidates targets, such that we are not "first to market" with our product candidate;</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 or</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or our collaborator could also encounter delays if a clinical trial is suspended or terminated by us, our collaborator, the IRBs of the institutions in which a trial is being conducted, by the Data Safety Monitoring Board (DSMB)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we or our collaborators are able to conduct a pivotal clinical trial of a product candidate, the results of such trial may not be adequate to support marketing approval. For any such pivotal trial, if the FDA disagrees with the choice of primary endpoint or the results for the primary endpoint are not robust or significant relative to control, are subject to confounding factors, or are not adequately supported by other study endpoints, including possibly overall survival or complete response rate, the FDA may refuse to approve a BLA or NDA based on such pivotal trial. The FDA may require additional clinical trials as a condition for approving our product candidates.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or our collaborator experience delays in the completion of,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our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noted, a company seeking FDA approval to market a new drug candidate must file an NDA; a company seeking FDA approval to market a new biological candidate must file a BLA. In addition to reports of the nonclinical and human clinical trials conducted under the IND application, the NDA and BLA include evidence of the product’s safety, purity, potency and efficacy, as well as manufacturing, product identification and other information. Submission of an NDA or BLA does not assure FDA approval for marketing. The application review process generally takes at least one to three years to complete, although reviews of drugs or biological products for life-threatening diseases may be accelerated or expedited. However, the process may take substantially longer.</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requires at least one and generally two properly conducted, adequate and well-controlled clinical studies demonstrating efficacy with sufficient levels of statistical assurance. However, additional information may be required. Notwithstanding the submission of such data, the FDA ultimately may decide that the NDA or BLA, as the case may be, does not satisfy the regulatory criteria for approval and deny the application. The FDA may impose post-approval obligations, such as additional clinical tests following NDA or BLA approval to confirm safety and efficacy (Phase IV human clinical trials). The FDA may, in some circumstances, also impose restrictions on the use of the biological product that may be difficult and expensive to administer. Further, the FDA requires reporting of certain safety and other information that becomes known to a manufacturer of an approved biological product. Product approvals may be withdrawn if compliance with regulatory requirements is not maintained or if problems occur after the product reaches the market.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approving an application, the FDA will inspect the prospective manufacturer to ensure that the manufacturer conforms to the FDA’s current good manufacturing practice (cGMP) regulations that applicable to new biological candidates. To comply with the cGMP regulations, manufacturers must expend time, money and effort in product recordkeeping and quality control to assure that the product meets applicable specifications and other requirements. The FDA periodically inspects manufacturing facilities in the U.S. and abroad to assure compliance with applicable cGMP requirements. Our failure to comply with the FDA’s cGMP regulations or other FDA regulatory requirements could have a significant adverse effect on us.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a product is approved for a given indication in an NDA or BLA, subsequent new indications or dosage levels for the same product are reviewed by the FDA via the filing and approval of an NDA or BLA supplement. The NDA or BLA supplement is more focused than the NDA or BLA and deals primarily with safety and effectiveness data related to the new indication or dosage. Applicants are required to comply with certain post-approval obligations, such as compliance with cGMPs. Product approvals may be withdrawn by the FDA if compliance with regulatory requirements is not maintained or if problems occur after the product reaches the market.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corporation developing new drug candidates, including Drug Rescue Variants, biological candidates or regenerative medicine product candidates, including conducting clinical trials and other areas required for the successful development and commercialization of therapeutic products.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and any future strategic partner will need to receive regulatory approval for any new drug candidate, including each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biological candidate or regenerative medicine product before it may be marketed and distributed. Such regulatory approval will require, among numerous other things, completing carefully controlled and well-designed clinical trials demonstrating the safety and efficacy of each new product candidate. This process is lengthy, expensive and uncertain. As a company, we have limited experience developing new drug candidates, including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biological candidates or regenerative medicine products, including conducting clinical trials and in other areas required for the successful development and commercialization of therapeutic products. Such trials will require additional financial and management resources, third-party collaborators with the requisite clinical experience or reliance on third party clinical investigators, contract research organizations and independent consultants. Relying on third parties may force us to encounter delays that are outside of our control, which could materially harm our business.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also do not currently have marketing and distribution capabilities for product candidates. Developing an internal sales and distribution capability would be an expensive and time-consuming process. To market and distribute any new drug candidate, including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biological candidate or regenerative medicine product, we plan to enter into strategic partnering arrangements for marketing and distribution. However, these third-party collaborators may not be capable of successfully selling any of our new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clinical trials with one or more new drug candidates, including Drug Rescue Variants, may not result in any commercially viable products.</w:t>
      </w:r>
    </w:p>
    <w:p>
      <w:pPr>
        <w:spacing w:after="0" w:line="2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may never generate revenues from sales of a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or any other product because of a variety of risks inherent in our business, including the following:</w:t>
      </w:r>
    </w:p>
    <w:p>
      <w:pPr>
        <w:spacing w:after="0" w:line="160" w:lineRule="exact"/>
        <w:rPr>
          <w:sz w:val="20"/>
          <w:szCs w:val="20"/>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clinical trials may not demonstrate the safety and efficacy of any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other new drug candidate, biological candidate or regenerative medicine product candidate;</w:t>
      </w:r>
    </w:p>
    <w:p>
      <w:pPr>
        <w:spacing w:after="0" w:line="162"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or clinical trials may be delayed, or costs of nonclinical or clinical trials may exceed anticipated amounts;</w:t>
      </w:r>
    </w:p>
    <w:p>
      <w:pPr>
        <w:spacing w:after="0" w:line="215"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be able to obtain regulatory approval of any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other new drug candidate, biological candidate or regenerative medicine product candidate; or we may experience delays in obtaining any such approval;</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be able to manufacture, or have manufactured for us,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other new drug candidates, biological candidates or regenerative medicine product candidates economically, timely and on a commercial scale;</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and any licensees of ours may not be able to successfully market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other new drug candidates, biological candidates or regenerative medicine product candidates;</w:t>
      </w:r>
    </w:p>
    <w:p>
      <w:pPr>
        <w:spacing w:after="0" w:line="160" w:lineRule="exact"/>
        <w:rPr>
          <w:rFonts w:ascii="Times New Roman" w:cs="Times New Roman" w:eastAsia="Times New Roman" w:hAnsi="Times New Roman"/>
          <w:sz w:val="18"/>
          <w:szCs w:val="18"/>
          <w:color w:val="auto"/>
        </w:rPr>
      </w:pPr>
    </w:p>
    <w:p>
      <w:pPr>
        <w:ind w:left="820" w:hanging="463"/>
        <w:spacing w:after="0" w:line="276" w:lineRule="auto"/>
        <w:tabs>
          <w:tab w:leader="none" w:pos="8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physicians may not prescribe our products, or patients or third party payors may not accept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other drug candidates, biological candidates or regenerative medicine product candidates;</w:t>
      </w:r>
    </w:p>
    <w:p>
      <w:pPr>
        <w:spacing w:after="0" w:line="160" w:lineRule="exact"/>
        <w:rPr>
          <w:rFonts w:ascii="Times New Roman" w:cs="Times New Roman" w:eastAsia="Times New Roman" w:hAnsi="Times New Roman"/>
          <w:sz w:val="18"/>
          <w:szCs w:val="18"/>
          <w:color w:val="auto"/>
        </w:rPr>
      </w:pPr>
    </w:p>
    <w:p>
      <w:pPr>
        <w:ind w:left="780" w:hanging="443"/>
        <w:spacing w:after="0" w:line="276"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have proprietary rights which prevent us from marketing our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other new drug candidates, biological candidates or regenerative medicine product candidates; and</w:t>
      </w:r>
    </w:p>
    <w:p>
      <w:pPr>
        <w:spacing w:after="0" w:line="162"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sell similar, superior or lower-cost products.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20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Rescue Variants or other product candidates, our Drug Rescue Variants or other products may not be successful commercially, and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Any regulatory approvals that we or our potential strategic partners receive for our </w:t>
      </w:r>
      <w:r>
        <w:rPr>
          <w:rFonts w:ascii="Times New Roman" w:cs="Times New Roman" w:eastAsia="Times New Roman" w:hAnsi="Times New Roman"/>
          <w:sz w:val="17"/>
          <w:szCs w:val="17"/>
          <w:i w:val="1"/>
          <w:iCs w:val="1"/>
          <w:color w:val="auto"/>
        </w:rPr>
        <w:t>Drug Rescue Variants</w:t>
      </w:r>
      <w:r>
        <w:rPr>
          <w:rFonts w:ascii="Times New Roman" w:cs="Times New Roman" w:eastAsia="Times New Roman" w:hAnsi="Times New Roman"/>
          <w:sz w:val="17"/>
          <w:szCs w:val="17"/>
          <w:color w:val="auto"/>
        </w:rPr>
        <w:t xml:space="preserv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00" w:lineRule="exact"/>
        <w:rPr>
          <w:sz w:val="20"/>
          <w:szCs w:val="20"/>
          <w:color w:val="auto"/>
        </w:rPr>
      </w:pPr>
    </w:p>
    <w:p>
      <w:pPr>
        <w:ind w:left="640" w:hanging="33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clinical trials;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 or suspension or revocation of product license approvals;</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or the imposition of other civil or criminal penalties.</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incurred significant net losses in each fiscal year since our inception, including net losses of $12.2 million and $12.9 million during fiscal years ending March 31, 2012 and 2013, respectively. We incurred net losses of $9.1 million and $1.1 million during the nine months ended December 31, 2012 and 2013, respectively. As of December 31, 2013, we had an accumulated deficit of $68.8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following this Offering, we expect that our general and administrative expenses will increase due to additional operational and reporting costs associated with achieving our goal of obtaining a listing on a national securities exchange. The net losses we incur may fluctuate from quarter to quarter.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anticipate that our business will generate operating losses until we successfully implement our drug rescue strategy and generate significant revenue to support our level of operating expenses. Because of the numerous risks and uncertainties associated with our drug rescue efforts and future strategic partnering and product development arrangements, we are unable to predict when we will become profitable, and we may never become profitable. Even if we do achieve profitability, we may not be able to sustain or increase our profitability. With the net proceeds from this Offering, we believe that our cash, cash equivalents and marketable securities will be sufficient to fund our operations and our capital expenditures for at least the next 24 months. If our cash is insufficient to meet future operating requirements, we will have to raise additional funds. If we are unable to obtain additional funds on terms favorable to us or at all, we may be required to cease or reduce our operating activities or sell or license to third parties some or all of our intellectual property. If we raise additional funds by selling additional shares of our capital stock, the ownership interests of our current stockholders will be diluted. If we need to raise additional funds through the sale or license of our intellectual property, we may be unable to do so on terms favorable to us, if at all.</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do not successfully develop, license, sell or obtain regulatory approval for our future product candidates and effectively manufacture, market and sell, or collaborate to accomplish such activities, for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20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Since our inception, most of our resources have been dedicated to research and development of the drug rescue capabilities of our human pluripotent stem cell technology. In particular, we have expended substantial resources developing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believe that we will continue to expend substantial resources for the foreseeable future developing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current source of revenue to sustain our present activities, and we do not expect to generate revenue until, and unless, we obtain approval from the FDA or other regulatory authorities and we successfully commercialize one or more of our compounds. As the outcome of our product candidate development activities and our anticipated clinical trials is highly uncertain, we cannot reasonably estimate the actual amounts necessary to successfully complete the development and commercialization of our product candidates. In addition, other unanticipated costs may arise. As a result of these and other factors currently unknown to us, we may need to seek additional funds sooner than planned, through public or private equity or debt financings or other sources, such as strategic partnerships and alliances and licensing arrangements. In addition, we may seek additional capital due to favorable market conditions or strategic considerations even if we believe we have sufficient funds for our current or future operating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44" w:lineRule="exact"/>
        <w:rPr>
          <w:sz w:val="20"/>
          <w:szCs w:val="20"/>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studies;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any products we successfully commercialize;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 funding for our programs;</w:t>
      </w:r>
    </w:p>
    <w:p>
      <w:pPr>
        <w:spacing w:after="0" w:line="243" w:lineRule="exact"/>
        <w:rPr>
          <w:rFonts w:ascii="Times New Roman" w:cs="Times New Roman" w:eastAsia="Times New Roman" w:hAnsi="Times New Roman"/>
          <w:sz w:val="18"/>
          <w:szCs w:val="18"/>
          <w:color w:val="auto"/>
        </w:rPr>
      </w:pPr>
    </w:p>
    <w:p>
      <w:pPr>
        <w:jc w:val="both"/>
        <w:ind w:left="640" w:hanging="338"/>
        <w:spacing w:after="0" w:line="260"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202"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potential future licensee fees, milestone payments, and sales of, or royalties on, our future products, if any; and</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although we currently have no commitments or agreements relating to any of these types of transactions.</w:t>
      </w:r>
    </w:p>
    <w:p>
      <w:pPr>
        <w:spacing w:after="0" w:line="190"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delay, limit, reduce or terminate drug rescue programs, preclinical studies, clinical trials or other research and development activities for one or more of our product candidates, any of which could harm our operating results.</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may seek additional capital through a combination of private and public equity offerings, debt financings, strategic partnerships and alliances and licensing arrangements. 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programs have been partially supported by government grants, which may not be available to us in the future.</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independent auditors have expressed substantial doubt about our ability to continue as a going concern.</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the net proceeds from this Offering will be sufficient to meet our anticipated cash requirements for at least the next 24 months. Our consolidated financial statements for the year ended March 31, 2013 included in this prospectus have been prepared assuming that we will continue to operate as a going concern. However, due to our continuing operating losses and our accumulated deficit, the report of our independent registered public accounting firm on our consolidated financial statements for the fiscal year ended March 31, 2013, includes an explanatory paragraph discussing conditions that raise a substantial doubt about our ability to continue as a going concern.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is subject to certain limitations.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do not generate sufficient taxable income we may not be able to use a material portion, or any portion, of our existing net operating losses (NOLs).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certain technologies that are licensed to us. If we are unable to maintain these licenses, our business could be adversely affected.</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license rights are further subject to the validity of the owner’s intellectual property rights.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of our license agreements are subject to termination by the licensor in specific circumstances.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seek to leverage prior discovery and development of Drug Rescue Candidates under license arrangements with academic laboratories, biotechnology companies, the NIH, pharmaceutical companies or other third parties, it is uncertain what ownership rights, if any, we will obtain over intellectual property we derive from such licenses to Drug Rescue Variants we generate in connection with any such third-party licenses.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instead of identifying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based on information available to us in the public domain, we seek to 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may generate and develop. If we are unable to obtain ownership or substantial economic participation rights over intellectual property related to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generate, our business may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unsuccessful in obtaining adequate patent protection for one or more of our product candidates.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cannot be certain that patents we have filed or may file in the future will be issued or granted, or that issued or granted patents will not later be found to be invalid and/or unenforceable. The patent position of biotechnology and pharmaceutical companies is generally uncertain because it involves complex legal and factual considerations. The standards applied by the United States Patent and Trademark Office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our proprietary products and technology.</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or technologies could be found invalid or unenforceable if challenged in court.</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platform technology,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Such a loss of patent protection could have a material adverse impact on our business.</w:t>
      </w:r>
    </w:p>
    <w:p>
      <w:pPr>
        <w:spacing w:after="0" w:line="2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Claims that our Human Clinical Trials in a Test Tube platform, our product candidates or, if commercialized, the sale or use of our products infringe the patent rights of third parties could result in costly litigation or could require substantial time and money to resolve, even if litigation is avoided.</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cannot guarantee that our product candidates, the use of our product candidates, or our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Key aspects of our Human Clinical Trials in a Test Tube platform are protected by intellectual property exclusively licensed from academic institutions. If the licensors terminate the licenses or fail to maintain or enforce the underlying patents, our competitive position and market share will be harmed.</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 party to several license agreements under which certain aspects of our business depend on patents and/or patent applications owned by other institutions. We are likely to enter into additional license agreements as part of the development of our business in the future. 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 In addition, in spite of our best efforts, our licensors might conclude that we have materially breached our license agreements and might therefore terminate the license agreements, thereby removing our ability to obtain regulatory approval and to market products covered by these license agreements. Our licensors may also terminate the license agreements if we fail to meet specified milestones. If these in-licenses are terminated, or if the underlying patents fail to provide the intended market exclusivity, competitors would have the freedom to seek regulatory approval of, and to market, products identical to ours. This could have a material adverse effect on our competitive business position and our business prospects.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2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4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90" w:lineRule="exact"/>
        <w:rPr>
          <w:sz w:val="20"/>
          <w:szCs w:val="20"/>
          <w:color w:val="auto"/>
        </w:rPr>
      </w:pPr>
    </w:p>
    <w:p>
      <w:pPr>
        <w:ind w:left="64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product candidates but that are not covered by the claims of the patents that we may own or have exclusively licensed;</w:t>
      </w:r>
    </w:p>
    <w:p>
      <w:pPr>
        <w:spacing w:after="0" w:line="190" w:lineRule="exact"/>
        <w:rPr>
          <w:rFonts w:ascii="Times New Roman" w:cs="Times New Roman" w:eastAsia="Times New Roman" w:hAnsi="Times New Roman"/>
          <w:sz w:val="18"/>
          <w:szCs w:val="18"/>
          <w:color w:val="auto"/>
        </w:rPr>
      </w:pPr>
    </w:p>
    <w:p>
      <w:pPr>
        <w:ind w:left="640" w:right="2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make the inventions covered by the issued patent or pending patent application that we may own or have exclusively licensed;</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file patent applications covering certain of our inventions;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Patent and Trademark Office, the laws and regulations governing patents could change in unpredictable ways that would weaken our ability to obtain new patents or to enforce our existing patents and patents that we might obtain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or other commercial protection for AV-101, the value of AV-101 will be harmed.</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Commercial protection of AV-101, our small molecule drug candidate for neuropathic pain and other neurological conditions is important to our business. Our success related to AV-101 will depend in part on our or a potential collaborator’s ability to obtain and enforce potential patents and maintain our trade secrets and secure New Drug Product Exclusivity provided by the FDA under section 505(c)(3)(E) and 505(j)(5)(F) of the Federal Food, Drug, and Cosmetic Act.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recently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and proprietary technology through patents and other means is uncertain.</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patent positions of companies in the life sciences industry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predict which, if any, of such pending applications will issue as patents or the claims that might be allowed. No consistent policy regarding the breadth of claims allowed in life sciences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prevent the infringement of our patents. Proceedings to enforce our intellectual property rights could result in substantial cost and divert our efforts and attention from other aspects of our business and we may not prevail. Changes in either the patent laws or in interpretations of patent laws in the United States or in other countries may diminish the value of our intellectual property. We cannot predict the breadth of claims that may be allowed or enforced in our patents or in third-party patents.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of our technology may not be eligible for patent protection, which leaves us vulnerable to theft of the technology we protect under trade secret law. We take steps to protect such intellectual property and proprietary technology, by limiting access to the materials embodying such intellectual property and by entering into confidentiality agreements and intellectual property assignment agreements with our employees, consultants, collaborators and, when needed, our advisors. Such agreements may not be enforceable or may not provide meaningful protection or adequate remedies in the event of unauthorized use or disclosure or other breaches of the agreements, and we may not be able to prevent such unauthorized disclosure. Monitoring unauthorized disclosure is difficult, and we cannot ensure that the steps we have taken to prevent such disclosure are, or will be, adequate. In addition, courts outside the United States may be less willing or unwilling to protect trade secrets. Further, others may independently discover or invent trade secrets and proprietary information similar to ours, and in such cases we could not assert any trade secret rights against such party.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and proprietary rights, to determine the scope, coverage and validity of others’ proprietary rights or to defend against third party claims of intellectual property infringement, which in each case could require us to spend significant time and money and could prevent us from selling our products or adversely impact our stock price.</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Litigation or other proceedings may be necessary for us to enforce our patent and proprietary rights and/or to determine the scope, coverage and validity of others’ proprietary rights. To determine the priority of inventions, which is determinative of patent rights,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or opposition proceedings against our patents. We cannot be certain that we do not and will not infringe on the intellectual property rights of others. The outcome of any litigation or other proceeding is inherently uncertain and might not be favorable to us, and we might not be able to obtain licenses to technology that we require. Even if such licenses are obtainable, they may not be available at a reasonable cost or on otherwise favorable terms. We could therefore incur substantial costs related to royalty payments for licenses obtained from third parties, which could negatively affect our profitability. Further, we could encounter delays in product introductions, or interruptions in product sales, as we develop alternative methods or products.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In the event that we are unsuccessful in enforcing our intellectual property rights or other proprietary rights of others, our business would be negatively impacted and the price of our common stock could decline.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stem cell market, and competitors may assert that our products infringe their intellectual property rights as part of a business strategy to impede our successful entry into those markets. Third parties may assert that we are employing their proprietary technology without authorization.</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that broadly apply to the manufacture of human cells and their uses and claim that the manufacture or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Patent infringement suits can be expensive, lengthy and disruptive to business operations. We could incur substantial costs and divert the attention of our management and technical personnel in prosecuting or defending against any claims, and these claims may harm our reputation. We cannot be certain that we will have the required resources to pursue litigation or otherwise to protect our proprietary rights or that we will prevail in any suit.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we may be required to obtain one or more licenses from third parties, which we may not be able to obtain at a reasonable cost or on otherwise favorable terms,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that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that will be costly to defend or pursue and uncertain in its outcome.</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may bring us into conflict with our consultants, contractors, employees, investors, licensees, licensors, service providers, suppliers or others with whom we have contractual or other business relationships, or with our competitors or others whose interests differ from ours. If we are unable to resolve such conflicts on terms that are satisfactory to all parties, we may become involved in litigation brought by or against us. Any such litigation is likely to be expensive and may require a significant amount of management’s time and attention, at the expense of other aspects of our business. The outcome of litigation is always uncertain, and in some cases could include judgments against us that require us to pay damages, enjoin us from certain activities, or otherwise affect our legal or contractual rights, which could have a significant adverse effect on our business.</w:t>
      </w:r>
    </w:p>
    <w:p>
      <w:pPr>
        <w:spacing w:after="0" w:line="20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rely, in part, on trade secrets to protect our proprietary stem cell technologies, especially in circumstances in which we believe patent protection may not be appropriate or available. We attempt to protect our proprietary technologies in part by confidentiality agreements with our advisors, collaborators, consultants, contractors and employees. We cannot assure you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Our ability to execute on our business plan will depend on the talents and efforts of highly skilled individuals with specialized training in the field of stem cell research and bioassay development, as well as medicinal chemistry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drug candidate screening and nonclinical and clinical development. Our future success depends on our ability to identify, hire and retain these highly skilled personnel during our development stage. We anticipate hiring additional highly skilled scientific and technical employees following the completion of this Offering,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this Offering, there has been a limited public market for shares of our common stock on the OTC Markets (OTCQB), formerly the OTC Bulletin Board or OTCBB. We do not yet meet the initial listing standards of the New York Stock Exchange, the NASDAQ Global Market, or other similar national securities exchanges. Until our common stock is listed on a broader exchange, we anticipate that it will remain quoted on the OTC markets,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predict the extent to which investor interest in the Company will lead to the development of a more active trading market on the OTCQB, whether we will meet the initial listing standards of the New York Stock Exchange, the NASDAQ Global Market, or other similar national securities exchanges, or how liquid that market might become. If an active trading market does not develop, you may have difficulty selling any of the shares of our common stock that you buy. In addition, the trading price of our common stock following this Offering may be highly volatile and could be subject to wide fluctuations in response to various factors, some of which are beyond our control. These factors include:</w:t>
      </w:r>
    </w:p>
    <w:p>
      <w:pPr>
        <w:spacing w:after="0" w:line="208" w:lineRule="exact"/>
        <w:rPr>
          <w:sz w:val="20"/>
          <w:szCs w:val="20"/>
          <w:color w:val="auto"/>
        </w:rPr>
      </w:pPr>
    </w:p>
    <w:p>
      <w:pPr>
        <w:ind w:left="740" w:hanging="391"/>
        <w:spacing w:after="0"/>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quarterly variation in our results of operations or the results of our competitors;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commercial products, significant contracts, commercial relationships or capital commitments;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we may provide to the public, any changes to those projections, or our failure to meet those projections;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 for our stock;</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and life sciences sectors;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significant sales;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and government regulation;</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regarding the safety, efficacy or other aspects of our products;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changing or terminating collaborative relationships;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our common stock or other securities eligible for future sale;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to the composition of our board of directors or management;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You should also be aware that price volatility is likely to be worse if the trading volume of our common stock remains low and limited.</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Offering, there has been a limited public market for shares of our common stock on the OTCQB. Future sales of substantial amounts of shares of our common stock, including shares issued upon the exchange of our Series A Preferred and exercise of outstanding options and warrants, in the public market after this Offering, or the possibility of these sales occurring, could cause the prevailing market price for our common stock to fall or impair our ability to raise equity capital in the future. Upon the completion of this Offering, based on the number of shares outstanding as of April 30, 2014, we will have ________ shares of common stock outstanding, assuming no</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conversion of convertible promissory notes for common stock, no exchange of Series A Preferred for common stock and no exercise of outstanding options or warrants. Of these outstanding shares, all ________ shares of common stock sold by us in this Offering will be freely tradable in the public market without</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restriction or further registration under the Securities Act. All other outstanding shares of common stock will be restricted securities eligible for sale in the public market under Rule 144 of the Securities Act, 6,103,025 of which restricted shares are held by directors, executive officers and other affiliates and will be subject to volume limitations under Rule 144 under the Securities Act. In addition, 22,072,990 shares of common stock that are subject to outstanding options and warrants as of April 30, 2014 will become eligible for sale in the public market to the extent permitted by the provisions of various vesting agreements and Rules 144 and 701 under the Securities Act as described in the “Shares Eligible for Future Sale” section of this prospectus.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principal institutional stockholders will continue to have substantial control over us after this Offering and could limit your ability to influence the outcome of key transactions, including changes in control.</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Certain of our current institutional stockholders and their respective affiliates own a significant percentage of our outstanding common stock or other securities convertible or exercisable into our common stock. Accordingly, these stockholders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such stockholders, see “Principal stockholders.”</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and our business. Securities and industry analysts do not currently, and may never, publish research on the Company. If no or too few securities or industry analysts commence coverage of the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the Company or fail to publish reports on us regularly, demand for our stock could decrease, which in turn could cause our stock price or trading volume to decline.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successfully sell all shares registered by this Offering, new investors will contribute approximately _____% of the total amount of equity capital raised 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through the date of this Offering, and will own approximately _____% of the outstanding shares. In addition, we may have issued options and warrants to</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acquire common stock at prices below the public offering price. To the extent outstanding options and warrants are ultimately exercised, or if we issue restricted stock to our employees under our equity incentive plans, there will be further dilution to investors who purchase shares in this Offering. In addition, if we issue additional equity securities, investors purchasing shares in this Offering will experience additional dilution. For a further description of the dilution that you will experience immediately after this Offering, see “Dilution.”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additional issuances of shares of preferred stock in the future.</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Following approval by our stockholders in October 2011, our Articles of Incorporation permit us to issue up to 10.0 million shares of preferred stock and our Board has authorized the issuance of 500,000 shares of Series A Preferred, all of which shares are currently outstanding.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considered a “penny stock.”</w:t>
      </w: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we became a publicly-traded company in May 2011, our common stock has traded on the OTCQB at a price of less than $5.00 per share. The SEC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quoted only on the OTCQB, investors may find it difficult to obtain accurate quotations of the stock, and may find few buyers to purchase such stock and few market makers to support its price.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from this Offering and could spend the proceeds in ways that do not improve our results of operations or enhance the value of our common stock. We intend to use the net proceeds from this Offering for funding our operations; research and product development activities; for property, plant and equipment; and for working capital and other general corporate purposes. We may also use a portion of our net proceeds to acquire or invest in complementary businesses or other assets; however, we currently have no agreements or commitments to complete any such transaction. We have not allocated these net proceeds for any specific purposes. We might not be able to yield a significant return, if any, on any investment of these net proceeds. You will not have the opportunity to influence our management’s decisions on how to use the net proceeds from this Offering, and our failure to apply these funds effectively could have a material adverse effect on our business, delay the development of our product candidates and cause the price of our common stock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any cash dividends in the foreseeable future.</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principal purposes of this Offering are to obtain additional working capital and improve the public market for our common stock. As of the date of this prospectus, we cannot specify with certainty all of the particular uses for the net proceeds of this Offering. However, assuming total net proceeds of $________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this Offering, we intend to use the net proceeds from this Offering for funding our operations, approximately as follows: (1) $________ for research and</w:t>
      </w:r>
    </w:p>
    <w:p>
      <w:pPr>
        <w:spacing w:after="0" w:line="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development expenses related to our stem cell technology-based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xml:space="preserve"> platform, including </w:t>
      </w:r>
      <w:r>
        <w:rPr>
          <w:rFonts w:ascii="Times New Roman" w:cs="Times New Roman" w:eastAsia="Times New Roman" w:hAnsi="Times New Roman"/>
          <w:sz w:val="17"/>
          <w:szCs w:val="17"/>
          <w:i w:val="1"/>
          <w:iCs w:val="1"/>
          <w:color w:val="auto"/>
        </w:rPr>
        <w:t>Drug Rescue Variants</w:t>
      </w:r>
      <w:r>
        <w:rPr>
          <w:rFonts w:ascii="Times New Roman" w:cs="Times New Roman" w:eastAsia="Times New Roman" w:hAnsi="Times New Roman"/>
          <w:sz w:val="17"/>
          <w:szCs w:val="17"/>
          <w:color w:val="auto"/>
        </w:rPr>
        <w:t>, novel human cell-based assay systems for drug discovery, and pilot nonclinical regenerative medicine studies; (2) $________ for general and administrative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audit, legal and other professional services related to being a public company; (3) $________ for property, plant and equipment expenses; and (4) the</w:t>
      </w:r>
    </w:p>
    <w:p>
      <w:pPr>
        <w:spacing w:after="0" w:line="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remaining proceeds for working capital and other general corporate purposes. We may also acquire or invest in complementary businesses, technologies or other assets; however, we currently have no agreements or commitments to complete any such transaction.</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Pending other uses, we intend to invest our proceeds in short-term investments or hold them as cash. We cannot predict whether the proceeds invested will yield a favorable return. Our management will have broad discretion in the use of the net proceeds, and investors will be relying on the judgment of our management regarding the application of the net proceeds.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any cash dividends on our common stock in the near future. Any future determination as to the declaration and payment of dividends, if any, will be at the discretion of our board of directors, subject to applicable law, and will depend on then existing conditions, including our financial condition, operating results, contractual restrictions, capital requirements, general business conditions and other factors that our board of directors may deem relevant.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sets forth our capitalization as of December 31, 2013 which is derived from our unaudited financial information included elsewhere in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 an actual basis; and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on a pro forma basis giving effect to net proceeds from this Offering of approximately $________.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Series A preferred stock, $0.001 par value, 10,000,000 shares, including 500,000 Series A shares authorized,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500,000 Series A shares issued and outstanding, actual; 15,000,000 shares authorized, issued and outstanding,</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and pro forma as adjusted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$0.001 par value, 200,000,000 shares authorized; 25,295,185 shares issued, 22,581,877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actual; ________ shares issued and ________ shares outstanding, proforma</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2,713,308 shares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receivable from sale of common stock</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capitalization</w:t>
            </w:r>
          </w:p>
        </w:tc>
        <w:tc>
          <w:tcPr>
            <w:tcW w:w="4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_____</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in the table above excludes the following shares as of December 31, 2013:</w:t>
      </w:r>
    </w:p>
    <w:p>
      <w:pPr>
        <w:spacing w:after="0" w:line="217" w:lineRule="exact"/>
        <w:rPr>
          <w:sz w:val="20"/>
          <w:szCs w:val="20"/>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4,705,270 shares of common stock issuable upon the exercise of outstanding options</w:t>
      </w:r>
    </w:p>
    <w:p>
      <w:pPr>
        <w:spacing w:after="0" w:line="217"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15,710,885 shares of our common stock issuable upon the exercise of outstanding warrants;</w:t>
      </w:r>
    </w:p>
    <w:p>
      <w:pPr>
        <w:spacing w:after="0" w:line="217"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412,701 shares of common stock reserved for issuance under our 2008 Equity Incentive Plan;</w:t>
      </w:r>
    </w:p>
    <w:p>
      <w:pPr>
        <w:spacing w:after="0" w:line="243"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8,980,076 shares of our common stock issuable upon conversion of outstanding convertible notes and related accrued interest into common stock;</w:t>
      </w:r>
    </w:p>
    <w:p>
      <w:pPr>
        <w:spacing w:after="0" w:line="217"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upon exchange of our Series A Preferred; and</w:t>
      </w:r>
    </w:p>
    <w:p>
      <w:pPr>
        <w:spacing w:after="0" w:line="217"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our common stock issuable upon the exercise of warrants to be issued upon the exchange of our Series A Preferred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public offering price per share of our common stock and the pro forma net tangible book value per share of our common stock immediately after this Offering. As of December 31, 2013, our pro forma net tangible book value was approximately $____ million, or $____ per share of common stock. Pro forma net tangible book value per share represents the amount of our total tangible assets less total liabilities, divided by shares of common stock outstanding.</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Dilution in pro forma net tangible book value per share represents the difference between the amount per share paid by buyers of shares of our common stock in this Offering and the pro forma net tangible book value per share of our common stock immediately following this Offering. After giving effect to the receipt of the net proceeds from our sale of shares of common stock in this Offering at an assumed public offering price of $____ per share, our pro forma as adjusted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tangible book value as of December 31, 2013, would have been approximately $____ million, or $____ per share of common stock. This data represents 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 increase in pro forma net tangible book value of $____ per share to existing stockholders and an immediate dilution of $____ per share to new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purchasing shares at the public offering price.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the per share dilution to investors in this Offering:</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2013</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investors in this Offering</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2013, as adjusted to give effect to this Offering</w:t>
            </w: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 forma as adjusted dilution per share to investors in this Offering</w:t>
            </w:r>
          </w:p>
        </w:tc>
        <w:tc>
          <w:tcPr>
            <w:tcW w:w="46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shows, on the pro forma basis described above, the difference between existing stockholders and new investors in this Offering with respect to the number of shares of common stock purchased from us, the total consideration paid and the average price paid per share, before deducting estimated Offering expenses payable by 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7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00" w:type="dxa"/>
            <w:vAlign w:val="bottom"/>
          </w:tcPr>
          <w:p>
            <w:pPr>
              <w:spacing w:after="0"/>
              <w:rPr>
                <w:sz w:val="20"/>
                <w:szCs w:val="20"/>
                <w:color w:val="auto"/>
              </w:rPr>
            </w:pPr>
          </w:p>
        </w:tc>
        <w:tc>
          <w:tcPr>
            <w:tcW w:w="26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00"/>
              <w:spacing w:after="0" w:line="192"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__%</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______</w:t>
            </w:r>
          </w:p>
        </w:tc>
        <w:tc>
          <w:tcPr>
            <w:tcW w:w="1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__%</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__%</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______</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__%</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w:t>
            </w: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______</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___%</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share information set forth above is as of December 31, 2013 and excludes:</w:t>
      </w:r>
    </w:p>
    <w:p>
      <w:pPr>
        <w:spacing w:after="0" w:line="217" w:lineRule="exact"/>
        <w:rPr>
          <w:sz w:val="20"/>
          <w:szCs w:val="20"/>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4,705,270 shares of common stock issuable upon the exercise of outstanding options;</w:t>
      </w:r>
    </w:p>
    <w:p>
      <w:pPr>
        <w:spacing w:after="0" w:line="217"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15,710,885 shares of our common stock issuable upon the exercise of outstanding warrants;</w:t>
      </w:r>
    </w:p>
    <w:p>
      <w:pPr>
        <w:spacing w:after="0" w:line="217"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412,701 shares of common stock reserved for issuance under our 2008 Equity Incentive Plan;</w:t>
      </w:r>
    </w:p>
    <w:p>
      <w:pPr>
        <w:spacing w:after="0" w:line="243"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8,980,076 shares of our common stock issuable upon conversion of outstanding convertible notes and related accrued interest into common stock;</w:t>
      </w:r>
    </w:p>
    <w:p>
      <w:pPr>
        <w:spacing w:after="0" w:line="217"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upon conversion of our Series A Preferred; and</w:t>
      </w:r>
    </w:p>
    <w:p>
      <w:pPr>
        <w:spacing w:after="0" w:line="217" w:lineRule="exact"/>
        <w:rPr>
          <w:rFonts w:ascii="Times New Roman" w:cs="Times New Roman" w:eastAsia="Times New Roman" w:hAnsi="Times New Roman"/>
          <w:sz w:val="18"/>
          <w:szCs w:val="18"/>
          <w:color w:val="auto"/>
        </w:rPr>
      </w:pPr>
    </w:p>
    <w:p>
      <w:pPr>
        <w:ind w:left="820" w:hanging="43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our common stock issuable upon the exercise of warrants to be issued upon the conversion of our Series A Preferred.</w:t>
      </w:r>
    </w:p>
    <w:p>
      <w:pPr>
        <w:spacing w:after="0" w:line="2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To the extent that any outstanding Series A Preferred are exchanged for common stock and/or any outstanding options or warrants are exercised, new investors will experience further dilution.</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derived the selected statement of operations data for the years ended March 31, 2012 and 2013, and the selected balance sheet data as of March 31, 2012 and 2013 from our audited consolidated financial statements included elsewhere in this prospectus. The unaudited condensed consolidated statements of operations data for the nine months ended December 31, 2012 and 2013 and the unaudited condensed consolidated balance sheet data as of December 31, 2013 have been derived from our unaudited condensed consolidated financial statements included elsewhere in this prospectus. We have prepared the unaudited condensed consolidated financial information on the same basis as the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the results to be expected for the full fiscal year. The following selected financial data should be read in conjunction with “Management’s discussion and analysis of financial condition and results of operations” and our financial statements and related notes included elsewhere in this prospectus.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2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2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3,431</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warrant and other derivative liabilities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(1,636)</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(12,208)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(23,080)</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 loss attributable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common stockholders</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18,108,444</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14,736,651</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21,554,929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Pro-forma net loss attributable to common stockholders, basic and diluted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____</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used in computing pro-forma basic and diluted net loss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______</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40" w:hanging="234"/>
        <w:spacing w:after="0" w:line="274"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weighted-average common shares used in computing pro forma net loss per share attributable to common stockholders in the table above gives effect to the issuance of ______ shares of common stock pursuant to this Offering on a retroactive basis for each of the periods presented.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280" w:type="dxa"/>
            <w:vAlign w:val="bottom"/>
          </w:tcPr>
          <w:p>
            <w:pPr>
              <w:spacing w:after="0"/>
              <w:rPr>
                <w:sz w:val="16"/>
                <w:szCs w:val="16"/>
                <w:color w:val="auto"/>
              </w:rPr>
            </w:pPr>
          </w:p>
        </w:tc>
        <w:tc>
          <w:tcPr>
            <w:tcW w:w="166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w w:val="97"/>
              </w:rPr>
              <w:t>December 31,</w:t>
            </w:r>
          </w:p>
        </w:tc>
        <w:tc>
          <w:tcPr>
            <w:tcW w:w="102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Pro forma</w:t>
            </w:r>
          </w:p>
        </w:tc>
        <w:tc>
          <w:tcPr>
            <w:tcW w:w="0" w:type="dxa"/>
            <w:vAlign w:val="bottom"/>
          </w:tcPr>
          <w:p>
            <w:pPr>
              <w:spacing w:after="0"/>
              <w:rPr>
                <w:sz w:val="1"/>
                <w:szCs w:val="1"/>
                <w:color w:val="auto"/>
              </w:rPr>
            </w:pPr>
          </w:p>
        </w:tc>
      </w:tr>
      <w:tr>
        <w:trPr>
          <w:trHeight w:val="238"/>
        </w:trPr>
        <w:tc>
          <w:tcPr>
            <w:tcW w:w="1120" w:type="dxa"/>
            <w:vAlign w:val="bottom"/>
            <w:tcBorders>
              <w:top w:val="single" w:sz="8" w:color="0000EE"/>
            </w:tcBorders>
          </w:tcPr>
          <w:p>
            <w:pPr>
              <w:spacing w:after="0"/>
              <w:rPr>
                <w:sz w:val="20"/>
                <w:szCs w:val="20"/>
                <w:color w:val="auto"/>
              </w:rPr>
            </w:pPr>
          </w:p>
        </w:tc>
        <w:tc>
          <w:tcPr>
            <w:tcW w:w="4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vMerge w:val="continue"/>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2013</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18"/>
                <w:szCs w:val="18"/>
                <w:color w:val="auto"/>
                <w:w w:val="97"/>
              </w:rPr>
              <w:t>as adjusted</w:t>
            </w:r>
            <w:r>
              <w:rPr>
                <w:rFonts w:ascii="Times New Roman" w:cs="Times New Roman" w:eastAsia="Times New Roman" w:hAnsi="Times New Roman"/>
                <w:sz w:val="24"/>
                <w:szCs w:val="24"/>
                <w:color w:val="auto"/>
                <w:w w:val="97"/>
                <w:vertAlign w:val="superscript"/>
              </w:rPr>
              <w:t>(1)</w:t>
            </w:r>
          </w:p>
        </w:tc>
        <w:tc>
          <w:tcPr>
            <w:tcW w:w="0" w:type="dxa"/>
            <w:vAlign w:val="bottom"/>
          </w:tcPr>
          <w:p>
            <w:pPr>
              <w:spacing w:after="0"/>
              <w:rPr>
                <w:sz w:val="1"/>
                <w:szCs w:val="1"/>
                <w:color w:val="auto"/>
              </w:rPr>
            </w:pPr>
          </w:p>
        </w:tc>
      </w:tr>
      <w:tr>
        <w:trPr>
          <w:trHeight w:val="42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______</w:t>
            </w:r>
          </w:p>
        </w:tc>
        <w:tc>
          <w:tcPr>
            <w:tcW w:w="0" w:type="dxa"/>
            <w:vAlign w:val="bottom"/>
          </w:tcPr>
          <w:p>
            <w:pPr>
              <w:spacing w:after="0"/>
              <w:rPr>
                <w:sz w:val="1"/>
                <w:szCs w:val="1"/>
                <w:color w:val="auto"/>
              </w:rPr>
            </w:pPr>
          </w:p>
        </w:tc>
      </w:t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672</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3,712</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5,470</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(67,669)</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(68,812)</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(12,556)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(11,670)</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hanging="334"/>
        <w:spacing w:after="0" w:line="27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balance sheet data reflects estimated net proceeds of $________ received pursuant to the sale of ______ shares of our common stock at an assumed public offering price of $________ per share, less estimated Offering expenses, as of December 31, 2013.</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biotechnology company with expertise applying human pluripotent stem cell technology for drug rescue and regenerative medicine.</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is based on a combination of proprietary and exclusively licensed stem cell technologies focused on controlling stem cell differentiation and production of multiple types of mature, functional, adult human cells from pluripotent stem cells, with emphasis on the human heart cells and liver cells used in our bioassay systems for drug rescue.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With mature heart cells produced from stem cells, we have developed </w:t>
      </w:r>
      <w:r>
        <w:rPr>
          <w:rFonts w:ascii="Times New Roman" w:cs="Times New Roman" w:eastAsia="Times New Roman" w:hAnsi="Times New Roman"/>
          <w:sz w:val="18"/>
          <w:szCs w:val="18"/>
          <w:i w:val="1"/>
          <w:iCs w:val="1"/>
          <w:color w:val="auto"/>
        </w:rPr>
        <w:t>CardioSafe 3D</w:t>
      </w:r>
      <w:r>
        <w:rPr>
          <w:rFonts w:ascii="Times New Roman" w:cs="Times New Roman" w:eastAsia="Times New Roman" w:hAnsi="Times New Roman"/>
          <w:sz w:val="18"/>
          <w:szCs w:val="18"/>
          <w:color w:val="auto"/>
        </w:rPr>
        <w:t xml:space="preserve">, a novel bioassay system for assessing cardiotoxicity. We believe </w:t>
      </w:r>
      <w:r>
        <w:rPr>
          <w:rFonts w:ascii="Times New Roman" w:cs="Times New Roman" w:eastAsia="Times New Roman" w:hAnsi="Times New Roman"/>
          <w:sz w:val="18"/>
          <w:szCs w:val="18"/>
          <w:i w:val="1"/>
          <w:iCs w:val="1"/>
          <w:color w:val="auto"/>
        </w:rPr>
        <w:t xml:space="preserve">CardioSafe 3D </w:t>
      </w:r>
      <w:r>
        <w:rPr>
          <w:rFonts w:ascii="Times New Roman" w:cs="Times New Roman" w:eastAsia="Times New Roman" w:hAnsi="Times New Roman"/>
          <w:sz w:val="18"/>
          <w:szCs w:val="18"/>
          <w:color w:val="auto"/>
        </w:rPr>
        <w:t>is capable of predicting the</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cardiac effects, both toxic and non-toxic, of small molecule drug candidates before they are ever tested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animals or humans. We are validating </w:t>
      </w:r>
      <w:r>
        <w:rPr>
          <w:rFonts w:ascii="Times New Roman" w:cs="Times New Roman" w:eastAsia="Times New Roman" w:hAnsi="Times New Roman"/>
          <w:sz w:val="18"/>
          <w:szCs w:val="18"/>
          <w:i w:val="1"/>
          <w:iCs w:val="1"/>
          <w:color w:val="auto"/>
        </w:rPr>
        <w:t>LiverSafe 3D</w:t>
      </w:r>
      <w:r>
        <w:rPr>
          <w:rFonts w:ascii="Times New Roman" w:cs="Times New Roman" w:eastAsia="Times New Roman" w:hAnsi="Times New Roman"/>
          <w:sz w:val="18"/>
          <w:szCs w:val="18"/>
          <w:color w:val="auto"/>
        </w:rPr>
        <w:t>, our novel human liver cell-based bioassay system, for assessing potential liver toxicity and adverse drug-drug interactions early in development. We believe our human pluripotent stem cell-derived bioassay systems will allow us to assess the heart and liver safety profile of new drug candidates with greater speed and precision than nonclinical surrogate safety testing models currently used in drug development.</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drug rescue business model involves the combination of our human pluripotent stem cell technology with medicinal chemistry. The primary goals of our drug rescue programs are to generate and license to third-parties new, safer proprietary variants of once-promising small molecule drug candidates that pharmaceutical companies and others have discovered, evaluated as having therapeutic and commercial potential and ultimately discontinued prior to market approval due to unexpected heart or liver safety concerns. We refer to these once-promising drug candidates now suitable for our drug rescue programs as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Rescue Candidates</w:t>
      </w:r>
      <w:r>
        <w:rPr>
          <w:rFonts w:ascii="Times New Roman" w:cs="Times New Roman" w:eastAsia="Times New Roman" w:hAnsi="Times New Roman"/>
          <w:sz w:val="18"/>
          <w:szCs w:val="18"/>
          <w:color w:val="auto"/>
        </w:rPr>
        <w:t>. And we refer to the new, safer proprietary variants we intend to generate in our drug rescue programs as</w:t>
      </w:r>
      <w:r>
        <w:rPr>
          <w:rFonts w:ascii="Times New Roman" w:cs="Times New Roman" w:eastAsia="Times New Roman" w:hAnsi="Times New Roman"/>
          <w:sz w:val="18"/>
          <w:szCs w:val="18"/>
          <w:i w:val="1"/>
          <w:iCs w:val="1"/>
          <w:color w:val="auto"/>
        </w:rPr>
        <w:t xml:space="preserve"> Drug Rescue Variants</w:t>
      </w:r>
      <w:r>
        <w:rPr>
          <w:rFonts w:ascii="Times New Roman" w:cs="Times New Roman" w:eastAsia="Times New Roman" w:hAnsi="Times New Roman"/>
          <w:sz w:val="18"/>
          <w:szCs w:val="18"/>
          <w:color w:val="auto"/>
        </w:rPr>
        <w:t>. Our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rescue strategy is to leverage prior investment 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by pharmaceutical companies and others, unique heart and liver biology insight from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 and/or</w:t>
      </w:r>
      <w:r>
        <w:rPr>
          <w:rFonts w:ascii="Times New Roman" w:cs="Times New Roman" w:eastAsia="Times New Roman" w:hAnsi="Times New Roman"/>
          <w:sz w:val="18"/>
          <w:szCs w:val="18"/>
          <w:i w:val="1"/>
          <w:iCs w:val="1"/>
          <w:color w:val="auto"/>
        </w:rPr>
        <w:t xml:space="preserve"> LiverSafe </w:t>
      </w:r>
      <w:r>
        <w:rPr>
          <w:rFonts w:ascii="Times New Roman" w:cs="Times New Roman" w:eastAsia="Times New Roman" w:hAnsi="Times New Roman"/>
          <w:sz w:val="18"/>
          <w:szCs w:val="18"/>
          <w:color w:val="auto"/>
        </w:rPr>
        <w:t>3D, and medicinal chemistry to generate</w:t>
      </w:r>
      <w:r>
        <w:rPr>
          <w:rFonts w:ascii="Times New Roman" w:cs="Times New Roman" w:eastAsia="Times New Roman" w:hAnsi="Times New Roman"/>
          <w:sz w:val="18"/>
          <w:szCs w:val="18"/>
          <w:i w:val="1"/>
          <w:iCs w:val="1"/>
          <w:color w:val="auto"/>
        </w:rPr>
        <w:t xml:space="preserve"> Drug Rescue Variants </w:t>
      </w:r>
      <w:r>
        <w:rPr>
          <w:rFonts w:ascii="Times New Roman" w:cs="Times New Roman" w:eastAsia="Times New Roman" w:hAnsi="Times New Roman"/>
          <w:sz w:val="18"/>
          <w:szCs w:val="18"/>
          <w:color w:val="auto"/>
        </w:rPr>
        <w:t>for license to pharmaceutical companies and others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commercialization.</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We are utilizing the vast amount of information available in the public domain with respect to identification of potential </w:t>
      </w:r>
      <w:r>
        <w:rPr>
          <w:rFonts w:ascii="Times New Roman" w:cs="Times New Roman" w:eastAsia="Times New Roman" w:hAnsi="Times New Roman"/>
          <w:sz w:val="17"/>
          <w:szCs w:val="17"/>
          <w:i w:val="1"/>
          <w:iCs w:val="1"/>
          <w:color w:val="auto"/>
        </w:rPr>
        <w:t>Drug Rescue Candidates</w:t>
      </w:r>
      <w:r>
        <w:rPr>
          <w:rFonts w:ascii="Times New Roman" w:cs="Times New Roman" w:eastAsia="Times New Roman" w:hAnsi="Times New Roman"/>
          <w:sz w:val="17"/>
          <w:szCs w:val="17"/>
          <w:color w:val="auto"/>
        </w:rPr>
        <w:t xml:space="preserve">. We may also seek to acquire rights to certain </w:t>
      </w:r>
      <w:r>
        <w:rPr>
          <w:rFonts w:ascii="Times New Roman" w:cs="Times New Roman" w:eastAsia="Times New Roman" w:hAnsi="Times New Roman"/>
          <w:sz w:val="17"/>
          <w:szCs w:val="17"/>
          <w:i w:val="1"/>
          <w:iCs w:val="1"/>
          <w:color w:val="auto"/>
        </w:rPr>
        <w:t>Drug Rescue Candidates</w:t>
      </w:r>
      <w:r>
        <w:rPr>
          <w:rFonts w:ascii="Times New Roman" w:cs="Times New Roman" w:eastAsia="Times New Roman" w:hAnsi="Times New Roman"/>
          <w:sz w:val="17"/>
          <w:szCs w:val="17"/>
          <w:color w:val="auto"/>
        </w:rPr>
        <w:t xml:space="preserve"> from third-parties, including biotechnology, medicinal chemistry and pharmaceutical companies, contract research organizations, and academic, governmental and nonprofit research institutions. We anticipate having economic rights in each lead </w:t>
      </w:r>
      <w:r>
        <w:rPr>
          <w:rFonts w:ascii="Times New Roman" w:cs="Times New Roman" w:eastAsia="Times New Roman" w:hAnsi="Times New Roman"/>
          <w:sz w:val="17"/>
          <w:szCs w:val="17"/>
          <w:i w:val="1"/>
          <w:iCs w:val="1"/>
          <w:color w:val="auto"/>
        </w:rPr>
        <w:t>Drug Rescue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Variant </w:t>
      </w:r>
      <w:r>
        <w:rPr>
          <w:rFonts w:ascii="Times New Roman" w:cs="Times New Roman" w:eastAsia="Times New Roman" w:hAnsi="Times New Roman"/>
          <w:sz w:val="17"/>
          <w:szCs w:val="17"/>
          <w:color w:val="auto"/>
        </w:rPr>
        <w:t>we license, including up-front payments, development milestone payments and, if approved for commercial sale, royalty payments on sales.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to our drug rescue programs, we are planning to explore pilot nonclinical development opportunities relating to regenerative medicine, including stem cell-based small molecule drug discovery, focused on blood, bone, cartilage, heart, liver and pancreas (insulin-producing beta-islet) cells. Each of these regenerative medicine programs would be based on the proprietary controlled differentiation and production capabilities of our </w:t>
      </w:r>
      <w:r>
        <w:rPr>
          <w:rFonts w:ascii="Times New Roman" w:cs="Times New Roman" w:eastAsia="Times New Roman" w:hAnsi="Times New Roman"/>
          <w:sz w:val="18"/>
          <w:szCs w:val="18"/>
          <w:i w:val="1"/>
          <w:iCs w:val="1"/>
          <w:color w:val="auto"/>
        </w:rPr>
        <w:t>Human Clinical Trials in a 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Tube </w:t>
      </w:r>
      <w:r>
        <w:rPr>
          <w:rFonts w:ascii="Times New Roman" w:cs="Times New Roman" w:eastAsia="Times New Roman" w:hAnsi="Times New Roman"/>
          <w:sz w:val="18"/>
          <w:szCs w:val="18"/>
          <w:color w:val="auto"/>
        </w:rPr>
        <w:t>platform.</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grant funding from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we have successfully completed Phase 1 development of AV-101. AV-101 is an orally available small molecule prodrug candidate aimed at the multi-billion dollar neurological disease and disorders market, including neuropathic pain, a serious and chronic condition causing pain after an injury or disease of the peripheral or central nervous system, epilepsy and depression. We were awarded over $8.8 million of grant funding from the NIH to support our nonclinical and Phase I clinical development of AV-101 for neuropathic pain. We intend to explore potential strategic partnering alternatives for further clinical development and commercialization of AV-101 for neuropathic pain, epilepsy, depression and potentially other neurological conditions and diseases.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We are in the development stage and, since inception, have devoted substantially all of our time and efforts to stem cell research and bioassay development, small molecule drug development, creating, protecting and patenting intellectual property, recruiting personnel and raising working capital. As of March 31, 2013 and December 31, 2013, we had an accumulated deficit of $67.7 million and $68.8 million, respectively. Our net loss for the years ended March 31, 2013 and 2012 was $12.9 million and $12.2 million, respectively, and was $1.1 million for the nine months ended December 31, 2013. We expect these conditions to continue for the foreseeable future as we expand our drug rescue activities and the capabilities of our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platform.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Fiscal Year 2013</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During the fiscal year ending March 31, 2013, we continued to expand the capabilities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develop and validate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Additionally, we continued to advance our review of prospective drug rescue candidates and successfully completed Phase 1 clinical development of AV-101, our small molecule drug candidate for neuropathic pain, epilepsy, depression and other neurological disorders. We also directed concentrated effort to finalizing and analyzing our AV-101 Phase 1b clinical trial results and preparing final clinical study reports required under the terms of our NIH grant awards. Our executive management was significantly focused on providing sufficient operating capital to advance our research and development objectives while meeting our continuing operational needs. To that end, in June 2012 and October 2012 we entered into agreements with Platinum Long Term Growth VII, LLC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pursuant to which we received an aggregate of $3.25 million in cash proceeds from the issuance of senior secured convertible promissory notes and related warrants to purchase 3.25 million restricted shares of our common stock. Subject to certain adjustments, these notes are convertible into restricted shares of our common stock at a conversion price of $0.50 per share and the warrants are exercisable at an exercise price of $0.50 per share. Further, we modified Platinum’s exchange rights with respect to the 500,000 restricted shares of our Series A preferred stock that it holds. Additionally, we entered into strategic debt restructuring agreements with certain long-term service providers and research and development collaborators to modify the payment requirements of our liabilities to them by significantly reducing the monthly cash payment requirements or, in several cases, to entirely restructure the liability so that it is now payable only in restricted shares of our common stock.</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2012, we entered into such a strategic debt restructuring agreement with Morrison &amp; Foerster ("</w:t>
      </w:r>
      <w:r>
        <w:rPr>
          <w:rFonts w:ascii="Times New Roman" w:cs="Times New Roman" w:eastAsia="Times New Roman" w:hAnsi="Times New Roman"/>
          <w:sz w:val="18"/>
          <w:szCs w:val="18"/>
          <w:i w:val="1"/>
          <w:iCs w:val="1"/>
          <w:color w:val="auto"/>
        </w:rPr>
        <w:t>M&amp;F</w:t>
      </w:r>
      <w:r>
        <w:rPr>
          <w:rFonts w:ascii="Times New Roman" w:cs="Times New Roman" w:eastAsia="Times New Roman" w:hAnsi="Times New Roman"/>
          <w:sz w:val="18"/>
          <w:szCs w:val="18"/>
          <w:color w:val="auto"/>
        </w:rPr>
        <w:t>"), our former general corporate counsel and our current intellectual property counsel. Pursuant to the M&amp;F strategic debt restructuring agreement, we converted approximately $1.4 million of our then-existing promissory note debt to M&amp;F into a new unsecured promissory note payable only in restricted shares of our common stock in connection with M&amp;F’s future exercise of a warrant to purchase approximately 1.4 million shares of our common stock at $1.00 per share, provided, however, that M&amp;F has the option to require us to repay the note in cash upon a change of control or event of default, as both are defined in the agreement.</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2012, we entered into similar strategic debt restructuring agreements with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our CRO collaborator for development of AV-101, and University Health Network ("</w:t>
      </w:r>
      <w:r>
        <w:rPr>
          <w:rFonts w:ascii="Times New Roman" w:cs="Times New Roman" w:eastAsia="Times New Roman" w:hAnsi="Times New Roman"/>
          <w:sz w:val="18"/>
          <w:szCs w:val="18"/>
          <w:i w:val="1"/>
          <w:iCs w:val="1"/>
          <w:color w:val="auto"/>
        </w:rPr>
        <w:t>UHN"</w:t>
      </w:r>
      <w:r>
        <w:rPr>
          <w:rFonts w:ascii="Times New Roman" w:cs="Times New Roman" w:eastAsia="Times New Roman" w:hAnsi="Times New Roman"/>
          <w:sz w:val="18"/>
          <w:szCs w:val="18"/>
          <w:color w:val="auto"/>
        </w:rPr>
        <w:t xml:space="preserve">), our long-term stem cell research and development collaborator in Canada, in which we converted approximately $1.0 million of existing accounts payable debt owed to CRL and approximately $0.55 million of existing accounts payable debt owed to UHN into new unsecured promissory notes payable only in restricted shares of our common stock in connection with future warrant exercises by CRL and UHN to purchase approximately 1,000,000 and 550,000 restricted shares of our common stock, respectively, at $1.00 per share. Additionally, we reduced the current monthly unsecured promissory note payment requirements with respect to existing debt of $1.0 million owed to M&amp;F and $0.3 million owed to Cato Holding Company. The Platinum, M&amp;F, CRL and UHN debt restructuring transactions are described in greater detail in Note 8, </w:t>
      </w:r>
      <w:r>
        <w:rPr>
          <w:rFonts w:ascii="Times New Roman" w:cs="Times New Roman" w:eastAsia="Times New Roman" w:hAnsi="Times New Roman"/>
          <w:sz w:val="18"/>
          <w:szCs w:val="18"/>
          <w:i w:val="1"/>
          <w:iCs w:val="1"/>
          <w:color w:val="auto"/>
        </w:rPr>
        <w:t>Convertible Promissory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and Note 9,</w:t>
      </w:r>
      <w:r>
        <w:rPr>
          <w:rFonts w:ascii="Times New Roman" w:cs="Times New Roman" w:eastAsia="Times New Roman" w:hAnsi="Times New Roman"/>
          <w:sz w:val="18"/>
          <w:szCs w:val="18"/>
          <w:i w:val="1"/>
          <w:iCs w:val="1"/>
          <w:color w:val="auto"/>
        </w:rPr>
        <w:t xml:space="preserve"> Capital Stock, </w:t>
      </w:r>
      <w:r>
        <w:rPr>
          <w:rFonts w:ascii="Times New Roman" w:cs="Times New Roman" w:eastAsia="Times New Roman" w:hAnsi="Times New Roman"/>
          <w:sz w:val="18"/>
          <w:szCs w:val="18"/>
          <w:color w:val="auto"/>
        </w:rPr>
        <w:t>in the Consolidated Financial Statements included in our audited financial statements and related notes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prospectus. The accounting for these transactions resulted in the recognition in the financial statements for fiscal 2013 of (i) non-cash losses attributable to certain of the debt modifications (loss on early extinguishment of debt); (ii) liabilities related to certain of the warrants issued and potentially issuable to Platinum and the related non-cash expense attributable to the change in the fair value of the warrant liability during the period; (iii) non-cash interest expense attributable to the discounts recorded with respect to the Platinum, M&amp;F, CRL and UHN promissory notes; and (iv) a deemed dividend with respect to the modification of the exchange rights for the shares of our Series A preferred stock held by Platinum and the related prospective issuance of a five-year warrant to purchase restricted shares of our common stock upon Platinum’s exercise of its Series A preferred stock exchange rights. These transactions and agreements, including the conversion of certain unsecured promissory notes into shares of restricted common stock, the exercise of warrants to purchase restricted common stock or Platinum’s exercise of its exchange rights with respect to the shares of our Series A preferred stock it holds, will potentially require the issuance of a significant number of restricted shares of our common stock at various points in the future, which may be substantially dilutive to our existing stockholders. See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8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fiscal years ended March 31, 2013 and 2012 (amounts in $000):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Fiscal Year Ended 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warrant and put and note extension option liabilities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(23,080)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primary sources of revenue for the fiscal years ended March 31, 2013 and 2012 were government grant awards from the NIH to pursue the development of AV-101 and from California Institute of Regenerative Medicine (CIRM) to develop our bioassay system for predictive liver toxicology and drug metabolism drug screening, and from a strategic research contract with third parties. Our AV-101 grant from the NIH accounted for 94% and 87% of our total revenue for fiscal year 2013 and 2012, respectively. The NIH grant expired in its normal course on June 30, 2012. Our CIRM grant terminated in September 2011 and accounted for 6% of our total revenue in fiscal year 2012. Government grant revenue typically reimburses us for expenses incurred in the subject research area plus a nominal allocation or fee to cover our related administrative and infrastructure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represented approximately 49% and 52% of our operating expenses for the years ended March 31, 2013 and 2012, respectively.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spacing w:after="0" w:line="181" w:lineRule="exact"/>
        <w:rPr>
          <w:sz w:val="20"/>
          <w:szCs w:val="20"/>
          <w:color w:val="auto"/>
        </w:rPr>
      </w:pPr>
    </w:p>
    <w:p>
      <w:pPr>
        <w:ind w:left="580" w:right="660" w:hanging="336"/>
        <w:spacing w:after="0" w:line="181" w:lineRule="auto"/>
        <w:tabs>
          <w:tab w:leader="none" w:pos="580" w:val="left"/>
        </w:tabs>
        <w:numPr>
          <w:ilvl w:val="0"/>
          <w:numId w:val="2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salaries, benefits, including stock-based compensation costs, travel and related expense for personnel associated with research and development activities;</w:t>
      </w:r>
    </w:p>
    <w:p>
      <w:pPr>
        <w:spacing w:after="0" w:line="194" w:lineRule="exact"/>
        <w:rPr>
          <w:rFonts w:ascii="Times New Roman" w:cs="Times New Roman" w:eastAsia="Times New Roman" w:hAnsi="Times New Roman"/>
          <w:sz w:val="34"/>
          <w:szCs w:val="34"/>
          <w:color w:val="auto"/>
          <w:vertAlign w:val="subscript"/>
        </w:rPr>
      </w:pPr>
    </w:p>
    <w:p>
      <w:pPr>
        <w:ind w:left="580" w:right="100" w:hanging="336"/>
        <w:spacing w:after="0" w:line="181" w:lineRule="auto"/>
        <w:tabs>
          <w:tab w:leader="none" w:pos="580" w:val="left"/>
        </w:tabs>
        <w:numPr>
          <w:ilvl w:val="0"/>
          <w:numId w:val="2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fees paid to contract research organizations and other professional service providers for services related to the conduct and analysis of clinical trials and other development activities;</w:t>
      </w:r>
    </w:p>
    <w:p>
      <w:pPr>
        <w:spacing w:after="0" w:line="194" w:lineRule="exact"/>
        <w:rPr>
          <w:rFonts w:ascii="Times New Roman" w:cs="Times New Roman" w:eastAsia="Times New Roman" w:hAnsi="Times New Roman"/>
          <w:sz w:val="34"/>
          <w:szCs w:val="34"/>
          <w:color w:val="auto"/>
          <w:vertAlign w:val="subscript"/>
        </w:rPr>
      </w:pPr>
    </w:p>
    <w:p>
      <w:pPr>
        <w:ind w:left="580" w:right="100" w:hanging="336"/>
        <w:spacing w:after="0" w:line="181" w:lineRule="auto"/>
        <w:tabs>
          <w:tab w:leader="none" w:pos="580" w:val="left"/>
        </w:tabs>
        <w:numPr>
          <w:ilvl w:val="0"/>
          <w:numId w:val="2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fees paid to third parties for access to licensed technology and costs associated with securing and maintaining patents related to our internally generated inventions;</w:t>
      </w:r>
    </w:p>
    <w:p>
      <w:pPr>
        <w:spacing w:after="0" w:line="194" w:lineRule="exact"/>
        <w:rPr>
          <w:rFonts w:ascii="Times New Roman" w:cs="Times New Roman" w:eastAsia="Times New Roman" w:hAnsi="Times New Roman"/>
          <w:sz w:val="34"/>
          <w:szCs w:val="34"/>
          <w:color w:val="auto"/>
          <w:vertAlign w:val="subscript"/>
        </w:rPr>
      </w:pPr>
    </w:p>
    <w:p>
      <w:pPr>
        <w:ind w:left="580" w:hanging="336"/>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materials;</w:t>
      </w:r>
    </w:p>
    <w:p>
      <w:pPr>
        <w:spacing w:after="0" w:line="217"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and depreciation of laboratory equipment; and</w:t>
      </w:r>
    </w:p>
    <w:p>
      <w:pPr>
        <w:spacing w:after="0" w:line="217"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costs of facilities and infrastructure.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 Following the Merger in May 2011, we increased our administrative headcount and engaged certain consulting services to meet our obligations as a public reporting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incurred interest expense on the outstanding balance of our convertible promissory notes issued beginning in 2006, substantially all of which were converted into Units consisting of restricted common stock and warrants in May 2011 at a price of $1.75 per Unit in connection with the Merger. We also incurred interest expense on the May 2011 Platinum Note prior to its exchange into our Series A preferred stock in December 2011, on the Senior Secured Convertible Promissory Notes issued to Platinum in October 2012 and in February 2013 and March 2013, and on various notes issued to certain service providers during the years ended March 31, 2011 and 2012 and on the new and modified notes issued to Morrison &amp; Foerster, Cato Research Ltd. and University Health Network during the year ended March 31, 2013.</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recorded non-cash expense in fiscal 2013 and 2012 related to the change in the fair values of the derivatives associated with various promissory notes issued to Platinum prior to fiscal 2012 and during fiscal 2013. In fiscal 2013, we recorded non-cash losses on early extinguishment of debt in connection with the modification of certain promissory notes issued to Platinum, Morrison &amp; Foerster, Cato Holding Company and to investors in convertible promissory notes issued in February 2012 as well as in connection with the settlement of accounts payable by issuing promissory notes to Cato Research Ltd and University Health Network, In fiscal 2012, we recorded a non-cash loss on early extinguishment of debt related to the exchange of the Platinum Note into shares of our Series A preferred stock under the terms of a note and warrant exchange agreement. In fiscal 2013, we also recorded a non-cash deemed dividend related to the modification of the exchange rights of our Series A preferred stock held by Platinum and the impact of the prospective issuance of a five-year warrant to purchase restricted shares of our common stock upon Platinum’s exercise of its Series A Preferred exchange rights.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Estimates</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financial statements and the related notes included elsewhere in this prospectus are prepared in accordance with accounting principles generally accepted in the United States of America. The preparation of financial statements in conformity with United States generally accepted accounting principles (GAAP) requires us to make estimates and assumptions that affect the reported amounts of assets, liabilities, revenues, costs and expenses and related disclosures in our consolidated financial statements and accompanying notes to our consolidated financial statements. These estimates include useful lives for property and equipment and related depreciation calculations, and assumptions for valuing options, warrants and other stock-based compensation. We base our estimates on historical experience and on various other assumptions that we believe to be reasonable under the circumstances. Changes in accounting estimates may occur from period to period. Accordingly, our actual results could differ significantly from the estimates made by our management. We evaluate our estimates and assumptions on an ongoing basis. To the extent that there are materials differences between these estimates and actual results, our future consolidated financial statement presentation, financial condition, results of operations and cash flows will be affected.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involve a greater degree of judgment and complexity than our other accounting policies. Accordingly, these are the policies we believe are the most critical to understanding and evaluating our financial condition and results of operations. Our accounting policies are more fully described in Note 3 of the notes to our consolidated financial statements for our fiscal year ended March 31, 2013 included elsewhere in this prospectus.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revenues consist primarily of revenues from government grant awards and strategic collaborations. We recognize revenue under the provisions of the Securities and Exchange Commission issued Staff Accounting Bulletin 104, Topic 13, </w:t>
      </w:r>
      <w:r>
        <w:rPr>
          <w:rFonts w:ascii="Times New Roman" w:cs="Times New Roman" w:eastAsia="Times New Roman" w:hAnsi="Times New Roman"/>
          <w:sz w:val="18"/>
          <w:szCs w:val="18"/>
          <w:i w:val="1"/>
          <w:iCs w:val="1"/>
          <w:color w:val="auto"/>
        </w:rPr>
        <w:t>Revenue Recognition Revised and Updated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SAB 104</w:t>
      </w:r>
      <w:r>
        <w:rPr>
          <w:rFonts w:ascii="Times New Roman" w:cs="Times New Roman" w:eastAsia="Times New Roman" w:hAnsi="Times New Roman"/>
          <w:sz w:val="18"/>
          <w:szCs w:val="18"/>
          <w:color w:val="auto"/>
        </w:rPr>
        <w:t>”) and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605-25, </w:t>
      </w:r>
      <w:r>
        <w:rPr>
          <w:rFonts w:ascii="Times New Roman" w:cs="Times New Roman" w:eastAsia="Times New Roman" w:hAnsi="Times New Roman"/>
          <w:sz w:val="18"/>
          <w:szCs w:val="18"/>
          <w:i w:val="1"/>
          <w:iCs w:val="1"/>
          <w:color w:val="auto"/>
        </w:rPr>
        <w:t>Revenue Arrangements-Multiple Element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605-25</w:t>
      </w:r>
      <w:r>
        <w:rPr>
          <w:rFonts w:ascii="Times New Roman" w:cs="Times New Roman" w:eastAsia="Times New Roman" w:hAnsi="Times New Roman"/>
          <w:sz w:val="18"/>
          <w:szCs w:val="18"/>
          <w:color w:val="auto"/>
        </w:rPr>
        <w:t>”). Revenue for arrangements not having multiple deliverables, as outlined in ASC 605-25, is recognized once costs are incurred and collectability is reasonably assured.</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spacing w:after="0" w:line="202" w:lineRule="exact"/>
        <w:rPr>
          <w:sz w:val="20"/>
          <w:szCs w:val="20"/>
          <w:color w:val="auto"/>
        </w:rPr>
      </w:pPr>
    </w:p>
    <w:p>
      <w:pPr>
        <w:jc w:val="both"/>
        <w:ind w:left="520" w:hanging="315"/>
        <w:spacing w:after="0" w:line="249"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12" w:lineRule="exact"/>
        <w:rPr>
          <w:rFonts w:ascii="Times New Roman" w:cs="Times New Roman" w:eastAsia="Times New Roman" w:hAnsi="Times New Roman"/>
          <w:sz w:val="18"/>
          <w:szCs w:val="18"/>
          <w:color w:val="auto"/>
        </w:rPr>
      </w:pPr>
    </w:p>
    <w:p>
      <w:pPr>
        <w:jc w:val="both"/>
        <w:ind w:left="520" w:hanging="315"/>
        <w:spacing w:after="0" w:line="255"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207" w:lineRule="exact"/>
        <w:rPr>
          <w:rFonts w:ascii="Times New Roman" w:cs="Times New Roman" w:eastAsia="Times New Roman" w:hAnsi="Times New Roman"/>
          <w:sz w:val="18"/>
          <w:szCs w:val="18"/>
          <w:color w:val="auto"/>
        </w:rPr>
      </w:pPr>
    </w:p>
    <w:p>
      <w:pPr>
        <w:ind w:left="520" w:hanging="315"/>
        <w:spacing w:after="0" w:line="274"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360-10</w:t>
      </w:r>
      <w:r>
        <w:rPr>
          <w:rFonts w:ascii="Times New Roman" w:cs="Times New Roman" w:eastAsia="Times New Roman" w:hAnsi="Times New Roman"/>
          <w:sz w:val="18"/>
          <w:szCs w:val="18"/>
          <w:i w:val="1"/>
          <w:iCs w:val="1"/>
          <w:color w:val="auto"/>
        </w:rPr>
        <w:t>, Property, Plant &amp; Equipment—Overall</w:t>
      </w:r>
      <w:r>
        <w:rPr>
          <w:rFonts w:ascii="Times New Roman" w:cs="Times New Roman" w:eastAsia="Times New Roman" w:hAnsi="Times New Roman"/>
          <w:sz w:val="18"/>
          <w:szCs w:val="18"/>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and AV-101. All such costs are charged to expense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We account for stock-based payment arrangements in accordance with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and ASC 505-50, </w:t>
      </w:r>
      <w:r>
        <w:rPr>
          <w:rFonts w:ascii="Times New Roman" w:cs="Times New Roman" w:eastAsia="Times New Roman" w:hAnsi="Times New Roman"/>
          <w:sz w:val="17"/>
          <w:szCs w:val="17"/>
          <w:i w:val="1"/>
          <w:iCs w:val="1"/>
          <w:color w:val="auto"/>
        </w:rPr>
        <w:t>Equity-Equity 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Payments to Non-Employees </w:t>
      </w:r>
      <w:r>
        <w:rPr>
          <w:rFonts w:ascii="Times New Roman" w:cs="Times New Roman" w:eastAsia="Times New Roman" w:hAnsi="Times New Roman"/>
          <w:sz w:val="17"/>
          <w:szCs w:val="17"/>
          <w:color w:val="auto"/>
        </w:rPr>
        <w:t>which requires the recognition of compensation expense, using a fair-value based method, for all costs related to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have issued certain warrants to Platinum and, subject to Platinum’s exercise of its rights to exchange shares of our Series A preferred stock that it holds, we are also obligated to issue an additional warrant to Platinum, that each contain an exercise price adjustment feature in the event we subsequently issue additional equity instruments at a price lower than the exercise price of the warrants. We account for these warrants as non-cash liabilities and estimate their fair value as described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and Note 9</w:t>
      </w:r>
      <w:r>
        <w:rPr>
          <w:rFonts w:ascii="Times New Roman" w:cs="Times New Roman" w:eastAsia="Times New Roman" w:hAnsi="Times New Roman"/>
          <w:sz w:val="18"/>
          <w:szCs w:val="18"/>
          <w:i w:val="1"/>
          <w:iCs w:val="1"/>
          <w:color w:val="auto"/>
        </w:rPr>
        <w:t>, Capital Stock</w:t>
      </w:r>
      <w:r>
        <w:rPr>
          <w:rFonts w:ascii="Times New Roman" w:cs="Times New Roman" w:eastAsia="Times New Roman" w:hAnsi="Times New Roman"/>
          <w:sz w:val="18"/>
          <w:szCs w:val="18"/>
          <w:color w:val="auto"/>
        </w:rPr>
        <w:t xml:space="preserve"> in the Consolidated Financial Statements included in our audited financial statements and related notes included elsewhere in this prospectus. We compute the fair value of the warrant liability at each reporting period. The change in the fair value is recorded as non-cash expense or non-cash income. The key component in determining the fair value of the warrant and the related liability is our stock price, which is subject to significant fluctuation and is not under our control. The resulting change in the fair value of the warrant liability on our net income or loss is therefore also subject to significant fluctuation and will continue to be so until all of the warrants are issued and exercised, amended or expire. Assuming all other fair value inputs remain generally constant, we will record an increase in the warrant liability and non-cash expense when our stock price increases and a decrease in the warrant liability and non-cash income when our stock price decreases.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46"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See Note 3 to our consolidated financial statements for our fiscal year ended March 31, 2013 included elsewhere in this prospectus for information on recent accounting pronouncements.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March 31, 2013 and 2012</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compares our primary revenue sources between the periods (in $000):</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6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Fiscal Year Ended 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NIH - AV-101 grant</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CIRM grant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Subcontract revenue</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limited project work on AV-101 continued through fiscal 2013, we reported no grant revenue from the NIH grant after the first quarter of fiscal 2013, as the grant expired in its normal course at June 30, 2012. We had drawn the maximum amount available under the grant award prior to its expiration. Our work under the CIRM grant was completed in the quarter ended September 30, 2011. Revenue associated with our subcontract research arrangement terminated in May 2012.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Research and development expense decreased by 36% to $3.4 million in fiscal 2013 compared to $5.4 million in fiscal 2012. The following table compares the primary components of research and development expense between the periods (in $000):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Fiscal Years Ended 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4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UHN research under SRCA</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Project-related third-party research and supplies:</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AV-101</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CIRM</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All other including CardioSafe and LiverSafe</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4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40" w:type="dxa"/>
            <w:vAlign w:val="bottom"/>
            <w:vMerge w:val="restart"/>
          </w:tcPr>
          <w:p>
            <w:pPr>
              <w:jc w:val="right"/>
              <w:ind w:right="2852"/>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Salary and benefits expense decreased primarily as a result of voluntary salary reductions taken by our executive officers during the last three quarters of fiscal 2013 to conserve cash for our operations and the absence in fiscal 2013 of a compensation bonus granted in fiscal 2012, partially offset by the costs attributable to additional scientific personnel added since June 2011. Stock-based compensation increased in fiscal 2013 compared to fiscal 2012 primarily as a result of recognizing (i) the expense resulting from the October 2012 modification of certain stock option grants having exercise prices between $1.13 per share and $2.58 per share made to certain of our scientific personnel, administrative staff and certain strategic consultants in prior years to reduce the exercise price to $0.75 per share and (ii) the March 2013 grant to our Chief Scientific Officer of a ten-year warrant to purchase 1,000,000 shares of our common stock at an exercise price of $0.64 per share. Partially offsetting this increase was the expense impact of certain option grants made in prior years that became fully-vested late in fiscal year 2012 or in the first quarter of fiscal 2013, requiring little, if any, expense during fiscal 2013. Sponsored research in both fiscal 2013 and fiscal 2012 reflects the continuation of our long-term stem cell research collaboration with UHN and Dr. Gordon Keller’s laboratory in accordance with modifications to our sponsored research collaboration agreement with UHN made in the third and fourth quarters of fiscal 2012 and in a further modification effective beginning in the third quarter of fiscal 2013. Additionally, fiscal 2012 expense for sponsored research at UHN included a non-cash grant of our common stock valued at $175,000 made in May 2011. Technology license expense decreased in fiscal 2013 reflecting reduced costs for patent prosecution and protection that we are required to fund under the terms of certain of our license agreements. We recognize these costs as they are passed on to us by the licensors and they do not occur ratably throughout the year or between years. We began a Phase 1b clinical trial of AV-101 early in calendar 2012 and completed it late in calendar 2012, with expenses during the second half of fiscal 2013 primarily reflecting the costs associated with finalizing and analyzing the Phase 1b clinical trial results and preparing final clinical study reports required under the terms of the NIH grant, primarily through third-party collaborators, including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AV-101 expenses in fiscal 2012 included the costs of preparing for the clinical trial and other primarily grant-reimbursable efforts conducted by CRL and other third-party collaborators. The CIRM grant expired at the end of September 2011 and grant-funded effort on that project has ceased. We do not track internal research and development expenses, including compensation costs, by project as we do not currently believe that such project accounting is required given the level and overlap of project resources, including staffing, that are dedicated to our research and development projects. Warrant modification expense in fiscal 2012 relates to the non-cash expense we recorded as a result of the December 2011 Agreement Regarding Payment of Invoices and Warrant Exercises between the Company and Cato Holding Company (CHC), CRL and certain CHC affiliates pursuant to which CHC and the CHC affiliates exercised warrants at discounted exercise prices to purchase an aggregate of 492,541 restricted shares of our common stock and we received $60,200 cash, and, in lieu of cash payment for certain of the warrant exercises, settled outstanding liabilities of $245,300 for past services received from CRL and prepaid $226,400 for future services that were received from CRL.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 decreased by 29% to $3.6 million in fiscal 2013 compared to $5.0 million in fiscal 2012. The following table compares the primary components of general and administrative expense between the periods (in $000):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6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Fiscal Years Ended 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516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4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516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3,562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400" w:type="dxa"/>
            <w:vAlign w:val="bottom"/>
            <w:vMerge w:val="restart"/>
          </w:tcPr>
          <w:p>
            <w:pPr>
              <w:jc w:val="right"/>
              <w:ind w:right="2852"/>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decrease in salaries and benefits expense in fiscal 2013 compared with fiscal 2012 results primarily from our May 2011 forgiveness, in conjunction with our going-public transaction, of notes receivable from certain officers in the aggregate amount of $185,000, plus an accrual for related tax gross-ups aggregating approximately $136,000 to which they remain entitled, which we recorded as compensation expense. Partially offsetting that decrease is the impact of converting certain current employees from consulting status during fiscal 2012 to employee status in fiscal 2013. Stock-based compensation expense decreased in fiscal 2013 as option grants of significant size and expense made in prior years became fully-vested in the second half of fiscal 2012, requiring no additional expense in fiscal 2013. Partially offsetting that decrease is the impact of recognizing (i) the expense resulting from the October 2012 modification of certain stock option grants having exercise prices between $1.13 per share and $2.58 per share made to certain administrative employees and business consultants in prior years to reduce the exercise price to $0.75 per share and (ii) the March 2013 grant to our executive officers and independent members of our board of directors of ten-year warrants to purchase an aggregate of 2,000,000 restricted shares of our common stock at an exercise price of $0.64 per share. Legal, accounting and other professional fees in fiscal 2012 included significant one-time charges related to the Merger and going-public transaction and positioning us for our initial public and SEC reporting status. Expense recorded in the current year reflects more normalized levels. Since becoming a public reporting and publicly-traded company, we have engaged certain third parties to provide us with investor relations and market awareness services that were not necessary as a private company. A portion of the compensation that we have provided to certain of these providers has been in the form of grants of restricted common stock or warrants to purchase restricted common stock. In those situations, we have expensed the grant date fair value of the restricted stock or warrants ratably over the term of the underlying contract, all of which have been completed at March 31, 2013. Additionally, we incurred non-cash warrant modification expense totaling $507,000 in fiscal 2013 related to reducing the exercise price of certain outstanding warrants to purchase our common stock, as described in Note 9 to our Consolidated Financial Statements included elsewhere in this prospectus. In fiscal 2012, we incurred non-cash warrant modification expense of $641,000 related to reducing the exercise price and, in some cases, extending the term, of certain outstanding warrants to purchase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expenses, net includes interest expense, net of interest income, in both years, and the non-cash impact of changes in the fair value of the warrant liabilities related to warrants issued or issuable to Platinum as a result of the October 2012 Agreement in fiscal 2013 and of the derivatives treated as liabilities resulting from the issuance of prior notes and warrants to Platinum in fiscal 2012. Other expenses, net also includes the non-cash loss on extinguishment of debt resulting from the modification of indebtedness to Platinum, M&amp;F, CRL and UHN, as well as the conversion by the holders of our 12% Convertible Promissory Notes issued in February 2012 into restricted shares of our common stock and warrants during fiscal 2013, and the cancellation of a $4.0 million note issued to Platinum and Platinum’s related exercise of warrants and exchange of restricted shares of our common stock into restricted shares of our Series A preferred stock during fiscal 2012.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the primary components of net interest expense between the periods (in $000):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Fiscal 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promissory notes, including discount amortization</w:t>
            </w:r>
          </w:p>
        </w:tc>
        <w:tc>
          <w:tcPr>
            <w:tcW w:w="3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Charge for fair value of replacement warrants issued in connection</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with exercise of modified warrants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Charge related to losses on accounts payable settled by issuance</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of common stock or notes payable</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w w:val="98"/>
              </w:rPr>
              <w:t>Charge for investment banker warrants related to February 2012 Convertible</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promissory notes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Charge for legal fees related to issuance of Senior Secured Promissory</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Notes to Platinum under June and October 2012 agreements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expense, including on capital leases and premium financing</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fluctuations on notes payable</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480" w:type="dxa"/>
            <w:vAlign w:val="bottom"/>
            <w:tcBorders>
              <w:top w:val="single" w:sz="8" w:color="CCEEFF"/>
            </w:tcBorders>
          </w:tcPr>
          <w:p>
            <w:pPr>
              <w:spacing w:after="0"/>
              <w:rPr>
                <w:sz w:val="24"/>
                <w:szCs w:val="24"/>
                <w:color w:val="auto"/>
              </w:rPr>
            </w:pPr>
          </w:p>
        </w:tc>
        <w:tc>
          <w:tcPr>
            <w:tcW w:w="3300" w:type="dxa"/>
            <w:vAlign w:val="bottom"/>
            <w:tcBorders>
              <w:top w:val="single" w:sz="8" w:color="CCEEFF"/>
            </w:tcBorders>
          </w:tcPr>
          <w:p>
            <w:pPr>
              <w:jc w:val="right"/>
              <w:ind w:right="2852"/>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reduction of interest expense applicable to promissory notes and amortization of the related discounts primarily reflects the effect of the December 2011 conversion to equity of $4.0 million principal amount of 10% convertible notes plus accrued interest issued to Platinum prior to fiscal 2012, including the amortization of related note discounts. Further, in April and May 2011, other convertible notes and accrued interest outstanding prior to the Merger were converted into restricted common stock at the time of the Merger. Offsetting these reductions is the accrued interest and discount amortization recorded for the July 2012 through March 2013 issuance and restructuring of an aggregate of $3.3 million of 10% senior secured convertible notes to Platinum and the restructuring of an additional $3.9 million of debt into new convertible notes to other service providers including M&amp;F, CRL and UHN. Additionally, during the quarter ended September 30, 2012, we issued restricted shares of our common stock and a note payable in settlement of certain past due accounts payable liabilities and recognized losses aggregating $80,000 based on the fair value of the restricted stock and note issued compared to the recorded liability. In fiscal 2013, we recognized interest income related to the restructuring of the May 2011 note receivable we accepted for the purchase of shares of our common stock.</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In conjunction with the issuance, pursuant to the October 2012 Agreement, of the Senior Secured Convertible Promissory Notes and related Exchange Warrant and Investment Warrants to Platinum in October 2012, February 2013 and March 2013 (as described more completely in Note 8, </w:t>
      </w:r>
      <w:r>
        <w:rPr>
          <w:rFonts w:ascii="Times New Roman" w:cs="Times New Roman" w:eastAsia="Times New Roman" w:hAnsi="Times New Roman"/>
          <w:sz w:val="17"/>
          <w:szCs w:val="17"/>
          <w:i w:val="1"/>
          <w:iCs w:val="1"/>
          <w:color w:val="auto"/>
        </w:rPr>
        <w:t>Convertible Promissory 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Other Notes Payable </w:t>
      </w:r>
      <w:r>
        <w:rPr>
          <w:rFonts w:ascii="Times New Roman" w:cs="Times New Roman" w:eastAsia="Times New Roman" w:hAnsi="Times New Roman"/>
          <w:sz w:val="17"/>
          <w:szCs w:val="17"/>
          <w:color w:val="auto"/>
        </w:rPr>
        <w:t>in our Consolidated Financial Statements included elsewhere in this prospectus and the potential issuance of the Series A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Warrant to Platinum (as described in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xml:space="preserve"> in our Consolidated Financial Statements included elsewhere in this prospectus), we determined that the warrants included certain exercise price adjustment features requiring the warrants to be treated as liabilities. We recorded the warrant liability at its estimated fair value as of the date of warrant issuance or contract execution. During fiscal 2013, we recognized non-cash expense of $1.6 million related to the increase in the estimated fair value of these liabilities, which resulted primarily from the increase in the market price of our common stock related to the anticipated exercise price of the warrants. The $78,000 of non-cash expense recognized in fiscal year 2012 related to the termination of liability treatment for certain derivatives associated with earlier notes and warrants issued to Platinum as a result of our May 2011 going-public transaction.</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recognized non-cash losses on the early extinguishment of debt in the aggregate amount of $3.6 million in fiscal 2013 as a result of the restructuring of notes payable to Platinum and CHC, and the restructuring of accounts payable to CRL and UHN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8, </w:t>
      </w:r>
      <w:r>
        <w:rPr>
          <w:rFonts w:ascii="Times New Roman" w:cs="Times New Roman" w:eastAsia="Times New Roman" w:hAnsi="Times New Roman"/>
          <w:sz w:val="18"/>
          <w:szCs w:val="18"/>
          <w:i w:val="1"/>
          <w:iCs w:val="1"/>
          <w:color w:val="auto"/>
        </w:rPr>
        <w:t>Convertible Promissory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in our Consolidated Financial Statements included elsewhere in this prospectus. In fiscal 2012, we recognized a non-cash loss of $1.2 million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early extinguishment of debt in connection with the cancellation of a $4.0 million note and related accrued interest issued to Platinum and Platinum’s related exercise of warrants and exchange of shares of our common stock into shares of our Series A Preferred.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2012, in connection with the Note and Exchange Agreement we entered with Platinum, as described in Note 8, </w:t>
      </w:r>
      <w:r>
        <w:rPr>
          <w:rFonts w:ascii="Times New Roman" w:cs="Times New Roman" w:eastAsia="Times New Roman" w:hAnsi="Times New Roman"/>
          <w:sz w:val="18"/>
          <w:szCs w:val="18"/>
          <w:i w:val="1"/>
          <w:iCs w:val="1"/>
          <w:color w:val="auto"/>
        </w:rPr>
        <w:t>Convertible Promissory Notes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Notes Payable, </w:t>
      </w:r>
      <w:r>
        <w:rPr>
          <w:rFonts w:ascii="Times New Roman" w:cs="Times New Roman" w:eastAsia="Times New Roman" w:hAnsi="Times New Roman"/>
          <w:sz w:val="18"/>
          <w:szCs w:val="18"/>
          <w:color w:val="auto"/>
        </w:rPr>
        <w:t>and Note 9,</w:t>
      </w:r>
      <w:r>
        <w:rPr>
          <w:rFonts w:ascii="Times New Roman" w:cs="Times New Roman" w:eastAsia="Times New Roman" w:hAnsi="Times New Roman"/>
          <w:sz w:val="18"/>
          <w:szCs w:val="18"/>
          <w:i w:val="1"/>
          <w:iCs w:val="1"/>
          <w:color w:val="auto"/>
        </w:rPr>
        <w:t xml:space="preserve"> Capital Stock</w:t>
      </w:r>
      <w:r>
        <w:rPr>
          <w:rFonts w:ascii="Times New Roman" w:cs="Times New Roman" w:eastAsia="Times New Roman" w:hAnsi="Times New Roman"/>
          <w:sz w:val="18"/>
          <w:szCs w:val="18"/>
          <w:color w:val="auto"/>
        </w:rPr>
        <w:t>, in our Consolidated Financial Statements included elsewhere in this prospectus, we recorded a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dividend of $10.2 million as a result of the modification of the exchange rights for the Series A Preferred held by Platinum and the related prospective issuance of a five-year warrant to purchase shares of our common stock upon Platinum’s exercise of its Series A Preferred exchange rights.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December 31, 2013 and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nine months ended December 31, 2013 and 2012 (amounts in $000):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warrant liabilities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compares our primary revenue sources between the periods (in $000):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NIH - AV-101 grant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Subcontract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successfully completed our Phase I development of AV-101, our prodrug candidate for the treatment of neuropathic pain and, potentially, epilepsy,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Research and development expense totaled $1,916,000 for the nine months ended December 31, 2013, a decrease of 38% compared to $3,092,000 for the nine months ended December 31, 2012. The following table indicates the primary components of research and development for each of the periods (in $000):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UHN research under SRCA</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Project-related third-party research and supplies: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AV-101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 other including CardioSafe and LiverSafe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124" w:right="2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increase in R&amp;D salaries and benefits expense reflects the impact of (i) the addition of a research technician in April 2013; (ii) the partial restoration in April 2013 of an earlier voluntary salary reduction to below his contractual pay rate taken by our President and Chief Scientific Officer; and (iii) general annual increases in employee benefits costs. In addition to the ratable amortization of stock-based compensation expense over the requisite service period of the respective grants made in both the current year and in prior years, stock-based compensation expense for the nine months ended December 31, 2013 includes approximately $82,000 as the impact of October 2013 and December 2013 modifications to reduce the exercise price of certain outstanding option grants to $0.40 per share or $0.50 per share, as well as approximately $100,000 attributable to the expense resulting from the March 2013 grant of a warrant to our President and Chief Scientific Officer that vests over three years, subject to certain vesting acceleration events. Stock-based compensation expense for the quarter ended December 2012 includes approximately $558,000 as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2012 reflects our stem cell research collaboration in accordance with our agreements with UHN made in the third and fourth quarters of our fiscal year ended March 31, 2012 and in a further modification effective beginning in October 2012. Technology license expense has increased in 2013 reflecting significantly increased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the nine months ended December 31, 2012. AV-101 expenses in the nine months ended December 31, 2013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The increase in rent expense and depreciation for the nine months ended December 31, 2013 reflects increased rental costs and the amortization of tenant improvements related to our relocation to expanded facilities in late-July 2013.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 totaled $2,048,000 for the nine months ended December 31, 2013, a reduction of 16% compared with $2,430,000 for the nine months ended December 31, 2012. The following table indicates the primary components of general and administrative expenses for each of the periods (in $000):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60" w:type="dxa"/>
            <w:vAlign w:val="bottom"/>
            <w:tcBorders>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516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78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4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44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2,048</w:t>
            </w:r>
          </w:p>
        </w:tc>
        <w:tc>
          <w:tcPr>
            <w:tcW w:w="78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jc w:val="right"/>
              <w:ind w:right="2852"/>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part-time consultant to part-time employee status, and</w:t>
      </w:r>
    </w:p>
    <w:p>
      <w:pPr>
        <w:spacing w:after="0" w:line="1" w:lineRule="exact"/>
        <w:rPr>
          <w:sz w:val="20"/>
          <w:szCs w:val="20"/>
          <w:color w:val="auto"/>
        </w:rPr>
      </w:pPr>
    </w:p>
    <w:p>
      <w:pPr>
        <w:jc w:val="both"/>
        <w:ind w:firstLine="6"/>
        <w:spacing w:after="0" w:line="261" w:lineRule="auto"/>
        <w:tabs>
          <w:tab w:leader="none" w:pos="30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both the current year and in prior years, stock-based compensation expense for the quarter ended December 31, 2013 includes approximately $170,000 as the impact of October 2013 and December 2013 modifications to reduce the exercise price of certain outstanding option grants to $0.40 per share or $0.50 per share, as well as approximately $201,000 attributable to the expense resulting from the March 2013 grant of warrants vesting over three years, subject to certain vesting acceleration events, to certain members of our senior management and to the independent members of our Board of Directors. Stock-based compensation expense for the quarter ended December 2012 includes approximately $231,000 as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The reduction in legal, accounting and other professional fees is primarily the result of the conversion of our Chief Financial Officer from part-time consultant to full-time employee status, as noted above, partially offset by the impact of temporary employee fees. During 2012, we had engaged third parties to provide us with investor relations services and to conduct market awareness initiatives; for strategic purposes, we have significantly scaled back those initiatives during 2013. The 2013 increase in rent and utilities reflects increased costs related to our relocation to expanded facilities in late-July 2013. Warrant modification expense for 2013 reflects the impact of October 2013 and December 2013 strategic reductions in the exercise price of certain outstanding warrants, generally from $1.75 per share or $1.50 per share, to $0.50 per share, and in limited cases, the extension of the term of certain outstanding warrants. In May 2012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Expenses, Net</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expense, net totaled $1,000,000 for the nine months ended December 31, 2013, a 63% increase compared to the $612,000 reported for the nine months ended December 31, 2012. The following table summarizes the primary components of interest expense for each of the periods (in $000):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promissory notes, including discount amortization</w:t>
            </w: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Charge for fair value of replacement warrants issued in connection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 exercise of modified warrants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related to losses on accounts payable settled by issuance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of common stock or notes payable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Charge for investment banker warrants related to February 2012 Convertible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promissory notes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 expense, including on capital leases and premium financing</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fluctuations on notes payable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7,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Promissory Notes and Other Notes Payable, </w:t>
      </w:r>
      <w:r>
        <w:rPr>
          <w:rFonts w:ascii="Times New Roman" w:cs="Times New Roman" w:eastAsia="Times New Roman" w:hAnsi="Times New Roman"/>
          <w:sz w:val="18"/>
          <w:szCs w:val="18"/>
          <w:color w:val="auto"/>
        </w:rPr>
        <w:t>in the Condensed Consolidated Financial Statements included in this prospectus.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7, </w:t>
      </w:r>
      <w:r>
        <w:rPr>
          <w:rFonts w:ascii="Times New Roman" w:cs="Times New Roman" w:eastAsia="Times New Roman" w:hAnsi="Times New Roman"/>
          <w:sz w:val="17"/>
          <w:szCs w:val="17"/>
          <w:i w:val="1"/>
          <w:iCs w:val="1"/>
          <w:color w:val="auto"/>
        </w:rPr>
        <w:t>Convertible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Promissory Notes and Other Notes Payable, </w:t>
      </w:r>
      <w:r>
        <w:rPr>
          <w:rFonts w:ascii="Times New Roman" w:cs="Times New Roman" w:eastAsia="Times New Roman" w:hAnsi="Times New Roman"/>
          <w:sz w:val="17"/>
          <w:szCs w:val="17"/>
          <w:color w:val="auto"/>
        </w:rPr>
        <w:t>in the Condensed Consolidated Financial Statements included in this prospectus), and the contingent issuance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Series A Exchange Warrant to Platinum upon Platinum’s exchange of shares of our Series A Preferred Stock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the nine months ended December 31, 2013, we recognized non-cash income of $3,824,000 related to the net decrease in the estimated fair value of these liabilities since March 31, 2013, or issuance in the case of the warrant issued in July 2013, which resulted from a combination of (i) the May 2013 agreement with Platinum (described more completely in Note 9, </w:t>
      </w:r>
      <w:r>
        <w:rPr>
          <w:rFonts w:ascii="Times New Roman" w:cs="Times New Roman" w:eastAsia="Times New Roman" w:hAnsi="Times New Roman"/>
          <w:sz w:val="17"/>
          <w:szCs w:val="17"/>
          <w:i w:val="1"/>
          <w:iCs w:val="1"/>
          <w:color w:val="auto"/>
        </w:rPr>
        <w:t xml:space="preserve">Capital Stock, </w:t>
      </w:r>
      <w:r>
        <w:rPr>
          <w:rFonts w:ascii="Times New Roman" w:cs="Times New Roman" w:eastAsia="Times New Roman" w:hAnsi="Times New Roman"/>
          <w:sz w:val="17"/>
          <w:szCs w:val="17"/>
          <w:color w:val="auto"/>
        </w:rPr>
        <w:t>in the Condensed Consolidated Financial Statements included in this prospectus), pursuant to which the stated exercise price of the warrants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reduced from $1.50 per share to $0.50 per share, and (ii) the decrease in the market price of our common stock during that period.</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recognized non-cash losses on the early extinguishment of debt in the aggregate amount of $3.5 million during the nine months ended December 31, 2012 as a result of the restructuring of notes payable to Platinum and Cato Holding Company, and the restructuring of accounts payable to Cato Research, Ltd. and University Health Network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xml:space="preserve"> in the Consolidated Financial Statements included in this prospectus.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2012, in connection with the Note and Exchange Agreement we entered with Platinum, as described in Note 7, </w:t>
      </w:r>
      <w:r>
        <w:rPr>
          <w:rFonts w:ascii="Times New Roman" w:cs="Times New Roman" w:eastAsia="Times New Roman" w:hAnsi="Times New Roman"/>
          <w:sz w:val="18"/>
          <w:szCs w:val="18"/>
          <w:i w:val="1"/>
          <w:iCs w:val="1"/>
          <w:color w:val="auto"/>
        </w:rPr>
        <w:t>Convertible Promissory Notes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Notes Payable, </w:t>
      </w:r>
      <w:r>
        <w:rPr>
          <w:rFonts w:ascii="Times New Roman" w:cs="Times New Roman" w:eastAsia="Times New Roman" w:hAnsi="Times New Roman"/>
          <w:sz w:val="18"/>
          <w:szCs w:val="18"/>
          <w:color w:val="auto"/>
        </w:rPr>
        <w:t>and Note 9,</w:t>
      </w:r>
      <w:r>
        <w:rPr>
          <w:rFonts w:ascii="Times New Roman" w:cs="Times New Roman" w:eastAsia="Times New Roman" w:hAnsi="Times New Roman"/>
          <w:sz w:val="18"/>
          <w:szCs w:val="18"/>
          <w:i w:val="1"/>
          <w:iCs w:val="1"/>
          <w:color w:val="auto"/>
        </w:rPr>
        <w:t xml:space="preserve"> Capital Stock</w:t>
      </w:r>
      <w:r>
        <w:rPr>
          <w:rFonts w:ascii="Times New Roman" w:cs="Times New Roman" w:eastAsia="Times New Roman" w:hAnsi="Times New Roman"/>
          <w:sz w:val="18"/>
          <w:szCs w:val="18"/>
          <w:color w:val="auto"/>
        </w:rPr>
        <w:t>, in the Condensed Consolidated Financial Statements included in this prospectus, we recorded a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dividend of $10.2 million as a result of the modification of the exchange rights for the Series A Preferred held by Platinum and the related contingent issuance of a five-year warrant to purchase shares of our common stock upon Platinum’s exercise of its Series A Preferred exchange rights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At March 31, 2013, we had cash and cash equivalents of $638,100 and our current liabilities exceeded our current assets by $1.7 million. However, in April 2013, we entered into a Securities Purchase Agreement (as amended, the “</w:t>
      </w:r>
      <w:r>
        <w:rPr>
          <w:rFonts w:ascii="Times New Roman" w:cs="Times New Roman" w:eastAsia="Times New Roman" w:hAnsi="Times New Roman"/>
          <w:sz w:val="18"/>
          <w:szCs w:val="18"/>
          <w:i w:val="1"/>
          <w:iCs w:val="1"/>
          <w:color w:val="auto"/>
        </w:rPr>
        <w:t>Autilion Agreement</w:t>
      </w:r>
      <w:r>
        <w:rPr>
          <w:rFonts w:ascii="Times New Roman" w:cs="Times New Roman" w:eastAsia="Times New Roman" w:hAnsi="Times New Roman"/>
          <w:sz w:val="18"/>
          <w:szCs w:val="18"/>
          <w:color w:val="auto"/>
        </w:rPr>
        <w:t>”) pursuant to which, we have agreed to sell, and Autilion AG, a company organized and existing under the laws of Switzerland (“</w:t>
      </w:r>
      <w:r>
        <w:rPr>
          <w:rFonts w:ascii="Times New Roman" w:cs="Times New Roman" w:eastAsia="Times New Roman" w:hAnsi="Times New Roman"/>
          <w:sz w:val="18"/>
          <w:szCs w:val="18"/>
          <w:i w:val="1"/>
          <w:iCs w:val="1"/>
          <w:color w:val="auto"/>
        </w:rPr>
        <w:t>Autilion</w:t>
      </w:r>
      <w:r>
        <w:rPr>
          <w:rFonts w:ascii="Times New Roman" w:cs="Times New Roman" w:eastAsia="Times New Roman" w:hAnsi="Times New Roman"/>
          <w:sz w:val="18"/>
          <w:szCs w:val="18"/>
          <w:color w:val="auto"/>
        </w:rPr>
        <w:t>”), has agreed to purchase, 72.0 million restricted shares of our common stock for $0.50 per share resulting in aggregate gross proceeds to us of $36.0 million (the “</w:t>
      </w:r>
      <w:r>
        <w:rPr>
          <w:rFonts w:ascii="Times New Roman" w:cs="Times New Roman" w:eastAsia="Times New Roman" w:hAnsi="Times New Roman"/>
          <w:sz w:val="18"/>
          <w:szCs w:val="18"/>
          <w:i w:val="1"/>
          <w:iCs w:val="1"/>
          <w:color w:val="auto"/>
        </w:rPr>
        <w:t>Autilion Financing</w:t>
      </w:r>
      <w:r>
        <w:rPr>
          <w:rFonts w:ascii="Times New Roman" w:cs="Times New Roman" w:eastAsia="Times New Roman" w:hAnsi="Times New Roman"/>
          <w:sz w:val="18"/>
          <w:szCs w:val="18"/>
          <w:color w:val="auto"/>
        </w:rPr>
        <w:t>”). The Autilion Financing also provides for the election to our board of directors of a designee of Autilion. Through the date of this prospectus, we have completed only a nominal initial closing of the Autilion Financing. During our fiscal year ended March 31, 2013, we financed our operations primarily through the issuance of $3.3 million of 10% Senior Secured Convertible Promissory Notes to Platinum, the sale of units consisting of common stock and five-year warrants to purchase common stock that generated approximately $1.1 million of cash proceeds, and the exercise of warrants, most of which were modified to reduce their original exercise prices, that generated approximately $0.3 million of cash proceeds.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To meet our working capital needs prior to the closing of the Autilion Financing, during June and July 2013, we offered certain warrant holders the opportunity to exercise outstanding warrants having an exercise price of $1.50 per share to purchase shares of our restricted common stock at a reduced exercise price of $0.50 per share. Through July 2013, warrant holders exercised modified warrants to purchase an aggregate of 528,370 restricted shares of our common stock and we received cash proceeds of $264,200. In addition, certain long-term warrant holders exercised modified warrants to purchase 16,646 shares of our restricted common stock in lieu of payment by us in satisfaction of amounts due for professional services in the aggregate amount of $8,300. Additionally, in July 2013, we issued to Platinum a senior secured convertible note in the face amount of $250,000 (the July 2013 Note) and a five-year warrant to purchase 250,000 shares of our restricted common stock at an exercise price of $0.50 per share. Between August 2013 and February 14, 2014, we entered into securities purchase agreements with accredited investors pursuant to which we sold to such investors Units consisting, in aggregate, of: (i) one-year 10% convertible notes in the aggregate face amount of $970,000; (ii) an aggregate of 1,940,000 shares of our restricted common stock; and (iii) warrants exercisable through July 30, 2016 to purchase an aggregate of 1,940,000 restricted shares of our common stock at an exercise price of $1.00 per share. We received cash proceeds of $970,000 from the sale of the Units, including $50,000 in lieu of repayment of previous advances made to us by one of our executive officers. Under certain circumstances, the July 2013 Note issued to Platinum is convertible into Units.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in May 1998, we have financed our operations, technology development and technology acquisitions primarily through the issuance and sale of equity and equity-linked securities for cash consideration and convertible promissory notes and short-term promissory notes for cash proceeds of approximately $25.4 million, as well as from an aggregate of approximately $16.4 million of government research grant awards and strategic collaboration payments. Additionally, we have issued equity securities with an approximate value at issuance of $12.6 million, primarily as compensation for professional services rendered to us since inception.</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anticipate that our cash expenditures during the next twelve months will be approximately $4.0 million to $6.0 million. We believe that our current cash and cash equivalents, combined with the expected cash proceeds from either this Offering or the Autilion Financing, will enable us to fund our operations well beyond the next twelve months. However, Autilion is currently in default under the Autilion Agreement, and we can provide no assurance that we will complete the Autilion Financing in a timely manner or at all. In the event we do not complete this Offering and Autilion is unable to complete the Autilion Financing in substantial part or in full, we will need to meet our cash needs and fund our working capital requirements through a combination of additional private placements and public offerings of our securities, which may include both debt and equity securities, research and development collaborations, and government grant awards. Since our inception, we have demonstrated the ability to manage our costs aggressively and increase our operating efficiencies while advancing our stem cell technology platform and AV-101 development programs. To further advance drug rescue applications of our stem cell technology platform, as well as support our operating activities, we plan to continue to manage our monthly operating costs associated with salaries and benefits, regulatory and public company consulting, contract research and development, legal, accounting and other working capital costs carefully.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Although we have been successful since May 1998 with raising sufficient capital, and we will continue to pursue additional financing opportunities, as and when required, to meet our business objectives, there can be no assurance that additional capital will be available to us in sufficient amounts, on terms favorable to us, and without substantial dilution to our current stockholders, if at all. If we are unable to complete this Offering, the Autilion Financing or one or more private placements, or otherwise obtain sufficient financing through strategic collaborations or government grant awards, we may be required to delay, scale back or discontinue certain drug rescue and/or research and development activities, and this will adversely affect our ability to operate as a going concern and could cause our stock price to decline. If we obtain additional financing by selling our equity or debt securities, including sales of our common stock pursuant to the completion of this Offering or the Autilion Financing, substantial dilution to our existing stockholders will result. Our future working capital requirements will depend on many factors, including, without limitation, the scope and nature of our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including warrant exercises and sale of Units in 2012 and sale of Units in 2011</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We have two inactive, wholly-owned subsidiaries, Artemis Neuroscience, Inc., a Maryland corporation, and VistaStem Canada, Inc., an Ontario corporation.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0" w:name="page71"/>
    <w:bookmarkEnd w:id="70"/>
    <w:p>
      <w:pPr>
        <w:spacing w:after="0"/>
        <w:rPr>
          <w:rFonts w:ascii="Times New Roman" w:cs="Times New Roman" w:eastAsia="Times New Roman" w:hAnsi="Times New Roman"/>
          <w:sz w:val="16"/>
          <w:szCs w:val="16"/>
          <w:i w:val="1"/>
          <w:iCs w:val="1"/>
          <w:u w:val="single" w:color="auto"/>
          <w:color w:val="0000EE"/>
        </w:rPr>
      </w:pPr>
      <w:hyperlink w:anchor="page148">
        <w:r>
          <w:rPr>
            <w:rFonts w:ascii="Times New Roman" w:cs="Times New Roman" w:eastAsia="Times New Roman" w:hAnsi="Times New Roman"/>
            <w:sz w:val="16"/>
            <w:szCs w:val="16"/>
            <w:i w:val="1"/>
            <w:iCs w:val="1"/>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a stem cell company headquartered in South San Francisco, California and focused on drug rescue and regenerative medicine. We believe </w:t>
      </w:r>
      <w:r>
        <w:rPr>
          <w:rFonts w:ascii="Times New Roman" w:cs="Times New Roman" w:eastAsia="Times New Roman" w:hAnsi="Times New Roman"/>
          <w:sz w:val="18"/>
          <w:szCs w:val="18"/>
          <w:i w:val="1"/>
          <w:iCs w:val="1"/>
          <w:color w:val="auto"/>
        </w:rPr>
        <w:t>better cells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lead to better medicine</w:t>
      </w:r>
      <w:r>
        <w:rPr>
          <w:rFonts w:ascii="Times New Roman" w:cs="Times New Roman" w:eastAsia="Times New Roman" w:hAnsi="Times New Roman"/>
          <w:sz w:val="18"/>
          <w:szCs w:val="18"/>
          <w:color w:val="auto"/>
        </w:rPr>
        <w:t>™ and that the key to making better cells is precisely controlling the differentiation of human pluripotent stem cells, which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blocks of all cells of the human body. For over 15 years, our stem cell research and development teams and collaborators have focused on controlling the differentiation of pluripotent stem cells to produce multiple types of mature, functional, adult human cells, with emphasis on human heart and liver cells.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stem cell technology platform - Human Clinical Trials in a Test Tube™</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stem cell technology platform, which we refer to as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is based on a combination of proprietary and exclusively licensed technologies for controlling the differentiation of human pluripotent stem cells into multiple types of mature, functional, adult human cells that we use, or plan to develop, to reproduce complex human biology and disease. We are currently producing heart cells and liver cells for our drug rescue applications. Upon completion of this Offering, we intend to focus on the drug rescue applications utilizing human heart and liver cells, and further advance, through collaborative research projects, pharmaceutical applications of stem cell-derived blood, bone, cartilage, heart, liver and pancreatic beta-islet cells, including exploring opportunities to leverage our stem cell technology platform for regenerative medicine purposes. Our emphasis in the regenerative medicine arena will be on developing novel human disease models for discovery of small molecule drugs and biologics that activate the endogenous growth and healing processes enabling the body to repair tissue damage caused by certain degenerative diseases.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CardioSafe 3D™</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Using mature cardiomyocytes (heart cells) differentiated from human pluripotent stem cells, we have developed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 a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 used to assess new drug candidates for potential cardiac toxicity before they are tested in humans. We believe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capable of predicting the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cardiac effects, both toxic and non-toxic, of small molecule drug candidates with greater speed and precision than the long-established, surrogate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models most often used in drug development, including models using animal cells or live animals, and cellular assays using cadaver, immortalized or transformed cells. Our pluripotent stem cell derived cardiomyocytes (heart cells) and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are key components of our </w:t>
      </w:r>
      <w:r>
        <w:rPr>
          <w:rFonts w:ascii="Times New Roman" w:cs="Times New Roman" w:eastAsia="Times New Roman" w:hAnsi="Times New Roman"/>
          <w:sz w:val="18"/>
          <w:szCs w:val="18"/>
          <w:i w:val="1"/>
          <w:iCs w:val="1"/>
          <w:color w:val="auto"/>
        </w:rPr>
        <w:t>Human Clinical Trials in a 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Tube </w:t>
      </w:r>
      <w:r>
        <w:rPr>
          <w:rFonts w:ascii="Times New Roman" w:cs="Times New Roman" w:eastAsia="Times New Roman" w:hAnsi="Times New Roman"/>
          <w:sz w:val="18"/>
          <w:szCs w:val="18"/>
          <w:color w:val="auto"/>
        </w:rPr>
        <w:t>platform and drug rescue programs.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LiverSafe 3D™</w:t>
      </w:r>
    </w:p>
    <w:p>
      <w:pPr>
        <w:spacing w:after="0" w:line="2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Using mature, functional adult hepatocytes (liver cells) derived from human pluripotent stem cells, we are currently validating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our second novel stem cell technology-based bioassay system. We believe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will enable us to assess, early in development, new drug candidates for potential liver toxicity and particularly metabolism issues that can result in serious adverse drug-drug interactions, before animal or human testing. We plan to use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and the clinically predictive liver biology insight we believe it will provide us, to expand the scope of our commercial opportunities related to drug rescue.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Rescue</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believe drug rescue, using our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systems,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the foundation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is the highest-value near term commercial application of the human cells we produce. Detailed information is available to us in the public domain regarding the efficacy, pharmacology, formulation and toxicity of promising small molecule drug candidates developed by pharmaceutical and biotechnology companies which have failed due to unexpected heart or liver toxicity. These promising drug candidates have already been tested extensively and validated by a pharmaceutical or biotechnology company for their therapeutic (efficacy) and commercial potential. We refer to these promising new drug candidates that have been discovered, developed and ultimately terminated by pharmaceutical and biotechnology companies as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Failure of promising new drug candidates due to unexpected human clinical toxicity highlights the need for new paradigms to evaluate potential toxicity early in drug development. While efforts of pharmaceutical and biotechnology companies to improve their prediction of human clinical toxicity for new drug candidates is ongoing, the existence of many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offers us an opportunity to use our novel drug rescue technology to take advantage of these promising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each with early signs of efficacy, by eliminating the toxicity that caused them to be terminated, and bring new, safer versions back into development protected by new intellectual property. We refer to these new, safer versions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produce with our medicinal chemistry collaborator and validate internally in our bioassay systems as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designed our drug rescue model to leverage publicly available information and substantial prior investment by pharmaceutical companies and others in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The key commercial objective of our drug rescue model is to generate revenue from license, development and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arrangements involving the new, safer and proprietary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produce with our medicinal chemistry collaborator and validate internally in our bioassay systems prior to license. We anticipate that each validated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will be suitable as a promising drug development program, either internally or in collaboration with a strategic partner. Through stem cell technology-based drug rescue, we intend to become a leading source of proprietary, small molecule drug candidates to the global pharmaceutical industry.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Rescue Strategy</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believe the pre-existing public domain knowledge base supporting the therapeutic and commercial potential of our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will provide us with a valuable head start as we launch our drug rescue programs. Leveraging the substantial prior investments by global pharmaceutical companies and others in discovery and efficacy validation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is an essential component of our drug rescue strategy.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current drug rescue emphasis is on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discontinued prior to FDA market approval due to unexpected cardiac safety concerns. By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enhance our understanding of the cardiac liability profile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biological insight not previously available when the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was originally discovered and developed, we believe we can demonstrate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proof-of-concept as to the efficacy and safety of </w:t>
      </w:r>
      <w:r>
        <w:rPr>
          <w:rFonts w:ascii="Times New Roman" w:cs="Times New Roman" w:eastAsia="Times New Roman" w:hAnsi="Times New Roman"/>
          <w:sz w:val="18"/>
          <w:szCs w:val="18"/>
          <w:i w:val="1"/>
          <w:iCs w:val="1"/>
          <w:color w:val="auto"/>
        </w:rPr>
        <w:t xml:space="preserve">Drug Rescue Variants </w:t>
      </w:r>
      <w:r>
        <w:rPr>
          <w:rFonts w:ascii="Times New Roman" w:cs="Times New Roman" w:eastAsia="Times New Roman" w:hAnsi="Times New Roman"/>
          <w:sz w:val="18"/>
          <w:szCs w:val="18"/>
          <w:color w:val="auto"/>
        </w:rPr>
        <w:t>earlier in development and with substantially less investment in discovery and development than was required of the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companies prior to their decision to terminate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current drug rescue strategy are as follows:</w:t>
      </w:r>
    </w:p>
    <w:p>
      <w:pPr>
        <w:spacing w:after="0" w:line="242" w:lineRule="exact"/>
        <w:rPr>
          <w:sz w:val="20"/>
          <w:szCs w:val="20"/>
          <w:color w:val="auto"/>
        </w:rPr>
      </w:pPr>
    </w:p>
    <w:p>
      <w:pPr>
        <w:jc w:val="both"/>
        <w:ind w:left="640" w:hanging="338"/>
        <w:spacing w:after="0" w:line="25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identify potential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preferred provider of contract medicinal chemistry and contract clinical development services, respectively;</w:t>
      </w:r>
    </w:p>
    <w:p>
      <w:pPr>
        <w:spacing w:after="0" w:line="206"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leverage substantial prior R&amp;D investments made by global pharmaceutical companies and others to support the therapeutic and commercial potential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as an important criterion for selection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potential lead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enhance our understanding of the cardiac liability profile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important biological insight not available when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were originally discovered and developed by pharmaceutical companies;</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leverage our knowledgebase about each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specific chemistry to design and produce a portfolio of novel potential lead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for each</w:t>
      </w:r>
      <w:r>
        <w:rPr>
          <w:rFonts w:ascii="Times New Roman" w:cs="Times New Roman" w:eastAsia="Times New Roman" w:hAnsi="Times New Roman"/>
          <w:sz w:val="18"/>
          <w:szCs w:val="18"/>
          <w:i w:val="1"/>
          <w:iCs w:val="1"/>
          <w:color w:val="auto"/>
        </w:rPr>
        <w:t xml:space="preserve"> Drug Rescue Candidate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pre-existing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efficacy models to assess the efficacy and cardiac safety of potential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identify and validate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and</w:t>
      </w:r>
    </w:p>
    <w:p>
      <w:pPr>
        <w:spacing w:after="0" w:line="186" w:lineRule="exact"/>
        <w:rPr>
          <w:rFonts w:ascii="Times New Roman" w:cs="Times New Roman" w:eastAsia="Times New Roman" w:hAnsi="Times New Roman"/>
          <w:sz w:val="18"/>
          <w:szCs w:val="18"/>
          <w:color w:val="auto"/>
        </w:rPr>
      </w:pPr>
    </w:p>
    <w:p>
      <w:pPr>
        <w:ind w:left="640" w:hanging="338"/>
        <w:spacing w:after="0" w:line="276"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 each validated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global pharmaceutical company in a revenue-generating agreement providing for the full development, market approval and commercial sale of the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Rescue Candidates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current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are set forth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Drug Rescue Candidate Indication</w:t>
            </w:r>
          </w:p>
        </w:tc>
        <w:tc>
          <w:tcPr>
            <w:tcW w:w="1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Developer</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Terminated</w:t>
            </w:r>
          </w:p>
        </w:tc>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Reason for Termination Mechanism</w:t>
            </w:r>
          </w:p>
        </w:tc>
      </w:tr>
      <w:tr>
        <w:trPr>
          <w:trHeight w:val="212"/>
        </w:trPr>
        <w:tc>
          <w:tcPr>
            <w:tcW w:w="2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VSTA-1C05</w:t>
            </w:r>
          </w:p>
        </w:tc>
        <w:tc>
          <w:tcPr>
            <w:tcW w:w="1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Cancer</w:t>
            </w:r>
          </w:p>
        </w:tc>
        <w:tc>
          <w:tcPr>
            <w:tcW w:w="16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Pharma</w:t>
            </w:r>
          </w:p>
        </w:tc>
        <w:tc>
          <w:tcPr>
            <w:tcW w:w="1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Phase 1/2</w:t>
            </w:r>
          </w:p>
        </w:tc>
        <w:tc>
          <w:tcPr>
            <w:tcW w:w="18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Cardiotoxicity</w:t>
            </w:r>
          </w:p>
        </w:tc>
        <w:tc>
          <w:tcPr>
            <w:tcW w:w="33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Aurora kinase inhibitors</w:t>
            </w: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VSTA-1A08</w:t>
            </w:r>
          </w:p>
        </w:tc>
        <w:tc>
          <w:tcPr>
            <w:tcW w:w="1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Cancer</w:t>
            </w:r>
          </w:p>
        </w:tc>
        <w:tc>
          <w:tcPr>
            <w:tcW w:w="1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Biotech</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Preclinical</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Cardiotoxicity</w:t>
            </w: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PI3 kinase inhibitor</w:t>
            </w:r>
          </w:p>
        </w:tc>
      </w:tr>
      <w:tr>
        <w:trPr>
          <w:trHeight w:val="212"/>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VSTA-2A21</w:t>
            </w:r>
          </w:p>
        </w:tc>
        <w:tc>
          <w:tcPr>
            <w:tcW w:w="1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Dementia</w:t>
            </w: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Pharma</w:t>
            </w:r>
          </w:p>
        </w:tc>
        <w:tc>
          <w:tcPr>
            <w:tcW w:w="1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Preclinical</w:t>
            </w:r>
          </w:p>
        </w:tc>
        <w:tc>
          <w:tcPr>
            <w:tcW w:w="1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Cardiotoxicity</w:t>
            </w: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Nicotinic a7 receptors</w:t>
            </w:r>
          </w:p>
        </w:tc>
      </w:tr>
      <w:tr>
        <w:trPr>
          <w:trHeight w:val="23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VSTA-5A03</w:t>
            </w:r>
          </w:p>
        </w:tc>
        <w:tc>
          <w:tcPr>
            <w:tcW w:w="1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HIV</w:t>
            </w:r>
          </w:p>
        </w:tc>
        <w:tc>
          <w:tcPr>
            <w:tcW w:w="1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Pharma</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Preclinical</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Cardiotoxicity</w:t>
            </w: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Integrase inhibitor</w:t>
            </w:r>
          </w:p>
        </w:tc>
      </w:tr>
    </w:tbl>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believe our exclusive focus on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with established, therapeutic and commercial potential, and our ability to build on that valuable head start using our expertise in human biology, will help us to generate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without incurring certain high costs and risks typically inherent in drug discovery and development. Although we plan to continue to identify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in the public domain, we may also seek to acquire rights to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Candidates </w:t>
      </w:r>
      <w:r>
        <w:rPr>
          <w:rFonts w:ascii="Times New Roman" w:cs="Times New Roman" w:eastAsia="Times New Roman" w:hAnsi="Times New Roman"/>
          <w:sz w:val="18"/>
          <w:szCs w:val="18"/>
          <w:color w:val="auto"/>
        </w:rPr>
        <w:t>not available to us in the public domain by entering into contractual arrangements with third-parties.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Licensing of Drug Rescue Variants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many pharmaceutical companies are experiencing, and will continue to experience, critical R&amp;D productivity issues, as measured by their lack of, or very low number of, FDA-approved products each year during the past decade. For example, in 2013, the U.S. pharmaceutical industry invested over $51 billion in R&amp;D and the Center for Drug Evaluation and Research (CDER) of the FDA approved a total of only thirty-nine (39) novel drugs, known as New Molecular Entities (NMEs). In 2013, CDER approved only twenty-seven (27) NMEs, thirteen (13) of which NME approvals (48%) were received by only five (5) pharmaceutical companies, including Bayer (2), GlaxoSmithKline (4), Johnson &amp; Johnson (3), Roche (2) and Takeda (2). Despite remarkable levels of R&amp;D investment by the global pharmaceutical industry as a whole, since 2003, the FDA has only approved an average of approximately twenty-six (26) NMEs per year. In addition, we believe many pharmaceutical companies with established products that are no longer patent protected are also experiencing substantial market pressure from generic competition.</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a result of R&amp;D productivity issues, diminishing product pipelines and generic competition, we believe there is and will continue to be a critical need among pharmaceutical companies to license the new, safer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we are focused on developing, including companies that originally discovered, developed and ultimately discontinued the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we select for our drug rescue programs.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Once we achieve proof-of-concept (POC)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 to the efficacy and safety of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we intend to announce the results of our internal POC studies and, at that time, consider whether we will seek to license that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pharmaceutical company, including the company that developed the </w:t>
      </w:r>
      <w:r>
        <w:rPr>
          <w:rFonts w:ascii="Times New Roman" w:cs="Times New Roman" w:eastAsia="Times New Roman" w:hAnsi="Times New Roman"/>
          <w:sz w:val="18"/>
          <w:szCs w:val="18"/>
          <w:i w:val="1"/>
          <w:iCs w:val="1"/>
          <w:color w:val="auto"/>
        </w:rPr>
        <w:t>Drug Rescue Candidate</w:t>
      </w:r>
      <w:r>
        <w:rPr>
          <w:rFonts w:ascii="Times New Roman" w:cs="Times New Roman" w:eastAsia="Times New Roman" w:hAnsi="Times New Roman"/>
          <w:sz w:val="18"/>
          <w:szCs w:val="18"/>
          <w:color w:val="auto"/>
        </w:rPr>
        <w:t xml:space="preserve">, or further develop it on our own. If we decide to license a lead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to a pharmaceutical 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Times New Roman" w:cs="Times New Roman" w:eastAsia="Times New Roman" w:hAnsi="Times New Roman"/>
          <w:sz w:val="18"/>
          <w:szCs w:val="18"/>
          <w:i w:val="1"/>
          <w:iCs w:val="1"/>
          <w:color w:val="auto"/>
        </w:rPr>
        <w:t>Drug Rescue Variant</w:t>
      </w:r>
      <w:r>
        <w:rPr>
          <w:rFonts w:ascii="Times New Roman" w:cs="Times New Roman" w:eastAsia="Times New Roman" w:hAnsi="Times New Roman"/>
          <w:sz w:val="18"/>
          <w:szCs w:val="18"/>
          <w:color w:val="auto"/>
        </w:rPr>
        <w:t xml:space="preserve"> and that we will receive licensing revenue through payments to us from the license upon signing the license agreement, achievement of development and regulatory milestones, and, if approved and marketed, upon commercial sales.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and Drug Discovery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Although we believe the best and most valuable near term commercial application of our stem cell technology platform,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is for small molecule drug rescue, we also believe stem cell technology-based regenerative medicine has the potential to transform healthcare in the U.S. over the next decade by altering the fundamental mechanisms of disease and help slow rapidly rising healthcare costs in the U.S. Upon completion of this Offering, we intend to explore opportunities to leverage our stem cell technology platform for regenerative medicine purposes, with emphasis on developing novel human disease models for discovery of small molecule drugs and biologics with regenerative and therapeutic potential. Our regenerative medicine focus will be based on our expertise in human biology and differentiation of human pluripotent stem cells to develop functional adult human cells and tissues involved in human disease, including blood, bone, cartilage, heart, liver and insulin-producing pancreatic beta-islet cells. Our objective will be to explore regenerative medicine opportunities through pilot nonclinical proof-of-concept studies, after which we intend to assess any potential opportunities for further development and commercialization of therapeutically and commercially promising regenerative medicine programs, either on our own or with strategic partners.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Neuropathic Pain, Epilepsy and Depression</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$8.8 million of grant funding awarded from the U.S. National Institutes of Health, we have successfully completed Phase 1 development of AV-101. AV-101, also known as “L-4-chlorokynurenine” and “4-Cl-KYN”, is an orally available small molecule prodrug candidate aimed at the multi-billion dollar neurological disease and disorders market, including neuropathic pain, a serious and chronic condition causing pain after an injury or disease of the peripheral or central nervous system, epilepsy and depression. Our AV-101 IND application on file at the FDA covers clinical development for neuropathic pain. However, we believe the Phase 1 AV-101 safety studies completed to date will support development of AV-101 for multiple indications, including epilepsy and depression. Upon completion of this Offering, we intend to pursue potential opportunities for further development and commercialization of AV-101 for neuropathic pain, epilepsy and depression, either on our own or with a strategic partner. In the event that we successfully complete a strategic partnering arrangement for AV-101, we plan to use the net proceeds from such an arrangement to expand our drug rescue and regenerative medicine programs.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Background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Stem Cell Basics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Stem cells are the building blocks of all cells of the human body. They have the potential to develop into many different mature cell types. Stem cells are defined by a minimum of two key characteristics: (1) their capacity to self-renew, or divide in a way that results in more stem cells; and (2)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Human pluripotent stem cells (hPSCs) can differentiate into all of the more than 200 types of cells in the human body, can be expanded readily, and have diverse medical research, drug discovery, drug rescue, drug development and therapeutic applications. We believe hPSCs can be used to develop numerous cell types and tissues that can mimic complex human biology, including heart and liver biology for drug rescue.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Human pluripotent stem cells are either embryonic stem cells (hESCs) or induced pluripotent stem cells (iPSCs). Both hESCs and iPSCs have the capacity to be maintained and expanded in an undifferentiated state indefinitely. We believe these features make them highly useful research and development tools and as a source of normal, functionally mature cell populations. We use these mature cells as the basis for our novel bioassay systems to test the safety and efficacy of new drug candidates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These cells also have potential for diverse regenerative medicine applications.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Embryonic Stem Cells</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Human embryonic stem cells (hESCs) are derived from excess embryos that develop from eggs that have been fertilized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fertilization (IVF)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Human embryonic stem cells have the greatest and most documented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Induced Pluripotent Stem Cells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also possible to obtain hPSC lines from individuals without the use of embryos. Induced pluripotent stem cells (iPSCs)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Although there are remaining questions in the field about the lifespan, clinical utility and safety of iPSCs, we believe the biology and differentiation capabilities of hESCs and iPSCs are likely to be comparable for drug rescue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86" w:lineRule="exact"/>
        <w:rPr>
          <w:sz w:val="20"/>
          <w:szCs w:val="20"/>
          <w:color w:val="auto"/>
        </w:rPr>
      </w:pPr>
    </w:p>
    <w:p>
      <w:pPr>
        <w:ind w:left="780" w:hanging="44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with specific inheritable diseases and conditions that predispose the individual to respond differently to drugs; or</w:t>
      </w:r>
    </w:p>
    <w:p>
      <w:pPr>
        <w:spacing w:after="0" w:line="24" w:lineRule="exact"/>
        <w:rPr>
          <w:rFonts w:ascii="Times New Roman" w:cs="Times New Roman" w:eastAsia="Times New Roman" w:hAnsi="Times New Roman"/>
          <w:sz w:val="18"/>
          <w:szCs w:val="18"/>
          <w:color w:val="auto"/>
        </w:rPr>
      </w:pPr>
    </w:p>
    <w:p>
      <w:pPr>
        <w:ind w:left="780" w:hanging="443"/>
        <w:spacing w:after="0" w:line="251"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with specific variations in genes that directly affect drug levels in the body or alter the manner or efficiency of their metabolism, breakdown and/or elimination of drugs.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Stem Cell Differentiation Protocols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Over fifteen years of research, together with our co-founder, Dr. Gordon Keller, we have developed proprietary differentiation protocols covering key conditions involved in the differentiation of pluripotent stem cells into multiple types of human cells. The human cells generated by following these proprietary differentiation protocols are integral to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We believe they support more clinically predictive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to proprietary stem cell differentiation protocols developed by Dr. Keller and cover, among other things, the following: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780" w:hanging="443"/>
        <w:spacing w:after="0" w:line="257"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growth and differentiation factors used in the tissue culture medium, applied in specific combinations, at critical concentrations, and at critical times unique to each desired human cell type;</w:t>
      </w:r>
    </w:p>
    <w:p>
      <w:pPr>
        <w:ind w:left="780" w:hanging="443"/>
        <w:spacing w:after="0" w:line="245"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experimentally controlled regulation of developmental genes, which is critical for determining what differentiation path a human cell will take; and</w:t>
      </w:r>
    </w:p>
    <w:p>
      <w:pPr>
        <w:spacing w:after="0" w:line="1" w:lineRule="exact"/>
        <w:rPr>
          <w:rFonts w:ascii="Times New Roman" w:cs="Times New Roman" w:eastAsia="Times New Roman" w:hAnsi="Times New Roman"/>
          <w:sz w:val="18"/>
          <w:szCs w:val="18"/>
          <w:color w:val="auto"/>
        </w:rPr>
      </w:pPr>
    </w:p>
    <w:p>
      <w:pPr>
        <w:ind w:left="780" w:hanging="443"/>
        <w:spacing w:after="0" w:line="251"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biological markers characteristic of precursor cells, which are committed to becoming specific human cells and tissues, and which can be used to identify, enrich and purify the desired mature human cell type.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believe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will allow us to assess the toxicity profile of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and other new drug candidates for a wide range of diseases and conditions with greater speed and precision than nonclinical surrogate safety models most often currently used in drug development.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Factors that Direct and Stimulate the Differentiation Process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The proprietary and licensed technologies underlying our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xml:space="preserve"> platform allow us to direct and stimulate the differentiation process of hPSCs. As an example, for hESCs, the epiblast is the first stage in differentiation. One biological factor that controls the first fate decision of the epiblast is the relative concentrations of serum growth factors and activin, a protein involved in early differentiation and many cell fate decisions. Substituting explicit amounts of defined growth factors in place of ill-defined animal serum, and adding the optimal amount of activin is an important step in inducing the reproducible development of functional cells and, in our view, is essential for the development of a robust, efficient, and reproducible model of human cellular differentiation suitable for drug rescue. The use of activin in these applications is core to many of the claims in the patent applications underlying our licensed hPSC technology. Replacing activin with continuous exposure to ill-defined and variable animal serum results in an inefficient and variable differentiation of the human heart, liver, blood and cells of other organs. See “Intellectual Property – Icahn School of Medicine at Mount Sinai Exclusive Licenses.”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activin, Dr. Keller’s studies have identified a number of other growth and developmental factors that play important roles in the differentiation of hESCs. Some of the patents and patent applications underlying our licensed hPSC technology are directed to the use of a variety of specific growth factors that increase the efficiency and reproducibility of the hPSC differentiation process. We have exclusive rights to certain patents and patent applications with claims relating to growth factor concentrations for hESC differentiation that we believe are core and essential for drug rescue and development. See “Intellectual Property – Icahn School of Medicine at Mount Sinai Exclusive Licenses” and “National Jewish Health Exclusive Licenses.”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Developmental Genes that Direct and Stimulate the Stem Cell Differentiation Process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the purpose of creating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hESCs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 Purification Approaches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proprietary protocols we have licensed for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certain type of functionally mature cell. These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heart cells. Due to their functionality and purity, we believe these cell cultures are ideal for drug rescue.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“Micro-Organ” Culture Systems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addition to standard two-dimensional (2D) cultures which work well for some cell types and cellular assays, the proprietary hPSC technologies underlying our </w:t>
      </w:r>
      <w:r>
        <w:rPr>
          <w:rFonts w:ascii="Times New Roman" w:cs="Times New Roman" w:eastAsia="Times New Roman" w:hAnsi="Times New Roman"/>
          <w:sz w:val="18"/>
          <w:szCs w:val="18"/>
          <w:i w:val="1"/>
          <w:iCs w:val="1"/>
          <w:color w:val="auto"/>
        </w:rPr>
        <w:t xml:space="preserve">Human Clinical Trials in a Test Tube </w:t>
      </w:r>
      <w:r>
        <w:rPr>
          <w:rFonts w:ascii="Times New Roman" w:cs="Times New Roman" w:eastAsia="Times New Roman" w:hAnsi="Times New Roman"/>
          <w:sz w:val="18"/>
          <w:szCs w:val="18"/>
          <w:color w:val="auto"/>
        </w:rPr>
        <w:t>platform enable us to grow large numbers of normal, non-transformed, human cells to produce novel</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 xml:space="preserve">3D “micro-organ” culture systems. For example, for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we grow large numbers of normal, non-transformed, human heart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Medicinal Chemistry</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are core components of our drug rescue business model. Working with our strategic contract medicinal chemistry partner, Synterys, Inc., we are focused on using our stem cell biology to generate a pipeline of effective and safe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of once-promising company drug candidates in a more efficient and cost-effective manner than the processes currently used for drug development.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CardioSafe </w:t>
      </w:r>
      <w:r>
        <w:rPr>
          <w:rFonts w:ascii="Times New Roman" w:cs="Times New Roman" w:eastAsia="Times New Roman" w:hAnsi="Times New Roman"/>
          <w:sz w:val="18"/>
          <w:szCs w:val="18"/>
          <w:b w:val="1"/>
          <w:bCs w:val="1"/>
          <w:color w:val="auto"/>
        </w:rPr>
        <w:t>3D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limitations of current preclinical drug testing systems used by pharmaceutical companies contribute to the high failure rate of drug candidates. Unexpected cardiotoxicity is one of the top two major safety-related reasons for failure of both drugs and drug candidates. Incorporating human pluripotent stem cell-derived cardiomyocyte (hPSC-CM) assays early in preclinical development offers the potential to improve clinical predictability, decrease rescue and development costs, and avoid adverse patient effects, late-stage clinical termination, and product recall from the market.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our proprietary human pluripotent stem cell technology, we can generate fully-functional hPSC-CMs at a high level of purity (&gt;95%), without genetic modification or cell selection. This is important because genetic modification and cell selection skew the resulting cell population with indeterminate effects on the ultimate results and clinical predictivity of the assay. In addition to expressing all of the key ion channels and various cardiomyocytic markers of the human heart, our hPSC-CMs function reliably in all cardiac toxicity assays relevant to cardiac drug effects developed and tested to date.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Utilizing fully functional human heart cells that underlie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we have validated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to screen for both cardiomyopathy (or direct cardiomyocyte cytotoxicity) and arrhythmogenesis (or development of irregular beating patterns). We believe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 is sensitive, stable, reproducible and capable of generating data enabling a more accurate prediction of the</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cardiac effects of</w:t>
      </w:r>
      <w:r>
        <w:rPr>
          <w:rFonts w:ascii="Times New Roman" w:cs="Times New Roman" w:eastAsia="Times New Roman" w:hAnsi="Times New Roman"/>
          <w:sz w:val="18"/>
          <w:szCs w:val="18"/>
          <w:i w:val="1"/>
          <w:iCs w:val="1"/>
          <w:color w:val="auto"/>
        </w:rPr>
        <w:t xml:space="preserve"> Drug Rescue Variants </w:t>
      </w:r>
      <w:r>
        <w:rPr>
          <w:rFonts w:ascii="Times New Roman" w:cs="Times New Roman" w:eastAsia="Times New Roman" w:hAnsi="Times New Roman"/>
          <w:sz w:val="18"/>
          <w:szCs w:val="18"/>
          <w:color w:val="auto"/>
        </w:rPr>
        <w:t>and other new drug candidates than is possible with existing preclinical testing systems.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developed and validated two functional components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screening system to assess multiple different categories of cardiac toxicities. The first consists of a suite of five fluorescence or luminescence based high-throughput hPSC-CM assays. These five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measure drug-induced cardiomyopathy, including the following:</w:t>
      </w:r>
    </w:p>
    <w:p>
      <w:pPr>
        <w:spacing w:after="0" w:line="175" w:lineRule="exact"/>
        <w:rPr>
          <w:sz w:val="20"/>
          <w:szCs w:val="20"/>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necrosis;</w:t>
      </w:r>
    </w:p>
    <w:p>
      <w:pPr>
        <w:spacing w:after="0" w:line="24"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apoptosis;</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mitochondrial membrane depolarization;</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oxidative stress; and</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metabolism disruption.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These five </w:t>
      </w:r>
      <w:r>
        <w:rPr>
          <w:rFonts w:ascii="Times New Roman" w:cs="Times New Roman" w:eastAsia="Times New Roman" w:hAnsi="Times New Roman"/>
          <w:sz w:val="17"/>
          <w:szCs w:val="17"/>
          <w:i w:val="1"/>
          <w:iCs w:val="1"/>
          <w:color w:val="auto"/>
        </w:rPr>
        <w:t>CardioSafe</w:t>
      </w:r>
      <w:r>
        <w:rPr>
          <w:rFonts w:ascii="Times New Roman" w:cs="Times New Roman" w:eastAsia="Times New Roman" w:hAnsi="Times New Roman"/>
          <w:sz w:val="17"/>
          <w:szCs w:val="17"/>
          <w:color w:val="auto"/>
        </w:rPr>
        <w:t xml:space="preserve"> 3D assays were validated using reference compounds known to be cardiotoxic in humans versus compounds known to be safe in humans.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reference compounds were representative of eight different drug classes, including:</w:t>
      </w:r>
    </w:p>
    <w:p>
      <w:pPr>
        <w:spacing w:after="0" w:line="198" w:lineRule="exact"/>
        <w:rPr>
          <w:sz w:val="20"/>
          <w:szCs w:val="20"/>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 channel blockers: amiodarone, nifedipine;</w:t>
      </w:r>
    </w:p>
    <w:p>
      <w:pPr>
        <w:spacing w:after="0" w:line="24"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hERG trafficking blockers: pentamidine, amoxapine;</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α-1 adrenoreceptors: doxazosin;</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Protein and DNA synthesis inhibitors: emetine;</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DNA intercalating agents: doxorubicin;</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Antibiotics: ampicillin, cefazolin;</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NSAID: aspirin; and</w:t>
      </w:r>
    </w:p>
    <w:p>
      <w:pPr>
        <w:spacing w:after="0" w:line="5" w:lineRule="exact"/>
        <w:rPr>
          <w:rFonts w:ascii="Times New Roman" w:cs="Times New Roman" w:eastAsia="Times New Roman" w:hAnsi="Times New Roman"/>
          <w:sz w:val="18"/>
          <w:szCs w:val="18"/>
          <w:color w:val="auto"/>
        </w:rPr>
      </w:pPr>
    </w:p>
    <w:p>
      <w:pPr>
        <w:ind w:left="1440" w:hanging="223"/>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Kinase inhibitors: staurosporine.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suite of five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provided measurement of cardiac drug effects with high sensitivity that are consistent with the expected cardiac responses to each of these compounds. Based on our results, ee believe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provide valuable tools for both assessing the effects of pharmaceutical compounds on cardiac cytotoxicity and for elucidating the specific mechanisms of cardiac toxicity, thereby laying a solid foundation for our drug rescue programs.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other component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is a sensitive and reliable medium throughput multi-electrode array (MEA) assay developed to predict drug-induced alterations of electrophysiological function of the human heart. We have validated this key component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with twelve drugs, each with known toxic or non-toxic cardiac effects in humans. These twelve validation compounds are as follows:</w:t>
      </w:r>
    </w:p>
    <w:p>
      <w:pPr>
        <w:spacing w:after="0" w:line="202" w:lineRule="exact"/>
        <w:rPr>
          <w:sz w:val="20"/>
          <w:szCs w:val="20"/>
          <w:color w:val="auto"/>
        </w:rPr>
      </w:pPr>
    </w:p>
    <w:p>
      <w:pPr>
        <w:ind w:left="1720" w:hanging="211"/>
        <w:spacing w:after="0"/>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FDA-approved drug (aspirin) without cardiac liability to serve as a negative control;</w:t>
      </w:r>
    </w:p>
    <w:p>
      <w:pPr>
        <w:spacing w:after="0" w:line="24" w:lineRule="exact"/>
        <w:rPr>
          <w:rFonts w:ascii="Times New Roman" w:cs="Times New Roman" w:eastAsia="Times New Roman" w:hAnsi="Times New Roman"/>
          <w:sz w:val="18"/>
          <w:szCs w:val="18"/>
          <w:color w:val="auto"/>
        </w:rPr>
      </w:pPr>
    </w:p>
    <w:p>
      <w:pPr>
        <w:ind w:left="1720" w:right="140" w:hanging="211"/>
        <w:spacing w:after="0" w:line="245" w:lineRule="auto"/>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FDA-approved drugs (astemizole, sotalol, cisapride, terfenadine and sertindole) that were withdrawn from the market due to heart toxicity concerns;</w:t>
      </w:r>
    </w:p>
    <w:p>
      <w:pPr>
        <w:spacing w:after="0" w:line="1" w:lineRule="exact"/>
        <w:rPr>
          <w:rFonts w:ascii="Times New Roman" w:cs="Times New Roman" w:eastAsia="Times New Roman" w:hAnsi="Times New Roman"/>
          <w:sz w:val="18"/>
          <w:szCs w:val="18"/>
          <w:color w:val="auto"/>
        </w:rPr>
      </w:pPr>
    </w:p>
    <w:p>
      <w:pPr>
        <w:ind w:left="1720" w:hanging="211"/>
        <w:spacing w:after="0" w:line="245" w:lineRule="auto"/>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FDA-approved drugs (fexofenadine, nifedipine, verapamil, lidocaine and propranolol) that have certain measurable clinical non-toxic cardiac effects. Note: fexofenadine is a non-cardiotoxic drug variant of terfenadine; and</w:t>
      </w:r>
    </w:p>
    <w:p>
      <w:pPr>
        <w:spacing w:after="0" w:line="1" w:lineRule="exact"/>
        <w:rPr>
          <w:rFonts w:ascii="Times New Roman" w:cs="Times New Roman" w:eastAsia="Times New Roman" w:hAnsi="Times New Roman"/>
          <w:sz w:val="18"/>
          <w:szCs w:val="18"/>
          <w:color w:val="auto"/>
        </w:rPr>
      </w:pPr>
    </w:p>
    <w:p>
      <w:pPr>
        <w:ind w:left="1720" w:hanging="211"/>
        <w:spacing w:after="0" w:line="189" w:lineRule="auto"/>
        <w:tabs>
          <w:tab w:leader="none" w:pos="1720" w:val="left"/>
        </w:tabs>
        <w:numPr>
          <w:ilvl w:val="0"/>
          <w:numId w:val="34"/>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One research compound (E-4031) failed in Phase I human clinical study before being discontinued due to heart toxicity concerns.</w:t>
      </w:r>
    </w:p>
    <w:p>
      <w:pPr>
        <w:spacing w:after="0" w:line="200" w:lineRule="exact"/>
        <w:rPr>
          <w:sz w:val="20"/>
          <w:szCs w:val="20"/>
          <w:color w:val="auto"/>
        </w:rPr>
      </w:pPr>
    </w:p>
    <w:p>
      <w:pPr>
        <w:spacing w:after="0" w:line="3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We have validated that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MEA assay was reproducible and consistent with the known human cardiac effects of all the twelve compounds studied, based on the mechanisms of action and dosage of the compounds. For instance, by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we were able to distinguish between the cardiac effects of terfenadine (Seldane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withdrawn by the FDA due to cardiotoxicity, and the cardiac effects of the close structurally related fexofenadine (Allegra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the non-cardiotoxic chemical variant of terfenadine, which remains on the market. Our validation data suggest that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provides valuable tools for preclinical cardiac safety screening, which we believe will contribute to the efficient and rapid identification of novel, safer </w:t>
      </w:r>
      <w:r>
        <w:rPr>
          <w:rFonts w:ascii="Times New Roman" w:cs="Times New Roman" w:eastAsia="Times New Roman" w:hAnsi="Times New Roman"/>
          <w:sz w:val="18"/>
          <w:szCs w:val="18"/>
          <w:i w:val="1"/>
          <w:iCs w:val="1"/>
          <w:color w:val="auto"/>
        </w:rPr>
        <w:t>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Rescue Variants </w:t>
      </w:r>
      <w:r>
        <w:rPr>
          <w:rFonts w:ascii="Times New Roman" w:cs="Times New Roman" w:eastAsia="Times New Roman" w:hAnsi="Times New Roman"/>
          <w:sz w:val="18"/>
          <w:szCs w:val="18"/>
          <w:color w:val="auto"/>
        </w:rPr>
        <w:t>in our drug rescue programs.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 further evaluate the potential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to predict cardiac toxicity of drug candidates, including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we have assessed cardiac effects induced by small molecule kinase inhibitors (KIs), which belong to a new category of drugs that have revolutionized cancer therapy due to decreased systemic toxicity and an increased tumor cell specific effect compared to classic cancer drugs. Since 1998, the FDA has approved eighteen small molecule KIs for cancer therapy. However, many of these FDA-approved KIs have been implicated in causing serious adverse cardiac events in patients which were not identified during drug development.</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In our KI-induced cardiotoxicity study, we evaluated nineteen well-known anti-cancer KIs with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some of which are FDA-approved and have been documented as cardiotoxic. . This important validation set of anti-cancer KI compounds is as follows:</w:t>
      </w:r>
    </w:p>
    <w:p>
      <w:pPr>
        <w:spacing w:after="0" w:line="162" w:lineRule="exact"/>
        <w:rPr>
          <w:sz w:val="20"/>
          <w:szCs w:val="20"/>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growth factor receptors: sunitinib, axitinib, imatinib, dasatinib, sorafenib, erlotinib, lapatinib, tyrphostin AG1478);</w:t>
      </w:r>
    </w:p>
    <w:p>
      <w:pPr>
        <w:spacing w:after="0" w:line="24"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the mTOR pathway: everolimus, temsirolimus;</w:t>
      </w:r>
    </w:p>
    <w:p>
      <w:pPr>
        <w:spacing w:after="0" w:line="5"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cell cycle regulators: tozasertib, barasertib, alvocidib;</w:t>
      </w:r>
    </w:p>
    <w:p>
      <w:pPr>
        <w:spacing w:after="0" w:line="5"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the PI3K pathway : perifosine, LY294002, XL765;</w:t>
      </w:r>
    </w:p>
    <w:p>
      <w:pPr>
        <w:spacing w:after="0" w:line="5"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the MEK pathway: PD325901, AZD6264; and</w:t>
      </w:r>
    </w:p>
    <w:p>
      <w:pPr>
        <w:spacing w:after="0" w:line="5"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to the JAK and other pathways: lestaurtinib.</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validation data indicate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successfully detected cardiotoxicity induced by each of the representative compounds, cardiotoxicity associated with clinical adverse cardiac events, in each of the foregoing six different KI categories.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is able to distinguish between cardiotoxic and safe compounds, and even as between those compounds which inhibit the same kinase pathways. For instance, both sunitinib and axitinib inhibit VEGFR, PDGFR and c-Kit pathways, and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indicate that sunitinib is cardiotoxic and axitinib is safe, which is consistent with the reported clinical outcomes.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profile of each KI provided clues to the potential mechanism(s) causing cardiotoxicity. For example, cardiotoxicity induced by perifosine showed apoptotic responses at lower concentrations, while imatinib was most active in the oxidative stress assays. In addition, no cardiac toxicity or alteration in electrophysiology was detected with drugs that do not have a cardiac liability, emphasizing the specificity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Having information on the pathways associated with the cardiotoxic effects of compounds provides important clues for novel medicinal chemistry approaches and compound modifications for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drug rescue programs.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enables the sensitive measurement of drug effects with results that are consistent with known clinical responses to the compounds. For example, our data indicated that sunitinib and dasatinib caused QT prolongation, arrhythmia, and/or altered contraction rates in hPSC-CMs, which are consistent with clinical observations.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believe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validation data demonstrate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will improve clinical predictivity as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cardiac safety assay, helping not only to identify potential cardiac toxicities early in development, but also to discover important potential mechanisms of cardiotoxicity. We believe the results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validation studies indicate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may be effectively used to identify novel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with reduced heart toxicity. By providing more accurate and timely indications of alterations in electrophysiological activity, as well as direct heart toxicity of drug candidates, than animal models or cellular assay systems currently used by pharmaceutical companies, we believe the results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validation studies support the central premise of our drug rescue business model: by using our hPSC-derived human heart and liver cell bioassay systems at the front end of the drug development process, we have the opportunity to leverage substantial prior investment by pharmaceutical companies and others in drug discovery and efficacy validation of drug candidates with established therapeutic and commercial potential that have been terminated prior to FDA approval due to unexpected heart or liver toxicity concerns.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LiverSafe </w:t>
      </w:r>
      <w:r>
        <w:rPr>
          <w:rFonts w:ascii="Times New Roman" w:cs="Times New Roman" w:eastAsia="Times New Roman" w:hAnsi="Times New Roman"/>
          <w:sz w:val="18"/>
          <w:szCs w:val="18"/>
          <w:b w:val="1"/>
          <w:bCs w:val="1"/>
          <w:color w:val="auto"/>
        </w:rPr>
        <w:t>3D</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LiverSafe </w:t>
      </w:r>
      <w:r>
        <w:rPr>
          <w:rFonts w:ascii="Times New Roman" w:cs="Times New Roman" w:eastAsia="Times New Roman" w:hAnsi="Times New Roman"/>
          <w:sz w:val="18"/>
          <w:szCs w:val="18"/>
          <w:color w:val="auto"/>
        </w:rPr>
        <w:t>3D is a powerful new</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hepatotoxicity assay system that goes a step beyond the current commercially available gold standard primary (cadaver)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hepatocyte assay. By combining the flexibility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non-transformed human cell-based assay system with the renewable, reproducible sourcing of human pluripotent stem cells (hPSCs), the functional hPSC-derived hepatocytes we produce for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can be maintained in a healthy state for much longer than the current gold standard hepatocyte assays, greatly enhancing the reliability of hepatotoxicity testing for our drug rescue programs.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now, reliable human cell-based hepatotoxicity screening platforms have been difficult to establish for high throughput drug development with currently available primary hepatocyte systems. Primary hepatocytes have a short lifespan in culture, during which time they rapidly lose their drug metabolizing capabilities and develop signs of cellular stress. Furthermore, these commercially available primary hepatocytes have significant batch-to-batch genetic variation that alters the function of drug metabolism genes and their critical enzyme activity levels due to the use of hepatocytes from different sources. Additionally, primary hepatocytes are derived from individuals with significant differences in health status, with unknown effects on hepatocyte function. Consequently, it is difficult to maintain quantitative reproducibility using currently available primary hepatocyte assays, and this leads to limitations in the quality and clinical predictiviy of the results and conclusions drawn from these assays.</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foregoing limitations have led many in the field to believe that hPSC-derived hepatocyte assays offer a better alternative to the current gold standard primary hepatocyte assays. This belief is mainly due to the fact that hepatocytes derived from the same hPSC line are genetically identical, normal, non-transformed (that is, not tumor-derived) human cells derived from hPSCs. Importantly, hPSC-derived hepatocytes can be indefinitely propagated and frozen down into large, uniform, quality-controlled cell banks.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drug metabolizing enzymes, such as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is a critical liver enzyme responsible for metabolizing approximately 50% of the FDA-approved drugs currently available on the market. It is an important and well-accepted functional gene found almost exclusively in mature, adult hepatocytes.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is the key functional marker that we have used to optimize our hepatocyte differentiation cultures for </w:t>
      </w:r>
      <w:r>
        <w:rPr>
          <w:rFonts w:ascii="Times New Roman" w:cs="Times New Roman" w:eastAsia="Times New Roman" w:hAnsi="Times New Roman"/>
          <w:sz w:val="17"/>
          <w:szCs w:val="17"/>
          <w:i w:val="1"/>
          <w:iCs w:val="1"/>
          <w:color w:val="auto"/>
        </w:rPr>
        <w:t xml:space="preserve">LiverSafe </w:t>
      </w:r>
      <w:r>
        <w:rPr>
          <w:rFonts w:ascii="Times New Roman" w:cs="Times New Roman" w:eastAsia="Times New Roman" w:hAnsi="Times New Roman"/>
          <w:sz w:val="17"/>
          <w:szCs w:val="17"/>
          <w:color w:val="auto"/>
        </w:rPr>
        <w:t>3D. We believe our optimized</w:t>
      </w:r>
      <w:r>
        <w:rPr>
          <w:rFonts w:ascii="Times New Roman" w:cs="Times New Roman" w:eastAsia="Times New Roman" w:hAnsi="Times New Roman"/>
          <w:sz w:val="17"/>
          <w:szCs w:val="17"/>
          <w:i w:val="1"/>
          <w:iCs w:val="1"/>
          <w:color w:val="auto"/>
        </w:rPr>
        <w:t xml:space="preserve"> LiverSafe </w:t>
      </w:r>
      <w:r>
        <w:rPr>
          <w:rFonts w:ascii="Times New Roman" w:cs="Times New Roman" w:eastAsia="Times New Roman" w:hAnsi="Times New Roman"/>
          <w:sz w:val="17"/>
          <w:szCs w:val="17"/>
          <w:color w:val="auto"/>
        </w:rPr>
        <w:t>3D assay system enables us to generate more mature hPSC-derived hepatocytes than are currently available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from others in the field and that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system provides the unique ability to specifically select for mature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-expressing human hepatocytes.</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developed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using hPSC differentiation protocols adapted from the laboratory of our co-founder, Dr. Gordon Keller, and our proprietary hPSC cell line, 3A4BLA. This 3A4BLA cell line is a human embryonic stem cell (hESC) line that contains a humanized BLA functional “reporter” that targets the </w:t>
      </w:r>
      <w:r>
        <w:rPr>
          <w:rFonts w:ascii="Times New Roman" w:cs="Times New Roman" w:eastAsia="Times New Roman" w:hAnsi="Times New Roman"/>
          <w:sz w:val="17"/>
          <w:szCs w:val="17"/>
          <w:i w:val="1"/>
          <w:iCs w:val="1"/>
          <w:color w:val="auto"/>
        </w:rPr>
        <w:t xml:space="preserve">CYP3A4 </w:t>
      </w:r>
      <w:r>
        <w:rPr>
          <w:rFonts w:ascii="Times New Roman" w:cs="Times New Roman" w:eastAsia="Times New Roman" w:hAnsi="Times New Roman"/>
          <w:sz w:val="17"/>
          <w:szCs w:val="17"/>
          <w:color w:val="auto"/>
        </w:rPr>
        <w:t>gene in a manner tresulting in the expression of BLA only in cells that also express</w:t>
      </w:r>
      <w:r>
        <w:rPr>
          <w:rFonts w:ascii="Times New Roman" w:cs="Times New Roman" w:eastAsia="Times New Roman" w:hAnsi="Times New Roman"/>
          <w:sz w:val="17"/>
          <w:szCs w:val="17"/>
          <w:i w:val="1"/>
          <w:iCs w:val="1"/>
          <w:color w:val="auto"/>
        </w:rPr>
        <w:t xml:space="preserve"> CYP3A4</w:t>
      </w:r>
      <w:r>
        <w:rPr>
          <w:rFonts w:ascii="Times New Roman" w:cs="Times New Roman" w:eastAsia="Times New Roman" w:hAnsi="Times New Roman"/>
          <w:sz w:val="17"/>
          <w:szCs w:val="17"/>
          <w:color w:val="auto"/>
        </w:rPr>
        <w:t>. This allows us to visualize by fluorescence cells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express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based on expression of the BLA reporter. By producing a cell line capable of tracking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expression, we have been able to optimize our hPSC differentiation protocols to increase expression of mature hepatocyte markers and drug metabolizing enzymes and to enrich for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-expressing cells by cell sorting. However, even in the absence of cell sorting,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hepatocyte populations contain greater than 80% ALBUMIN-positive cells and greater than 40%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-positive cells, with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mRNA expression reaching levels nearly 60-fold higher than side-by-side 38-week human fetal liver controls.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hepatocytes secrete urea and ALBUMIN at levels that exceed commercially-available primary hepatocytes, and they also store both glycogen and lipids, characteristics that are required of functional, mature adult hepatocytes. Importantly, expression of fetal liver markers decreases over the time course of differentiation of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hepatocytes. This decreased expression is expected and essential during maturation of hepatocytes, but it has rarely been reported by others in publications describing their hPSC-derived hepatocytes. With the addition of cell sorting, our </w:t>
      </w:r>
      <w:r>
        <w:rPr>
          <w:rFonts w:ascii="Times New Roman" w:cs="Times New Roman" w:eastAsia="Times New Roman" w:hAnsi="Times New Roman"/>
          <w:sz w:val="17"/>
          <w:szCs w:val="17"/>
          <w:i w:val="1"/>
          <w:iCs w:val="1"/>
          <w:color w:val="auto"/>
        </w:rPr>
        <w:t>LiverSafe</w:t>
      </w:r>
      <w:r>
        <w:rPr>
          <w:rFonts w:ascii="Times New Roman" w:cs="Times New Roman" w:eastAsia="Times New Roman" w:hAnsi="Times New Roman"/>
          <w:sz w:val="17"/>
          <w:szCs w:val="17"/>
          <w:color w:val="auto"/>
        </w:rPr>
        <w:t xml:space="preserve"> 3D hepatocyte populations can be highly enriched for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-BLA-positive cells, with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message in the positive cell population reaching greater than 30% that of an adult human liver pool control. To our knowledge, this level of </w:t>
      </w:r>
      <w:r>
        <w:rPr>
          <w:rFonts w:ascii="Times New Roman" w:cs="Times New Roman" w:eastAsia="Times New Roman" w:hAnsi="Times New Roman"/>
          <w:sz w:val="17"/>
          <w:szCs w:val="17"/>
          <w:i w:val="1"/>
          <w:iCs w:val="1"/>
          <w:color w:val="auto"/>
        </w:rPr>
        <w:t>CYP3A4</w:t>
      </w:r>
      <w:r>
        <w:rPr>
          <w:rFonts w:ascii="Times New Roman" w:cs="Times New Roman" w:eastAsia="Times New Roman" w:hAnsi="Times New Roman"/>
          <w:sz w:val="17"/>
          <w:szCs w:val="17"/>
          <w:color w:val="auto"/>
        </w:rPr>
        <w:t xml:space="preserve"> expression exceeds levels reported by others in the literature.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most important capabilities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relate to “Phase I” and “Phase II” drug metabolism, which are functional characteristics of mature adult hepatocytes. We have validated these capabilities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by demonstrating its ability to metabolize known substrates, such as testosterone, and its ability to respond properly to known inducers of Phase I-mediated </w:t>
      </w:r>
      <w:r>
        <w:rPr>
          <w:rFonts w:ascii="Times New Roman" w:cs="Times New Roman" w:eastAsia="Times New Roman" w:hAnsi="Times New Roman"/>
          <w:sz w:val="18"/>
          <w:szCs w:val="18"/>
          <w:i w:val="1"/>
          <w:iCs w:val="1"/>
          <w:color w:val="auto"/>
        </w:rPr>
        <w:t>CYP3A4</w:t>
      </w:r>
      <w:r>
        <w:rPr>
          <w:rFonts w:ascii="Times New Roman" w:cs="Times New Roman" w:eastAsia="Times New Roman" w:hAnsi="Times New Roman"/>
          <w:sz w:val="18"/>
          <w:szCs w:val="18"/>
          <w:color w:val="auto"/>
        </w:rPr>
        <w:t xml:space="preserve"> metabolism, such as rifampicin. Moreover, our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hepatocytes demonstrate Phase II-mediated testosterone metabolism levels that exceed commercially 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to our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assay system and to apply specific hepatotoxic screening assays, such as ALBUMIN and urea secretion assays.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believe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is a powerful, genetically identical, renewable, and reproducible hepatotoxicity assay system for drug rescue and development that provides great advantages over currently available primary hepatocyte assays. We have demonstrated that our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hepatocyte populations, even in the absence of cell sorting, secrete adult hepatocyte levels of ALBUMIN and urea and contain greater than 40% </w:t>
      </w:r>
      <w:r>
        <w:rPr>
          <w:rFonts w:ascii="Times New Roman" w:cs="Times New Roman" w:eastAsia="Times New Roman" w:hAnsi="Times New Roman"/>
          <w:sz w:val="18"/>
          <w:szCs w:val="18"/>
          <w:i w:val="1"/>
          <w:iCs w:val="1"/>
          <w:color w:val="auto"/>
        </w:rPr>
        <w:t>CYP3A4</w:t>
      </w:r>
      <w:r>
        <w:rPr>
          <w:rFonts w:ascii="Times New Roman" w:cs="Times New Roman" w:eastAsia="Times New Roman" w:hAnsi="Times New Roman"/>
          <w:sz w:val="18"/>
          <w:szCs w:val="18"/>
          <w:color w:val="auto"/>
        </w:rPr>
        <w:t xml:space="preserve">-positive cells, historically difficult to achieve in hPSC differentiation cultures. The proprietary 3A4BLA cell line component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allows us the unique opportunity to enrich </w:t>
      </w:r>
      <w:r>
        <w:rPr>
          <w:rFonts w:ascii="Times New Roman" w:cs="Times New Roman" w:eastAsia="Times New Roman" w:hAnsi="Times New Roman"/>
          <w:sz w:val="18"/>
          <w:szCs w:val="18"/>
          <w:i w:val="1"/>
          <w:iCs w:val="1"/>
          <w:color w:val="auto"/>
        </w:rPr>
        <w:t>CYP3A4</w:t>
      </w:r>
      <w:r>
        <w:rPr>
          <w:rFonts w:ascii="Times New Roman" w:cs="Times New Roman" w:eastAsia="Times New Roman" w:hAnsi="Times New Roman"/>
          <w:sz w:val="18"/>
          <w:szCs w:val="18"/>
          <w:color w:val="auto"/>
        </w:rPr>
        <w:t xml:space="preserve">-positive cells, resulting in </w:t>
      </w:r>
      <w:r>
        <w:rPr>
          <w:rFonts w:ascii="Times New Roman" w:cs="Times New Roman" w:eastAsia="Times New Roman" w:hAnsi="Times New Roman"/>
          <w:sz w:val="18"/>
          <w:szCs w:val="18"/>
          <w:i w:val="1"/>
          <w:iCs w:val="1"/>
          <w:color w:val="auto"/>
        </w:rPr>
        <w:t>CYP3A4</w:t>
      </w:r>
      <w:r>
        <w:rPr>
          <w:rFonts w:ascii="Times New Roman" w:cs="Times New Roman" w:eastAsia="Times New Roman" w:hAnsi="Times New Roman"/>
          <w:sz w:val="18"/>
          <w:szCs w:val="18"/>
          <w:color w:val="auto"/>
        </w:rPr>
        <w:t xml:space="preserve"> expression reaching greater than 30% of an adult human liver pool, and to the best of our knowledge, a level higher than described in current literature. Most importantly for drug rescue and development purposes, our hPSC-derived hepatocytes for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metabolize known substrates and respond to known inducers in a manner expected only of mature adult hepatocytes, paving the way for our final validation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system as a novel hepatotoxicity assay system that can improve clinical predictivity, decrease the cost of drug rescue and development, reduce use of live animal studies, and improve drug safety.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AV-101</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successfully completed Phase I development of AV-101, also known as “L-4-chlorokynurenine” or “4-Cl-KYN”. AV-101 is a prodrug candidate for the treatment of neuropathic pain, epilepsy and depression. Our AV-101 IND application on file at the FDA covers our Phase I clinical development for neuropathic pain. However, we believe the safety studies done in Phase I development of AV-101 will support development of AV-101 for other indications, including epilepsy, depression and potentially other neurological diseases, such as Huntington’s and Parkinson’s.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NIH has awarded us $8.8 million of grant funding for our preclinical and Phase 1 clinical development of AV-101. During 2014, we plan to seek and complete a strategic partnering arrangement for further development and commercialization of AV-101 for neuropathic pain, epilepsy, depression and potentially neurodegenerative diseases related to aging.</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AV-101 is an orally available prodrug that is converted in the brain into an active metabolite, 7-chlorokynurenic acid (7-Cl-KYNA), which regulates the N-methyl-D-aspartate (NMDA)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effect of AV-101 on chronic neuropathic pain due to inflammation and nerve damage was assessed in rats by using the Chung nerve ligation model. AV-101 effects were compared to either saline and MK-801, or gabapentin (Neurontin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as positive controls. Similar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Transactions and Relationships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Strategic collaborations are a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208" w:lineRule="exact"/>
        <w:rPr>
          <w:sz w:val="20"/>
          <w:szCs w:val="20"/>
          <w:color w:val="auto"/>
        </w:rPr>
      </w:pPr>
    </w:p>
    <w:p>
      <w:pPr>
        <w:ind w:left="780" w:hanging="44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research institutions, such as UHN, for hPSC technology research and development;</w:t>
      </w:r>
    </w:p>
    <w:p>
      <w:pPr>
        <w:spacing w:after="0" w:line="24" w:lineRule="exact"/>
        <w:rPr>
          <w:rFonts w:ascii="Times New Roman" w:cs="Times New Roman" w:eastAsia="Times New Roman" w:hAnsi="Times New Roman"/>
          <w:sz w:val="18"/>
          <w:szCs w:val="18"/>
          <w:color w:val="auto"/>
        </w:rPr>
      </w:pPr>
    </w:p>
    <w:p>
      <w:pPr>
        <w:ind w:left="780" w:hanging="443"/>
        <w:spacing w:after="0" w:line="24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 medicinal chemistry companies, such as Synterys, Inc., to analyze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and design, produce and analyze </w:t>
      </w:r>
      <w:r>
        <w:rPr>
          <w:rFonts w:ascii="Times New Roman" w:cs="Times New Roman" w:eastAsia="Times New Roman" w:hAnsi="Times New Roman"/>
          <w:sz w:val="18"/>
          <w:szCs w:val="18"/>
          <w:i w:val="1"/>
          <w:iCs w:val="1"/>
          <w:color w:val="auto"/>
        </w:rPr>
        <w:t>Drug Rescue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Variants</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clinical development organizations (CROs), such as Cato Research, Ltd., for regulatory expertise and clinical development support.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McEwen Centre for Regenerative Medicine, University Health Network</w:t>
      </w: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UHN in Ontario, Canada is a major landmark in Canada’s healthcare system. UHN is one of the world’s largest research hospitals, with major research in transplantation, cardiology, neurosciences, oncology, surgical innovation, infectious diseases and genomic medicine. Providing care to the community for more than two centuries, UHN brings together the talent and resources needed to achieve global impact and provide exemplary patient care, research and education.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McEwen Centre for Regenerative Medicine (McEwen Centre) is a world-renowned center for stem cell biology and regenerative medicine and a world-class stem cell research facility affiliated with UHN. Our co-founder, Dr. Gordon Keller, is Director of the McEwen Centre. Dr. Keller’s lab is one of the world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Cardiac Safety Research Consortium</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joined the Cardiac Safety Research Consortium (CERC)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Centre for Commercialization of Regenerative Medicine</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Toronto-based Centre for Commercialization of Regenerative Medicine (CCRM)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for Regenerative Medicine offers a solid foundation and unique opportunities for expanding the commercial applications of our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xml:space="preserve">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Duke University</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May 2013, we announced that our scientists together with researchers at Duke University combined our human stem cell-derived heart cells with Duke’s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Achieving this capability represents a potentially significant breakthrough in heart cell-based therapies and in testing new medicines for potential heart toxicity and potential therapeutic benefits impacting heart disease.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among several key development points from the study:</w:t>
      </w:r>
    </w:p>
    <w:p>
      <w:pPr>
        <w:spacing w:after="0" w:line="244" w:lineRule="exact"/>
        <w:rPr>
          <w:sz w:val="20"/>
          <w:szCs w:val="20"/>
          <w:color w:val="auto"/>
        </w:rPr>
      </w:pPr>
    </w:p>
    <w:p>
      <w:pPr>
        <w:ind w:left="320" w:hanging="177"/>
        <w:spacing w:after="0" w:line="274"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optimized 3D environment of a cardiac tissue patch yields advanced levels of structural and functional maturation of human cardiomyocytes that produce expected responses to drugs;</w:t>
      </w:r>
    </w:p>
    <w:p>
      <w:pPr>
        <w:spacing w:after="0" w:line="190" w:lineRule="exact"/>
        <w:rPr>
          <w:rFonts w:ascii="Times New Roman" w:cs="Times New Roman" w:eastAsia="Times New Roman" w:hAnsi="Times New Roman"/>
          <w:sz w:val="18"/>
          <w:szCs w:val="18"/>
          <w:color w:val="auto"/>
        </w:rPr>
      </w:pPr>
    </w:p>
    <w:p>
      <w:pPr>
        <w:ind w:left="320" w:hanging="177"/>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cardiomyocyte maturation in an optimized 3D patch environment is enhanced relative to that found in industry standard 2D cultures;</w:t>
      </w:r>
    </w:p>
    <w:p>
      <w:pPr>
        <w:spacing w:after="0" w:line="243" w:lineRule="exact"/>
        <w:rPr>
          <w:rFonts w:ascii="Times New Roman" w:cs="Times New Roman" w:eastAsia="Times New Roman" w:hAnsi="Times New Roman"/>
          <w:sz w:val="18"/>
          <w:szCs w:val="18"/>
          <w:color w:val="auto"/>
        </w:rPr>
      </w:pPr>
    </w:p>
    <w:p>
      <w:pPr>
        <w:ind w:left="320" w:hanging="177"/>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genetic modifications were used to produce, purify, or mature cardiomyocytes, suggesting potential for future therapeutic applications;</w:t>
      </w:r>
    </w:p>
    <w:p>
      <w:pPr>
        <w:spacing w:after="0" w:line="243" w:lineRule="exact"/>
        <w:rPr>
          <w:rFonts w:ascii="Times New Roman" w:cs="Times New Roman" w:eastAsia="Times New Roman" w:hAnsi="Times New Roman"/>
          <w:sz w:val="18"/>
          <w:szCs w:val="18"/>
          <w:color w:val="auto"/>
        </w:rPr>
      </w:pPr>
    </w:p>
    <w:p>
      <w:pPr>
        <w:ind w:left="320" w:hanging="177"/>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Cardiac tissue patches generated using VistaGen’s cardiomyocytes exhibited 2.2-180 fold higher contractile force generation compared to previous studies;</w:t>
      </w:r>
    </w:p>
    <w:p>
      <w:pPr>
        <w:spacing w:after="0" w:line="255" w:lineRule="exact"/>
        <w:rPr>
          <w:rFonts w:ascii="Times New Roman" w:cs="Times New Roman" w:eastAsia="Times New Roman" w:hAnsi="Times New Roman"/>
          <w:sz w:val="17"/>
          <w:szCs w:val="17"/>
          <w:color w:val="auto"/>
        </w:rPr>
      </w:pPr>
    </w:p>
    <w:p>
      <w:pPr>
        <w:ind w:left="320" w:hanging="177"/>
        <w:spacing w:after="0" w:line="274"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force per cardiomyocyte metric, cardiac tissue engineering methodology that used VistaGen’s cardiomyocytes exhibited 4-700-fold higher efficiency than previously reported; and</w:t>
      </w:r>
    </w:p>
    <w:p>
      <w:pPr>
        <w:spacing w:after="0" w:line="1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Cardiac tissue patches generated using VistaGen’s cardiomyocytes exhibited velocities of electrical signal propagation 5-fold higher compared to previous reports in human engineered cardiac tissues.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Cato Research and Cato BioVentures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Cato Research</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Cato Research is a contract research and development organization (CRO), with international resources dedicated to helping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Should we elect to advance development of Drug Rescue Variants internally rather than license or sell them at an early-stage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Cato BioVentures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Cato Holding Company, doing business as Cato BioVentures ("</w:t>
      </w:r>
      <w:r>
        <w:rPr>
          <w:rFonts w:ascii="Times New Roman" w:cs="Times New Roman" w:eastAsia="Times New Roman" w:hAnsi="Times New Roman"/>
          <w:sz w:val="18"/>
          <w:szCs w:val="18"/>
          <w:i w:val="1"/>
          <w:iCs w:val="1"/>
          <w:color w:val="auto"/>
        </w:rPr>
        <w:t>Cato BioVentures</w:t>
      </w:r>
      <w:r>
        <w:rPr>
          <w:rFonts w:ascii="Times New Roman" w:cs="Times New Roman" w:eastAsia="Times New Roman" w:hAnsi="Times New Roman"/>
          <w:sz w:val="18"/>
          <w:szCs w:val="18"/>
          <w:color w:val="auto"/>
        </w:rPr>
        <w:t xml:space="preserve">"), is the venture capital affiliate of Cato Research. Through strategic CRO service agreements with Cato Research, Cato BioVentures invests in therapeutics and medical devices, as well as platform technologies such as our stem cell technology-based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which its principals believe, based on their experience as management of Cato Research, are capable of transforming the traditional drug development process and the R&amp;D productivity of the biotechnology and pharmaceutical industries.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Relationship with Cato Research and Cato BioVentures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Cato Research is our primary CRO for development of AV-101. Cato BioVentures is among our largest institutional investors.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a result of the access Cato Research has to potential </w:t>
      </w:r>
      <w:r>
        <w:rPr>
          <w:rFonts w:ascii="Times New Roman" w:cs="Times New Roman" w:eastAsia="Times New Roman" w:hAnsi="Times New Roman"/>
          <w:sz w:val="18"/>
          <w:szCs w:val="18"/>
          <w:i w:val="1"/>
          <w:iCs w:val="1"/>
          <w:color w:val="auto"/>
        </w:rPr>
        <w:t>Drug Rescue Candida</w:t>
      </w:r>
      <w:r>
        <w:rPr>
          <w:rFonts w:ascii="Times New Roman" w:cs="Times New Roman" w:eastAsia="Times New Roman" w:hAnsi="Times New Roman"/>
          <w:sz w:val="18"/>
          <w:szCs w:val="18"/>
          <w:color w:val="auto"/>
        </w:rPr>
        <w:t xml:space="preserve">tes from its biotechnology and pharmaceutical industry network, as well as Cato BioVentures’ strategic long term equity interest in VistaGen,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on our own rather than license them to strategic partners.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National Institutes of Health</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in 1998,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xml:space="preserve">") has awarded us $11.3 million in non-dilutive research and development grants, including $2.3 million to support research and development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and $8.8 million for nonclinical and Phase 1 clinical development of AV-101, our small molecule drug candidate which has successfully completed Phase 1 clinical development in the U.S. for neuropathic pain and other potential diseases and conditions, including epilepsy and depression.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Institute for Regenerative Medicine</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California Institute for Regenerative Medicine ("</w:t>
      </w:r>
      <w:r>
        <w:rPr>
          <w:rFonts w:ascii="Times New Roman" w:cs="Times New Roman" w:eastAsia="Times New Roman" w:hAnsi="Times New Roman"/>
          <w:sz w:val="18"/>
          <w:szCs w:val="18"/>
          <w:i w:val="1"/>
          <w:iCs w:val="1"/>
          <w:color w:val="auto"/>
        </w:rPr>
        <w:t>CIRM</w:t>
      </w:r>
      <w:r>
        <w:rPr>
          <w:rFonts w:ascii="Times New Roman" w:cs="Times New Roman" w:eastAsia="Times New Roman" w:hAnsi="Times New Roman"/>
          <w:sz w:val="18"/>
          <w:szCs w:val="18"/>
          <w:color w:val="auto"/>
        </w:rPr>
        <w:t>") funds stem cell research at academic research institutions and companies throughout California. CIRM was established in 2004 with the passage of Stem Cell Initiative (Proposition 71)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stem cell-derived human liver cells. This funded research and development focused on the improvement of techniques and the production of engineered human ES Cell lines used to develop mature functional human liver cells as a biological system for testing drugs.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Celsis In Vitro Technologies</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March 2013, we entered into a strategic collaboration with Celsis In Vitro Technologies ("</w:t>
      </w:r>
      <w:r>
        <w:rPr>
          <w:rFonts w:ascii="Times New Roman" w:cs="Times New Roman" w:eastAsia="Times New Roman" w:hAnsi="Times New Roman"/>
          <w:sz w:val="18"/>
          <w:szCs w:val="18"/>
          <w:i w:val="1"/>
          <w:iCs w:val="1"/>
          <w:color w:val="auto"/>
        </w:rPr>
        <w:t>Celsis IVT</w:t>
      </w:r>
      <w:r>
        <w:rPr>
          <w:rFonts w:ascii="Times New Roman" w:cs="Times New Roman" w:eastAsia="Times New Roman" w:hAnsi="Times New Roman"/>
          <w:sz w:val="18"/>
          <w:szCs w:val="18"/>
          <w:color w:val="auto"/>
        </w:rPr>
        <w:t xml:space="preserve">"), a premier global provider of specialized in vitro products for drug metabolism, drug-drug interaction and toxicity screening, focused on characterizing and functionally benchmarking our human liver cell platform,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Celsis IVT products for studying and predicting drug metabolism. We intend to utilize Celsis IVT’s experience and expertise in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drug metabolism to help validate</w:t>
      </w:r>
      <w:r>
        <w:rPr>
          <w:rFonts w:ascii="Times New Roman" w:cs="Times New Roman" w:eastAsia="Times New Roman" w:hAnsi="Times New Roman"/>
          <w:sz w:val="18"/>
          <w:szCs w:val="18"/>
          <w:i w:val="1"/>
          <w:iCs w:val="1"/>
          <w:color w:val="auto"/>
        </w:rPr>
        <w:t xml:space="preserve"> LiverSafe </w:t>
      </w:r>
      <w:r>
        <w:rPr>
          <w:rFonts w:ascii="Times New Roman" w:cs="Times New Roman" w:eastAsia="Times New Roman" w:hAnsi="Times New Roman"/>
          <w:sz w:val="18"/>
          <w:szCs w:val="18"/>
          <w:color w:val="auto"/>
        </w:rPr>
        <w:t>3D. We anticipate that Celsis IVT will not only validate our human liver cells in traditional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metabolism assays, but also will determine genetic variations in our human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w:t>
      </w:r>
      <w:r>
        <w:rPr>
          <w:rFonts w:ascii="Times New Roman" w:cs="Times New Roman" w:eastAsia="Times New Roman" w:hAnsi="Times New Roman"/>
          <w:sz w:val="18"/>
          <w:szCs w:val="18"/>
          <w:i w:val="1"/>
          <w:iCs w:val="1"/>
          <w:color w:val="auto"/>
        </w:rPr>
        <w:t>LiverSafe</w:t>
      </w:r>
      <w:r>
        <w:rPr>
          <w:rFonts w:ascii="Times New Roman" w:cs="Times New Roman" w:eastAsia="Times New Roman" w:hAnsi="Times New Roman"/>
          <w:sz w:val="18"/>
          <w:szCs w:val="18"/>
          <w:color w:val="auto"/>
        </w:rPr>
        <w:t xml:space="preserve"> 3D. Collaborating with Celsis IVT scientists, we are focused on the following four key objectives:</w:t>
      </w:r>
    </w:p>
    <w:p>
      <w:pPr>
        <w:spacing w:after="0" w:line="213" w:lineRule="exact"/>
        <w:rPr>
          <w:sz w:val="20"/>
          <w:szCs w:val="20"/>
          <w:color w:val="auto"/>
        </w:rPr>
      </w:pPr>
    </w:p>
    <w:p>
      <w:pPr>
        <w:ind w:left="640" w:hanging="338"/>
        <w:spacing w:after="0" w:line="274"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techniques to handle and maintain primary human cryopreserved primary liver cells as reference controls for various drug development assays;</w:t>
      </w:r>
    </w:p>
    <w:p>
      <w:pPr>
        <w:spacing w:after="0" w:line="16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stable supply of characterized and validated human cryopreserved primary liver cells to serve as internal controls and provide benchmark comparisons for the characterization of our pluripotent stem cell-derived liver cells;</w:t>
      </w:r>
    </w:p>
    <w:p>
      <w:pPr>
        <w:spacing w:after="0" w:line="16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Characterize our human pluripotent stem cell-derived liver cells using many of the same industry-standardized assays used to characterize primary human liver cells; and</w:t>
      </w:r>
    </w:p>
    <w:p>
      <w:pPr>
        <w:spacing w:after="0" w:line="16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 joint publication of the characterization of our pluripotent stem cell-derived human liver cells.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an industry leader in the development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primary hepatocyte technology, we believe Celsis IVT has extensive resources to aid us in the benchmarking </w:t>
      </w:r>
      <w:r>
        <w:rPr>
          <w:rFonts w:ascii="Times New Roman" w:cs="Times New Roman" w:eastAsia="Times New Roman" w:hAnsi="Times New Roman"/>
          <w:sz w:val="18"/>
          <w:szCs w:val="18"/>
          <w:i w:val="1"/>
          <w:iCs w:val="1"/>
          <w:color w:val="auto"/>
        </w:rPr>
        <w:t xml:space="preserve">LiverSafe </w:t>
      </w:r>
      <w:r>
        <w:rPr>
          <w:rFonts w:ascii="Times New Roman" w:cs="Times New Roman" w:eastAsia="Times New Roman" w:hAnsi="Times New Roman"/>
          <w:sz w:val="18"/>
          <w:szCs w:val="18"/>
          <w:color w:val="auto"/>
        </w:rPr>
        <w:t>3D to industry standards. We anticipate this collaboration will lead to the further validation of</w:t>
      </w:r>
      <w:r>
        <w:rPr>
          <w:rFonts w:ascii="Times New Roman" w:cs="Times New Roman" w:eastAsia="Times New Roman" w:hAnsi="Times New Roman"/>
          <w:sz w:val="18"/>
          <w:szCs w:val="18"/>
          <w:i w:val="1"/>
          <w:iCs w:val="1"/>
          <w:color w:val="auto"/>
        </w:rPr>
        <w:t xml:space="preserve"> LiverSafe </w:t>
      </w:r>
      <w:r>
        <w:rPr>
          <w:rFonts w:ascii="Times New Roman" w:cs="Times New Roman" w:eastAsia="Times New Roman" w:hAnsi="Times New Roman"/>
          <w:sz w:val="18"/>
          <w:szCs w:val="18"/>
          <w:color w:val="auto"/>
        </w:rPr>
        <w:t>3D for predicting liver toxicity and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issues before costly human clinical trials.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Synterys, Inc.</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2011, we entered into a strategic medicinal chemistry collaboration agreement with Synterys, Inc. (Synterys), a leading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Rights Underlying our Human Clinical Trials in a Test Tube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b w:val="1"/>
          <w:bCs w:val="1"/>
          <w:i w:val="1"/>
          <w:iCs w:val="1"/>
          <w:color w:val="auto"/>
        </w:rPr>
        <w:t>latform</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established our intellectual property rights to the technology underlying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through a combination of exclusive and non-exclusive licenses, patent,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210" w:lineRule="exact"/>
        <w:rPr>
          <w:sz w:val="20"/>
          <w:szCs w:val="20"/>
          <w:color w:val="auto"/>
        </w:rPr>
      </w:pPr>
    </w:p>
    <w:p>
      <w:pPr>
        <w:ind w:left="780" w:hanging="44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growth factors (molecules that stimulate the growth of cells);</w:t>
      </w:r>
    </w:p>
    <w:p>
      <w:pPr>
        <w:spacing w:after="0" w:line="24" w:lineRule="exact"/>
        <w:rPr>
          <w:rFonts w:ascii="Times New Roman" w:cs="Times New Roman" w:eastAsia="Times New Roman" w:hAnsi="Times New Roman"/>
          <w:sz w:val="18"/>
          <w:szCs w:val="18"/>
          <w:color w:val="auto"/>
        </w:rPr>
      </w:pPr>
    </w:p>
    <w:p>
      <w:pPr>
        <w:ind w:left="780" w:hanging="443"/>
        <w:spacing w:after="0" w:line="245"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experimentally controlled regulation of developmental genes, which is critical for determining what differentiation path a human cell will take; and</w:t>
      </w:r>
    </w:p>
    <w:p>
      <w:pPr>
        <w:spacing w:after="0" w:line="1"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precise selection of immature cell populations for further growth and development.</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By influencing key branch points in the cellular differentiation process, our pluripotent stem cell technologies can produce fully-differentiated, non-transformed, highly functional human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an efficient, highly pure and reproducible process.</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of the date of this report, we either own or have licensed 43 issued U.S. patents and 12 U.S. patent applications and certain foreign counterparts relating to the stem cell technologies that underlie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Our material rights and obligations with respect to these patents and patent applications are summarized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Jewish Health (NJH) Exclusive License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exclusive licenses to seven issued U.S. patents held by NJH.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this license agreement, we must pay to NJH 1% of our total revenues up to $30 million in each calendar year and 0.5% of all revenues for amounts greater than $30 million, with minimum annual payments of $25,000. Additionally, we are obligated under the agreement to make certain royalty payments on sales of products based on NJH’s patents or the sublicensing of such technology. The royalty payments are subject to anti-stacking provisions which reduce our payments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Icahn School of Medicine at Mount Sinai School (MSSM) Exclusive License</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208" w:lineRule="exact"/>
        <w:rPr>
          <w:sz w:val="20"/>
          <w:szCs w:val="20"/>
          <w:color w:val="auto"/>
        </w:rPr>
      </w:pPr>
    </w:p>
    <w:p>
      <w:pPr>
        <w:ind w:left="780" w:hanging="421"/>
        <w:spacing w:after="0" w:line="257" w:lineRule="auto"/>
        <w:tabs>
          <w:tab w:leader="none" w:pos="7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certain growth factors to generate mesoderm (that is, the precursors capable of developing into cells of the heart, blood system, connective tissues, and vascular system) from hESCs;</w:t>
      </w:r>
    </w:p>
    <w:p>
      <w:pPr>
        <w:ind w:left="780" w:hanging="443"/>
        <w:spacing w:after="0" w:line="24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 w:lineRule="exact"/>
        <w:rPr>
          <w:rFonts w:ascii="Times New Roman" w:cs="Times New Roman" w:eastAsia="Times New Roman" w:hAnsi="Times New Roman"/>
          <w:sz w:val="18"/>
          <w:szCs w:val="18"/>
          <w:color w:val="auto"/>
        </w:rPr>
      </w:pPr>
    </w:p>
    <w:p>
      <w:pPr>
        <w:ind w:left="780" w:hanging="443"/>
        <w:spacing w:after="0" w:line="251"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applications of cells derived from mesoderm and endoderm precursors, especially those relating to drug discovery and testing for applications in the field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drug discovery and development applications.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This license agreement requires us to pay annual license and patent prosecution and maintenance fees and royalty payments based on product sales and services that are covered by the MSSM patent applications, as well as for any revenues received from sublicensing. Any drug candidates that we develop, including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will only require royalty payments to the extent they require the practice of the licensed technology. To the extent we incur royalty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Wisconsin Alumni Research Foundation (WARF) Non-Exclusive License</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We have non-exclusive licenses to 28 issued stem cell-related U.S. patents, 14 stem cell-related U.S. patent applications, of which two have been allowed, and certain foreign counterparts held by WARF, for applications in the field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drug discovery and development. Foreign counterparts have been filed in Australia, Canada, Europe, China, India, Hong Kong, Israel, Brazil, South Korea, India, Mexico, and New Zealand. The subject matter of these patents includes specific hESC lines and composition of matter and use claims relating to hESCs important to drug discovery, and drug rescue screening. We have rights to:</w:t>
      </w:r>
    </w:p>
    <w:p>
      <w:pPr>
        <w:spacing w:after="0" w:line="191" w:lineRule="exact"/>
        <w:rPr>
          <w:sz w:val="20"/>
          <w:szCs w:val="20"/>
          <w:color w:val="auto"/>
        </w:rPr>
      </w:pPr>
    </w:p>
    <w:p>
      <w:pPr>
        <w:ind w:left="780" w:hanging="44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technology for internal research and drug development;</w:t>
      </w:r>
    </w:p>
    <w:p>
      <w:pPr>
        <w:spacing w:after="0" w:line="24"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discovery and screening services to third parties; and</w:t>
      </w:r>
    </w:p>
    <w:p>
      <w:pPr>
        <w:spacing w:after="0" w:line="5"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sell research products (that is, cellular assays incorporating the licensed technology).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license agreement requires us to make royalty payments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validated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patents currently related to the generation of human heart and liver cells for use in connection with our drug rescue activities are set forth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00" w:type="dxa"/>
            <w:vAlign w:val="bottom"/>
          </w:tcPr>
          <w:p>
            <w:pPr>
              <w:spacing w:after="0"/>
              <w:rPr>
                <w:sz w:val="20"/>
                <w:szCs w:val="20"/>
                <w:color w:val="auto"/>
              </w:rPr>
            </w:pPr>
          </w:p>
        </w:tc>
        <w:tc>
          <w:tcPr>
            <w:tcW w:w="4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12"/>
        </w:trPr>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7,763,466</w:t>
            </w:r>
          </w:p>
        </w:tc>
        <w:tc>
          <w:tcPr>
            <w:tcW w:w="1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 to produce endoderm cells</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12"/>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2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7,955,849</w:t>
            </w:r>
          </w:p>
        </w:tc>
        <w:tc>
          <w:tcPr>
            <w:tcW w:w="1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Method of enriching population of mesoderm cells</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2023</w:t>
            </w:r>
          </w:p>
        </w:tc>
      </w:tr>
      <w:tr>
        <w:trPr>
          <w:trHeight w:val="212"/>
        </w:trPr>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8,143,009</w:t>
            </w:r>
          </w:p>
        </w:tc>
        <w:tc>
          <w:tcPr>
            <w:tcW w:w="1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Toxicity typing using liver stem cells</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2023</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AV-101, we recently filed three new U.S. patent applications.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Sponsored Research Collaborations and Intellectual Property Rights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Health Network, McEwen Centre for Regenerative Medicine, Toronto, Ontario</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have a stem cell research collaboration with our co-founder, Dr. Gordon Keller, Director of the UHN’s McEwen Centre, focused on developing improved methods for differentiation of cardiomyocytes (heart cells) from pluripotent stem cells, and their uses as biological systems for drug development. Pursuant to our sponsored research collaboration agreement with UHN, we have the right to acquire exclusive worldwide rights to any inventions arising from studies we sponsor, under pre-negotiated license terms. Such pre-negotiated terms provide for royalty payments based on product sales that incorporate the licensed technology and milestone payments based on the achievement of certain events. Any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We also have the exclusive option to sponsor research for similar cartilage, liver, pancreas and blood cell projects with similar licensing rights.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sponsored research collaboration agreement with UHN, as amended, has a term of ten years, ending on September 18, 2017. Our 2012/2013 sponsored research project budget under the agreement ended on September 30, 2013. We are currently in discussions with Dr. Keller and UHN regarding the scope of our future sponsored research project budget under the agreement, and we anticipate finalizing such budget upon completion of this Offering.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UHN License for Stem Cell Culture Technology</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April 2012, we licensed breakthrough stem cell culture technology from UHN’s McEwen Centre. We intend to utilize the licensed technology to develop hematopoietic precursor stem cells from human pluripotent stem cells, with the goal of developing drug screening and cell therapy applications for human blood system disorders. The breakthrough technology is included in a new United States patent application. We believe this stem cell technology dramatically advances our ability to produce and purify this important blood stem cell precursor for both in vitro drug screening and in vivo cell therapy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AV-101-Related Intellectual Property</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exclusive licenses to issued U.S. patents related to the use and function of AV-101, and various central nervous system (CNS)-active molecules related to AV-101. These patents are held by the University of Maryland, Baltimore, the Cornell Research Foundation, Inc. and Aventis, Inc. The principle U.S. method of use patent related to AV-101 expired in February 2011. Foreign counterparts to that U.S. patent expired in February 2012. However, through the date of this report, in 2013, we have filed three new U.S. patent applications relating to AV-101. In addition, among the key components of our commercial protection strategy with respect to AV-101 is the New Drug Product Exclusivity provided by the FDA under section 505(c)(3)(E) and 505(j)(5)(F) of the Federal Food, Drug, and Cosmetic Act (FDCA). The FDA’s New Drug Product Exclusivity is available for new chemical entities (NCEs) such as AV-101, which, by definition, are innovative and have not been approved previously by the FDA, either alone or in combination. The FDA’s New Drug Product Exclusivity protection provides the holder of an FDA-approved new drug application (NDA) five (5) years of protection from new competition in the U.S. marketplace for the innovation represented by its approved new drug product. This protection precludes FDA approval of certain generic drug applications under section 505(b)</w:t>
      </w:r>
    </w:p>
    <w:p>
      <w:pPr>
        <w:spacing w:after="0" w:line="1" w:lineRule="exact"/>
        <w:rPr>
          <w:sz w:val="20"/>
          <w:szCs w:val="20"/>
          <w:color w:val="auto"/>
        </w:rPr>
      </w:pPr>
    </w:p>
    <w:p>
      <w:pPr>
        <w:ind w:firstLine="6"/>
        <w:spacing w:after="0" w:line="251"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FDCA, as well certain abbreviated new drug applications (ANDAs), during the five-year exclusivity period, except that such applications may be submitted after four years if they contain a certification of patent invalidity or non-infringement.</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terms of our license agreement, we may be obligated to make royalty payments on 2% of net sales of products using the unexpired patent rights, if any, including products containing compounds covered by the patent rights. Additionally, we may be required to pay a 1% royalty on net sales of combination products that use unexpired patent rights, if any, or contain compounds covered by the patent rights. Consequently, future sales of AV-101 may be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We believe that our human pluripotent stem cell (hPSC) technology platform, </w:t>
      </w:r>
      <w:r>
        <w:rPr>
          <w:rFonts w:ascii="Times New Roman" w:cs="Times New Roman" w:eastAsia="Times New Roman" w:hAnsi="Times New Roman"/>
          <w:sz w:val="17"/>
          <w:szCs w:val="17"/>
          <w:i w:val="1"/>
          <w:iCs w:val="1"/>
          <w:color w:val="auto"/>
        </w:rPr>
        <w:t>Human Clinical Trials in a Test Tube</w:t>
      </w:r>
      <w:r>
        <w:rPr>
          <w:rFonts w:ascii="Times New Roman" w:cs="Times New Roman" w:eastAsia="Times New Roman" w:hAnsi="Times New Roman"/>
          <w:sz w:val="17"/>
          <w:szCs w:val="17"/>
          <w:color w:val="auto"/>
        </w:rPr>
        <w:t xml:space="preserve">, the hPSC-derived human cells we produce, and the human cell-based assay systems we have developed are capable of being competitive in the diverse and rapidly growing stem cell and regenerative medicine markets, including markets involving the sale of hPSC-derived cells to third-parties for their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drug discovery and safety testing, contract predictive toxicology drug screening services for third parties, internal drug discovery, development and rescue of new molecular entities (NMEs), and regenerative medicine, including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cell therapy research and development. A representative list of such biopharmaceutical companies pursuing one or more of these potential applications of adult and/or pluripotent stem cell technology includes the following: Acea Biosciences, Advanced Cell Technology, Athersys, BioTime, Cellectis Bioresearch, Cellular Dynamics, Cellerant Therapeutics, Cytori Therapeutics,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We anticipate that acceptance and use of hPSC technology for drug development and regenerative medicine will continue to occur and increase at pharmaceutical and biotechnology companies in the future.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believe the best and most valuable near term commercial application of our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is internal production of NMEs, which we refer to as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through small molecule drug rescue. We believe that the stem cell technologies underlying our </w:t>
      </w:r>
      <w:r>
        <w:rPr>
          <w:rFonts w:ascii="Times New Roman" w:cs="Times New Roman" w:eastAsia="Times New Roman" w:hAnsi="Times New Roman"/>
          <w:sz w:val="18"/>
          <w:szCs w:val="18"/>
          <w:i w:val="1"/>
          <w:iCs w:val="1"/>
          <w:color w:val="auto"/>
        </w:rPr>
        <w:t>Human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Trials in a Test Tube </w:t>
      </w:r>
      <w:r>
        <w:rPr>
          <w:rFonts w:ascii="Times New Roman" w:cs="Times New Roman" w:eastAsia="Times New Roman" w:hAnsi="Times New Roman"/>
          <w:sz w:val="18"/>
          <w:szCs w:val="18"/>
          <w:color w:val="auto"/>
        </w:rPr>
        <w:t>platform and our primary focus on opportunities to produce small molecule NMEs through drug rescue provide us substantial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advantages associated with application of human biology at the front end of the drug development process, before animal and human testing. Although we believe that our model for the application of human pluripotent stem cell technology for drug rescue is novel, significant competition may arise or otherwise increase considerably as the acceptance and use of hPSC technology, the sale of hPSC-derived human heart and liver cells, and the availability of hPSC-related contract predictive toxicology screening services, for drug discovery, development and rescue, as well as cell therapy and regenerative medicine, continue to become more widespread throughout the academic research community and the pharmaceutical and biotechnology industries. In addition, significant competition may arise from those academic research institutions, contract research organizations, and biopharmaceutical companies currently producing or capable of producing, currently using or capable of using, hPSC-derived heart cells and liver cells for third-party sales, contract screening or cell therapy research and development, that elect or their customers elect to transform their current business operations to include internal drug rescue and development of small molecule NMEs in a manner similar to our drug rescue model.</w:t>
      </w:r>
    </w:p>
    <w:p>
      <w:pPr>
        <w:spacing w:after="0" w:line="1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With respect to AV-101, we believe that a range of pharmaceutical and biotechnology companies have programs to develop small molecule drug candidates for the treatment of neuropathic pain, epilepsy, depression, Parkinson’s disease and other neurological conditions and diseases, including Abbott Laboratories, GlaxoSmithKline, Johnson &amp; Johnson, Novartis, and Pfizer. We expect that AV-101 will have to compete with a variety of therapeutic products and procedures. With respect to each </w:t>
      </w:r>
      <w:r>
        <w:rPr>
          <w:rFonts w:ascii="Times New Roman" w:cs="Times New Roman" w:eastAsia="Times New Roman" w:hAnsi="Times New Roman"/>
          <w:sz w:val="17"/>
          <w:szCs w:val="17"/>
          <w:i w:val="1"/>
          <w:iCs w:val="1"/>
          <w:color w:val="auto"/>
        </w:rPr>
        <w:t>Drug Rescue Variant</w:t>
      </w:r>
      <w:r>
        <w:rPr>
          <w:rFonts w:ascii="Times New Roman" w:cs="Times New Roman" w:eastAsia="Times New Roman" w:hAnsi="Times New Roman"/>
          <w:sz w:val="17"/>
          <w:szCs w:val="17"/>
          <w:color w:val="auto"/>
        </w:rPr>
        <w:t xml:space="preserve"> we are able to produce, we anticipate that a range of pharmaceutical and biotechnology companies will have programs to develop small molecule drug candidates or biologics for the treatment of the diseases or conditions targeted by each such </w:t>
      </w:r>
      <w:r>
        <w:rPr>
          <w:rFonts w:ascii="Times New Roman" w:cs="Times New Roman" w:eastAsia="Times New Roman" w:hAnsi="Times New Roman"/>
          <w:sz w:val="17"/>
          <w:szCs w:val="17"/>
          <w:i w:val="1"/>
          <w:iCs w:val="1"/>
          <w:color w:val="auto"/>
        </w:rPr>
        <w:t>Drug Rescue Variant</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(ISSCR), or the NIH. These procedures and documentation have been reviewed by an external Stem Cell Research Oversight Committee, and all cell lines we use have been approved under one or more of these guidelines.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U.S. government and its agencies on July 7, 2009 published guidelines for the ethical derivation of hESCs required for receiving federal funding for hESC research. Should we seek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Canada, stem cell research and development is governed by two policy documents and by one legislative statute: the Guidelines for Human Pluripotent Stem Cell Research (the Guidelines) issued by the Canadian Institutes of Health Research; the Tri-Council Statement: Ethical Conduct for Research Involving Humans (the TCPS); and the Assisted Human Reproduction Act (the Act).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not currently conducting stem cell research in Canada. We are, however, sponsoring pluripotent stem cell research by Dr. Gordon Keller at UHN’s McEwen Centre. We anticipate conducting pluripotent stem cell research (with both hESCs and hiPSCs), in collaboration with Dr. Keller and his research team, at UHN during 2014 and beyond pursuant to our long term sponsored research collaboration with Dr. Keller and UHN. Should the provisions of the Act come into force, we may have to apply for a license for all hESC research we may sponsor or conduct in Canada and ensure compliance of such research with the provisions of the 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and Inter-Corporate Relationships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wholly-owned subsidiaries are managed by our senior management team based in South San Francisco, California.</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ten full-time employees, four of whom have doctorate degrees. We anticipate adding up to ten additional employees, including at least two of whom will have a doctorate degree, within the twelve months following completion of the Offering. Currently, seven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and public company reporting, information technology, facilities, legal, stock plan administration, investor relations and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“Business – Strategic Transactions and Relationships.”</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None of our employees is represented by a labor union or is subject to a collective bargaining agreement. We believe that our current relationship with all of our employees is good.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principal executive offices and laboratories are located in South San Francisco, California, where we occupy approximately 10,000 square feet of office and laboratory space under a lease that expires in July 2017. Upon completion of this Offering, we anticipate leasing approximately 10,000 square feet of additional office and laboratory space to facilitate our growth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From time to time, we may be a party to litigation and subject to claims incident to the ordinary course of business. We are not currently a party to any legal proceedings.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and executive officers as of April 30, 2014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2"/>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2"/>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11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64</w:t>
            </w: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Founder, President, Chief Scientific Officer and Director</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11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60</w:t>
            </w:r>
          </w:p>
        </w:tc>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Secretary</w:t>
            </w:r>
          </w:p>
        </w:tc>
      </w:tr>
      <w:tr>
        <w:trPr>
          <w:trHeight w:val="212"/>
        </w:trPr>
        <w:tc>
          <w:tcPr>
            <w:tcW w:w="20" w:type="dxa"/>
            <w:vAlign w:val="bottom"/>
          </w:tcPr>
          <w:p>
            <w:pPr>
              <w:spacing w:after="0"/>
              <w:rPr>
                <w:sz w:val="18"/>
                <w:szCs w:val="18"/>
                <w:color w:val="auto"/>
              </w:rPr>
            </w:pPr>
          </w:p>
        </w:tc>
        <w:tc>
          <w:tcPr>
            <w:tcW w:w="460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4"/>
                <w:szCs w:val="24"/>
                <w:color w:val="auto"/>
                <w:vertAlign w:val="superscript"/>
              </w:rPr>
              <w:t>(1)</w:t>
            </w:r>
          </w:p>
        </w:tc>
        <w:tc>
          <w:tcPr>
            <w:tcW w:w="11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77</w:t>
            </w: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Brian J. Underdown, PhD. </w:t>
            </w:r>
            <w:r>
              <w:rPr>
                <w:rFonts w:ascii="Times New Roman" w:cs="Times New Roman" w:eastAsia="Times New Roman" w:hAnsi="Times New Roman"/>
                <w:sz w:val="24"/>
                <w:szCs w:val="24"/>
                <w:color w:val="auto"/>
                <w:vertAlign w:val="superscript"/>
              </w:rPr>
              <w:t>(2)</w:t>
            </w:r>
          </w:p>
        </w:tc>
        <w:tc>
          <w:tcPr>
            <w:tcW w:w="11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73</w:t>
            </w:r>
          </w:p>
        </w:tc>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0" w:lineRule="exact"/>
        <w:rPr>
          <w:sz w:val="20"/>
          <w:szCs w:val="20"/>
          <w:color w:val="auto"/>
        </w:rPr>
      </w:pPr>
    </w:p>
    <w:p>
      <w:pPr>
        <w:ind w:left="640" w:hanging="63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and member of the compensation committee and corporate governance and nominating committee</w:t>
      </w:r>
    </w:p>
    <w:p>
      <w:pPr>
        <w:spacing w:after="0" w:line="2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and chairman of the compensation committee and corporate governance and nominating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Shawn K. Singh, J.D. </w:t>
      </w:r>
      <w:r>
        <w:rPr>
          <w:rFonts w:ascii="Times New Roman" w:cs="Times New Roman" w:eastAsia="Times New Roman" w:hAnsi="Times New Roman"/>
          <w:sz w:val="17"/>
          <w:szCs w:val="17"/>
          <w:color w:val="auto"/>
        </w:rPr>
        <w:t>has served as our Chief Executive Officer since August 2009; he joined our Board of Directors in 2000 and served on our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team (part-time) from late-2003, following our acquisition of Artemis 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a profitable global contract research organization (CRO)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H. Ralph Snodgrass, Ph.D. </w:t>
      </w:r>
      <w:r>
        <w:rPr>
          <w:rFonts w:ascii="Times New Roman" w:cs="Times New Roman" w:eastAsia="Times New Roman" w:hAnsi="Times New Roman"/>
          <w:sz w:val="17"/>
          <w:szCs w:val="17"/>
          <w:color w:val="auto"/>
        </w:rPr>
        <w:t>co-founded VistaGen with Dr. Gordon Keller in 1998 and served as our Chief Executive Officer until August 2009. Dr. Snodgrass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our President and Chief Scientific Officer since August 2009. He 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(BIO),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Jerrold D. Dotson, CPA </w:t>
      </w:r>
      <w:r>
        <w:rPr>
          <w:rFonts w:ascii="Times New Roman" w:cs="Times New Roman" w:eastAsia="Times New Roman" w:hAnsi="Times New Roman"/>
          <w:sz w:val="18"/>
          <w:szCs w:val="18"/>
          <w:color w:val="auto"/>
        </w:rPr>
        <w:t>has served as our Chief Financial Officer since September 2011, as our Corporate Secretary since October 2013 and as a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 S. Saxe, J.D. </w:t>
      </w:r>
      <w:r>
        <w:rPr>
          <w:rFonts w:ascii="Times New Roman" w:cs="Times New Roman" w:eastAsia="Times New Roman" w:hAnsi="Times New Roman"/>
          <w:sz w:val="17"/>
          <w:szCs w:val="17"/>
          <w:color w:val="auto"/>
        </w:rPr>
        <w:t>has served as Chairman of our Board of Directors since 2000. He also serves as the Chairman of our Audit Committee. Mr. Saxe is the retired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and was a director of PDL BioPharma.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including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J. Underdown, Ph.D. </w:t>
      </w:r>
      <w:r>
        <w:rPr>
          <w:rFonts w:ascii="Times New Roman" w:cs="Times New Roman" w:eastAsia="Times New Roman" w:hAnsi="Times New Roman"/>
          <w:sz w:val="18"/>
          <w:szCs w:val="18"/>
          <w:color w:val="auto"/>
        </w:rPr>
        <w:t>has served as a member of our Board of Directors since November 2009. Dr. Underdown has served as Managing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Lumira Capital Corp. since September 1997, having started in the venture 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Executive Officers</w:t>
      </w:r>
    </w:p>
    <w:p>
      <w:pPr>
        <w:spacing w:after="0" w:line="2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following the completion of this Offering. All actions of the board of directors require the approval of a majority of the directors in attendance at a meeting at which a quorum is present.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securities are not currently listed on a national securities exchange or on any inter-dealer quotation system which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National Market.</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208" w:lineRule="exact"/>
        <w:rPr>
          <w:sz w:val="20"/>
          <w:szCs w:val="20"/>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replacing our independent auditors and evaluating their qualifications, independence and performance;</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scope of the annual audit and audit fees;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rotation of partners of independent auditors on engagement team as required by law;</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independent auditors the results of annual audit and review of quarterly financial statements;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adequacy and effectiveness of internal control policies and procedures;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retention of independent auditors to perform any proposed permissible non-audit services;</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internal audit functions and annually reviewing audit committee charter and committee performance; and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90" w:lineRule="exact"/>
        <w:rPr>
          <w:sz w:val="20"/>
          <w:szCs w:val="20"/>
          <w:color w:val="auto"/>
        </w:rPr>
      </w:pPr>
    </w:p>
    <w:p>
      <w:pPr>
        <w:jc w:val="both"/>
        <w:ind w:left="640" w:hanging="338"/>
        <w:spacing w:after="0" w:line="282" w:lineRule="auto"/>
        <w:tabs>
          <w:tab w:leader="none" w:pos="6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86" w:lineRule="exact"/>
        <w:rPr>
          <w:rFonts w:ascii="Times New Roman" w:cs="Times New Roman" w:eastAsia="Times New Roman" w:hAnsi="Times New Roman"/>
          <w:sz w:val="17"/>
          <w:szCs w:val="17"/>
          <w:color w:val="auto"/>
        </w:rPr>
      </w:pPr>
    </w:p>
    <w:p>
      <w:pPr>
        <w:ind w:left="640" w:hanging="33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objectives of our executive officer compensation programs;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corporate performance measures and goals regarding executive officer compensation are set and determining the extent to which they are achieved and any related compensation earned;</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goals and objectives relevant to CEO compensation, evaluating CEO performance in light of such goals and objectives, and determining CEO compensation based on the evaluation;</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Endeavoring to ensure that our executive compensation programs are effective in attracting and retaining key employees and reinforcing business strategies and objectives for enhancing stockholder value;</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administration of incentive-compensation plans and equity-based incentive plans as in effect and as adopted from time to time by the board;</w:t>
      </w:r>
    </w:p>
    <w:p>
      <w:pPr>
        <w:spacing w:after="0" w:line="190"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new equity compensation plan or any material change to an existing plan; and</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202" w:lineRule="exact"/>
        <w:rPr>
          <w:sz w:val="20"/>
          <w:szCs w:val="20"/>
          <w:color w:val="auto"/>
        </w:rPr>
      </w:pPr>
    </w:p>
    <w:p>
      <w:pPr>
        <w:ind w:left="640" w:hanging="33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size and composition of the board;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with respect to the nominations or elections of our directors;</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corporate governance policies and procedures and our Code of Business Conduct and Ethics, and recommending any proposed changes to the board for approval; and</w:t>
      </w:r>
    </w:p>
    <w:p>
      <w:pPr>
        <w:spacing w:after="0" w:line="190"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our employees, officers and directors. Our Code of Business Conduct and Ethics is available on our website. We intend to disclose any future amendments to certain provisions of our Code of Business Conduct and Ethics, or waivers of these provisions, on our website or in filings with the SEC under the Exchange Act.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 for Fiscal Years 2014 and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provides compensation information about the following individuals:</w:t>
      </w:r>
    </w:p>
    <w:p>
      <w:pPr>
        <w:spacing w:after="0" w:line="244" w:lineRule="exact"/>
        <w:rPr>
          <w:sz w:val="20"/>
          <w:szCs w:val="20"/>
          <w:color w:val="auto"/>
        </w:rPr>
      </w:pPr>
    </w:p>
    <w:p>
      <w:pPr>
        <w:ind w:left="640" w:hanging="33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K. Singh, our Chief Executive Officer (CEO) and director;</w:t>
      </w:r>
    </w:p>
    <w:p>
      <w:pPr>
        <w:spacing w:after="0" w:line="24"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Ralph Snodgrass, our President, Chief Scientific Officer (CSO) and director; and</w:t>
      </w:r>
    </w:p>
    <w:p>
      <w:pPr>
        <w:spacing w:after="0" w:line="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Jerrold D. Dotson, our Vice President, Chief Financial Officer (CFO) and Secretary</w:t>
      </w:r>
    </w:p>
    <w:p>
      <w:pPr>
        <w:spacing w:after="0" w:line="22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In the discussion below, we refer to this group of executives as the named executive officers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This group includes the executive officers for whom disclosure is required under the applicable rules of the SEC.</w:t>
      </w:r>
    </w:p>
    <w:p>
      <w:pPr>
        <w:spacing w:after="0" w:line="16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in the fiscal years ended March 31, 2014 and 2013:</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 and Warrant</w:t>
            </w:r>
          </w:p>
        </w:tc>
        <w:tc>
          <w:tcPr>
            <w:tcW w:w="124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34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0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Bonus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line="233" w:lineRule="exact"/>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24"/>
                <w:szCs w:val="24"/>
                <w:b w:val="1"/>
                <w:bCs w:val="1"/>
                <w:color w:val="auto"/>
                <w:vertAlign w:val="superscript"/>
              </w:rPr>
              <w:t>(7)</w:t>
            </w:r>
            <w:r>
              <w:rPr>
                <w:rFonts w:ascii="Times New Roman" w:cs="Times New Roman" w:eastAsia="Times New Roman" w:hAnsi="Times New Roman"/>
                <w:sz w:val="18"/>
                <w:szCs w:val="18"/>
                <w:b w:val="1"/>
                <w:bCs w:val="1"/>
                <w:color w:val="auto"/>
              </w:rPr>
              <w:t xml:space="preserve"> ($)</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Compensation ($)</w:t>
            </w:r>
          </w:p>
        </w:tc>
        <w:tc>
          <w:tcPr>
            <w:tcW w:w="1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Shawn K. Singh, J.D. </w:t>
            </w:r>
            <w:r>
              <w:rPr>
                <w:rFonts w:ascii="Times New Roman" w:cs="Times New Roman" w:eastAsia="Times New Roman" w:hAnsi="Times New Roman"/>
                <w:sz w:val="24"/>
                <w:szCs w:val="24"/>
                <w:color w:val="auto"/>
                <w:vertAlign w:val="superscript"/>
              </w:rPr>
              <w:t>(1)</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4"/>
              </w:rPr>
              <w:t>2014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159,802</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409,802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4"/>
              </w:rPr>
              <w:t>2013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802,411</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 (10)</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1,004,057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0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H. Ralph Snodgrass, Ph.D. </w:t>
            </w:r>
            <w:r>
              <w:rPr>
                <w:rFonts w:ascii="Times New Roman" w:cs="Times New Roman" w:eastAsia="Times New Roman" w:hAnsi="Times New Roman"/>
                <w:sz w:val="24"/>
                <w:szCs w:val="24"/>
                <w:color w:val="auto"/>
                <w:vertAlign w:val="superscript"/>
              </w:rPr>
              <w:t>(2)</w:t>
            </w:r>
          </w:p>
        </w:tc>
        <w:tc>
          <w:tcPr>
            <w:tcW w:w="9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4"/>
              </w:rPr>
              <w:t>2014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102,353</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352.353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Chief Scientific Officer</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4"/>
              </w:rPr>
              <w:t>2013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534,941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738,027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Jerrold D. Dotson </w:t>
            </w:r>
            <w:r>
              <w:rPr>
                <w:rFonts w:ascii="Times New Roman" w:cs="Times New Roman" w:eastAsia="Times New Roman" w:hAnsi="Times New Roman"/>
                <w:sz w:val="24"/>
                <w:szCs w:val="24"/>
                <w:color w:val="auto"/>
                <w:vertAlign w:val="superscript"/>
              </w:rPr>
              <w:t>(3)</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4"/>
              </w:rPr>
              <w:t>2014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36,846</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236,846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00" w:type="dxa"/>
            <w:vAlign w:val="bottom"/>
          </w:tcPr>
          <w:p>
            <w:pPr>
              <w:spacing w:after="0" w:line="192" w:lineRule="exact"/>
              <w:rPr>
                <w:sz w:val="20"/>
                <w:szCs w:val="20"/>
                <w:color w:val="auto"/>
              </w:rPr>
            </w:pPr>
            <w:r>
              <w:rPr>
                <w:rFonts w:ascii="Times New Roman" w:cs="Times New Roman" w:eastAsia="Times New Roman" w:hAnsi="Times New Roman"/>
                <w:sz w:val="18"/>
                <w:szCs w:val="18"/>
                <w:i w:val="1"/>
                <w:iCs w:val="1"/>
                <w:color w:val="auto"/>
              </w:rPr>
              <w:t>Vice President, Chief Financial Officer,</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9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2013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97,269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134,316</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62,333</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293,918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00" w:right="20" w:hanging="394"/>
        <w:spacing w:after="0" w:line="269" w:lineRule="auto"/>
        <w:tabs>
          <w:tab w:leader="none" w:pos="4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Singh became VistaGen California’s Chief Executive Officer on August 20, 2009 and our Chief Executive Officer in May 2011, in connection with the Merger. In our fiscal years ended March 31, 2014 and 2013, Mr. Singh’s annual base cash salary, excluding potential cash bonus amounts, pursuant to his January 2010 employment agreement was contractually set at $347,500. However, to conserve cash for our operations during our fiscal years ended March 31, 2014 and 2013,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2014 and 2013, Mr. Singh voluntarily refrained from receiving any cash bonus from us.</w:t>
      </w:r>
    </w:p>
    <w:p>
      <w:pPr>
        <w:spacing w:after="0" w:line="170" w:lineRule="exact"/>
        <w:rPr>
          <w:rFonts w:ascii="Times New Roman" w:cs="Times New Roman" w:eastAsia="Times New Roman" w:hAnsi="Times New Roman"/>
          <w:sz w:val="17"/>
          <w:szCs w:val="17"/>
          <w:color w:val="auto"/>
        </w:rPr>
      </w:pPr>
    </w:p>
    <w:p>
      <w:pPr>
        <w:jc w:val="both"/>
        <w:ind w:left="400" w:right="20" w:hanging="394"/>
        <w:spacing w:after="0" w:line="267" w:lineRule="auto"/>
        <w:tabs>
          <w:tab w:leader="none" w:pos="4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2014 and 2013, Dr. Snodgrass’ annual base cash salary, excluding potential cash bonus amounts, pursuant to his January 2010 employment agreement was contractually set at $305,000. However, to conserve cash for our operations during our fiscal years ended March 31, 2014 and 2013,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2014 and 2012, Dr. Snodgrass voluntarily refrained from receiving any cash bonus from us.</w:t>
      </w:r>
    </w:p>
    <w:p>
      <w:pPr>
        <w:spacing w:after="0" w:line="174" w:lineRule="exact"/>
        <w:rPr>
          <w:rFonts w:ascii="Times New Roman" w:cs="Times New Roman" w:eastAsia="Times New Roman" w:hAnsi="Times New Roman"/>
          <w:sz w:val="17"/>
          <w:szCs w:val="17"/>
          <w:color w:val="auto"/>
        </w:rPr>
      </w:pPr>
    </w:p>
    <w:p>
      <w:pPr>
        <w:ind w:left="400" w:right="20" w:hanging="394"/>
        <w:spacing w:after="0" w:line="274"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Dotson served as Chief Financial Officer on a part-time contract basis from September 19, 2011 through August 2012, at which time he became a full-time employee of the Company.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400" w:hanging="394"/>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Mr. Singh received only $125,000 in cash; the remaining balance has been accrued for future payment.</w:t>
      </w:r>
    </w:p>
    <w:p>
      <w:pPr>
        <w:spacing w:after="0" w:line="217"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Dr. Snodgrass received only $149,606 in cash; the remaining balance has been accrued for future payment.</w:t>
      </w:r>
    </w:p>
    <w:p>
      <w:pPr>
        <w:spacing w:after="0" w:line="217"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Mr. Dotson received only $143,333 in cash; the remaining balance has been accrued for future payment.</w:t>
      </w:r>
    </w:p>
    <w:p>
      <w:pPr>
        <w:spacing w:after="0" w:line="215" w:lineRule="exact"/>
        <w:rPr>
          <w:rFonts w:ascii="Times New Roman" w:cs="Times New Roman" w:eastAsia="Times New Roman" w:hAnsi="Times New Roman"/>
          <w:sz w:val="18"/>
          <w:szCs w:val="18"/>
          <w:color w:val="auto"/>
        </w:rPr>
      </w:pPr>
    </w:p>
    <w:p>
      <w:pPr>
        <w:jc w:val="both"/>
        <w:ind w:left="400" w:right="20" w:hanging="394"/>
        <w:spacing w:after="0" w:line="250"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Option and Warrant Awards column do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represent any cash payments actually received by Mr. Singh, Dr. Snodgrass or Mr. Dotson with respect to any of the options or warrants to purchase restricted shares of our common stock awarded to them or modified during the periods presented. Rather, the amounts in the Option and Warrant Awards column represent the deemed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Except as indicated in note (9) below,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Option</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Warrant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Grant</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Grant</w:t>
            </w:r>
          </w:p>
        </w:tc>
        <w:tc>
          <w:tcPr>
            <w:tcW w:w="280" w:type="dxa"/>
            <w:vAlign w:val="bottom"/>
          </w:tcPr>
          <w:p>
            <w:pPr>
              <w:spacing w:after="0"/>
              <w:rPr>
                <w:sz w:val="18"/>
                <w:szCs w:val="18"/>
                <w:color w:val="auto"/>
              </w:rPr>
            </w:pPr>
          </w:p>
        </w:tc>
        <w:tc>
          <w:tcPr>
            <w:tcW w:w="202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color w:val="auto"/>
              </w:rPr>
              <w:t>Option Modification</w:t>
            </w:r>
          </w:p>
        </w:tc>
        <w:tc>
          <w:tcPr>
            <w:tcW w:w="220" w:type="dxa"/>
            <w:vAlign w:val="bottom"/>
          </w:tcPr>
          <w:p>
            <w:pPr>
              <w:spacing w:after="0"/>
              <w:rPr>
                <w:sz w:val="18"/>
                <w:szCs w:val="18"/>
                <w:color w:val="auto"/>
              </w:rPr>
            </w:pPr>
          </w:p>
        </w:tc>
        <w:tc>
          <w:tcPr>
            <w:tcW w:w="2180" w:type="dxa"/>
            <w:vAlign w:val="bottom"/>
            <w:gridSpan w:val="7"/>
          </w:tcPr>
          <w:p>
            <w:pPr>
              <w:jc w:val="right"/>
              <w:ind w:right="620"/>
              <w:spacing w:after="0"/>
              <w:rPr>
                <w:sz w:val="20"/>
                <w:szCs w:val="20"/>
                <w:color w:val="auto"/>
              </w:rPr>
            </w:pPr>
            <w:r>
              <w:rPr>
                <w:rFonts w:ascii="Times New Roman" w:cs="Times New Roman" w:eastAsia="Times New Roman" w:hAnsi="Times New Roman"/>
                <w:sz w:val="16"/>
                <w:szCs w:val="16"/>
                <w:color w:val="auto"/>
              </w:rPr>
              <w:t>Warrant Modification</w:t>
            </w:r>
          </w:p>
        </w:tc>
        <w:tc>
          <w:tcPr>
            <w:tcW w:w="218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color w:val="auto"/>
                <w:w w:val="98"/>
              </w:rPr>
              <w:t>Option/Warrant Exchange (a)</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10/27/2013</w:t>
            </w: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3/19/2014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12/20/2013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12/20/2013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3/19/2014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Singh</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134,436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25,366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Snodgrass</w:t>
            </w:r>
          </w:p>
        </w:tc>
        <w:tc>
          <w:tcPr>
            <w:tcW w:w="3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14,560</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30,958</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Dotson</w:t>
            </w: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6,380</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29,120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gridSpan w:val="2"/>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43,680</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192,617</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25,366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30,958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299,001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w w:val="96"/>
              </w:rPr>
              <w:t>Before</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After</w:t>
            </w:r>
          </w:p>
        </w:tc>
        <w:tc>
          <w:tcPr>
            <w:tcW w:w="140" w:type="dxa"/>
            <w:vAlign w:val="bottom"/>
            <w:tcBorders>
              <w:top w:val="single" w:sz="8" w:color="CCEEFF"/>
            </w:tcBorders>
            <w:gridSpan w:val="2"/>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Before</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After</w:t>
            </w:r>
          </w:p>
        </w:tc>
        <w:tc>
          <w:tcPr>
            <w:tcW w:w="180" w:type="dxa"/>
            <w:vAlign w:val="bottom"/>
            <w:tcBorders>
              <w:top w:val="single" w:sz="8" w:color="CCEEFF"/>
            </w:tcBorders>
            <w:gridSpan w:val="2"/>
          </w:tcPr>
          <w:p>
            <w:pPr>
              <w:spacing w:after="0"/>
              <w:rPr>
                <w:sz w:val="24"/>
                <w:szCs w:val="24"/>
                <w:color w:val="auto"/>
              </w:rPr>
            </w:pPr>
          </w:p>
        </w:tc>
        <w:tc>
          <w:tcPr>
            <w:tcW w:w="1060" w:type="dxa"/>
            <w:vAlign w:val="bottom"/>
            <w:tcBorders>
              <w:top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Before</w:t>
            </w: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After</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price per share</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0.46</w:t>
            </w:r>
          </w:p>
        </w:tc>
        <w:tc>
          <w:tcPr>
            <w:tcW w:w="2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0.40</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per</w:t>
            </w:r>
          </w:p>
        </w:tc>
        <w:tc>
          <w:tcPr>
            <w:tcW w:w="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0.75 to</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0.50</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tcPr>
          <w:p>
            <w:pPr>
              <w:spacing w:after="0"/>
              <w:rPr>
                <w:sz w:val="16"/>
                <w:szCs w:val="16"/>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0.50</w:t>
            </w:r>
          </w:p>
        </w:tc>
        <w:tc>
          <w:tcPr>
            <w:tcW w:w="3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to $1.75</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1.675%</w:t>
            </w:r>
          </w:p>
        </w:tc>
        <w:tc>
          <w:tcPr>
            <w:tcW w:w="3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1.750%</w:t>
            </w:r>
          </w:p>
        </w:tc>
        <w:tc>
          <w:tcPr>
            <w:tcW w:w="2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 to</w:t>
            </w:r>
          </w:p>
        </w:tc>
        <w:tc>
          <w:tcPr>
            <w:tcW w:w="3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0.12% to</w:t>
            </w:r>
          </w:p>
        </w:tc>
        <w:tc>
          <w:tcPr>
            <w:tcW w:w="2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0.07% to</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0.75% to</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0.106%</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1.750%</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2.68%</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36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99.53%</w:t>
            </w:r>
          </w:p>
        </w:tc>
        <w:tc>
          <w:tcPr>
            <w:tcW w:w="3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80.57%</w:t>
            </w:r>
          </w:p>
        </w:tc>
        <w:tc>
          <w:tcPr>
            <w:tcW w:w="28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68.8% to</w:t>
            </w:r>
          </w:p>
        </w:tc>
        <w:tc>
          <w:tcPr>
            <w:tcW w:w="32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68.8% to</w:t>
            </w:r>
          </w:p>
        </w:tc>
        <w:tc>
          <w:tcPr>
            <w:tcW w:w="22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68.76% to</w:t>
            </w:r>
          </w:p>
        </w:tc>
        <w:tc>
          <w:tcPr>
            <w:tcW w:w="32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76.51% to</w:t>
            </w:r>
          </w:p>
        </w:tc>
        <w:tc>
          <w:tcPr>
            <w:tcW w:w="3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68.96%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80.57%</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97.6%</w:t>
            </w:r>
          </w:p>
        </w:tc>
        <w:tc>
          <w:tcPr>
            <w:tcW w:w="3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97.6%</w:t>
            </w: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78.21%</w:t>
            </w:r>
          </w:p>
        </w:tc>
        <w:tc>
          <w:tcPr>
            <w:tcW w:w="3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78.21%</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6.25</w:t>
            </w:r>
          </w:p>
        </w:tc>
        <w:tc>
          <w:tcPr>
            <w:tcW w:w="3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0.25 to</w:t>
            </w:r>
          </w:p>
        </w:tc>
        <w:tc>
          <w:tcPr>
            <w:tcW w:w="3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0.87 to</w:t>
            </w:r>
          </w:p>
        </w:tc>
        <w:tc>
          <w:tcPr>
            <w:tcW w:w="2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0.03 to</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3.03 to</w:t>
            </w:r>
          </w:p>
        </w:tc>
        <w:tc>
          <w:tcPr>
            <w:tcW w:w="3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0.63</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Dividend rate</w:t>
            </w:r>
          </w:p>
        </w:tc>
        <w:tc>
          <w:tcPr>
            <w:tcW w:w="3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Fair value per share</w:t>
            </w:r>
          </w:p>
        </w:tc>
        <w:tc>
          <w:tcPr>
            <w:tcW w:w="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0.32</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0.00 to</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0.07 to</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0.00 to</w:t>
            </w:r>
          </w:p>
        </w:tc>
        <w:tc>
          <w:tcPr>
            <w:tcW w:w="32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$0.18 to</w:t>
            </w:r>
          </w:p>
        </w:tc>
        <w:tc>
          <w:tcPr>
            <w:tcW w:w="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0.08</w:t>
            </w:r>
          </w:p>
        </w:tc>
        <w:tc>
          <w:tcPr>
            <w:tcW w:w="3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0.29</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$0.34</w:t>
            </w: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3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$0.21</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Aggregate shares</w:t>
            </w:r>
          </w:p>
        </w:tc>
        <w:tc>
          <w:tcPr>
            <w:tcW w:w="3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20,000</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2,322,500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2,322,500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166,052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6"/>
        <w:spacing w:after="0" w:line="267" w:lineRule="auto"/>
        <w:tabs>
          <w:tab w:leader="none" w:pos="27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19, 2014, the Board and Dr. Snodgrass agreed to cancel a fully-vested option to purchase 150,000 shares of our restricted common stock at a price of $0.50 per share and expiring on November 4, 2014 in exchange for the grant of a five-year warrant to purchase 150,000 shares of our restricted common stock at a price of $0.50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205" w:lineRule="exact"/>
        <w:rPr>
          <w:sz w:val="20"/>
          <w:szCs w:val="20"/>
          <w:color w:val="auto"/>
        </w:rPr>
      </w:pPr>
    </w:p>
    <w:p>
      <w:pPr>
        <w:jc w:val="both"/>
        <w:ind w:left="400" w:right="20" w:hanging="394"/>
        <w:spacing w:after="0" w:line="260" w:lineRule="auto"/>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and October 2013, Mr. Singh exercised warrants granted to him in March 2013, described in Note 10, below, to purchase an aggregate of 60,000 shares of our restricted common stock at $0.64 per share. Mr. Singh continues to hold the shares of our restricted common stock issued upon his exercise of the warrants.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480" w:right="20" w:hanging="474"/>
        <w:spacing w:after="0" w:line="274" w:lineRule="auto"/>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the Black Scholes Option Pricing Model and the following assumptions for determining the grant date fair value of the warrants to purchase shares of our common stock granted in March 2013.</w:t>
      </w:r>
    </w:p>
    <w:p>
      <w:pPr>
        <w:spacing w:after="0" w:line="209" w:lineRule="exact"/>
        <w:rPr>
          <w:sz w:val="20"/>
          <w:szCs w:val="20"/>
          <w:color w:val="auto"/>
        </w:rPr>
      </w:pPr>
    </w:p>
    <w:tbl>
      <w:tblPr>
        <w:tblLayout w:type="fixed"/>
        <w:tblInd w:w="23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2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80" w:right="300"/>
        <w:spacing w:after="0" w:line="274" w:lineRule="auto"/>
        <w:rPr>
          <w:sz w:val="20"/>
          <w:szCs w:val="20"/>
          <w:color w:val="auto"/>
        </w:rPr>
      </w:pPr>
      <w:r>
        <w:rPr>
          <w:rFonts w:ascii="Times New Roman" w:cs="Times New Roman" w:eastAsia="Times New Roman" w:hAnsi="Times New Roman"/>
          <w:sz w:val="18"/>
          <w:szCs w:val="18"/>
          <w:color w:val="auto"/>
        </w:rPr>
        <w:t>Mr. Singh, Dr. Snodgrass and Mr. Dotson were granted warrants to purchase 1,500,000, 1,000,000 and 200,000 restricted shares of our common stock, respectively.</w:t>
      </w:r>
    </w:p>
    <w:p>
      <w:pPr>
        <w:spacing w:after="0" w:line="270" w:lineRule="exact"/>
        <w:rPr>
          <w:sz w:val="20"/>
          <w:szCs w:val="20"/>
          <w:color w:val="auto"/>
        </w:rPr>
      </w:pPr>
    </w:p>
    <w:p>
      <w:pPr>
        <w:jc w:val="both"/>
        <w:ind w:left="480" w:hanging="474"/>
        <w:spacing w:after="0" w:line="219" w:lineRule="auto"/>
        <w:tabs>
          <w:tab w:leader="none" w:pos="480" w:val="left"/>
        </w:tabs>
        <w:numPr>
          <w:ilvl w:val="0"/>
          <w:numId w:val="53"/>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In October 2012, we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spacing w:after="0" w:line="302" w:lineRule="exact"/>
        <w:rPr>
          <w:rFonts w:ascii="Times New Roman" w:cs="Times New Roman" w:eastAsia="Times New Roman" w:hAnsi="Times New Roman"/>
          <w:sz w:val="35"/>
          <w:szCs w:val="35"/>
          <w:color w:val="auto"/>
          <w:vertAlign w:val="superscript"/>
        </w:rPr>
      </w:pPr>
    </w:p>
    <w:p>
      <w:pPr>
        <w:ind w:left="480" w:hanging="474"/>
        <w:spacing w:after="0" w:line="274"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 cash compensation paid to Mr. Dotson under the terms of the consulting agreement between us and Mr. Dotson for the period April 2012 through August 2012.</w:t>
      </w:r>
    </w:p>
    <w:p>
      <w:pPr>
        <w:spacing w:after="0" w:line="18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None of the NEOs is entitled to perquisites or other personal benefits which, in the aggregate, are worth over $50,000 or over 10% of their base salary.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and Warrants Granted to Named Executive Officers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provides information regarding each unexercised stock option and warrant to purchase restricted shares of our common stock held by each of the named executive officers as of March 31,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6"/>
                <w:szCs w:val="16"/>
                <w:color w:val="auto"/>
              </w:rPr>
            </w:pPr>
          </w:p>
        </w:tc>
        <w:tc>
          <w:tcPr>
            <w:tcW w:w="20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Securities</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 (#)</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 (#)</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Expiration</w:t>
            </w:r>
          </w:p>
        </w:tc>
        <w:tc>
          <w:tcPr>
            <w:tcW w:w="0" w:type="dxa"/>
            <w:vAlign w:val="bottom"/>
          </w:tcPr>
          <w:p>
            <w:pPr>
              <w:spacing w:after="0"/>
              <w:rPr>
                <w:sz w:val="1"/>
                <w:szCs w:val="1"/>
                <w:color w:val="auto"/>
              </w:rPr>
            </w:pPr>
          </w:p>
        </w:tc>
      </w:tr>
      <w:tr>
        <w:trPr>
          <w:trHeight w:val="239"/>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Unexercisable</w:t>
            </w:r>
          </w:p>
        </w:tc>
        <w:tc>
          <w:tcPr>
            <w:tcW w:w="1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12/21/2016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0.72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5/17/2017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1/17/2018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12/30/2019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72,916</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12/31/2016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12/31/2016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2,636,468</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777,084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12/20/2016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12/30/2019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72,916</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904,278</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727,084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10/30/2022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0.40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10/27/2023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0.64</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178,948</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241,052</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360" w:right="20" w:hanging="354"/>
        <w:spacing w:after="0" w:line="255"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 to purchase restricted shares of our common stock granted on March 3, 2013 at the market price of our common stock on the grant date. At March 31, 2014, the warrant is exercisable for 50% of the shares and becomes exercisable for 25% of the shares on April 1, 2014 and will become fully vested on April 1, 2015 or upon a change in control of the Company, as defined, or upon the consummation by the Company and a third party of a license or sale transaction involving at least one new Drug Rescue Variant</w:t>
      </w:r>
      <w:r>
        <w:rPr>
          <w:rFonts w:ascii="Times New Roman" w:cs="Times New Roman" w:eastAsia="Times New Roman" w:hAnsi="Times New Roman"/>
          <w:sz w:val="18"/>
          <w:szCs w:val="18"/>
          <w:i w:val="1"/>
          <w:iCs w:val="1"/>
          <w:color w:val="auto"/>
        </w:rPr>
        <w:t>.</w:t>
      </w:r>
    </w:p>
    <w:p>
      <w:pPr>
        <w:spacing w:after="0" w:line="181" w:lineRule="exact"/>
        <w:rPr>
          <w:rFonts w:ascii="Times New Roman" w:cs="Times New Roman" w:eastAsia="Times New Roman" w:hAnsi="Times New Roman"/>
          <w:sz w:val="18"/>
          <w:szCs w:val="18"/>
          <w:color w:val="auto"/>
        </w:rPr>
      </w:pPr>
    </w:p>
    <w:p>
      <w:pPr>
        <w:jc w:val="both"/>
        <w:ind w:left="360" w:right="20" w:hanging="310"/>
        <w:spacing w:after="0" w:line="255" w:lineRule="auto"/>
        <w:tabs>
          <w:tab w:leader="none" w:pos="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 to purchase restricted shares of our common stock granted on March 19, 2014 when the market price of our common stock was $0.46 per share. The warrant becomes exercisable for 50% of the shares on April 1, 2014, 25% of the shares on April 1, 2015 and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or Severance Agreements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employment agreements with Mr. Singh and Dr. Snodgrass.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Singh Agreement</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entered into an employment agreement with Mr. Singh on April 28, 2010. Under the agreement, as amended on May 9, 2011, Mr. Singh’s base salary is $347,500 per year. However, Mr. Singh has not received his full base salary in any fiscal year since he entered into his agreement in 2010. In each of our fiscal years ended March 31, 2014, 2013, 2012 and 2011, Mr. Singh voluntarily reduced his base salary to $250,000, $201,646, 292,268 and $168,274, respectively, to conserve cash for our operations. Although, under his agreement, Mr. Singh is eligible to receive an annual incentive cash bonus of up to 50% of his base salary, he has voluntarily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97" w:lineRule="exact"/>
        <w:rPr>
          <w:sz w:val="20"/>
          <w:szCs w:val="20"/>
          <w:color w:val="auto"/>
        </w:rPr>
      </w:pPr>
    </w:p>
    <w:p>
      <w:pPr>
        <w:ind w:left="780" w:hanging="44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portion of the incentive cash bonus that the board of directors determines in good faith that Mr. Singh earned prior to his termination; and</w:t>
      </w:r>
    </w:p>
    <w:p>
      <w:pPr>
        <w:spacing w:after="0" w:line="226" w:lineRule="exact"/>
        <w:rPr>
          <w:rFonts w:ascii="Times New Roman" w:cs="Times New Roman" w:eastAsia="Times New Roman" w:hAnsi="Times New Roman"/>
          <w:sz w:val="17"/>
          <w:szCs w:val="17"/>
          <w:color w:val="auto"/>
        </w:rPr>
      </w:pPr>
    </w:p>
    <w:p>
      <w:pPr>
        <w:ind w:left="780" w:right="20" w:hanging="443"/>
        <w:spacing w:after="0" w:line="276" w:lineRule="auto"/>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Consolidated Omnibus Budget Reconciliation Act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payments for continuation of his medical health benefits for such twelve-month period.</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2006, we accepted a full-recourse promissory note in the amount of $103,411 from Mr. Singh in payment of the exercise price for options and warrants to purchase an aggregate of 126,389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2014 and 2013, we had accrued $101,936 as an estimate of the gross-up amount. However, at Mr. Singh’s suggestion, we have not yet paid such amount to Mr. Singh to conserve capital for our operations. See Notes 9 and 14 to our audited consolidated financial statements which are included elsewhere in this prospectus.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Snodgrass Agreement</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entered into an employment agreement with Dr. Snodgrass on April 28, 2010. As amended on May 9, 2011, under the agreement, Dr. Snodgrass’s base salary is $305,000 per year. However, Dr. Snodgrass has not received his full base salary in any fiscal year since he entered into his agreement in 2010. In each of our fiscal years ended March 31, 2014, 2013, 2012 and 2011, Dr. Snodgrass voluntarily reduced his annual salary to $250,000, $203,086, $249,266 and $141,486, respectively, to conserve cash for our operations. Dr. Snodgrass is eligible to receive an annual incentive cash bonus of up to 50% of his base salary. Payment of his annual incentive bonus is at the discretion of the board of directors. In the event we terminate Dr. Snodgrass’s employment without cause, he is entitled to receive severance in an amount equal to:</w:t>
      </w:r>
    </w:p>
    <w:p>
      <w:pPr>
        <w:spacing w:after="0" w:line="186" w:lineRule="exact"/>
        <w:rPr>
          <w:sz w:val="20"/>
          <w:szCs w:val="20"/>
          <w:color w:val="auto"/>
        </w:rPr>
      </w:pPr>
    </w:p>
    <w:p>
      <w:pPr>
        <w:ind w:left="780" w:hanging="44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portion of the incentive bonus that the board of directors determines in good faith that Dr. Snodgrass earned prior to his termination; and</w:t>
      </w:r>
    </w:p>
    <w:p>
      <w:pPr>
        <w:spacing w:after="0" w:line="228" w:lineRule="exact"/>
        <w:rPr>
          <w:rFonts w:ascii="Times New Roman" w:cs="Times New Roman" w:eastAsia="Times New Roman" w:hAnsi="Times New Roman"/>
          <w:sz w:val="17"/>
          <w:szCs w:val="17"/>
          <w:color w:val="auto"/>
        </w:rPr>
      </w:pPr>
    </w:p>
    <w:p>
      <w:pPr>
        <w:ind w:left="780" w:hanging="44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COBRA payments for continuation of his medical health benefits for such twelve-month period.</w:t>
      </w:r>
    </w:p>
    <w:p>
      <w:pPr>
        <w:spacing w:after="0" w:line="2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 addition, in the event Dr. Snodgrass terminates his employment with good reason, he is entitled to twelve months of his then-current base salary payable in the form of salary continuation.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181" w:lineRule="exact"/>
        <w:rPr>
          <w:sz w:val="20"/>
          <w:szCs w:val="20"/>
          <w:color w:val="auto"/>
        </w:rPr>
      </w:pPr>
    </w:p>
    <w:p>
      <w:pPr>
        <w:ind w:left="780" w:hanging="44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responsibility; or</w:t>
      </w:r>
    </w:p>
    <w:p>
      <w:pPr>
        <w:spacing w:after="0" w:line="217" w:lineRule="exact"/>
        <w:rPr>
          <w:rFonts w:ascii="Times New Roman" w:cs="Times New Roman" w:eastAsia="Times New Roman" w:hAnsi="Times New Roman"/>
          <w:sz w:val="18"/>
          <w:szCs w:val="18"/>
          <w:color w:val="auto"/>
        </w:rPr>
      </w:pPr>
    </w:p>
    <w:p>
      <w:pPr>
        <w:ind w:left="780" w:right="20" w:hanging="443"/>
        <w:spacing w:after="0" w:line="274"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following the Merger except for reductions that are comparable to reductions generally applicable to similarly situated executives of the Company.</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become fully vested and exercisable.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their respective employment agreements, a change of control occurs when: (i) any “person” as such term is used in Sections 13(d) and 14(d) of the Securities Exchange Act of 1934, as amended (other than the Company, a subsidiary, an affiliate, or the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2014, options to purchase a total of 4,249,271 shares of common stock are outstanding at a weighted average exercise price of $0.50 per share, of which 3,655,061 options are vested and exercisable at a weighted average exercise price of $0.50 per share and 593,867 are unvested and unexercisable at a weighted average exercise price of $0.51 per share. These options were issued under our 2008 Plan and our 1999 Plan, each as more particularly described below. At March 31, 2014, an additional 735,200 shares remain available for future equity grants under our 2008 Plan.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50"/>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future issuance</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under equity</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be issued upon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exercise of</w:t>
            </w:r>
          </w:p>
        </w:tc>
        <w:tc>
          <w:tcPr>
            <w:tcW w:w="24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(excluding</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24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 warrants</w:t>
            </w: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reflected in</w:t>
            </w: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39"/>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tcPr>
          <w:p>
            <w:pPr>
              <w:spacing w:after="0"/>
              <w:rPr>
                <w:sz w:val="20"/>
                <w:szCs w:val="20"/>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2"/>
        </w:trPr>
        <w:tc>
          <w:tcPr>
            <w:tcW w:w="20" w:type="dxa"/>
            <w:vAlign w:val="bottom"/>
          </w:tcPr>
          <w:p>
            <w:pPr>
              <w:spacing w:after="0"/>
              <w:rPr>
                <w:sz w:val="18"/>
                <w:szCs w:val="18"/>
                <w:color w:val="auto"/>
              </w:rPr>
            </w:pPr>
          </w:p>
        </w:tc>
        <w:tc>
          <w:tcPr>
            <w:tcW w:w="6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3,964,800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284,471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4,249,271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735,200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Stock Incentive Plan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stockholders adopted our 2008 Stock Incentive Plan (“</w:t>
      </w:r>
      <w:r>
        <w:rPr>
          <w:rFonts w:ascii="Times New Roman" w:cs="Times New Roman" w:eastAsia="Times New Roman" w:hAnsi="Times New Roman"/>
          <w:sz w:val="18"/>
          <w:szCs w:val="18"/>
          <w:i w:val="1"/>
          <w:iCs w:val="1"/>
          <w:color w:val="auto"/>
        </w:rPr>
        <w:t>2008 Plan</w:t>
      </w:r>
      <w:r>
        <w:rPr>
          <w:rFonts w:ascii="Times New Roman" w:cs="Times New Roman" w:eastAsia="Times New Roman" w:hAnsi="Times New Roman"/>
          <w:sz w:val="18"/>
          <w:szCs w:val="18"/>
          <w:color w:val="auto"/>
        </w:rPr>
        <w:t>”) on December 19, 2008. The maximum number of shares of our common stock that may be granted pursuant to the 2008 Plan is currently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is 5,000,000.</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our employees. Awards other than incentive stock options may be granted to employees, directors and consultants.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exercise price of all incentive stock options granted under our 2008 Plan 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64" w:lineRule="exact"/>
        <w:rPr>
          <w:sz w:val="20"/>
          <w:szCs w:val="20"/>
          <w:color w:val="auto"/>
        </w:rPr>
      </w:pPr>
    </w:p>
    <w:p>
      <w:pPr>
        <w:ind w:left="700" w:hanging="403"/>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and by the laws of descent and distribution; and</w:t>
      </w:r>
    </w:p>
    <w:p>
      <w:pPr>
        <w:spacing w:after="0" w:line="217" w:lineRule="exact"/>
        <w:rPr>
          <w:rFonts w:ascii="Times New Roman" w:cs="Times New Roman" w:eastAsia="Times New Roman" w:hAnsi="Times New Roman"/>
          <w:sz w:val="18"/>
          <w:szCs w:val="18"/>
          <w:color w:val="auto"/>
        </w:rPr>
      </w:pPr>
    </w:p>
    <w:p>
      <w:pPr>
        <w:ind w:left="700" w:right="20" w:hanging="403"/>
        <w:spacing w:after="0" w:line="274" w:lineRule="auto"/>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participant, to the extent and in the manner authorized by the Administrator by gift or pursuant to a domestic relations order to members of the participant’s immediate family.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76" w:lineRule="exact"/>
        <w:rPr>
          <w:sz w:val="20"/>
          <w:szCs w:val="20"/>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share price;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w:t>
      </w:r>
    </w:p>
    <w:p>
      <w:pPr>
        <w:spacing w:after="0" w:line="217" w:lineRule="exact"/>
        <w:rPr>
          <w:rFonts w:ascii="Times New Roman" w:cs="Times New Roman" w:eastAsia="Times New Roman" w:hAnsi="Times New Roman"/>
          <w:sz w:val="18"/>
          <w:szCs w:val="18"/>
          <w:color w:val="auto"/>
        </w:rPr>
      </w:pPr>
    </w:p>
    <w:p>
      <w:pPr>
        <w:ind w:left="820" w:hanging="463"/>
        <w:spacing w:after="0"/>
        <w:tabs>
          <w:tab w:leader="none" w:pos="8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profit;</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and depreciation;</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 and</w:t>
      </w:r>
    </w:p>
    <w:p>
      <w:pPr>
        <w:spacing w:after="0" w:line="217" w:lineRule="exact"/>
        <w:rPr>
          <w:rFonts w:ascii="Times New Roman" w:cs="Times New Roman" w:eastAsia="Times New Roman" w:hAnsi="Times New Roman"/>
          <w:sz w:val="18"/>
          <w:szCs w:val="18"/>
          <w:color w:val="auto"/>
        </w:rPr>
      </w:pPr>
    </w:p>
    <w:p>
      <w:pPr>
        <w:ind w:left="780" w:hanging="443"/>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2008 Plan, a Corporate Transaction is generally defined as:</w:t>
      </w:r>
    </w:p>
    <w:p>
      <w:pPr>
        <w:spacing w:after="0" w:line="217" w:lineRule="exact"/>
        <w:rPr>
          <w:sz w:val="20"/>
          <w:szCs w:val="20"/>
          <w:color w:val="auto"/>
        </w:rPr>
      </w:pPr>
    </w:p>
    <w:p>
      <w:pPr>
        <w:ind w:left="820" w:right="20" w:hanging="463"/>
        <w:spacing w:after="0" w:line="274"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63" w:lineRule="exact"/>
        <w:rPr>
          <w:rFonts w:ascii="Times New Roman" w:cs="Times New Roman" w:eastAsia="Times New Roman" w:hAnsi="Times New Roman"/>
          <w:sz w:val="18"/>
          <w:szCs w:val="18"/>
          <w:color w:val="auto"/>
        </w:rPr>
      </w:pPr>
    </w:p>
    <w:p>
      <w:pPr>
        <w:jc w:val="both"/>
        <w:ind w:left="820" w:right="20" w:hanging="463"/>
        <w:spacing w:after="0" w:line="255"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81" w:lineRule="exact"/>
        <w:rPr>
          <w:rFonts w:ascii="Times New Roman" w:cs="Times New Roman" w:eastAsia="Times New Roman" w:hAnsi="Times New Roman"/>
          <w:sz w:val="18"/>
          <w:szCs w:val="18"/>
          <w:color w:val="auto"/>
        </w:rPr>
      </w:pPr>
    </w:p>
    <w:p>
      <w:pPr>
        <w:ind w:left="820" w:hanging="463"/>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transfer or other disposition of all or substantially all of the assets of our corporation;</w:t>
      </w:r>
    </w:p>
    <w:p>
      <w:pPr>
        <w:spacing w:after="0" w:line="217" w:lineRule="exact"/>
        <w:rPr>
          <w:rFonts w:ascii="Times New Roman" w:cs="Times New Roman" w:eastAsia="Times New Roman" w:hAnsi="Times New Roman"/>
          <w:sz w:val="18"/>
          <w:szCs w:val="18"/>
          <w:color w:val="auto"/>
        </w:rPr>
      </w:pPr>
    </w:p>
    <w:p>
      <w:pPr>
        <w:ind w:left="820" w:hanging="463"/>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our corporation is not the surviving entity; or</w:t>
      </w:r>
    </w:p>
    <w:p>
      <w:pPr>
        <w:spacing w:after="0" w:line="217" w:lineRule="exact"/>
        <w:rPr>
          <w:rFonts w:ascii="Times New Roman" w:cs="Times New Roman" w:eastAsia="Times New Roman" w:hAnsi="Times New Roman"/>
          <w:sz w:val="18"/>
          <w:szCs w:val="18"/>
          <w:color w:val="auto"/>
        </w:rPr>
      </w:pPr>
    </w:p>
    <w:p>
      <w:pPr>
        <w:ind w:left="820" w:hanging="463"/>
        <w:spacing w:after="0"/>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2014, we had options to purchase an aggregate of 3,964,800 shares of common stock outstanding under our 2008 Plan.</w:t>
      </w:r>
    </w:p>
    <w:p>
      <w:pPr>
        <w:spacing w:after="0" w:line="15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1999 Stock Incentive Plan</w:t>
      </w:r>
    </w:p>
    <w:p>
      <w:pPr>
        <w:spacing w:after="0" w:line="22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Our Board of Directors adopted our 1999 Plan on December 6, 1999. The 1999 Plan has terminated under its own terms, and as a result, no awards may currently be granted under the 1999 Plan. However, most of the options and awards that have already been granted pursuant to the 1999 Plan remain outstanding.</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1999 Plan permitted us to make grants of incentive stock options, non-qualified stock options and restricted stock awards. We initially reserved 450,000 shares of our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 until the date the 1999 Plan terminated under its own terms.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1999 Plan could be administered by either our board of directors or a committee designated by our board of directors. Our board of directors designated our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of our directors, executive officers, employees, and certain other key persons (including consultants and advisors) were eligible to participate in the 1999 Plan.</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exercise price of incentive stock options awarded under the 1999 Plan could not be less than the fair market value of the common stock on the date of the option grant and could not be less than 110% of the fair market value of our common stock to persons owning stock representing more than 10% of the voting power of all classes of our stock. The exercise price of non-qualified stock options could not be less than 85% of the fair market value of our common stock. It is expected that the term of each option granted under the 1999 Plan will not exceed ten years (or five years, in the case of an incentive stock option granted to a 10% shareholder) from the date of grant. Our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could also be granted under our 1999 Plan. Restricted stock awards issued by us were shares of common stock that vest in accordance with terms and conditions established by our compensation committee, which could impose conditions to vesting it determined to be appropriate. Shares of restricted stock that do not vest are subject to our right of repurchase or forfeiture. Our compensation committee determined the number of shares of restricted stock granted to any employee. Our 1999 Plan also gave our compensation committee discretion to grant stock awards free of any restrictions.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the compensation committee provided otherwise, our 1999 Plan did not generally allow for the transfer of incentive stock options and other awards and only the recipient of an award could exercise an award during his or her lifetime. Non-qualified stock options shall be transferable only to the extent provided in the award agreement, in a manner consistent with the applicable law, and by will and by the laws of descent and distribution. In the event of a change in control, any unvested outstanding options will automatically vest unless our board of directors and the board of directors of the surviving or acquiring entity shall, as to outstanding awards under the 1999 Plan, make appropriate provisions for the continuation or assumption of such awards.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2014, we had options to purchase an aggregate of 284,471 shares of our common stock outstanding under our 1999 Plan.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sponsor a defined contribution plan intended to qualify under Section 401 of the Code, or a 401(k) plan. Employees who are at least 21 years of age are generally eligible to participate and may enter the plan on the first day of any month. Participants may make pre-tax contributions up to the maximum limit established by the Code. Each participant is fully vested in his or her contributions and the investment earnings on those contributions. Participant contributions are held in trust as required by law. Individual participants may direct the trustee to invest their accounts in authorized investment alternatives. The plan allows for Company matching contributions, but does not require them. We have not yet made any contributions to the plan. Pre-tax contributions to the plan, and the income earned on these contributions, are generally not taxable to the participants until withdrawn.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Director Compensation Table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We did not pay our independent directors cash compensation during our fiscal year ended March 31,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earned by our non-employee directors in our fiscal year ended March 31,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 and Warrant</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line="212" w:lineRule="exact"/>
              <w:rPr>
                <w:sz w:val="20"/>
                <w:szCs w:val="20"/>
                <w:color w:val="auto"/>
              </w:rPr>
            </w:pPr>
            <w:r>
              <w:rPr>
                <w:rFonts w:ascii="Times New Roman" w:cs="Times New Roman" w:eastAsia="Times New Roman" w:hAnsi="Times New Roman"/>
                <w:sz w:val="18"/>
                <w:szCs w:val="18"/>
                <w:b w:val="1"/>
                <w:bCs w:val="1"/>
                <w:color w:val="auto"/>
                <w:w w:val="95"/>
              </w:rPr>
              <w:t xml:space="preserve">Paid in Cash </w:t>
            </w:r>
            <w:r>
              <w:rPr>
                <w:rFonts w:ascii="Times New Roman" w:cs="Times New Roman" w:eastAsia="Times New Roman" w:hAnsi="Times New Roman"/>
                <w:sz w:val="24"/>
                <w:szCs w:val="24"/>
                <w:b w:val="1"/>
                <w:bCs w:val="1"/>
                <w:color w:val="auto"/>
                <w:w w:val="95"/>
                <w:vertAlign w:val="superscript"/>
              </w:rPr>
              <w:t>(1)</w:t>
            </w:r>
          </w:p>
        </w:tc>
        <w:tc>
          <w:tcPr>
            <w:tcW w:w="100" w:type="dxa"/>
            <w:vAlign w:val="bottom"/>
          </w:tcPr>
          <w:p>
            <w:pPr>
              <w:spacing w:after="0"/>
              <w:rPr>
                <w:sz w:val="18"/>
                <w:szCs w:val="18"/>
                <w:color w:val="auto"/>
              </w:rPr>
            </w:pPr>
          </w:p>
        </w:tc>
        <w:tc>
          <w:tcPr>
            <w:tcW w:w="1640" w:type="dxa"/>
            <w:vAlign w:val="bottom"/>
          </w:tcPr>
          <w:p>
            <w:pPr>
              <w:jc w:val="center"/>
              <w:spacing w:after="0" w:line="212" w:lineRule="exact"/>
              <w:rPr>
                <w:sz w:val="20"/>
                <w:szCs w:val="20"/>
                <w:color w:val="auto"/>
              </w:rPr>
            </w:pPr>
            <w:r>
              <w:rPr>
                <w:rFonts w:ascii="Times New Roman" w:cs="Times New Roman" w:eastAsia="Times New Roman" w:hAnsi="Times New Roman"/>
                <w:sz w:val="18"/>
                <w:szCs w:val="18"/>
                <w:b w:val="1"/>
                <w:bCs w:val="1"/>
                <w:color w:val="auto"/>
                <w:w w:val="91"/>
              </w:rPr>
              <w:t xml:space="preserve">Awards </w:t>
            </w:r>
            <w:r>
              <w:rPr>
                <w:rFonts w:ascii="Times New Roman" w:cs="Times New Roman" w:eastAsia="Times New Roman" w:hAnsi="Times New Roman"/>
                <w:sz w:val="24"/>
                <w:szCs w:val="24"/>
                <w:b w:val="1"/>
                <w:bCs w:val="1"/>
                <w:color w:val="auto"/>
                <w:w w:val="91"/>
                <w:vertAlign w:val="superscript"/>
              </w:rPr>
              <w:t>(2)</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4"/>
                <w:szCs w:val="24"/>
                <w:color w:val="auto"/>
                <w:vertAlign w:val="superscript"/>
              </w:rPr>
              <w:t>(3)</w:t>
            </w:r>
          </w:p>
        </w:tc>
        <w:tc>
          <w:tcPr>
            <w:tcW w:w="17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40,683</w:t>
            </w:r>
            <w:r>
              <w:rPr>
                <w:rFonts w:ascii="Times New Roman" w:cs="Times New Roman" w:eastAsia="Times New Roman" w:hAnsi="Times New Roman"/>
                <w:sz w:val="12"/>
                <w:szCs w:val="12"/>
                <w:color w:val="auto"/>
              </w:rPr>
              <w:t>(5)</w:t>
            </w:r>
          </w:p>
        </w:tc>
        <w:tc>
          <w:tcPr>
            <w:tcW w:w="16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54,683</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Brian J. Underdown, Ph.D</w:t>
            </w:r>
            <w:r>
              <w:rPr>
                <w:rFonts w:ascii="Times New Roman" w:cs="Times New Roman" w:eastAsia="Times New Roman" w:hAnsi="Times New Roman"/>
                <w:sz w:val="24"/>
                <w:szCs w:val="24"/>
                <w:color w:val="auto"/>
                <w:vertAlign w:val="superscript"/>
              </w:rPr>
              <w:t>. (4)</w:t>
            </w:r>
          </w:p>
        </w:tc>
        <w:tc>
          <w:tcPr>
            <w:tcW w:w="17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12,000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32,267</w:t>
            </w:r>
            <w:r>
              <w:rPr>
                <w:rFonts w:ascii="Times New Roman" w:cs="Times New Roman" w:eastAsia="Times New Roman" w:hAnsi="Times New Roman"/>
                <w:sz w:val="12"/>
                <w:szCs w:val="12"/>
                <w:color w:val="auto"/>
              </w:rPr>
              <w:t>(5)</w:t>
            </w:r>
          </w:p>
        </w:tc>
        <w:tc>
          <w:tcPr>
            <w:tcW w:w="1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44,267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40" w:right="20" w:hanging="534"/>
        <w:spacing w:after="0" w:line="274"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fees earned for service on our board of directors and audit committee during the fiscal year which we have accrued but have not paid to the director at March 31, 2014.</w:t>
      </w:r>
    </w:p>
    <w:p>
      <w:pPr>
        <w:spacing w:after="0" w:line="163" w:lineRule="exact"/>
        <w:rPr>
          <w:rFonts w:ascii="Times New Roman" w:cs="Times New Roman" w:eastAsia="Times New Roman" w:hAnsi="Times New Roman"/>
          <w:sz w:val="18"/>
          <w:szCs w:val="18"/>
          <w:color w:val="auto"/>
        </w:rPr>
      </w:pPr>
    </w:p>
    <w:p>
      <w:pPr>
        <w:jc w:val="both"/>
        <w:ind w:left="540" w:right="20" w:hanging="534"/>
        <w:spacing w:after="0" w:line="267" w:lineRule="auto"/>
        <w:tabs>
          <w:tab w:leader="none" w:pos="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the aggregate grant date fair value of warrants to purchase restricted shares of our common stock awarded to Mr. Saxe and Dr. Underdown or the effect of modifications to prior grants of options or warrants occurring during the fiscal year ended March 31, 2014, computed in accordance with the Financial Accounting Standards Board’s Accounting Standards Codification Topic 718, Compensation – Stock Compensation ("</w:t>
      </w:r>
      <w:r>
        <w:rPr>
          <w:rFonts w:ascii="Times New Roman" w:cs="Times New Roman" w:eastAsia="Times New Roman" w:hAnsi="Times New Roman"/>
          <w:sz w:val="17"/>
          <w:szCs w:val="17"/>
          <w:i w:val="1"/>
          <w:iCs w:val="1"/>
          <w:color w:val="auto"/>
        </w:rPr>
        <w:t>ASC 718</w:t>
      </w:r>
      <w:r>
        <w:rPr>
          <w:rFonts w:ascii="Times New Roman" w:cs="Times New Roman" w:eastAsia="Times New Roman" w:hAnsi="Times New Roman"/>
          <w:sz w:val="17"/>
          <w:szCs w:val="17"/>
          <w:color w:val="auto"/>
        </w:rPr>
        <w:t xml:space="preserve">”). The amounts in this column do </w:t>
      </w:r>
      <w:r>
        <w:rPr>
          <w:rFonts w:ascii="Times New Roman" w:cs="Times New Roman" w:eastAsia="Times New Roman" w:hAnsi="Times New Roman"/>
          <w:sz w:val="17"/>
          <w:szCs w:val="17"/>
          <w:b w:val="1"/>
          <w:bCs w:val="1"/>
          <w:color w:val="auto"/>
        </w:rPr>
        <w:t>not</w:t>
      </w:r>
      <w:r>
        <w:rPr>
          <w:rFonts w:ascii="Times New Roman" w:cs="Times New Roman" w:eastAsia="Times New Roman" w:hAnsi="Times New Roman"/>
          <w:sz w:val="17"/>
          <w:szCs w:val="17"/>
          <w:color w:val="auto"/>
        </w:rPr>
        <w:t xml:space="preserve"> represent any cash payment actually received by Mr. Saxe or Dr. Underdown with respect to any of such options or warrants to purchase restricted shares of our common stock awarded to them or modified during the fiscal year ended March 31, 2014. To date, Mr. Saxe and Dr. Underdown have not exercised such options or warrants to purchase common stock, and there can be no assurance that either of them will ever realize any of the ASC 718 grant date fair value amounts presented in the Option and Warrant Awards column.</w:t>
      </w:r>
    </w:p>
    <w:p>
      <w:pPr>
        <w:spacing w:after="0" w:line="174" w:lineRule="exact"/>
        <w:rPr>
          <w:rFonts w:ascii="Times New Roman" w:cs="Times New Roman" w:eastAsia="Times New Roman" w:hAnsi="Times New Roman"/>
          <w:sz w:val="17"/>
          <w:szCs w:val="17"/>
          <w:color w:val="auto"/>
        </w:rPr>
      </w:pPr>
    </w:p>
    <w:p>
      <w:pPr>
        <w:jc w:val="both"/>
        <w:ind w:left="540" w:right="20" w:hanging="534"/>
        <w:spacing w:after="0" w:line="255"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Saxe has served as the chairman of our board of directors and the chairman of our audit committee throughout our fiscal year ended March 31, 2014. At March 31, 2014, Mr. Saxe holds: (i) 37,492 restricted shares of our common stock; (ii) options to purchase 264,750 restricted shares of our common stock, of which options to purchase 251,208 restricted shares are vested; and (iii) warrants to purchase 265,000 restricted shares of our common stock, of which 125,000 are exercisable.</w:t>
      </w:r>
    </w:p>
    <w:p>
      <w:pPr>
        <w:spacing w:after="0" w:line="181" w:lineRule="exact"/>
        <w:rPr>
          <w:rFonts w:ascii="Times New Roman" w:cs="Times New Roman" w:eastAsia="Times New Roman" w:hAnsi="Times New Roman"/>
          <w:sz w:val="18"/>
          <w:szCs w:val="18"/>
          <w:color w:val="auto"/>
        </w:rPr>
      </w:pPr>
    </w:p>
    <w:p>
      <w:pPr>
        <w:jc w:val="both"/>
        <w:ind w:left="540" w:right="20" w:hanging="534"/>
        <w:spacing w:after="0" w:line="26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Underdown has served as a member of our board of directors and a member of our audit committee throughout our fiscal year ended March 31, 2014. At March 31, 2014, Dr. Underdown holds: (i) options to purchase 185,000 restricted shares of our common stock, of which options to purchase 171,458 restricted shares are vested; and (ii) warrants to purchase 250,000 restricted shares of our common stock, of which 125,000 are exercisable.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provides information regarding the warrant awards and option and warrant modifications we granted to Mr. Saxe and Dr. Underdown during fiscal 2014 and the assumptions used in the Black Scholes Option Pricing Model to determine the grant date fair values of the respective awards and modifications: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Warrant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Grant</w:t>
            </w:r>
          </w:p>
        </w:tc>
        <w:tc>
          <w:tcPr>
            <w:tcW w:w="300" w:type="dxa"/>
            <w:vAlign w:val="bottom"/>
          </w:tcPr>
          <w:p>
            <w:pPr>
              <w:spacing w:after="0"/>
              <w:rPr>
                <w:sz w:val="18"/>
                <w:szCs w:val="18"/>
                <w:color w:val="auto"/>
              </w:rPr>
            </w:pPr>
          </w:p>
        </w:tc>
        <w:tc>
          <w:tcPr>
            <w:tcW w:w="254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rPr>
              <w:t>Option Modification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Warrant Modification</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3/19/2014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3"/>
          </w:tcPr>
          <w:p>
            <w:pPr>
              <w:jc w:val="right"/>
              <w:ind w:right="572"/>
              <w:spacing w:after="0"/>
              <w:rPr>
                <w:sz w:val="20"/>
                <w:szCs w:val="20"/>
                <w:color w:val="auto"/>
              </w:rPr>
            </w:pPr>
            <w:r>
              <w:rPr>
                <w:rFonts w:ascii="Times New Roman" w:cs="Times New Roman" w:eastAsia="Times New Roman" w:hAnsi="Times New Roman"/>
                <w:sz w:val="18"/>
                <w:szCs w:val="18"/>
                <w:color w:val="auto"/>
              </w:rPr>
              <w:t>12/20/2013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12/20/2013</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Saxe</w:t>
            </w:r>
          </w:p>
        </w:tc>
        <w:tc>
          <w:tcPr>
            <w:tcW w:w="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18,928</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15,291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6,464</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Underdown</w:t>
            </w:r>
          </w:p>
        </w:tc>
        <w:tc>
          <w:tcPr>
            <w:tcW w:w="3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14,560</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11,243</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26,534</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12,928</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Before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After</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Before</w:t>
            </w:r>
          </w:p>
        </w:tc>
        <w:tc>
          <w:tcPr>
            <w:tcW w:w="400" w:type="dxa"/>
            <w:vAlign w:val="bottom"/>
          </w:tcPr>
          <w:p>
            <w:pPr>
              <w:spacing w:after="0"/>
              <w:rPr>
                <w:sz w:val="24"/>
                <w:szCs w:val="24"/>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After</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1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 to $2.10</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 to 2.40%</w:t>
            </w:r>
          </w:p>
        </w:tc>
        <w:tc>
          <w:tcPr>
            <w:tcW w:w="17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 to 2.40%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80.57%</w:t>
            </w: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 to 97.62%</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78.9% to 97.62%</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76.10%</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 to 7.35</w:t>
            </w:r>
          </w:p>
        </w:tc>
        <w:tc>
          <w:tcPr>
            <w:tcW w:w="17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4.08 to 7.35</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 to $0.27</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$0.21 to $0.32</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3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422,500</w:t>
            </w:r>
          </w:p>
        </w:tc>
        <w:tc>
          <w:tcPr>
            <w:tcW w:w="10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422,500</w:t>
            </w:r>
          </w:p>
        </w:tc>
        <w:tc>
          <w:tcPr>
            <w:tcW w:w="3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Director Compensation for Fiscal Year Ending March 31, 2015</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adopted a new director compensation policy for our independent directors, as independence is defined by the Nasdaq Stock Market, effective for our fiscal year beginning April 1, 2014. Under the new independent director compensation policy, our independent directors will receive a $25,000 annual cash retainer. For service on a committee of the board, an independent director will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Each independent director will also receive an annual grant of an option to purchase 25,000 shares, which will vest monthly over a one-year period from the date of grant. The first grant of options under this policy will be made effective as soon as practicable following April 1, 2014. Future grants are expected to be made on the same date as our annual meeting. Prorated option grants will be made for partial years of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officers and employees to the fullest extent permitted by the Nevada Revised Statutes ("</w:t>
      </w:r>
      <w:r>
        <w:rPr>
          <w:rFonts w:ascii="Times New Roman" w:cs="Times New Roman" w:eastAsia="Times New Roman" w:hAnsi="Times New Roman"/>
          <w:sz w:val="18"/>
          <w:szCs w:val="18"/>
          <w:i w:val="1"/>
          <w:iCs w:val="1"/>
          <w:color w:val="auto"/>
        </w:rPr>
        <w:t>NRS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and Relationships with Certain Individuals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Securities to Cato Holding Company</w:t>
      </w:r>
    </w:p>
    <w:p>
      <w:pPr>
        <w:spacing w:after="0" w:line="2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doing business as Cato BioVentures ("</w:t>
      </w:r>
      <w:r>
        <w:rPr>
          <w:rFonts w:ascii="Times New Roman" w:cs="Times New Roman" w:eastAsia="Times New Roman" w:hAnsi="Times New Roman"/>
          <w:sz w:val="18"/>
          <w:szCs w:val="18"/>
          <w:i w:val="1"/>
          <w:iCs w:val="1"/>
          <w:color w:val="auto"/>
        </w:rPr>
        <w:t>CBV</w:t>
      </w:r>
      <w:r>
        <w:rPr>
          <w:rFonts w:ascii="Times New Roman" w:cs="Times New Roman" w:eastAsia="Times New Roman" w:hAnsi="Times New Roman"/>
          <w:sz w:val="18"/>
          <w:szCs w:val="18"/>
          <w:color w:val="auto"/>
        </w:rPr>
        <w:t>"), the parent of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is one of our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us $352,300 under the terms of a Promissory Note (the “</w:t>
      </w:r>
      <w:r>
        <w:rPr>
          <w:rFonts w:ascii="Times New Roman" w:cs="Times New Roman" w:eastAsia="Times New Roman" w:hAnsi="Times New Roman"/>
          <w:sz w:val="18"/>
          <w:szCs w:val="18"/>
          <w:i w:val="1"/>
          <w:iCs w:val="1"/>
          <w:color w:val="auto"/>
        </w:rPr>
        <w:t>2011 CHC Note</w:t>
      </w:r>
      <w:r>
        <w:rPr>
          <w:rFonts w:ascii="Times New Roman" w:cs="Times New Roman" w:eastAsia="Times New Roman" w:hAnsi="Times New Roman"/>
          <w:sz w:val="18"/>
          <w:szCs w:val="18"/>
          <w:color w:val="auto"/>
        </w:rPr>
        <w:t>”). On October 10, 2012, we agreed with CHC to cancel the 2011 CHC Note and exchange it for a new unsecured promissory note in the principal amount of $310,400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and a five-year warrant to purchase 250,000 restricted shares of our common stock at a price of $1.50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as payment in full for all contract research and development services and regulatory advice rendered by CRL to us through December 31, 2012 with respect to the preclinical and clinical development of AV-101, and (ii) a five-year warrant to purchase, at a price of $1.00 per share, 1,009,000 restricted shares of our common stock. Total interest expense on notes payable to CHC and CRL was $167,900 and $101,700 for the fiscal years ended March 31, 2014 and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Research and Development Agreement with Cato Research Ltd.</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fiscal year 2007, we entered into a contract research organization arrangement with CRL related to the development of AV-101, under which we incurred expenses of $52,500 and $703,800 for the fiscal years ended March 31, 2014 and 2013, respectively, with a substantial portion of the fiscal year 2013 expense reimbursed under the NIH grant.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Receivable from Shawn K. Singh, JD and Advances to us by Mr. Singh</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our becoming subject to the requirements of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we had accrued $101,900 as an estimate of the gross-up amount payable to Mr. Singh, but we had not yet paid it to Mr. Singh.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2014 we have partially repaid Mr. Singh the remaining balance of the advances.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Directors and Executive Officers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and our amended and restated bylaws provide that we shall indemnify our directors to the fullest extent permitted by the Nevada Revised Statutes. For more information regarding these agreements, see “Executive compensation—Limitations of Liability and Indemnification.”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30, 2014 and as adjusted to reflect the sale of common stock offered by us in this Offering for:</w:t>
      </w:r>
    </w:p>
    <w:p>
      <w:pPr>
        <w:spacing w:after="0" w:line="164" w:lineRule="exact"/>
        <w:rPr>
          <w:sz w:val="20"/>
          <w:szCs w:val="20"/>
          <w:color w:val="auto"/>
        </w:rPr>
      </w:pPr>
    </w:p>
    <w:p>
      <w:pPr>
        <w:ind w:left="640" w:hanging="33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common stock;</w:t>
      </w:r>
    </w:p>
    <w:p>
      <w:pPr>
        <w:spacing w:after="0" w:line="24"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5"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of the capital stock that they beneficially own, subject to applicable community property laws.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Applicable percentage ownership is based on 24,236,877 shares of capital stock outstanding at April 30, 2014. In computing the number of shares of common stock beneficially owned by a person, we deemed to be outstanding all shares of common stock subject to options or warrants held by that person or entity that are currently exercisable or that will become exercisable within 60 days of April 30, 2014 and all shares of common stock issuable pursuant to promissory notes and related accrued interest convertible into shares of common stock at April 30, 2014. In computing the percentage of shares beneficially owned before this Offering, we deemed to be outstanding all shares of common stock subject to options or warrants held by that person or entity that are currently exercisable or that will become exercisable within 60 days of April 30, 2014 and all shares of common stock issuable pursuant to promissory notes and related accrued interest convertible into shares of common stock at April 30, 2014. Unless otherwise noted below, the address of each beneficial owner listed in the table is c/o VistaGen Therapeutics, Inc., 343 Allerton Avenue, South San Francisco, California 94080.</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53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Percent of shares</w:t>
            </w: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Percent of shares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0" w:type="dxa"/>
            <w:vAlign w:val="bottom"/>
          </w:tcPr>
          <w:p>
            <w:pPr>
              <w:spacing w:after="0"/>
              <w:rPr>
                <w:sz w:val="1"/>
                <w:szCs w:val="1"/>
                <w:color w:val="auto"/>
              </w:rPr>
            </w:pPr>
          </w:p>
        </w:tc>
      </w:tr>
      <w:tr>
        <w:trPr>
          <w:trHeight w:val="239"/>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Pr>
          <w:p>
            <w:pPr>
              <w:spacing w:after="0"/>
              <w:rPr>
                <w:sz w:val="20"/>
                <w:szCs w:val="20"/>
                <w:color w:val="auto"/>
              </w:rPr>
            </w:pPr>
          </w:p>
        </w:tc>
        <w:tc>
          <w:tcPr>
            <w:tcW w:w="19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00" w:type="dxa"/>
            <w:vAlign w:val="bottom"/>
          </w:tcPr>
          <w:p>
            <w:pPr>
              <w:spacing w:after="0"/>
              <w:rPr>
                <w:sz w:val="20"/>
                <w:szCs w:val="20"/>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before Offering</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after Offering</w:t>
            </w:r>
          </w:p>
        </w:tc>
        <w:tc>
          <w:tcPr>
            <w:tcW w:w="0" w:type="dxa"/>
            <w:vAlign w:val="bottom"/>
          </w:tcPr>
          <w:p>
            <w:pPr>
              <w:spacing w:after="0"/>
              <w:rPr>
                <w:sz w:val="1"/>
                <w:szCs w:val="1"/>
                <w:color w:val="auto"/>
              </w:rPr>
            </w:pPr>
          </w:p>
        </w:tc>
      </w:tr>
      <w:tr>
        <w:trPr>
          <w:trHeight w:val="212"/>
        </w:trPr>
        <w:tc>
          <w:tcPr>
            <w:tcW w:w="53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Shawn K. Singh, JD </w:t>
            </w:r>
            <w:r>
              <w:rPr>
                <w:rFonts w:ascii="Times New Roman" w:cs="Times New Roman" w:eastAsia="Times New Roman" w:hAnsi="Times New Roman"/>
                <w:sz w:val="24"/>
                <w:szCs w:val="24"/>
                <w:color w:val="auto"/>
                <w:vertAlign w:val="superscript"/>
              </w:rPr>
              <w:t>(1)</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3,509,892</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H. Ralph Snodgrass, PhD </w:t>
            </w:r>
            <w:r>
              <w:rPr>
                <w:rFonts w:ascii="Times New Roman" w:cs="Times New Roman" w:eastAsia="Times New Roman" w:hAnsi="Times New Roman"/>
                <w:sz w:val="24"/>
                <w:szCs w:val="24"/>
                <w:color w:val="auto"/>
                <w:vertAlign w:val="superscript"/>
              </w:rPr>
              <w:t>(2)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2,464,996</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9.67%</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Jerrold D. Dotson </w:t>
            </w:r>
            <w:r>
              <w:rPr>
                <w:rFonts w:ascii="Times New Roman" w:cs="Times New Roman" w:eastAsia="Times New Roman" w:hAnsi="Times New Roman"/>
                <w:sz w:val="24"/>
                <w:szCs w:val="24"/>
                <w:color w:val="auto"/>
                <w:vertAlign w:val="superscript"/>
              </w:rPr>
              <w:t>(3)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304,714</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______</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4"/>
                <w:szCs w:val="24"/>
                <w:color w:val="auto"/>
                <w:vertAlign w:val="superscript"/>
              </w:rPr>
              <w:t>(4)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472,075</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Brian J. Underdown, PhD </w:t>
            </w:r>
            <w:r>
              <w:rPr>
                <w:rFonts w:ascii="Times New Roman" w:cs="Times New Roman" w:eastAsia="Times New Roman" w:hAnsi="Times New Roman"/>
                <w:sz w:val="24"/>
                <w:szCs w:val="24"/>
                <w:color w:val="auto"/>
                <w:vertAlign w:val="superscript"/>
              </w:rPr>
              <w:t>(5)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362,083</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Cato BioVentures </w:t>
            </w:r>
            <w:r>
              <w:rPr>
                <w:rFonts w:ascii="Times New Roman" w:cs="Times New Roman" w:eastAsia="Times New Roman" w:hAnsi="Times New Roman"/>
                <w:sz w:val="24"/>
                <w:szCs w:val="24"/>
                <w:color w:val="auto"/>
                <w:vertAlign w:val="superscript"/>
              </w:rPr>
              <w:t>(6)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4,687,165</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18.30%</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Platinum Long Term Growth Fund VII </w:t>
            </w:r>
            <w:r>
              <w:rPr>
                <w:rFonts w:ascii="Times New Roman" w:cs="Times New Roman" w:eastAsia="Times New Roman" w:hAnsi="Times New Roman"/>
                <w:sz w:val="24"/>
                <w:szCs w:val="24"/>
                <w:color w:val="auto"/>
                <w:vertAlign w:val="superscript"/>
              </w:rPr>
              <w:t>(7)</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Morrison &amp; Foerster LLP </w:t>
            </w:r>
            <w:r>
              <w:rPr>
                <w:rFonts w:ascii="Times New Roman" w:cs="Times New Roman" w:eastAsia="Times New Roman" w:hAnsi="Times New Roman"/>
                <w:sz w:val="24"/>
                <w:szCs w:val="24"/>
                <w:color w:val="auto"/>
                <w:vertAlign w:val="superscript"/>
              </w:rPr>
              <w:t>(8)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2,199,567</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David Young </w:t>
            </w:r>
            <w:r>
              <w:rPr>
                <w:rFonts w:ascii="Times New Roman" w:cs="Times New Roman" w:eastAsia="Times New Roman" w:hAnsi="Times New Roman"/>
                <w:sz w:val="24"/>
                <w:szCs w:val="24"/>
                <w:color w:val="auto"/>
                <w:vertAlign w:val="superscript"/>
              </w:rPr>
              <w:t>(9)</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2,096,192</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80" w:type="dxa"/>
            <w:vAlign w:val="bottom"/>
            <w:gridSpan w:val="2"/>
          </w:tcPr>
          <w:p>
            <w:pPr>
              <w:spacing w:after="0" w:line="212" w:lineRule="exact"/>
              <w:rPr>
                <w:sz w:val="20"/>
                <w:szCs w:val="20"/>
                <w:color w:val="auto"/>
              </w:rPr>
            </w:pPr>
            <w:r>
              <w:rPr>
                <w:rFonts w:ascii="Times New Roman" w:cs="Times New Roman" w:eastAsia="Times New Roman" w:hAnsi="Times New Roman"/>
                <w:sz w:val="18"/>
                <w:szCs w:val="18"/>
                <w:color w:val="auto"/>
              </w:rPr>
              <w:t xml:space="preserve">University Health Network </w:t>
            </w:r>
            <w:r>
              <w:rPr>
                <w:rFonts w:ascii="Times New Roman" w:cs="Times New Roman" w:eastAsia="Times New Roman" w:hAnsi="Times New Roman"/>
                <w:sz w:val="24"/>
                <w:szCs w:val="24"/>
                <w:color w:val="auto"/>
                <w:vertAlign w:val="superscript"/>
              </w:rPr>
              <w:t>(10)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1,748,188</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(5 persons) </w:t>
            </w:r>
            <w:r>
              <w:rPr>
                <w:rFonts w:ascii="Times New Roman" w:cs="Times New Roman" w:eastAsia="Times New Roman" w:hAnsi="Times New Roman"/>
                <w:sz w:val="24"/>
                <w:szCs w:val="24"/>
                <w:color w:val="auto"/>
                <w:vertAlign w:val="superscript"/>
              </w:rPr>
              <w:t>(11)</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7,113,760</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24.02%</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______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(1%) of the outstanding shares of our common stock.</w:t>
      </w:r>
    </w:p>
    <w:p>
      <w:pPr>
        <w:spacing w:after="0" w:line="199" w:lineRule="exact"/>
        <w:rPr>
          <w:sz w:val="20"/>
          <w:szCs w:val="20"/>
          <w:color w:val="auto"/>
        </w:rPr>
      </w:pPr>
    </w:p>
    <w:p>
      <w:pPr>
        <w:jc w:val="both"/>
        <w:ind w:left="700" w:right="20" w:hanging="694"/>
        <w:spacing w:after="0" w:line="26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1,686,666 restricted shares of common stock exercisable within 60 days of April 30, 2014; warrants to purchase 1,331,052 restricted shares of common stock exercisable within 60 days of April 30, 2014, and 80,000 restricted shares of common stock upon conversion of a currently convertible promissory note and accrued interest.</w:t>
      </w:r>
    </w:p>
    <w:p>
      <w:pPr>
        <w:spacing w:after="0" w:line="175" w:lineRule="exact"/>
        <w:rPr>
          <w:rFonts w:ascii="Times New Roman" w:cs="Times New Roman" w:eastAsia="Times New Roman" w:hAnsi="Times New Roman"/>
          <w:sz w:val="18"/>
          <w:szCs w:val="18"/>
          <w:color w:val="auto"/>
        </w:rPr>
      </w:pPr>
    </w:p>
    <w:p>
      <w:pPr>
        <w:ind w:left="700" w:right="20" w:hanging="694"/>
        <w:spacing w:after="0" w:line="274"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410,528 restricted shares of common stock exercisable within 60 days of April 30, 2014 and warrants to purchase 850,000 restricted shares of common stock exercisable within 60 days of April 30, 2014.</w:t>
      </w:r>
    </w:p>
    <w:p>
      <w:pPr>
        <w:spacing w:after="0" w:line="163" w:lineRule="exact"/>
        <w:rPr>
          <w:rFonts w:ascii="Times New Roman" w:cs="Times New Roman" w:eastAsia="Times New Roman" w:hAnsi="Times New Roman"/>
          <w:sz w:val="18"/>
          <w:szCs w:val="18"/>
          <w:color w:val="auto"/>
        </w:rPr>
      </w:pPr>
    </w:p>
    <w:p>
      <w:pPr>
        <w:jc w:val="both"/>
        <w:ind w:left="700" w:right="20" w:hanging="694"/>
        <w:spacing w:after="0" w:line="26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104,714 restricted shares of common stock exercisable within 60 days of April 30, 2014, including options to purchase 12,458 shares of common stock held by Mr. Dotson’s wife, and warrants to purchase 200,000 restricted shares of common stock exercisable within 60 days of April 30, 2014.</w:t>
      </w:r>
    </w:p>
    <w:p>
      <w:pPr>
        <w:spacing w:after="0" w:line="175" w:lineRule="exact"/>
        <w:rPr>
          <w:rFonts w:ascii="Times New Roman" w:cs="Times New Roman" w:eastAsia="Times New Roman" w:hAnsi="Times New Roman"/>
          <w:sz w:val="18"/>
          <w:szCs w:val="18"/>
          <w:color w:val="auto"/>
        </w:rPr>
      </w:pPr>
    </w:p>
    <w:p>
      <w:pPr>
        <w:ind w:left="700" w:right="20" w:hanging="694"/>
        <w:spacing w:after="0" w:line="274"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239,583 restricted shares of common stock exercisable within 60 days of April 30, 2014 and warrants to purchase 195,000 restricted shares of common stock exercisable within 60 days of April 30, 2014.</w:t>
      </w:r>
    </w:p>
    <w:p>
      <w:pPr>
        <w:spacing w:after="0" w:line="163" w:lineRule="exact"/>
        <w:rPr>
          <w:rFonts w:ascii="Times New Roman" w:cs="Times New Roman" w:eastAsia="Times New Roman" w:hAnsi="Times New Roman"/>
          <w:sz w:val="18"/>
          <w:szCs w:val="18"/>
          <w:color w:val="auto"/>
        </w:rPr>
      </w:pPr>
    </w:p>
    <w:p>
      <w:pPr>
        <w:ind w:left="700" w:right="20" w:hanging="694"/>
        <w:spacing w:after="0" w:line="274"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174,583 restricted shares of common stock exercisable within 60 days of April 30, 2014 and warrants to purchase 187,500 restricted shares of common stock exercisable within 60 days of April 30, 2014.</w:t>
      </w:r>
    </w:p>
    <w:p>
      <w:pPr>
        <w:spacing w:after="0" w:line="163" w:lineRule="exact"/>
        <w:rPr>
          <w:rFonts w:ascii="Times New Roman" w:cs="Times New Roman" w:eastAsia="Times New Roman" w:hAnsi="Times New Roman"/>
          <w:sz w:val="18"/>
          <w:szCs w:val="18"/>
          <w:color w:val="auto"/>
        </w:rPr>
      </w:pPr>
    </w:p>
    <w:p>
      <w:pPr>
        <w:jc w:val="both"/>
        <w:ind w:left="700" w:right="20" w:hanging="694"/>
        <w:spacing w:after="0" w:line="26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Form 4 filed on January 9, 2012. Includes currently exercisable warrants to purchase 1,376,329 shares of restricted common stock. Dr. Allen E. Cato, Ph.D., M.D. is deemed to have voting and investment authority over the shares held by Cato Holding Company. The primary business address of Cato BioVentures is 4364 South Alston Avenue, Durham, North Carolina 27713.</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ind w:left="700" w:hanging="694"/>
        <w:spacing w:after="0" w:line="269" w:lineRule="auto"/>
        <w:tabs>
          <w:tab w:leader="none" w:pos="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information contained in Schedule 13G/A filed on February 14, 2014, we believe that Platinum has transferred or assigned 15% of its holdings of our common stock and other securities as of December 31, 2013 to another party. The figures reported in the table above and in this note reflect the impact of Platinum’s transfer or assignment and are adjusted for securities sold to Platinum in a transaction on April 1, 2014, including 250,000 restricted shares of our common stock, a currently exercisable warrant to purchase 250,000 shares of our restricted common stock (subject to beneficial ownership restrictions noted below); and a currently convertible promissory note (subject to beneficial ownership restrictions noted below). The number of beneficially owned shares reported at April 30, 2014 includes 1,040,000 restricted shares of common stock owned by Platinum.</w:t>
      </w:r>
    </w:p>
    <w:p>
      <w:pPr>
        <w:spacing w:after="0" w:line="170" w:lineRule="exact"/>
        <w:rPr>
          <w:rFonts w:ascii="Times New Roman" w:cs="Times New Roman" w:eastAsia="Times New Roman" w:hAnsi="Times New Roman"/>
          <w:sz w:val="17"/>
          <w:szCs w:val="17"/>
          <w:color w:val="auto"/>
        </w:rPr>
      </w:pPr>
    </w:p>
    <w:p>
      <w:pPr>
        <w:jc w:val="both"/>
        <w:ind w:left="7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number of shares beneficially owned excludes 12,750,000 restricted shares of common stock and a warrant to purchase 6,375,000 restricted shares of common stock that may currently be acquired by Platinum upon exchange of 425,000 restricted shares of our Series A Preferred Stock. Pursuant to the October 11, 2012 Note Exchange and Purchase Agreement by and between us and Platinum, there is a limitation on exchange such that the number of shares of our common stock that may be acquired by Platinum upon exchange of the Series A Preferred Stock is limited to the extent necessary to ensure that, following such exchange, the total number of shares of our common stock then beneficially owned by Platinum does not exceed 9.99% of the total number of our issued and outstanding shares of common stock without providing us with 61 days’ prior notice thereof.</w:t>
      </w:r>
    </w:p>
    <w:p>
      <w:pPr>
        <w:spacing w:after="0" w:line="170" w:lineRule="exact"/>
        <w:rPr>
          <w:rFonts w:ascii="Times New Roman" w:cs="Times New Roman" w:eastAsia="Times New Roman" w:hAnsi="Times New Roman"/>
          <w:sz w:val="17"/>
          <w:szCs w:val="17"/>
          <w:color w:val="auto"/>
        </w:rPr>
      </w:pPr>
    </w:p>
    <w:p>
      <w:pPr>
        <w:jc w:val="both"/>
        <w:ind w:left="70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 the reported number of shares beneficially owned also excludes an aggregate of 10,631,851 restricted shares of our Common Stock that may be acquired by Platinum upon (i) conversion of various Senior Secured Convertible Promissory Notes in the aggregate face amount of $3,522,577 and a Subordinate Convertible Promissory Note in the face amount of $250,000 (together, the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plus accrued but unpaid interest or (ii) exercise of various common stock purchase warrants to purchase an aggregate of 3,244,190 restricted shares of our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p>
      <w:pPr>
        <w:spacing w:after="0" w:line="188" w:lineRule="exact"/>
        <w:rPr>
          <w:rFonts w:ascii="Times New Roman" w:cs="Times New Roman" w:eastAsia="Times New Roman" w:hAnsi="Times New Roman"/>
          <w:sz w:val="17"/>
          <w:szCs w:val="17"/>
          <w:color w:val="auto"/>
        </w:rPr>
      </w:pPr>
    </w:p>
    <w:p>
      <w:pPr>
        <w:jc w:val="both"/>
        <w:ind w:left="70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Including the shares otherwise excluded due to the beneficial ownership restrictions noted above, Platinum beneficially owns 30,796,852 shares or 57.04% of our common stock prior to the Offering. The primary business address of Platinum Long Term Growth Fund VII is 152 West 57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 54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New York 10019. Mark Nordlicht has voting and investment control over the shares held by Platinum.</w:t>
      </w:r>
    </w:p>
    <w:p>
      <w:pPr>
        <w:spacing w:after="0" w:line="99" w:lineRule="exact"/>
        <w:rPr>
          <w:rFonts w:ascii="Times New Roman" w:cs="Times New Roman" w:eastAsia="Times New Roman" w:hAnsi="Times New Roman"/>
          <w:sz w:val="17"/>
          <w:szCs w:val="17"/>
          <w:color w:val="auto"/>
        </w:rPr>
      </w:pPr>
    </w:p>
    <w:p>
      <w:pPr>
        <w:ind w:left="700" w:right="20" w:hanging="694"/>
        <w:spacing w:after="0" w:line="274"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1,999,567 restricted shares of common stock. The primary business address of Morrison &amp; Foerster is 555 Market Street, San Francisco, California 94105.</w:t>
      </w:r>
    </w:p>
    <w:p>
      <w:pPr>
        <w:spacing w:after="0" w:line="163" w:lineRule="exact"/>
        <w:rPr>
          <w:rFonts w:ascii="Times New Roman" w:cs="Times New Roman" w:eastAsia="Times New Roman" w:hAnsi="Times New Roman"/>
          <w:sz w:val="18"/>
          <w:szCs w:val="18"/>
          <w:color w:val="auto"/>
        </w:rPr>
      </w:pPr>
    </w:p>
    <w:p>
      <w:pPr>
        <w:jc w:val="both"/>
        <w:ind w:left="700" w:right="20" w:hanging="694"/>
        <w:spacing w:after="0" w:line="26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658,728 restricted shares of common stock and 533,250 restricted shares of common stock upon conversion of currently convertible promissory notes and accrued interest. Mr. Young’s primary business address is c/o Coldwell Banker Residential Brokerage, 580 El Camino Real, San Carlos, California 94070.</w:t>
      </w:r>
    </w:p>
    <w:p>
      <w:pPr>
        <w:spacing w:after="0" w:line="175" w:lineRule="exact"/>
        <w:rPr>
          <w:rFonts w:ascii="Times New Roman" w:cs="Times New Roman" w:eastAsia="Times New Roman" w:hAnsi="Times New Roman"/>
          <w:sz w:val="18"/>
          <w:szCs w:val="18"/>
          <w:color w:val="auto"/>
        </w:rPr>
      </w:pPr>
    </w:p>
    <w:p>
      <w:pPr>
        <w:ind w:left="700" w:right="20" w:hanging="694"/>
        <w:spacing w:after="0" w:line="274"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currently exercisable warrants to purchase 610,133 restricted shares of common stock. The primary business address of University Health Network is 101 College Street, Suite 150, Toronto, Ontario Canada M5G 1L7.</w:t>
      </w:r>
    </w:p>
    <w:p>
      <w:pPr>
        <w:spacing w:after="0" w:line="163" w:lineRule="exact"/>
        <w:rPr>
          <w:rFonts w:ascii="Times New Roman" w:cs="Times New Roman" w:eastAsia="Times New Roman" w:hAnsi="Times New Roman"/>
          <w:sz w:val="18"/>
          <w:szCs w:val="18"/>
          <w:color w:val="auto"/>
        </w:rPr>
      </w:pPr>
    </w:p>
    <w:p>
      <w:pPr>
        <w:jc w:val="both"/>
        <w:ind w:left="700" w:right="20" w:hanging="694"/>
        <w:spacing w:after="0" w:line="26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an aggregate of 2,763,552 restricted shares of common stock exercisable within 60 days of April 30, 2014, warrants to purchase an aggregate of 2,616,074 restricted shares of common stock exercisable within 60 days of April 30, 2014 and 80,000 restricted shares of common stock upon conversion of a currently convertible promissory note and accrued interest.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authorized capital stock consists of 200 million shares of our common stock, $0.001 par value per share, and 10.0 million shares of preferred stock, $0.001 par value per share. The following is a description of our capital stock and certain provisions of our articles of incorporation, as amended, and our amended and restated bylaws, and certain provisions of Nevada law. This summary does not purport to be complete and is qualified in its entirety by the provisions of our articles of incorporation, as amended, and our amended and restated bylaws, copies of which have been filed with the SEC as exhibits to our periodic filings under the Exchange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2014, there were outstanding:</w:t>
      </w:r>
    </w:p>
    <w:p>
      <w:pPr>
        <w:spacing w:after="0" w:line="244" w:lineRule="exact"/>
        <w:rPr>
          <w:sz w:val="20"/>
          <w:szCs w:val="20"/>
          <w:color w:val="auto"/>
        </w:rPr>
      </w:pPr>
    </w:p>
    <w:p>
      <w:pPr>
        <w:ind w:left="640" w:hanging="33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24,236,877 shares of our common stock held by approximately 300 stockholders of record;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upon exchange of our Series A Preferred;</w:t>
      </w:r>
    </w:p>
    <w:p>
      <w:pPr>
        <w:spacing w:after="0" w:line="243" w:lineRule="exact"/>
        <w:rPr>
          <w:rFonts w:ascii="Times New Roman" w:cs="Times New Roman" w:eastAsia="Times New Roman" w:hAnsi="Times New Roman"/>
          <w:sz w:val="18"/>
          <w:szCs w:val="18"/>
          <w:color w:val="auto"/>
        </w:rPr>
      </w:pPr>
    </w:p>
    <w:p>
      <w:pPr>
        <w:ind w:left="640" w:hanging="33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4,227,357 shares of our common stock issuable upon exercise of outstanding stock options; and</w:t>
      </w:r>
    </w:p>
    <w:p>
      <w:pPr>
        <w:spacing w:after="0" w:line="243" w:lineRule="exact"/>
        <w:rPr>
          <w:rFonts w:ascii="Times New Roman" w:cs="Times New Roman" w:eastAsia="Times New Roman" w:hAnsi="Times New Roman"/>
          <w:sz w:val="18"/>
          <w:szCs w:val="18"/>
          <w:color w:val="auto"/>
        </w:rPr>
      </w:pPr>
    </w:p>
    <w:p>
      <w:pPr>
        <w:ind w:left="640" w:hanging="338"/>
        <w:spacing w:after="0" w:line="274"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25,345,633 shares of our common stock issuable upon exercise of outstanding warrants, including warrants to purchase 7,500,000 issuable upon exchange of our Series A Preferred for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as otherwise expressly provided in our articles of incorporation, as amended,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Each holder of our common stock is entitled to cast one vote for each share of common stock held on all matters submitted to a vote of stockholders. Cumulative voting for election of directors is not allowed under our articles of incorporation, as amended, which means that a plurality of the shares voted can elect all of the directors then outstanding for election. Except as otherwise provided under Nevada law or our articles of incorporation, as amended, and amended and restated bylaws, on matters other than election of directors, action on a matter is approved if the votes cast favoring the action exceed the votes cast opposing the 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for more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is not subject to conversion, redemption, sinking fund or similar provisions regarding the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for our common stock and related stockholder matters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June 21, 2011 our common stock began trading on the OTC Markets (OTCQB) under the symbol “VSTA.” There was no established trading market for our common stock prior to that date.</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Shown below is the range of high and low closing prices for our common stock for the periods indicated as reported by the OTCQB. The market quotations reflect inter-dealer prices, without retail mark-up, mark-down or commissions and may not necessarily represent actual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19"/>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Ending March 31, 2014</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ending June 30, 2013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ending September 30, 2013</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ending December 31, 2013</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ending March 31, 2014</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March 31, 2013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ending June 30, 2012</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ending September 30, 2012</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ending December 31, 2012</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ending March 31, 2013</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30, 2014 the closing price of our common stock on the OTCQB was $0.48 per share.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December 2011, our board of directors authorized the creation of a series of up to 500,000 shares of Series A Preferred. At April 30, 2014, there were 500,000 shares of Series A Preferred outstanding. By agreement with the sole holder thereof, each share of Series A Preferred is exchangeable at the option of the holder into thirty (30) shares of our common stock. The Series A Preferred ranks prior to our common stock for purposes of liquidation preference.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(Record Date)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2014, we had options to purchase 4,227,357 shares of our common stock outstanding pursuant to our 1999 Plan and our 2008 Plan.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April 30, 2014, warrants to purchase 17,845,633 shares of our common stock were outstanding, excluding warrants to purchase 7,500,000 shares of common stock issuable in connection with the exchange of our Series A Preferred for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transfer agent and registrar for our common stock is Registrar and Transfer Company. The transfer agent’s address is 10 Commerce Drive, Cranford, NJ 07016.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and Estate Tax Consequences to Non-United States Holders of our Common Stock</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and estate tax consequences to non- U.S. holders (as defined below) of the acquisition, ownership and disposition of our common stock issued pursuant to this Offering. This discussion is not a complete analysis of all the potential U.S. federal income tax consequences relating thereto, nor does it address any estate or gift tax consequences (except to the limited extent provided below under “U.S. federal estate tax”) or any tax consequences arising under any state, local or foreign tax laws or any other U.S. federal tax laws. This discussion is for general information only and does not constitute tax advice. This discussion is based on the Internal Revenue Code, Treasury Regulations promulgated thereunder, judicial decisions and published rulings and administrative pronouncements of the Internal Revenue Service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all as in effect as of the date of this Offering. These authorities may change, possibly with retroactive effect, resulting in U.S. federal income and estate tax consequences different from those discussed below. We have not sought, nor do we plan to seek a ruling from the IRS with respect to the matters discussed below, and there can be no assurance that the IRS will not take a contrary position regarding the tax consequences of the acquisition, ownership or disposition of our common stock, or that any such contrary position would not be sustained by a court.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issued pursuant to this Offering and who hold our common stock as a capital asset within the meaning of Section 1221 of the Internal Revenue Code (generally, property held for investment). This discussion does not address all U.S. federal income and estate tax considerations that may be relevant to a particular non-U.S. holder in light of that holder’s particular circumstances. This discussion also does not consider any specific facts or circumstances that may be relevant to holders subject to special rules under the U.S. federal income tax laws, including, without limitation, U.S. expatriates, partnerships and other pass-through entities, “controlled foreign corporations,” “passive foreign investment companies,” corporations that accumulate earnings to avoid U.S. federal income tax, financial institutions, insurance companies, brokers, dealers or traders in securities, commodities or currencies, tax-exempt organizations, tax-qualified retirement plans, persons subject to the alternative minimum tax and persons holding our common stock as part of a hedging or conversion transaction or straddle, or a constructive sale, or other risk reduction strategy.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Prospective investors are urged to consult their tax advisors regarding the particular U.S. federal income tax consequences to them of acquiring, owning and disposing of our common stock, as well as any tax consequences arising under U.S. federal estate and gift tax laws, any state, local or foreign tax laws and any other U.S. federal tax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purposes of this discussion (except as otherwise provided in the estate tax discussion), a non-U.S. holder is any beneficial owner of our common stock that is an individual, corporation, estate or trust and is not a “United States Person.” A United States Person is any of the following:</w:t>
      </w:r>
    </w:p>
    <w:p>
      <w:pPr>
        <w:spacing w:after="0" w:line="296" w:lineRule="exact"/>
        <w:rPr>
          <w:sz w:val="20"/>
          <w:szCs w:val="20"/>
          <w:color w:val="auto"/>
        </w:rPr>
      </w:pPr>
    </w:p>
    <w:p>
      <w:pPr>
        <w:ind w:left="700" w:hanging="403"/>
        <w:spacing w:after="0" w:line="181" w:lineRule="auto"/>
        <w:tabs>
          <w:tab w:leader="none" w:pos="700" w:val="left"/>
        </w:tabs>
        <w:numPr>
          <w:ilvl w:val="0"/>
          <w:numId w:val="6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an individual who is a citizen or resident of the United States for U.S. federal income tax purposes, including an alien individual who is a lawful permanent resident of the United States or who meets the substantial presence test under Section 7701(b) of the Internal Revenue Code;</w:t>
      </w:r>
    </w:p>
    <w:p>
      <w:pPr>
        <w:spacing w:after="0" w:line="88" w:lineRule="exact"/>
        <w:rPr>
          <w:rFonts w:ascii="Times New Roman" w:cs="Times New Roman" w:eastAsia="Times New Roman" w:hAnsi="Times New Roman"/>
          <w:sz w:val="34"/>
          <w:szCs w:val="34"/>
          <w:color w:val="auto"/>
          <w:vertAlign w:val="superscript"/>
        </w:rPr>
      </w:pPr>
    </w:p>
    <w:p>
      <w:pPr>
        <w:ind w:left="700" w:hanging="403"/>
        <w:spacing w:after="0" w:line="257"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United States, any state thereof or the District of Columbia;</w:t>
      </w:r>
    </w:p>
    <w:p>
      <w:pPr>
        <w:ind w:left="700" w:hanging="403"/>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5" w:lineRule="exact"/>
        <w:rPr>
          <w:rFonts w:ascii="Times New Roman" w:cs="Times New Roman" w:eastAsia="Times New Roman" w:hAnsi="Times New Roman"/>
          <w:sz w:val="18"/>
          <w:szCs w:val="18"/>
          <w:color w:val="auto"/>
        </w:rPr>
      </w:pPr>
    </w:p>
    <w:p>
      <w:pPr>
        <w:ind w:left="700" w:right="20" w:hanging="403"/>
        <w:spacing w:after="0" w:line="251" w:lineRule="auto"/>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U.S. persons or (2) has validly elected to be treated as a U.S. person for U.S. federal income tax purposes.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a partnership (or other entity taxed as a partnership for U.S. federal income tax purposes) holds our common stock, the tax treatment of a partner in the partnership generally will depend on the status of the partner and upon the activities of the partnership. Accordingly, partnerships that hold our common stock and partners in such partnerships are urged to consult their tax advisors regarding the specific U.S. federal income tax consequences to them.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expect to declare or pay any dividends on our common stock in the foreseeable future. However, if we do pay dividends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tax-free return of capital and will first be applied against and reduce a holder’s adjusted tax basis in the common stock but not below zero. Any distribution in excess of a holder’s adjusted basis will be treated as capital gain.</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Dividends paid to a non-U.S. holder of our common stock that are not effectively connected with a United States trade or business conducted by such holder generally will be subject to U.S. federal withholding tax at a rate of 30% of the gross amount of the dividends or such lower rate specified by an applicable tax treaty. To receive the benefit of a reduced treaty rate, a non-U.S. holder must furnish to us or our paying agent a valid IRS Form W-8BEN (or applicable successor form) certifying such holder’s qualification for the reduced rate. This certification must be provided to us or our paying agent prior to the payment of dividends and must be updated periodically. Non-U.S. holders that do not timely provide us or our paying agent with the required certification, but which qualify for a reduced treaty rate, may obtain a refund of any excess amounts withheld by timely filing an appropriate claim for refund with the IRS.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If a non-U.S. holder holds our common stock in connection with the conduct of a trade or business in the United States and dividends paid on our common stock are effectively connected with such holder’s United States trade or business, the non-U.S. holder will generally be exempt from U.S. federal withholding tax. To claim the exemption, the non-U.S. holder must furnish to us or our paying agent a properly executed IRS Form W-8ECI (or other applicable form).</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dividends paid on our common stock that are effectively connected with a non-U.S. holder’s U.S. trade or business generally will be subject to U.S. federal income tax on a net income basis in the same manner as if such holder were a United States Person unless an applicable tax treaty provides otherwise. A non-U.S. holder that is a foreign corporation also may be subject to a branch profits tax equal to 30% (or such lower rate specified by an applicable tax treaty) of its effectively connected earnings and profits for the taxable year. Non-U.S. holders are urged to consult any applicable tax treaties that may provide for different rules.</w:t>
      </w:r>
    </w:p>
    <w:p>
      <w:pPr>
        <w:spacing w:after="0" w:line="20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A non-U.S. holder who claims the benefit of an applicable income tax treaty generally will be required to satisfy applicable certification and other requirements prior to the distribution date. Non-U.S. holders should consult their tax advisors regarding their entitlement to benefits under a relevant income tax treaty.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on any gain realized upon the sale, exchange, redemption or other taxable disposition of our common stock unless:</w:t>
      </w:r>
    </w:p>
    <w:p>
      <w:pPr>
        <w:spacing w:after="0" w:line="190" w:lineRule="exact"/>
        <w:rPr>
          <w:sz w:val="20"/>
          <w:szCs w:val="20"/>
          <w:color w:val="auto"/>
        </w:rPr>
      </w:pPr>
    </w:p>
    <w:p>
      <w:pPr>
        <w:ind w:left="700" w:hanging="403"/>
        <w:spacing w:after="0" w:line="274"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tax treaty, attributable to a permanent establishment maintained by the non-U.S. holder in the United States;</w:t>
      </w:r>
    </w:p>
    <w:p>
      <w:pPr>
        <w:spacing w:after="0" w:line="163" w:lineRule="exact"/>
        <w:rPr>
          <w:rFonts w:ascii="Times New Roman" w:cs="Times New Roman" w:eastAsia="Times New Roman" w:hAnsi="Times New Roman"/>
          <w:sz w:val="18"/>
          <w:szCs w:val="18"/>
          <w:color w:val="auto"/>
        </w:rPr>
      </w:pPr>
    </w:p>
    <w:p>
      <w:pPr>
        <w:ind w:left="700" w:right="20" w:hanging="403"/>
        <w:spacing w:after="0" w:line="274"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63" w:lineRule="exact"/>
        <w:rPr>
          <w:rFonts w:ascii="Times New Roman" w:cs="Times New Roman" w:eastAsia="Times New Roman" w:hAnsi="Times New Roman"/>
          <w:sz w:val="18"/>
          <w:szCs w:val="18"/>
          <w:color w:val="auto"/>
        </w:rPr>
      </w:pPr>
    </w:p>
    <w:p>
      <w:pPr>
        <w:jc w:val="both"/>
        <w:ind w:left="700" w:hanging="403"/>
        <w:spacing w:after="0" w:line="260" w:lineRule="auto"/>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(the applicable period).</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Generally, a corporation is a USRPHC if the fair market value of its United States real property interests equals or exceeds 50% of the sum of the fair market value of its worldwide real property interests plus its other assets used or held for use in a trade or business. We believe that we currently are not and will not become a USRPHC. However, because the determination of whether we are a USRPHC depends on the fair market value of our United States real property interests relative to the fair market value of our other business assets, there can be no assurance that we will not become a USRPHC in the future. In the event we do become a USRPHC, as long as our common stock is regularly traded on an established securities market, our common stock will be treated as United States real property interests only with respect to a non-U.S. holder that actually or constructively holds more than 5% of our common stock at some time during the applicable period.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an applicable tax treaty provides otherwise, gain described in the first bullet point above in this subsection will generally be subject to U.S. federal income tax on a net income basis in the same manner as if such holder were a United States Person. Non-U.S. holders that are foreign corporations also may be subject to a branch profits tax equal to 30% (or such lower rate specified by an applicable tax treaty) of their effectively connected earnings and profits for the taxable year. Non-U.S. holders are urged to consult any applicable tax treaties that may provide for different rules.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Gain described in the second bullet point above in this subsection will be subject to U.S. federal income tax at a flat 30% rate, but may be offset by U.S. source capital losses.</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Gain described in the third bullet point above in this subsection generally will be taxed in the same manner as gain described in the first bullet point above, except that the branch profits tax will not apply.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U.S. Federal Estate Tax</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of our common stock that is owned or treated as owned by an individual who is a non-U.S. holder (as defined for estate tax purposes) at the time of death will be included in the individual’s gross estate for U.S. federal estate tax purposes and may be subject to U.S. federal estate tax, unless an applicable estate tax treaty provides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Generally, we must report annually to the IRS and to each non-U.S. holder the amount of dividends paid to such holder and the amount of tax, if any, withheld with respect to such dividends. The IRS may make the information returns reporting such dividends and withholding available to the tax authorities in the country in which the non-U.S. holder is resident.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 non-U.S. holder may be subject to information reporting requirements and backup withholding tax with respect to dividends paid on, and the proceeds of disposition of (including a redemption), shares of our common stock, unless, generally, such holder certifies under penalties of perjury (usually on IRS Form W-8BEN) that such holder is not a United States person or such holder otherwise establishes an exemption from such reporting and withholding. Additional rules relating to information reporting requirements and backup withholding tax with respect to payments of the proceeds from the disposition of shares (including a redemption) of our common stock are as follows:</w:t>
      </w:r>
    </w:p>
    <w:p>
      <w:pPr>
        <w:spacing w:after="0" w:line="314" w:lineRule="exact"/>
        <w:rPr>
          <w:sz w:val="20"/>
          <w:szCs w:val="20"/>
          <w:color w:val="auto"/>
        </w:rPr>
      </w:pPr>
    </w:p>
    <w:p>
      <w:pPr>
        <w:jc w:val="both"/>
        <w:ind w:left="820" w:right="20" w:hanging="463"/>
        <w:spacing w:after="0" w:line="192" w:lineRule="auto"/>
        <w:tabs>
          <w:tab w:leader="none" w:pos="820" w:val="left"/>
        </w:tabs>
        <w:numPr>
          <w:ilvl w:val="0"/>
          <w:numId w:val="68"/>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If the proceeds are paid to or through the United States office of a broker, they generally will be subject to information reporting requirements and backup withholding tax, unless the non-U.S. holder certifies under penalties of perjury (usually on IRS Form W-8BEN) that such holder is not a United States person or such holder otherwise establishes an exemption from such reporting and withholding.</w:t>
      </w:r>
    </w:p>
    <w:p>
      <w:pPr>
        <w:spacing w:after="0" w:line="200" w:lineRule="exact"/>
        <w:rPr>
          <w:rFonts w:ascii="Times New Roman" w:cs="Times New Roman" w:eastAsia="Times New Roman" w:hAnsi="Times New Roman"/>
          <w:sz w:val="35"/>
          <w:szCs w:val="35"/>
          <w:color w:val="auto"/>
          <w:vertAlign w:val="superscript"/>
        </w:rPr>
      </w:pPr>
    </w:p>
    <w:p>
      <w:pPr>
        <w:spacing w:after="0" w:line="207" w:lineRule="exact"/>
        <w:rPr>
          <w:rFonts w:ascii="Times New Roman" w:cs="Times New Roman" w:eastAsia="Times New Roman" w:hAnsi="Times New Roman"/>
          <w:sz w:val="35"/>
          <w:szCs w:val="35"/>
          <w:color w:val="auto"/>
          <w:vertAlign w:val="superscript"/>
        </w:rPr>
      </w:pPr>
    </w:p>
    <w:p>
      <w:pPr>
        <w:ind w:left="820" w:hanging="463"/>
        <w:spacing w:after="0" w:line="181" w:lineRule="auto"/>
        <w:tabs>
          <w:tab w:leader="none" w:pos="820" w:val="left"/>
        </w:tabs>
        <w:numPr>
          <w:ilvl w:val="0"/>
          <w:numId w:val="68"/>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If the proceeds are paid to or through a non-United States office of a broker that is not a United States person and is not a foreign person with certain specified United States connections (a United States related person), information reporting and backup withholding tax will not apply.</w:t>
      </w:r>
    </w:p>
    <w:p>
      <w:pPr>
        <w:spacing w:after="0" w:line="200" w:lineRule="exact"/>
        <w:rPr>
          <w:rFonts w:ascii="Times New Roman" w:cs="Times New Roman" w:eastAsia="Times New Roman" w:hAnsi="Times New Roman"/>
          <w:sz w:val="34"/>
          <w:szCs w:val="34"/>
          <w:color w:val="auto"/>
          <w:vertAlign w:val="superscript"/>
        </w:rPr>
      </w:pPr>
    </w:p>
    <w:p>
      <w:pPr>
        <w:spacing w:after="0" w:line="206" w:lineRule="exact"/>
        <w:rPr>
          <w:rFonts w:ascii="Times New Roman" w:cs="Times New Roman" w:eastAsia="Times New Roman" w:hAnsi="Times New Roman"/>
          <w:sz w:val="34"/>
          <w:szCs w:val="34"/>
          <w:color w:val="auto"/>
          <w:vertAlign w:val="superscript"/>
        </w:rPr>
      </w:pPr>
    </w:p>
    <w:p>
      <w:pPr>
        <w:jc w:val="both"/>
        <w:ind w:left="820" w:hanging="463"/>
        <w:spacing w:after="0" w:line="192" w:lineRule="auto"/>
        <w:tabs>
          <w:tab w:leader="none" w:pos="820" w:val="left"/>
        </w:tabs>
        <w:numPr>
          <w:ilvl w:val="0"/>
          <w:numId w:val="68"/>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If the proceeds are paid to or through a non-United States office of a broker that is a United States person or a United States related person, they generally will be subject to information reporting (but not to backup withholding tax), unless the broker has documentary evidence in its records that such holder is not a United States person or such holder otherwise establishes an exemption from such reporting.</w:t>
      </w:r>
    </w:p>
    <w:p>
      <w:pPr>
        <w:spacing w:after="0" w:line="32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tax rules may be allowed as a refund or a credit against a non-U.S. holder’s United States federal income tax liability, provided the required information is timely furnished by such holder to the IRS.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 under the Foreign Account Tax Compliance Act</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Foreign Account Tax Compliance Act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and administrative guidance, we or another withholding agent may be required to withhold a generally nonrefundable 30% tax on dividends paid after December 31, 2013 or the gross proceeds of a sale, exchange, redemption or other disposition of our common stock paid after December 31, 2016 to (i) certain “foreign financial institutions” unless such foreign financial institution agrees to verify, monitor and report to the IRS the identity of certain of its accountholders, among other things, and (ii) certain “non-financial foreign entities” unless such entity certifies to us that it does not have any substantial U.S. owners or provides the name, address and taxpayer identification number of each substantial U.S. owner, among other things. Non-U.S. holders are urged to consult their tax advisors regarding the application of this FATCA withholding tax to their investment in our common stock and the potential certification, compliance, due diligence, reporting and withholding obligations to which they may become subject in order to avoid this withholding tax.</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this Offering, there has a limited public market for shares of our common stock. Future sales of substantial amounts of shares of our common stock, including shares issued upon the exercise of outstanding options and warrants, in the public market after this Offering or the possibility of these sales occurring, could cause the prevailing market price for our common stock to fall or impair our ability to raise equity capital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completion of this Offering, based on the number of shares outstanding as of April 30, 2014, we will have ________ shares of common stock</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outstanding, assuming no exercise of outstanding options or warrants and no conversion of our preferred stock or convertible promissory notes. Of these outstanding shares, all ______ shares of common stock sold by us in this Offering will be freely tradable in the public market without restriction or further</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registration under the Securities Act, and 6,103,025 shares of common stock held by our affiliates, as that term is defined in Rule 144 under the Securities Act, and any shares purchased in this Offering by our existing shareholders and certain affiliates of us, certain existing stockholders and our directors, may only be sold in compliance with the limitations described below. The remaining ______ shares of common stock outstanding after this Offering will be deemed restricted because of securities laws.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22,072,990 shares of common stock that are subject to outstanding options and warrants as of April 30, 2014 will become eligible for sale in the public market to the extent permitted by the provisions of Rules 144 and 701 under the Securities Act and the vesting provisions of the options or warrants. “Restricted securities” as defined under Rule 144 were issued and sold by us in reliance on exemptions from registration requirements of the Securities Act. These shares may be sold in the public market only if registered or pursuant to an exemption from registration.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upon the expiration of the lock-up agreements described above, within any three month period, a number of shares that does not exceed the greater of:</w:t>
      </w:r>
    </w:p>
    <w:p>
      <w:pPr>
        <w:spacing w:after="0" w:line="125" w:lineRule="exact"/>
        <w:rPr>
          <w:sz w:val="20"/>
          <w:szCs w:val="20"/>
          <w:color w:val="auto"/>
        </w:rPr>
      </w:pPr>
    </w:p>
    <w:p>
      <w:pPr>
        <w:ind w:left="700" w:hanging="403"/>
        <w:spacing w:after="0"/>
        <w:tabs>
          <w:tab w:leader="none" w:pos="700" w:val="left"/>
        </w:tabs>
        <w:numPr>
          <w:ilvl w:val="0"/>
          <w:numId w:val="69"/>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1% of the number of shares of common stock then outstanding, which will equal approximately 342,369 shares immediately after this Offering; or</w:t>
      </w:r>
    </w:p>
    <w:p>
      <w:pPr>
        <w:spacing w:after="0" w:line="298" w:lineRule="exact"/>
        <w:rPr>
          <w:rFonts w:ascii="Times New Roman" w:cs="Times New Roman" w:eastAsia="Times New Roman" w:hAnsi="Times New Roman"/>
          <w:sz w:val="35"/>
          <w:szCs w:val="35"/>
          <w:color w:val="auto"/>
          <w:vertAlign w:val="superscript"/>
        </w:rPr>
      </w:pPr>
    </w:p>
    <w:p>
      <w:pPr>
        <w:ind w:left="700" w:hanging="403"/>
        <w:spacing w:after="0" w:line="274" w:lineRule="auto"/>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common stock during the four calendar weeks preceding the filing of a notice on Form 144 with respect to such sale.</w:t>
      </w:r>
    </w:p>
    <w:p>
      <w:pPr>
        <w:spacing w:after="0" w:line="1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2014, options to purchase 4,227,357 shares of our common stock were outstanding.</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following this Offering, to register all of the shares of common stock subject to options outstanding or issued or reserved for issuance under our 1999 Plan and 2008 Plan. We expect to file this registration statement as soon as practicable after the effective date of this Offering. Shares covered by this registration statement will be eligible for sale in the public market, subject to any lock-up agreements we may enter into with option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2014, warrants to purchase 17,845,633 shares of our common stock were outstanding.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up to ______ shares of our common stock on a self-underwritten basis.  The maximum Offering price is $____ per share. Funds from this</w:t>
      </w:r>
    </w:p>
    <w:p>
      <w:pPr>
        <w:spacing w:after="0" w:line="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Offering will not be placed in a separate bank account. We will have immediate use of the net proceeds. As a result, if we are sued for any reason and a judgment is rendered against us, your subscription could be seized in a garnishment proceeding and you could lose your investment. There are no finders involved in our distribution.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not have the right to withdraw your funds during the Offering.</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will sell the shares in this Offering through our officers and directors. They will receive no commission from the sale of any shares. They will not register as a broker-dealer under Section 15 of the Exchange Act in reliance upon Rule 3a4-1. Rule 3a4-1 sets forth those conditions under which a person associated with an issuer may participate in the offering of the issuer’s securities and not be deemed to be a broker/dealer. The conditions are that:</w:t>
      </w:r>
    </w:p>
    <w:p>
      <w:pPr>
        <w:spacing w:after="0" w:line="176" w:lineRule="exact"/>
        <w:rPr>
          <w:sz w:val="20"/>
          <w:szCs w:val="20"/>
          <w:color w:val="auto"/>
        </w:rPr>
      </w:pPr>
    </w:p>
    <w:p>
      <w:pPr>
        <w:ind w:left="640" w:hanging="218"/>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statutorily disqualified, as that term is defined in Section 3(a)(39) of the Securities Act, at the time of her participation;</w:t>
      </w:r>
    </w:p>
    <w:p>
      <w:pPr>
        <w:spacing w:after="0" w:line="217" w:lineRule="exact"/>
        <w:rPr>
          <w:rFonts w:ascii="Times New Roman" w:cs="Times New Roman" w:eastAsia="Times New Roman" w:hAnsi="Times New Roman"/>
          <w:sz w:val="18"/>
          <w:szCs w:val="18"/>
          <w:color w:val="auto"/>
        </w:rPr>
      </w:pPr>
    </w:p>
    <w:p>
      <w:pPr>
        <w:ind w:left="640" w:hanging="218"/>
        <w:spacing w:after="0" w:line="274"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compensated in connection with her participation by the payment of commissions or other remuneration based either directly or indirectly on transactions in securities;</w:t>
      </w:r>
    </w:p>
    <w:p>
      <w:pPr>
        <w:spacing w:after="0" w:line="163" w:lineRule="exact"/>
        <w:rPr>
          <w:rFonts w:ascii="Times New Roman" w:cs="Times New Roman" w:eastAsia="Times New Roman" w:hAnsi="Times New Roman"/>
          <w:sz w:val="18"/>
          <w:szCs w:val="18"/>
          <w:color w:val="auto"/>
        </w:rPr>
      </w:pPr>
    </w:p>
    <w:p>
      <w:pPr>
        <w:ind w:left="640" w:hanging="218"/>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at the time of their participation, an associated person of a broker/dealer; and</w:t>
      </w:r>
    </w:p>
    <w:p>
      <w:pPr>
        <w:spacing w:after="0" w:line="217" w:lineRule="exact"/>
        <w:rPr>
          <w:rFonts w:ascii="Times New Roman" w:cs="Times New Roman" w:eastAsia="Times New Roman" w:hAnsi="Times New Roman"/>
          <w:sz w:val="18"/>
          <w:szCs w:val="18"/>
          <w:color w:val="auto"/>
        </w:rPr>
      </w:pPr>
    </w:p>
    <w:p>
      <w:pPr>
        <w:jc w:val="both"/>
        <w:ind w:left="640" w:hanging="218"/>
        <w:spacing w:after="0" w:line="255"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meets the conditions of Paragraph (a)(4)(ii) of Rule 3a4-1 of the Exchange Act, in that he (A) primarily performs, or is intended primarily to perform at the end of the Offering, substantial duties for or on behalf of the Issuer otherwise than in connection with transactions in securities; and (B) is not a broker or dealer, or an associated person of a broker or dealer, within the preceding twelve months; and (C) does not participate in selling and offering of securities for any Issuer more than once every twelve months other than in reliance on Paragraphs (a)(4)(i) or (a)(4)(iii).</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hereby confirm that our directors and officers are not statutorily disqualified, are not being compensated, and are not associated with a broker/dealer. They will continue to be our officers and directors at the end of the Offering and have not been, during the last twelve months a broker/dealer or associated with a broker/dealer. They will not participate in selling and offering securities for any issuer more than once every twelve months.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Only after our registration statement is declared effective by the SEC do we intend to advertise and hold investment meetings in various states where the Offering will be registered. Our officers and directors will also distribute the prospectus to potential investors at meetings, to business associates, and to friends and relatives who are interested in a possible investment in the Offering. No shares purchased in this Offering will be subject to a lock-up agreement.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reserve the right to sell the securities in this Offering though a placement agent, broker, dealer, finder, underwriter and/or wholesaler. We will provide an applicable prospectus supplement reflecting (i) the identity of any underwriter, dealer or agent, (ii) any compensation we will pay to underwriters, dealers or agents in connection with this Offering, (iii) any discounts, concessions or commissions allowed by underwriters to participating dealers, (iv) the amounts underwritten; and (v) the nature of the underwriter’s or underwriters’ obligation to take the securities.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officers and directors, who will promote the shares, is aware that he is required to comply with the provisions of Regulation M, promulgated under the Exchange Act. With certain exceptions, Regulation M precludes officers and/or directors, sales agents, any broker-dealers or other person who participate in the distribution of shares in this Offering from bidding for or purchasing, or attempting to induce any person to bid for or purchase any security which is the subject of the distribution until the entire distribution is complete.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Period and Expiration Date</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Offering will start on the date that this Registration Statement of which this prospectus is a part is declared effective by the SEC and continue for a period of 365 days, or sooner, if the Offering is completed or otherwise terminated by us.</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will not offer to sell through the use or medium of any prospectus or otherwise any security until the Registration Statement, of which this prospectus is a part, is declared effective by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Reject Subscriptions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the right to accept or reject subscriptions in whole or in part, for any reason or for no reason. All monies from rejected subscriptions will be returned immediately to the subscriber, without interest or deductions. Subscriptions for securities will be accepted or rejected within 48 hours after we receive them.</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will be approximately $90,800.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in electronic format may be made available on our website at www.vistagen.com.</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Prior to this Offering, there has been a limited public market for our common stock. We cannot assure investors that an active trading market will develop for our common stock, or that the shares will trade in the public market at or above the public offering price of the common stock in this Offering.</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prospectus does not constitute an offer to sell or a solicitation of an offer to buy any securities offered by this prospectus in any jurisdiction in which such an offer or a solicitation is unlawful.</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Disclosure Law Group, San Diego, California, will pass upon the validity of the shares of common stock offered hereby. A partner of the Disclosure Law Group holds warrants to purchase 58,334 shares of our common stock.</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financial statements as of March 31, 2012 and 2013, and for the years then ended, included in this prospectus, have been audited by Odenberg, Ullakko, Muranishi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NAMED EXPERTS AND COUNSEL</w:t>
      </w:r>
    </w:p>
    <w:p>
      <w:pPr>
        <w:spacing w:after="0" w:line="2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sets forth all expenses to be paid by the Registrant in connection with this registration statement. All amounts shown are estimates except for the SEC registration fee.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Filing fees</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2"/>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FINRA fees</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2"/>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2"/>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2"/>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2"/>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9"/>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2"/>
        </w:trPr>
        <w:tc>
          <w:tcPr>
            <w:tcW w:w="10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2"/>
        </w:trPr>
        <w:tc>
          <w:tcPr>
            <w:tcW w:w="10180" w:type="dxa"/>
            <w:vAlign w:val="bottom"/>
            <w:tcBorders>
              <w:bottom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9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90,800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Officers and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officers and employees to the fullest extent permitted by the Nevada Revised Statutes (NRS).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May 2011, we have made the following sales of unregistered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 2014 Unit Private Placement</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April 30, 2014, we entered into securities purchase agreements with accredited investors pursuant to which we sold to such accredited investors units (“</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consisting, in aggregate, of: (i) 10% convertible notes maturing on March 31, 2015 in the aggregate face amount of $500,000; (ii) an aggregate of 500,000 shares of our restricted common stock; and (iii) warrants exercisable through December 31, 2016 to purchase an aggregate of 500,000 restricted shares of our common stock at an exercise price of $0.50 per share. We received cash proceeds of $500,000 from the sale of the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License Settlement</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we issued to Icahn School of Medicine at Mount Sinai, the licensor of one of our technology licenses, (i) a 10% promissory note maturing on December 31, 2014 in the face amount of $300,000; (ii) 300,000 shares of our restricted common stock; and (iii) a warrant exercisable through March 31, 2019 to purchase an aggregate of 300,000 restricted shares of our common stock at an exercise price of $0.50 per share, in settlement of $288,400 of outstanding license fees and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Winter 2013/2014 Unit Private Placement: August 2013 – March 2014</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in the aggregate face amount of $1,007,500; (ii) an aggregate of 2,015,000 shares of our restricted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 June and October 2013</w:t>
      </w:r>
    </w:p>
    <w:p>
      <w:pPr>
        <w:spacing w:after="0" w:line="2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 June 2013 and October 2013, our Chief Executive Officer partially exercised a previously-outstanding warrant to purchase an aggregate of 60,000 shares of our restricted common stock at an exercise price of $0.64 per share and we received proceeds of $38,400 from his exercise.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Exercise of Warrants: June – July 2013</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June 2013, we offered certain accredited long-term warrant holders the opportunity to exercise outstanding warrants having an exercise price of $1.50 per share to purchase shares of our restricted common stock at a reduced exercise price of $0.50 per share. Through the closing of the offering in mid-July 2013, warrant holders exercised modified warrants to purchase an aggregate of 528,370 restricted shares of our common stock and we received cash proceeds of $264,185. In addition, certain accredited long-term warrant holders exercised modified warrants to purchase 16,646 shares of our restricted common stock in lieu of payment by us in satisfaction of amounts due for professional services in the aggregate amount of $8,323.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Autilion Financing: June 2013</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2013, we entered into a Securities Purchase Agreement (the “</w:t>
      </w:r>
      <w:r>
        <w:rPr>
          <w:rFonts w:ascii="Times New Roman" w:cs="Times New Roman" w:eastAsia="Times New Roman" w:hAnsi="Times New Roman"/>
          <w:sz w:val="18"/>
          <w:szCs w:val="18"/>
          <w:i w:val="1"/>
          <w:iCs w:val="1"/>
          <w:color w:val="auto"/>
        </w:rPr>
        <w:t>Autilion Agreement</w:t>
      </w:r>
      <w:r>
        <w:rPr>
          <w:rFonts w:ascii="Times New Roman" w:cs="Times New Roman" w:eastAsia="Times New Roman" w:hAnsi="Times New Roman"/>
          <w:sz w:val="18"/>
          <w:szCs w:val="18"/>
          <w:color w:val="auto"/>
        </w:rPr>
        <w:t>”) pursuant to which, as amended, we have agreed to sell, and Autilion AG, a company organized and existing under the laws of Switzerland (“</w:t>
      </w:r>
      <w:r>
        <w:rPr>
          <w:rFonts w:ascii="Times New Roman" w:cs="Times New Roman" w:eastAsia="Times New Roman" w:hAnsi="Times New Roman"/>
          <w:sz w:val="18"/>
          <w:szCs w:val="18"/>
          <w:i w:val="1"/>
          <w:iCs w:val="1"/>
          <w:color w:val="auto"/>
        </w:rPr>
        <w:t>Autilion</w:t>
      </w:r>
      <w:r>
        <w:rPr>
          <w:rFonts w:ascii="Times New Roman" w:cs="Times New Roman" w:eastAsia="Times New Roman" w:hAnsi="Times New Roman"/>
          <w:sz w:val="18"/>
          <w:szCs w:val="18"/>
          <w:color w:val="auto"/>
        </w:rPr>
        <w:t>”), has agreed to purchase, 72.0 million restricted shares of our common stock for $0.50 per share resulting in aggregate gross proceeds to us of $36.0 million (the “</w:t>
      </w:r>
      <w:r>
        <w:rPr>
          <w:rFonts w:ascii="Times New Roman" w:cs="Times New Roman" w:eastAsia="Times New Roman" w:hAnsi="Times New Roman"/>
          <w:sz w:val="18"/>
          <w:szCs w:val="18"/>
          <w:i w:val="1"/>
          <w:iCs w:val="1"/>
          <w:color w:val="auto"/>
        </w:rPr>
        <w:t>Autilion Financing</w:t>
      </w:r>
      <w:r>
        <w:rPr>
          <w:rFonts w:ascii="Times New Roman" w:cs="Times New Roman" w:eastAsia="Times New Roman" w:hAnsi="Times New Roman"/>
          <w:sz w:val="18"/>
          <w:szCs w:val="18"/>
          <w:color w:val="auto"/>
        </w:rPr>
        <w:t>”). Through the date of this prospectus, we have completed only a nominal initial closing of the Autilion Financing in which we have issued 50,000 restricted shares of our common stock and received $25,000 in cash proceeds.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Convertible Promissory Notes Issued to Platinum: July 2012 – July 2013</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 2012 and on August 31, 2012, we issued to Platinum Long Term Growth Fund VII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senior secured convertible promissory notes in the principal amount of $500,000 (the “</w:t>
      </w:r>
      <w:r>
        <w:rPr>
          <w:rFonts w:ascii="Times New Roman" w:cs="Times New Roman" w:eastAsia="Times New Roman" w:hAnsi="Times New Roman"/>
          <w:sz w:val="18"/>
          <w:szCs w:val="18"/>
          <w:i w:val="1"/>
          <w:iCs w:val="1"/>
          <w:color w:val="auto"/>
        </w:rPr>
        <w:t>July 2012 Platinum Note</w:t>
      </w:r>
      <w:r>
        <w:rPr>
          <w:rFonts w:ascii="Times New Roman" w:cs="Times New Roman" w:eastAsia="Times New Roman" w:hAnsi="Times New Roman"/>
          <w:sz w:val="18"/>
          <w:szCs w:val="18"/>
          <w:color w:val="auto"/>
        </w:rPr>
        <w:t>”) and $750,000 (the “</w:t>
      </w:r>
      <w:r>
        <w:rPr>
          <w:rFonts w:ascii="Times New Roman" w:cs="Times New Roman" w:eastAsia="Times New Roman" w:hAnsi="Times New Roman"/>
          <w:sz w:val="18"/>
          <w:szCs w:val="18"/>
          <w:i w:val="1"/>
          <w:iCs w:val="1"/>
          <w:color w:val="auto"/>
        </w:rPr>
        <w:t>August 2012 Platinum Note</w:t>
      </w:r>
      <w:r>
        <w:rPr>
          <w:rFonts w:ascii="Times New Roman" w:cs="Times New Roman" w:eastAsia="Times New Roman" w:hAnsi="Times New Roman"/>
          <w:sz w:val="18"/>
          <w:szCs w:val="18"/>
          <w:color w:val="auto"/>
        </w:rPr>
        <w:t>”), respectively. The July 2012 Platinum Note and the August 2012 Platinum Note each accrued interest at the rate of 10% per annum and were due and payable on July 2, 2015.</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11, 2012, we entered into a Note Exchange and Purchase Agreement with Platinum (the “</w:t>
      </w:r>
      <w:r>
        <w:rPr>
          <w:rFonts w:ascii="Times New Roman" w:cs="Times New Roman" w:eastAsia="Times New Roman" w:hAnsi="Times New Roman"/>
          <w:sz w:val="18"/>
          <w:szCs w:val="18"/>
          <w:i w:val="1"/>
          <w:iCs w:val="1"/>
          <w:color w:val="auto"/>
        </w:rPr>
        <w:t>October 2012 Agreement</w:t>
      </w:r>
      <w:r>
        <w:rPr>
          <w:rFonts w:ascii="Times New Roman" w:cs="Times New Roman" w:eastAsia="Times New Roman" w:hAnsi="Times New Roman"/>
          <w:sz w:val="18"/>
          <w:szCs w:val="18"/>
          <w:color w:val="auto"/>
        </w:rPr>
        <w:t>”) in which the July 2012 Platinum Note and the August 2012 Platinum Note (together, the “</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as well as the related accrued interest, were consolidated into and exchanged for a single senior secured convertible note in the amount of $1,272,600 (the “</w:t>
      </w:r>
      <w:r>
        <w:rPr>
          <w:rFonts w:ascii="Times New Roman" w:cs="Times New Roman" w:eastAsia="Times New Roman" w:hAnsi="Times New Roman"/>
          <w:sz w:val="18"/>
          <w:szCs w:val="18"/>
          <w:i w:val="1"/>
          <w:iCs w:val="1"/>
          <w:color w:val="auto"/>
        </w:rPr>
        <w:t>Exchange Note</w:t>
      </w:r>
      <w:r>
        <w:rPr>
          <w:rFonts w:ascii="Times New Roman" w:cs="Times New Roman" w:eastAsia="Times New Roman" w:hAnsi="Times New Roman"/>
          <w:sz w:val="18"/>
          <w:szCs w:val="18"/>
          <w:color w:val="auto"/>
        </w:rPr>
        <w:t>”) and Platinum agreed to purchase four additional 10% senior secured convertible promissory notes in the aggregate principal amount of $2.0 million ( the “</w:t>
      </w:r>
      <w:r>
        <w:rPr>
          <w:rFonts w:ascii="Times New Roman" w:cs="Times New Roman" w:eastAsia="Times New Roman" w:hAnsi="Times New Roman"/>
          <w:sz w:val="18"/>
          <w:szCs w:val="18"/>
          <w:i w:val="1"/>
          <w:iCs w:val="1"/>
          <w:color w:val="auto"/>
        </w:rPr>
        <w:t>Investment Notes</w:t>
      </w:r>
      <w:r>
        <w:rPr>
          <w:rFonts w:ascii="Times New Roman" w:cs="Times New Roman" w:eastAsia="Times New Roman" w:hAnsi="Times New Roman"/>
          <w:sz w:val="18"/>
          <w:szCs w:val="18"/>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November 14, 2012 and January 31, 2013, we entered into amendments to the October 2012 Agreement (the “</w:t>
      </w:r>
      <w:r>
        <w:rPr>
          <w:rFonts w:ascii="Times New Roman" w:cs="Times New Roman" w:eastAsia="Times New Roman" w:hAnsi="Times New Roman"/>
          <w:sz w:val="17"/>
          <w:szCs w:val="17"/>
          <w:i w:val="1"/>
          <w:iCs w:val="1"/>
          <w:color w:val="auto"/>
        </w:rPr>
        <w:t>NEPA Amendments</w:t>
      </w:r>
      <w:r>
        <w:rPr>
          <w:rFonts w:ascii="Times New Roman" w:cs="Times New Roman" w:eastAsia="Times New Roman" w:hAnsi="Times New Roman"/>
          <w:sz w:val="17"/>
          <w:szCs w:val="17"/>
          <w:color w:val="auto"/>
        </w:rPr>
        <w:t xml:space="preserve">”) with Platinum, pursuant to which the final two $500,000 tranches contemplated by the October 2012 Agreement were combined into a single Investment Note in the aggregate principal amount of $1.0 million (the </w:t>
      </w:r>
      <w:r>
        <w:rPr>
          <w:rFonts w:ascii="Times New Roman" w:cs="Times New Roman" w:eastAsia="Times New Roman" w:hAnsi="Times New Roman"/>
          <w:sz w:val="17"/>
          <w:szCs w:val="17"/>
          <w:i w:val="1"/>
          <w:iCs w:val="1"/>
          <w:color w:val="auto"/>
        </w:rPr>
        <w:t>“$1.0 Million Note</w:t>
      </w:r>
      <w:r>
        <w:rPr>
          <w:rFonts w:ascii="Times New Roman" w:cs="Times New Roman" w:eastAsia="Times New Roman" w:hAnsi="Times New Roman"/>
          <w:sz w:val="17"/>
          <w:szCs w:val="17"/>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(the “</w:t>
      </w:r>
      <w:r>
        <w:rPr>
          <w:rFonts w:ascii="Times New Roman" w:cs="Times New Roman" w:eastAsia="Times New Roman" w:hAnsi="Times New Roman"/>
          <w:sz w:val="17"/>
          <w:szCs w:val="17"/>
          <w:i w:val="1"/>
          <w:iCs w:val="1"/>
          <w:color w:val="auto"/>
        </w:rPr>
        <w:t>Additional Financing Requirement</w:t>
      </w:r>
      <w:r>
        <w:rPr>
          <w:rFonts w:ascii="Times New Roman" w:cs="Times New Roman" w:eastAsia="Times New Roman" w:hAnsi="Times New Roman"/>
          <w:sz w:val="17"/>
          <w:szCs w:val="17"/>
          <w:color w:val="auto"/>
        </w:rPr>
        <w:t>”). We satisfied the Additional Financing Requirement on February 12, 2013 (see 2012 Private Placement of Units, below). Effective February 22, 2013, we entered into an additional amendment to the October 2012 Agreement 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Exchange Note and each Investment Note (together,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accrue interest at a rate of 10% per annum and, subject to certain limitations and exceptions set forth in the Notes, unless converted earlier and voluntarily by Platinum, will be due and payable in restricted shares of our common stock on October 11, 2015, or three years from the date of issuance, as determined by the terms of the respective Investment Notes. At maturity, we will pay all principal and accrued interest under the Notes through the issuance of restricted shares of our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our common stock at a conversion price of $0.50 per share, subject to certain adjustments.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additional consideration for the purchase of the Investment Notes, we issued to Platinum warrants to purchase an aggregate of 2,000,000 shares of our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cs="Times New Roman" w:eastAsia="Times New Roman" w:hAnsi="Times New Roman"/>
          <w:sz w:val="18"/>
          <w:szCs w:val="18"/>
          <w:i w:val="1"/>
          <w:iCs w:val="1"/>
          <w:color w:val="auto"/>
        </w:rPr>
        <w:t>Investment Warrant</w:t>
      </w:r>
      <w:r>
        <w:rPr>
          <w:rFonts w:ascii="Times New Roman" w:cs="Times New Roman" w:eastAsia="Times New Roman" w:hAnsi="Times New Roman"/>
          <w:sz w:val="18"/>
          <w:szCs w:val="18"/>
          <w:color w:val="auto"/>
        </w:rPr>
        <w:t>”). In addition, we issued Platinum a warrant to purchase 1,272,577 shares of our common stock in connection with the issuance of the Exchange Note (the “</w:t>
      </w:r>
      <w:r>
        <w:rPr>
          <w:rFonts w:ascii="Times New Roman" w:cs="Times New Roman" w:eastAsia="Times New Roman" w:hAnsi="Times New Roman"/>
          <w:sz w:val="18"/>
          <w:szCs w:val="18"/>
          <w:i w:val="1"/>
          <w:iCs w:val="1"/>
          <w:color w:val="auto"/>
        </w:rPr>
        <w:t>Exchange Warrant</w:t>
      </w:r>
      <w:r>
        <w:rPr>
          <w:rFonts w:ascii="Times New Roman" w:cs="Times New Roman" w:eastAsia="Times New Roman" w:hAnsi="Times New Roman"/>
          <w:sz w:val="18"/>
          <w:szCs w:val="18"/>
          <w:color w:val="auto"/>
        </w:rPr>
        <w:t>”). At issuance, the Platinum Exchange Warrant and each Investment Warrant had a term of five years and an exercise price of $1.50 per share, subject to certain adjustments. We have subsequently reduced the exercise price of the Exchange and Investment Warrants to $0.50 per share.</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July 26, 2013, we issued an additional senior secured convertible promissory note in the principal amount of $250,000 to Platinum (the “</w:t>
      </w:r>
      <w:r>
        <w:rPr>
          <w:rFonts w:ascii="Times New Roman" w:cs="Times New Roman" w:eastAsia="Times New Roman" w:hAnsi="Times New Roman"/>
          <w:sz w:val="17"/>
          <w:szCs w:val="17"/>
          <w:i w:val="1"/>
          <w:iCs w:val="1"/>
          <w:color w:val="auto"/>
        </w:rPr>
        <w:t>July 2013 Note</w:t>
      </w:r>
      <w:r>
        <w:rPr>
          <w:rFonts w:ascii="Times New Roman" w:cs="Times New Roman" w:eastAsia="Times New Roman" w:hAnsi="Times New Roman"/>
          <w:sz w:val="17"/>
          <w:szCs w:val="17"/>
          <w:color w:val="auto"/>
        </w:rPr>
        <w:t>”).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Prior to maturity, the outstanding principal and any accrued interest on the July 2013 Note is convertible, in whole or in part, at Platinum’s option into shares of the Company’s restricted common stock at a conversion price of $0.50 per share, subject to certain adjustments. As additional consideration for the purchase of the July 2013 Note, we issued to Platinum a five-year warrant to purchase 250,000 restricted shares of our common stock at an exercise price of $0.50 per share (the “</w:t>
      </w:r>
      <w:r>
        <w:rPr>
          <w:rFonts w:ascii="Times New Roman" w:cs="Times New Roman" w:eastAsia="Times New Roman" w:hAnsi="Times New Roman"/>
          <w:sz w:val="17"/>
          <w:szCs w:val="17"/>
          <w:i w:val="1"/>
          <w:iCs w:val="1"/>
          <w:color w:val="auto"/>
        </w:rPr>
        <w:t>July 2013 Warrant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Private Placement of Units: September 2012 – March 2013</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Between September 2012 and March 2013, we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our common stock and a five year warrant to purchase one half of one restricted share of our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above, entitling us to sell and requiring Platinum to purchase senior secured convertible promissory notes in the aggregate face amount of $1.0 million in February and March 2013.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Convertible Notes and Warrants: February 2012</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28, 2012, we consummated a private placement of convertible promissory notes to accredited investors in the aggregate principal amount of $500,000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Each Note accrued interest at the rate of 12% per annum to be paid in kind quarterly, and was scheduled to mature on the earlier to occur of twenty-four months from the date of issuance or consummation of an equity, equity-based or series of equity-based financings resulting in gross proceeds to us of at least $4.0 million (a “</w:t>
      </w:r>
      <w:r>
        <w:rPr>
          <w:rFonts w:ascii="Times New Roman" w:cs="Times New Roman" w:eastAsia="Times New Roman" w:hAnsi="Times New Roman"/>
          <w:sz w:val="18"/>
          <w:szCs w:val="18"/>
          <w:i w:val="1"/>
          <w:iCs w:val="1"/>
          <w:color w:val="auto"/>
        </w:rPr>
        <w:t>Qualified Financing</w:t>
      </w:r>
      <w:r>
        <w:rPr>
          <w:rFonts w:ascii="Times New Roman" w:cs="Times New Roman" w:eastAsia="Times New Roman" w:hAnsi="Times New Roman"/>
          <w:sz w:val="18"/>
          <w:szCs w:val="18"/>
          <w:color w:val="auto"/>
        </w:rPr>
        <w:t>”). The holder of each Note could voluntarily convert the outstanding principal amount of the Notes, together with all accrued and unpaid interest thereon (“</w:t>
      </w:r>
      <w:r>
        <w:rPr>
          <w:rFonts w:ascii="Times New Roman" w:cs="Times New Roman" w:eastAsia="Times New Roman" w:hAnsi="Times New Roman"/>
          <w:sz w:val="18"/>
          <w:szCs w:val="18"/>
          <w:i w:val="1"/>
          <w:iCs w:val="1"/>
          <w:color w:val="auto"/>
        </w:rPr>
        <w:t>Outstanding Balance</w:t>
      </w:r>
      <w:r>
        <w:rPr>
          <w:rFonts w:ascii="Times New Roman" w:cs="Times New Roman" w:eastAsia="Times New Roman" w:hAnsi="Times New Roman"/>
          <w:sz w:val="18"/>
          <w:szCs w:val="18"/>
          <w:color w:val="auto"/>
        </w:rPr>
        <w:t>”) into that number of shares of our common stock equal to the Outstanding Balance, divided by $3.00 (the "</w:t>
      </w:r>
      <w:r>
        <w:rPr>
          <w:rFonts w:ascii="Times New Roman" w:cs="Times New Roman" w:eastAsia="Times New Roman" w:hAnsi="Times New Roman"/>
          <w:sz w:val="18"/>
          <w:szCs w:val="18"/>
          <w:i w:val="1"/>
          <w:iCs w:val="1"/>
          <w:color w:val="auto"/>
        </w:rPr>
        <w:t>Conversion Shares</w:t>
      </w:r>
      <w:r>
        <w:rPr>
          <w:rFonts w:ascii="Times New Roman" w:cs="Times New Roman" w:eastAsia="Times New Roman" w:hAnsi="Times New Roman"/>
          <w:sz w:val="18"/>
          <w:szCs w:val="18"/>
          <w:color w:val="auto"/>
        </w:rPr>
        <w:t>"). In addition, in the event we consummated a Qualified Financing in which the price per unit of the securities sold, or share of common stock issuable in connection with such Qualified Financing, was at least $2.00, the Outstanding Balance would automatically convert into such securities.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issued to the purchaser of each Note a warrant to purchase, for $2.75 per share, that number of shares of our common stock equal to 150% of the total principal amount of the Notes purchased by such purchaser, divided by $2.75, resulting in the potential issuance of an aggregate of 272,724 shares of our common stock upon exercise of the warrants. The warrants terminate, if not exercised, five years from the date of issuance.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Noble Financial Capital Markets served as the lead placement agent for us in connection with the Note Offering and received cash fees totaling $21,000.</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15, 2012, the holders of the February 2012 Notes entered into an Exchange Agreement with us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Under the terms of the Exchange Agreement, the current amount due under the terms of the February 2012 Notes, $678,600, which amount included all accrued interest as well as additional consideration for the conversion, was exchanged for a total of 1,357,281 restricted shares of our common stock and five-year warrants to purchase 678,641 restricted shares of our common stock at an exercise price of $1.50 per share (the “</w:t>
      </w:r>
      <w:r>
        <w:rPr>
          <w:rFonts w:ascii="Times New Roman" w:cs="Times New Roman" w:eastAsia="Times New Roman" w:hAnsi="Times New Roman"/>
          <w:sz w:val="18"/>
          <w:szCs w:val="18"/>
          <w:i w:val="1"/>
          <w:iCs w:val="1"/>
          <w:color w:val="auto"/>
        </w:rPr>
        <w:t>Note Exchange Securities</w:t>
      </w:r>
      <w:r>
        <w:rPr>
          <w:rFonts w:ascii="Times New Roman" w:cs="Times New Roman" w:eastAsia="Times New Roman" w:hAnsi="Times New Roman"/>
          <w:sz w:val="18"/>
          <w:szCs w:val="18"/>
          <w:color w:val="auto"/>
        </w:rPr>
        <w:t>”). Additionally, we issued a five-year warrant to purchase 72,000 restricted shares of our common stock at an exercise price of $1.50 per share as partial compensation to Noble Financial Capital Markets, the investment bank that had placed certain of the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2011 Private Placement</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October 2011, we completed an additional private placement of Units to accredited investors. Each Unit was priced at $1.75 and consisted of one share of our common stock and a three-year warrant to purchase one-fourth of one share of our common stock at an exercise price of $2.50 per share. We sold a total of 63,570 Units and received aggregate cash proceeds of $111,248.</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Discounted Warrant Exercise Program: October – December 2011</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quarter ended December 31, 2011, certain accredited investors who were holders of outstanding warrants exercised such warrants to purchase an aggregate of 3,121,259 shares of our common stock at reduced exercise prices, including warrants to purchase 1,599,858 shares of common stock exercised by Platinum under the terms of the Note and Warrant Exchange Agreement, as described in Note 8 to our audited Financial Statements presented elsewhere in this prospectus. Platinum exercised warrants at reduced prices ranging from $0.75 per share to $1.25 per share, compared to original exercise prices ranging from $1.50 per share to $2.50 per share, resulting in proceeds to us of $1,719,823 which we applied to reduce the outstanding balance of the Platinum Note and accrued interest under the terms of the Note and Exchange Agreement.</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investors and service providers exercised warrants to purchase an aggregate of 1,028,860 shares of our common stock at reduced exercise prices ranging from $0.75 per share to $1.31 per share, compared to original exercise prices ranging from $1.50 per share to $2.625 per share. In conjunction with these exercises, we:</w:t>
      </w:r>
    </w:p>
    <w:p>
      <w:pPr>
        <w:spacing w:after="0" w:line="202" w:lineRule="exact"/>
        <w:rPr>
          <w:sz w:val="20"/>
          <w:szCs w:val="20"/>
          <w:color w:val="auto"/>
        </w:rPr>
      </w:pPr>
    </w:p>
    <w:p>
      <w:pPr>
        <w:ind w:left="800" w:hanging="418"/>
        <w:spacing w:after="0"/>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965,734 shares of our common stock and received cash proceeds of $1,106,129;</w:t>
      </w:r>
    </w:p>
    <w:p>
      <w:pPr>
        <w:spacing w:after="0" w:line="217" w:lineRule="exact"/>
        <w:rPr>
          <w:rFonts w:ascii="Times New Roman" w:cs="Times New Roman" w:eastAsia="Times New Roman" w:hAnsi="Times New Roman"/>
          <w:sz w:val="18"/>
          <w:szCs w:val="18"/>
          <w:color w:val="auto"/>
        </w:rPr>
      </w:pPr>
    </w:p>
    <w:p>
      <w:pPr>
        <w:ind w:left="800" w:hanging="418"/>
        <w:spacing w:after="0" w:line="274"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29,426 shares of our common stock to warrant holders who elected to exercise their warrants in lieu of payment by us in satisfaction of outstanding indebtedness to such holders totaling an aggregate of $30,128; and</w:t>
      </w:r>
    </w:p>
    <w:p>
      <w:pPr>
        <w:spacing w:after="0" w:line="163" w:lineRule="exact"/>
        <w:rPr>
          <w:rFonts w:ascii="Times New Roman" w:cs="Times New Roman" w:eastAsia="Times New Roman" w:hAnsi="Times New Roman"/>
          <w:sz w:val="18"/>
          <w:szCs w:val="18"/>
          <w:color w:val="auto"/>
        </w:rPr>
      </w:pPr>
    </w:p>
    <w:p>
      <w:pPr>
        <w:ind w:left="800" w:hanging="418"/>
        <w:spacing w:after="0" w:line="274"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33,700 shares of our common stock to warrant holders who elected to exercise their warrants in lieu of payment by us in satisfaction of payment for services in the aggregate amount of $41,343 to be performed in the future by such holders.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in December 2011, we entered into an Agreement Regarding Payment of Invoices and Warrant Exercises with 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and certain individual warrant holders affiliated with CHC and CRL (collectively, “</w:t>
      </w:r>
      <w:r>
        <w:rPr>
          <w:rFonts w:ascii="Times New Roman" w:cs="Times New Roman" w:eastAsia="Times New Roman" w:hAnsi="Times New Roman"/>
          <w:sz w:val="18"/>
          <w:szCs w:val="18"/>
          <w:i w:val="1"/>
          <w:iCs w:val="1"/>
          <w:color w:val="auto"/>
        </w:rPr>
        <w:t>CHC Affiliates</w:t>
      </w:r>
      <w:r>
        <w:rPr>
          <w:rFonts w:ascii="Times New Roman" w:cs="Times New Roman" w:eastAsia="Times New Roman" w:hAnsi="Times New Roman"/>
          <w:sz w:val="18"/>
          <w:szCs w:val="18"/>
          <w:color w:val="auto"/>
        </w:rPr>
        <w:t>”) under the terms of which CHC and the CHC Affiliates exercised warrants to purchase an aggregate of 492,541 shares of our common stock at reduced exercise prices ranging from $0.88 per share to $1.25 per share, compared to original exercise prices ranging from $1.75 per share to $2.50 per share. As a result of these warrant exercises, we received cash proceeds of $60,207 in connection with the exercise of warrants to purchase 68,417 shares and, in lieu of cash payments for the remainder of the warrants to purchase 424,124 shares, CHC and CRL agreed to the satisfaction of outstanding indebtedness to CRL in the amount of $245,278 and pre-payment for future services in the amount of $226,449.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2011 Common Stock Exchange Agreement with Platinum</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2011, we entered into a Common Stock Exchange Agreement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with Platinum, pursuant to which Platinum converted 484,000 restricted shares of our common stock into 45,980 restricted shares of our then newly created Series A Preferred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Each restricted share of Series A Preferred issued to Platinum was then convertible into ten restricted shares of our common stock, subsequently modified to be convertible into thirty (30) shares of our common stock. In consideration for the Exchange, the Series A Preferred received by Platinum in connection with the Exchange was convertible into the equivalent of 0.95 restricted shares of common stock surrendered in connection with the Exchange.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2011 Note and Warrant Exchange Agreement with Platinum</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29, 2011, we entered into a Note and Warrant Exchange Agreement with Platinum pursuant to which the May 2011 Platinum Note and all outstanding warrants issued to Platinum to purchase an aggregate of 1,599,858 restricted shares of our common stock were cancelled in exchange for 391,075 restricted shares of our newly-created Series A Preferred . Each share of Series A Preferred was initially convertible into ten shares of our common stock. We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We issued an additional 159,985 restricted shares of Series A Preferred to Platinum in connection with the warrant exercise and exchange to acquire the common shares issued upon the warrant exercise.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Exchange Agreement with Platinum</w:t>
      </w:r>
    </w:p>
    <w:p>
      <w:pPr>
        <w:spacing w:after="0" w:line="2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June 29, 2012, we entered into an Exchange Agreement with Platinum (the “</w:t>
      </w:r>
      <w:r>
        <w:rPr>
          <w:rFonts w:ascii="Times New Roman" w:cs="Times New Roman" w:eastAsia="Times New Roman" w:hAnsi="Times New Roman"/>
          <w:sz w:val="17"/>
          <w:szCs w:val="17"/>
          <w:i w:val="1"/>
          <w:iCs w:val="1"/>
          <w:color w:val="auto"/>
        </w:rPr>
        <w:t>2012 Platinum Exchange Agreement</w:t>
      </w:r>
      <w:r>
        <w:rPr>
          <w:rFonts w:ascii="Times New Roman" w:cs="Times New Roman" w:eastAsia="Times New Roman" w:hAnsi="Times New Roman"/>
          <w:sz w:val="17"/>
          <w:szCs w:val="17"/>
          <w:color w:val="auto"/>
        </w:rPr>
        <w:t>”) pursuant to which we agreed to issue Platinum 62,945 restricted shares of Series A Preferred in exchange for 629,450 restricted shares of common stock then owned by Platinum, in consideration for Platinum’s agreement to purchase from us the July 2012 Platinum Note, as described above in the section entitled “</w:t>
      </w:r>
      <w:r>
        <w:rPr>
          <w:rFonts w:ascii="Times New Roman" w:cs="Times New Roman" w:eastAsia="Times New Roman" w:hAnsi="Times New Roman"/>
          <w:sz w:val="17"/>
          <w:szCs w:val="17"/>
          <w:i w:val="1"/>
          <w:iCs w:val="1"/>
          <w:color w:val="auto"/>
        </w:rPr>
        <w:t>Senior Secured Convertible Promissory 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Issued to Platinum: July 2012 – July 2013. </w:t>
      </w:r>
      <w:r>
        <w:rPr>
          <w:rFonts w:ascii="Times New Roman" w:cs="Times New Roman" w:eastAsia="Times New Roman" w:hAnsi="Times New Roman"/>
          <w:sz w:val="17"/>
          <w:szCs w:val="17"/>
          <w:color w:val="auto"/>
        </w:rPr>
        <w:t>Under the terms of the 2012 Platinum Exchange Agreement, Platinum, at its option, could have exchanged all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portion of its Series A Preferred for the securities issued in connection with a qualified financing, an equity or equity-based financing, or series of financing transactions resulting in gross proceeds to the Company of at least $3.0 million, based on the stated value of $15.00 per share of Series A Preferred.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Morrison &amp; Foerster: May 2011, restructured August 2012</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5, 2011, we amended a previously-outstanding note (“</w:t>
      </w:r>
      <w:r>
        <w:rPr>
          <w:rFonts w:ascii="Times New Roman" w:cs="Times New Roman" w:eastAsia="Times New Roman" w:hAnsi="Times New Roman"/>
          <w:sz w:val="18"/>
          <w:szCs w:val="18"/>
          <w:i w:val="1"/>
          <w:iCs w:val="1"/>
          <w:color w:val="auto"/>
        </w:rPr>
        <w:t>Original Note</w:t>
      </w:r>
      <w:r>
        <w:rPr>
          <w:rFonts w:ascii="Times New Roman" w:cs="Times New Roman" w:eastAsia="Times New Roman" w:hAnsi="Times New Roman"/>
          <w:sz w:val="18"/>
          <w:szCs w:val="18"/>
          <w:color w:val="auto"/>
        </w:rPr>
        <w:t>”) issued to Morrison &amp; Foerster LLP (“</w:t>
      </w:r>
      <w:r>
        <w:rPr>
          <w:rFonts w:ascii="Times New Roman" w:cs="Times New Roman" w:eastAsia="Times New Roman" w:hAnsi="Times New Roman"/>
          <w:sz w:val="18"/>
          <w:szCs w:val="18"/>
          <w:i w:val="1"/>
          <w:iCs w:val="1"/>
          <w:color w:val="auto"/>
        </w:rPr>
        <w:t>Morrison &amp; Foerster</w:t>
      </w:r>
      <w:r>
        <w:rPr>
          <w:rFonts w:ascii="Times New Roman" w:cs="Times New Roman" w:eastAsia="Times New Roman" w:hAnsi="Times New Roman"/>
          <w:sz w:val="18"/>
          <w:szCs w:val="18"/>
          <w:color w:val="auto"/>
        </w:rPr>
        <w:t>”), our intellectual property counsel, that we had issued in payment of legal services (the “</w:t>
      </w:r>
      <w:r>
        <w:rPr>
          <w:rFonts w:ascii="Times New Roman" w:cs="Times New Roman" w:eastAsia="Times New Roman" w:hAnsi="Times New Roman"/>
          <w:sz w:val="18"/>
          <w:szCs w:val="18"/>
          <w:i w:val="1"/>
          <w:iCs w:val="1"/>
          <w:color w:val="auto"/>
        </w:rPr>
        <w:t>Amended Note</w:t>
      </w:r>
      <w:r>
        <w:rPr>
          <w:rFonts w:ascii="Times New Roman" w:cs="Times New Roman" w:eastAsia="Times New Roman" w:hAnsi="Times New Roman"/>
          <w:sz w:val="18"/>
          <w:szCs w:val="18"/>
          <w:color w:val="auto"/>
        </w:rPr>
        <w:t>”)). Under the Amended Note, the principal balance of the Original Note was increased to $2,200,000, interest accrued at the rate of 7.5% per annum, and we were required to make an additional payment of $100,000 within three business days of the date of the Amended Note, which we made in a timely manner.</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August 31, 2012, we restructured the Amended Note (“</w:t>
      </w:r>
      <w:r>
        <w:rPr>
          <w:rFonts w:ascii="Times New Roman" w:cs="Times New Roman" w:eastAsia="Times New Roman" w:hAnsi="Times New Roman"/>
          <w:sz w:val="17"/>
          <w:szCs w:val="17"/>
          <w:i w:val="1"/>
          <w:iCs w:val="1"/>
          <w:color w:val="auto"/>
        </w:rPr>
        <w:t>Restructuring Agreement</w:t>
      </w:r>
      <w:r>
        <w:rPr>
          <w:rFonts w:ascii="Times New Roman" w:cs="Times New Roman" w:eastAsia="Times New Roman" w:hAnsi="Times New Roman"/>
          <w:sz w:val="17"/>
          <w:szCs w:val="17"/>
          <w:color w:val="auto"/>
        </w:rPr>
        <w:t>”). Pursuant to the Restructuring Agreement, we issued to Morrison &amp; Foerster two new unsecured promissory notes to replace the Amended Note, one in the principal amount of $1,000,000 (“</w:t>
      </w:r>
      <w:r>
        <w:rPr>
          <w:rFonts w:ascii="Times New Roman" w:cs="Times New Roman" w:eastAsia="Times New Roman" w:hAnsi="Times New Roman"/>
          <w:sz w:val="17"/>
          <w:szCs w:val="17"/>
          <w:i w:val="1"/>
          <w:iCs w:val="1"/>
          <w:color w:val="auto"/>
        </w:rPr>
        <w:t>Replacement Note A</w:t>
      </w:r>
      <w:r>
        <w:rPr>
          <w:rFonts w:ascii="Times New Roman" w:cs="Times New Roman" w:eastAsia="Times New Roman" w:hAnsi="Times New Roman"/>
          <w:sz w:val="17"/>
          <w:szCs w:val="17"/>
          <w:color w:val="auto"/>
        </w:rPr>
        <w:t>”) and the other in the principal amount of $1,379,400 (“</w:t>
      </w:r>
      <w:r>
        <w:rPr>
          <w:rFonts w:ascii="Times New Roman" w:cs="Times New Roman" w:eastAsia="Times New Roman" w:hAnsi="Times New Roman"/>
          <w:sz w:val="17"/>
          <w:szCs w:val="17"/>
          <w:i w:val="1"/>
          <w:iCs w:val="1"/>
          <w:color w:val="auto"/>
        </w:rPr>
        <w:t>Replacement Note B</w:t>
      </w:r>
      <w:r>
        <w:rPr>
          <w:rFonts w:ascii="Times New Roman" w:cs="Times New Roman" w:eastAsia="Times New Roman" w:hAnsi="Times New Roman"/>
          <w:sz w:val="17"/>
          <w:szCs w:val="17"/>
          <w:color w:val="auto"/>
        </w:rPr>
        <w:t>”) (together, the “</w:t>
      </w:r>
      <w:r>
        <w:rPr>
          <w:rFonts w:ascii="Times New Roman" w:cs="Times New Roman" w:eastAsia="Times New Roman" w:hAnsi="Times New Roman"/>
          <w:sz w:val="17"/>
          <w:szCs w:val="17"/>
          <w:i w:val="1"/>
          <w:iCs w:val="1"/>
          <w:color w:val="auto"/>
        </w:rPr>
        <w:t>Replacement Notes</w:t>
      </w:r>
      <w:r>
        <w:rPr>
          <w:rFonts w:ascii="Times New Roman" w:cs="Times New Roman" w:eastAsia="Times New Roman" w:hAnsi="Times New Roman"/>
          <w:sz w:val="17"/>
          <w:szCs w:val="17"/>
          <w:color w:val="auto"/>
        </w:rPr>
        <w:t>”); amended an outstanding warrant to purchase 425,000 restricted shares of our common stock (the “</w:t>
      </w:r>
      <w:r>
        <w:rPr>
          <w:rFonts w:ascii="Times New Roman" w:cs="Times New Roman" w:eastAsia="Times New Roman" w:hAnsi="Times New Roman"/>
          <w:sz w:val="17"/>
          <w:szCs w:val="17"/>
          <w:i w:val="1"/>
          <w:iCs w:val="1"/>
          <w:color w:val="auto"/>
        </w:rPr>
        <w:t>Amended M&amp;F Warrant”</w:t>
      </w:r>
      <w:r>
        <w:rPr>
          <w:rFonts w:ascii="Times New Roman" w:cs="Times New Roman" w:eastAsia="Times New Roman" w:hAnsi="Times New Roman"/>
          <w:sz w:val="17"/>
          <w:szCs w:val="17"/>
          <w:color w:val="auto"/>
        </w:rPr>
        <w:t>); and issued a new warrant to purchase 1,379,376 restricted shares of our common stock (“</w:t>
      </w:r>
      <w:r>
        <w:rPr>
          <w:rFonts w:ascii="Times New Roman" w:cs="Times New Roman" w:eastAsia="Times New Roman" w:hAnsi="Times New Roman"/>
          <w:sz w:val="17"/>
          <w:szCs w:val="17"/>
          <w:i w:val="1"/>
          <w:iCs w:val="1"/>
          <w:color w:val="auto"/>
        </w:rPr>
        <w:t>New M&amp;F Warrant</w:t>
      </w:r>
      <w:r>
        <w:rPr>
          <w:rFonts w:ascii="Times New Roman" w:cs="Times New Roman" w:eastAsia="Times New Roman" w:hAnsi="Times New Roman"/>
          <w:sz w:val="17"/>
          <w:szCs w:val="17"/>
          <w:color w:val="auto"/>
        </w:rPr>
        <w:t>”). Under the terms of the Restructuring Agreement, the Amended Note was cancelled and all of our past due payment obligations under the Amended Note were satisfied. We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we have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restricted shares of our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 As of the date of this prospectus, the aggregate principal and accrued interest of Replacement Note A and Replacement Note B is approximately $2.5 million.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University Health Network (UHN): October 2012</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October 10, 2012, we issued to UHN: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our Sponsored Research Collaboration Agreement through September 30, 2012 (the “</w:t>
      </w:r>
      <w:r>
        <w:rPr>
          <w:rFonts w:ascii="Times New Roman" w:cs="Times New Roman" w:eastAsia="Times New Roman" w:hAnsi="Times New Roman"/>
          <w:sz w:val="18"/>
          <w:szCs w:val="18"/>
          <w:i w:val="1"/>
          <w:iCs w:val="1"/>
          <w:color w:val="auto"/>
        </w:rPr>
        <w:t>UHN Note</w:t>
      </w:r>
      <w:r>
        <w:rPr>
          <w:rFonts w:ascii="Times New Roman" w:cs="Times New Roman" w:eastAsia="Times New Roman" w:hAnsi="Times New Roman"/>
          <w:sz w:val="18"/>
          <w:szCs w:val="18"/>
          <w:color w:val="auto"/>
        </w:rPr>
        <w:t>”), and (ii) a five-year warrant to purchase, at a price of $1.00 per share, 549,500 restricted shares of our common stock, the amount equal to the sum of the principal amount of the UHN Note, plus all accrued interest thereon, divided by $1.00 per share (the “</w:t>
      </w:r>
      <w:r>
        <w:rPr>
          <w:rFonts w:ascii="Times New Roman" w:cs="Times New Roman" w:eastAsia="Times New Roman" w:hAnsi="Times New Roman"/>
          <w:sz w:val="18"/>
          <w:szCs w:val="18"/>
          <w:i w:val="1"/>
          <w:iCs w:val="1"/>
          <w:color w:val="auto"/>
        </w:rPr>
        <w:t>UHN Warrant</w:t>
      </w:r>
      <w:r>
        <w:rPr>
          <w:rFonts w:ascii="Times New Roman" w:cs="Times New Roman" w:eastAsia="Times New Roman" w:hAnsi="Times New Roman"/>
          <w:sz w:val="18"/>
          <w:szCs w:val="18"/>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As of the date of this prospectus, the aggregate principal and accrued interest of the UHN Note is approximately $0.6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Cato Holding Company: April 2011, Restructured October 2012</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2011, all amounts we owed to CHC, a related party, and its affiliates, were consolidated into a single note, in the principal amount of $352,300 (the “</w:t>
      </w:r>
      <w:r>
        <w:rPr>
          <w:rFonts w:ascii="Times New Roman" w:cs="Times New Roman" w:eastAsia="Times New Roman" w:hAnsi="Times New Roman"/>
          <w:sz w:val="18"/>
          <w:szCs w:val="18"/>
          <w:i w:val="1"/>
          <w:iCs w:val="1"/>
          <w:color w:val="auto"/>
        </w:rPr>
        <w:t>2011 CHC Note</w:t>
      </w:r>
      <w:r>
        <w:rPr>
          <w:rFonts w:ascii="Times New Roman" w:cs="Times New Roman" w:eastAsia="Times New Roman" w:hAnsi="Times New Roman"/>
          <w:sz w:val="18"/>
          <w:szCs w:val="18"/>
          <w:color w:val="auto"/>
        </w:rPr>
        <w:t>”). Concurrently, CHC released all of its security interests in certain of our personal property. The 2011 CHC note was to bear interest at 7% per annum, compounded monthly. Under the terms of the note, we were to make six monthly payments of $10,000 each beginning June 1, 2011, and thereafter to make payments of $12,500 monthly until the 2011 CHC Note was repaid in full. We had the option to prepay the outstanding balance in full or in part at any time during its term without penalty.</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10, 2012, we agreed with CHC to cancel the 2011 CHC Note in exchange for a new unsecured promissory note in the principal amount of $310,400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and a five-year warrant to purchase 250,000 shares of our common stock at a price of $1.50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 The 2012 CHC Note accrues interest at a rate of 7.5% per annum and is due and payable in monthly installments of $10,000, beginning November 1, 2012 and continuing until the outstanding balance is paid in full. As of the date of this prospectus, the aggregate principal and accrued interest of the 2012 CHC Note is approximately $0.3 million.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Cato Research Ltd: October 2012</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October 10, 2012, we issued to CLR, a related party: (i) an unsecured promissory note in the initial principal amount of $1,009,000, which is payable solely in restricted shares of our common stock and which accrues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as payment in full for all contract research and development services and regulatory advice (“</w:t>
      </w:r>
      <w:r>
        <w:rPr>
          <w:rFonts w:ascii="Times New Roman" w:cs="Times New Roman" w:eastAsia="Times New Roman" w:hAnsi="Times New Roman"/>
          <w:sz w:val="18"/>
          <w:szCs w:val="18"/>
          <w:i w:val="1"/>
          <w:iCs w:val="1"/>
          <w:color w:val="auto"/>
        </w:rPr>
        <w:t>CRO Services</w:t>
      </w:r>
      <w:r>
        <w:rPr>
          <w:rFonts w:ascii="Times New Roman" w:cs="Times New Roman" w:eastAsia="Times New Roman" w:hAnsi="Times New Roman"/>
          <w:sz w:val="18"/>
          <w:szCs w:val="18"/>
          <w:color w:val="auto"/>
        </w:rPr>
        <w:t>”) rendered by CRL to us and our affiliates through December 31, 2012 with respect to the preclinical and clinical development of AV-101, and (ii) a five-year warrant to purchase, at a price of $1.00 per share, 1,009,000 restricted shares of our common stock, the amount equal to the sum of the principal amount of the CRL Note, plus all accrued interest thereon, divided by $1.00 per share (the “</w:t>
      </w:r>
      <w:r>
        <w:rPr>
          <w:rFonts w:ascii="Times New Roman" w:cs="Times New Roman" w:eastAsia="Times New Roman" w:hAnsi="Times New Roman"/>
          <w:sz w:val="18"/>
          <w:szCs w:val="18"/>
          <w:i w:val="1"/>
          <w:iCs w:val="1"/>
          <w:color w:val="auto"/>
        </w:rPr>
        <w:t>CRL Warrant</w:t>
      </w:r>
      <w:r>
        <w:rPr>
          <w:rFonts w:ascii="Times New Roman" w:cs="Times New Roman" w:eastAsia="Times New Roman" w:hAnsi="Times New Roman"/>
          <w:sz w:val="18"/>
          <w:szCs w:val="18"/>
          <w:color w:val="auto"/>
        </w:rPr>
        <w:t>”). The principal amount of the CRL Note may, at our option, be automatically increased as a result of future CRO Services rendered by CRL to us and our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As of the date of this prospectus, the aggregate principal and accrued interest of the CRL Note is approximately $1.1 million.</w:t>
      </w:r>
    </w:p>
    <w:p>
      <w:pPr>
        <w:spacing w:after="0" w:line="2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Proceeds from each of the offerings were used for general corporate purposes. All of the above sales were made in reliance on Section 4(2)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Exhibits</w:t>
            </w:r>
          </w:p>
        </w:tc>
        <w:tc>
          <w:tcPr>
            <w:tcW w:w="10420" w:type="dxa"/>
            <w:vAlign w:val="bottom"/>
          </w:tcPr>
          <w:p>
            <w:pPr>
              <w:spacing w:after="0"/>
              <w:rPr>
                <w:sz w:val="20"/>
                <w:szCs w:val="20"/>
                <w:color w:val="auto"/>
              </w:rPr>
            </w:pPr>
          </w:p>
        </w:tc>
      </w:tr>
      <w:tr>
        <w:trPr>
          <w:trHeight w:val="4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420" w:type="dxa"/>
            <w:vAlign w:val="bottom"/>
          </w:tcPr>
          <w:p>
            <w:pPr>
              <w:spacing w:after="0"/>
              <w:rPr>
                <w:sz w:val="24"/>
                <w:szCs w:val="24"/>
                <w:color w:val="auto"/>
              </w:rPr>
            </w:pPr>
          </w:p>
        </w:tc>
      </w:tr>
      <w:tr>
        <w:trPr>
          <w:trHeight w:val="237"/>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12"/>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 *</w:t>
            </w:r>
          </w:p>
        </w:tc>
        <w:tc>
          <w:tcPr>
            <w:tcW w:w="10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 and Plan of Merger by and among Excaliber Enterprises, Ltd., VistaGen Therapeutics, Inc. and Excaliber Merger Subsidiary, Inc.</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 1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Articles of Incorporation</w:t>
            </w:r>
          </w:p>
        </w:tc>
      </w:tr>
      <w:tr>
        <w:trPr>
          <w:trHeight w:val="194"/>
        </w:trPr>
        <w:tc>
          <w:tcPr>
            <w:tcW w:w="20" w:type="dxa"/>
            <w:vAlign w:val="bottom"/>
          </w:tcPr>
          <w:p>
            <w:pPr>
              <w:spacing w:after="0"/>
              <w:rPr>
                <w:sz w:val="16"/>
                <w:szCs w:val="16"/>
                <w:color w:val="auto"/>
              </w:rPr>
            </w:pPr>
          </w:p>
        </w:tc>
        <w:tc>
          <w:tcPr>
            <w:tcW w:w="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3. 2 *</w:t>
            </w:r>
          </w:p>
        </w:tc>
        <w:tc>
          <w:tcPr>
            <w:tcW w:w="104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w w:val="98"/>
              </w:rPr>
              <w:t>Amended and Restated Bylaws as of February 5, 2014, incorporated by reference from the Company’s Report on Form 8-K filed on February 7,</w:t>
            </w:r>
          </w:p>
        </w:tc>
      </w:tr>
      <w:tr>
        <w:trPr>
          <w:trHeight w:val="231"/>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2014.</w:t>
            </w:r>
          </w:p>
        </w:tc>
      </w:tr>
      <w:tr>
        <w:trPr>
          <w:trHeight w:val="194"/>
        </w:trPr>
        <w:tc>
          <w:tcPr>
            <w:tcW w:w="20" w:type="dxa"/>
            <w:vAlign w:val="bottom"/>
          </w:tcPr>
          <w:p>
            <w:pPr>
              <w:spacing w:after="0"/>
              <w:rPr>
                <w:sz w:val="16"/>
                <w:szCs w:val="16"/>
                <w:color w:val="auto"/>
              </w:rPr>
            </w:pPr>
          </w:p>
        </w:tc>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104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Certificate of Designations Series A Preferred, incorporated by reference from the Company’s Current Report on Form 8-K/A filed on</w:t>
            </w:r>
          </w:p>
        </w:tc>
      </w:tr>
      <w:tr>
        <w:trPr>
          <w:trHeight w:val="23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22, 2011.</w:t>
            </w:r>
          </w:p>
        </w:tc>
      </w:tr>
      <w:tr>
        <w:trPr>
          <w:trHeight w:val="194"/>
        </w:trPr>
        <w:tc>
          <w:tcPr>
            <w:tcW w:w="20" w:type="dxa"/>
            <w:vAlign w:val="bottom"/>
          </w:tcPr>
          <w:p>
            <w:pPr>
              <w:spacing w:after="0"/>
              <w:rPr>
                <w:sz w:val="16"/>
                <w:szCs w:val="16"/>
                <w:color w:val="auto"/>
              </w:rPr>
            </w:pPr>
          </w:p>
        </w:tc>
        <w:tc>
          <w:tcPr>
            <w:tcW w:w="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4.1 *</w:t>
            </w:r>
          </w:p>
        </w:tc>
        <w:tc>
          <w:tcPr>
            <w:tcW w:w="104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Fourth Amended and Restated Investors’ Rights Agreement, dated August 1, 2005, by and among VistaGen and certain (former) holders of</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of VistaGen, as amended by that certain Amendment No. 1 to Fourth Amended and Restated Investors’ Rights Agreement,</w:t>
            </w:r>
          </w:p>
        </w:tc>
      </w:tr>
      <w:tr>
        <w:trPr>
          <w:trHeight w:val="231"/>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dated July 10, 2010.</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the Disclosure Law Group (to be filed by amendment).</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VistaGen’s 1999 Stock Incentive Plan.</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Option Agreement under VistaGen’s 1999 Stock Incentive Plan.</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VistaGen’s Scientific Advisory Board 1998 Stock Incentive Plan.</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Option Agreement under VistaGen’s Scientific Advisory Board 1998 Stock Incentive Plan.</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VistaGen’s 2008 Stock Incentive Plan.</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10.6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Option Agreement under VistaGen’s 2008 Stock Incentive Plan.</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10.7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October 30, 2009, by and between VistaGen and Cato BioVentures.</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10.8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April 27, 2011, by and between VistaGen and Cato BioVentures.</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10.9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November 5, 2009, by and between VistaGen and Platinum Long Term Growth Fund.</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10.10 *</w:t>
            </w:r>
          </w:p>
        </w:tc>
        <w:tc>
          <w:tcPr>
            <w:tcW w:w="10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December 2, 2009, by and between VistaGen and University Health Network.</w:t>
            </w:r>
          </w:p>
        </w:tc>
      </w:tr>
      <w:tr>
        <w:trPr>
          <w:trHeight w:val="212"/>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 *</w:t>
            </w:r>
          </w:p>
        </w:tc>
        <w:tc>
          <w:tcPr>
            <w:tcW w:w="10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Purchase Agreement, dated April 25, 2011, by and between VistaGen and University Health Network.</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4"/>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w w:val="98"/>
              </w:rPr>
              <w:t>Table of Contents</w:t>
            </w:r>
          </w:p>
        </w:tc>
        <w:tc>
          <w:tcPr>
            <w:tcW w:w="10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1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of Subscription Agreement, dated May 11, 2011, by and between VistaGen and certain investors.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10.18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Industrial Lease, dated March 5, 2007, by and between Oyster Point LLC and VistaGen, as amended by that certain First Amendment to Lease,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dated as of April 24, 2009, and as further amended by that certain Second Amendment to Lease, dated as of October 19, 2010, and that certain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Lease, dated as of April 1,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10.19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Study Agreement, dated April 15, 2010, by and between VistaGen and Progressive Medical Concepts, LLC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10.20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Development Services Agreement, dated February 26, 2007, by and between VistaGen and Cato Research Ltd.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10.21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License Agreement by and between National Jewish Medical and Research Center and VistaGen, dated July 12, 1999, as amended by that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certain Amendment to License Agreement dated January 25, 2001, as amended by that certain Second Amendment to License Agreement 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6, 2002, as amended by that certain Third Amendment to License Agreement dated March 1, 2003, and as amended by that certain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Amendment to License Agreement dated April 15, 2010.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 by and between Mount Sinai School of Medicine of New York University and the Company, dated October 1, 2004.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10.23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Non-Exclusive License Agreement, dated December 5, 2008, by and between VistaGen and Wisconsin Alumni Research Foundation, as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by that certain Wisconsin Materials Addendum, dated February 2, 2009.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10.24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Sponsored Research Collaboration Agreement, dated September 18, 2007, between VistaGen and University Health Network, as amended 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certain Amendment No. 1, Amendment No. 2 and Amendment No. 3 dated April 19, 2010, December 15, 2010 and April, 25, 2011,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10.25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 Agreement, dated Feb 12, 2010, by and between VistaGen and The Regents of the University of California.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10.26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License Agreement, dated October 24, 2001, by and between the University of Maryland, Baltimore, Cornell Research Foundation and Artemis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Neuroscience, Inc.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10.27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Non-exclusive License Agreement, dated September 1, 2010, by and between VistaGen and TET Systems GmbH &amp; Co. KG.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10.28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Amended and Restated Senior Convertible Promissory Bridge Note dated June 19, 2007 issued by VistaGen to Platinum Long Term Growth</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 LLC.</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10.29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Second Amended and Restated Letter Loan Agreement dated May 16, 2008, by and between VistaGen and Platinum Long Term Growth VII,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LLC, as amended by that certain Amendment No. 1 to Second Amended and Restated Letter Loan Agreement dated October 16 2009, as further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by that certain Amendment to Letter Loan Agreement dated May 5,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 dated April 29, 2011 issued by VistaGen to Cato Holding Company.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10.31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Promissory Note dated April 28, 2011 issued by VistaGen to Desjardins Securities.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10.32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Promissory Note dated April 28, 2011 issued by VistaGen to McCarthy Tetrault LLP.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10.33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Promissory Note dated April 28, 2011 issued by VistaGen to Morrison &amp; Foerster LLP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10.34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 dated February 25, 2010 issued by VistaGen to The Regents of the University of California.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10.35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Note and Warrant Purchase Agreement dated August 4, 2010, by and between VistaGen and certain investors, as amended by that certain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1 to Note and Warrant Purchase Agreement, dated November 10, 2010.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10.36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Conversion Agreement, dated April 29, 2011, by and among VistaGen and certain holders of unsecured promissory notes issued pursuant to that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Note and Warrant Purchase Agreement, dated August 4, 2010, by and between VistaGen and such note holders.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10.37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Agreement regarding Conversion of Unsecured Promissory Note, dated April 29, 2011, by and between VistaGen and The Dillon Family Trust.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601(a)(4) of Reg S-K would seem to indicate we need to file Letter Agreement of Sept 7, 2011 and subsequent agreement regarding</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extension of term.</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II-10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8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EE"/>
                <w:w w:val="98"/>
              </w:rPr>
              <w:t>Table of Contents</w:t>
            </w:r>
          </w:p>
        </w:tc>
        <w:tc>
          <w:tcPr>
            <w:tcW w:w="10280" w:type="dxa"/>
            <w:vAlign w:val="bottom"/>
          </w:tcPr>
          <w:p>
            <w:pPr>
              <w:spacing w:after="0"/>
              <w:rPr>
                <w:sz w:val="16"/>
                <w:szCs w:val="16"/>
                <w:color w:val="auto"/>
              </w:rPr>
            </w:pPr>
          </w:p>
        </w:tc>
      </w:tr>
      <w:tr>
        <w:trPr>
          <w:trHeight w:val="452"/>
        </w:trPr>
        <w:tc>
          <w:tcPr>
            <w:tcW w:w="11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10.38 *</w:t>
            </w:r>
          </w:p>
        </w:tc>
        <w:tc>
          <w:tcPr>
            <w:tcW w:w="20" w:type="dxa"/>
            <w:vAlign w:val="bottom"/>
          </w:tcPr>
          <w:p>
            <w:pPr>
              <w:spacing w:after="0"/>
              <w:rPr>
                <w:sz w:val="24"/>
                <w:szCs w:val="24"/>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 and Warrant Purchase Agreement dated August 13, 2006, by and between VistaGen and certain investors, as amended by that</w:t>
            </w: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certain Amendment No. 1 to Senior Convertible Bridge Note and Warrant Purchase Agreement dated January 31, 2007, as further amended by</w:t>
            </w: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that certain Amendment No. 2 to Senior Convertible Bridge Note and Warrant Purchase Agreement dated June 11, 2007, as further amended by</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certain Omnibus Amendment dated April 28, 2011 .</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10.39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Senior Note and Warrant Purchase Agreement dated May 16, 2008, by and between VistaGen and certain investors, as amended by that certain</w:t>
            </w:r>
          </w:p>
        </w:tc>
      </w:tr>
      <w:tr>
        <w:trPr>
          <w:trHeight w:val="212"/>
        </w:trPr>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1 to Senior Convertible Bridge Note and Warrant Purchase Agreement dated November 2, 2009, as further amended by that</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Omnibus Amendment dated April 28, 2011.</w:t>
            </w:r>
          </w:p>
        </w:tc>
      </w:tr>
      <w:tr>
        <w:trPr>
          <w:trHeight w:val="2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10.40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by and between, VistaGen and Shawn K. Singh, dated April 28, 2010, as amended May 9, 2011.</w:t>
            </w:r>
          </w:p>
        </w:tc>
      </w:tr>
      <w:tr>
        <w:trPr>
          <w:trHeight w:val="212"/>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10.41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Employment Agreement, by and between, VistaGen and H. Ralph Snodgrass, PhD, dated April 28, 2010, as amended May 9, 2011.</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10.43 *</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Agreement Regarding Sale of Shares of Common Stock dated May 9, 2011 by and between Excaliber and Stephanie Y. Jones, whereby</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Excaliber purchased from Mrs. Jones 4,982,103 shares of Excaliber common stock for $10.</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10.44 *</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Agreement Regarding Sale of Shares of Common Stock dated May 9, 2011 by and between Excaliber and Nicole Jones, whereby Excaliber</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from Nicole Jones 82,104 shares of Excaliber common stock for $10.</w:t>
            </w:r>
          </w:p>
        </w:tc>
      </w:tr>
      <w:tr>
        <w:trPr>
          <w:trHeight w:val="2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10.45 *</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May 11, 2011 by and between Excaliber, Platinum Long Term Growth VII, LLC and VistaGen</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10.46</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Notice of Award by National Institutes of Health, Small Business Innovation Research Program, to VistaGen Therapeutics, Inc. for project,</w:t>
            </w:r>
          </w:p>
        </w:tc>
      </w:tr>
      <w:tr>
        <w:trPr>
          <w:trHeight w:val="212"/>
        </w:trPr>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Clinical Development of 4-CI-KYN to Treat Pain dated June 22, 2009, with revisions dated July 19, 2010 and August 9, 2011, incorporated by</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from the Company’s Current Report on Form 8-K/A filed on December 20, 2011.</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Notice of Grant Award by California Institute of Regenerative Medicine and VistaGen Therapeutics, Inc. for Project: Development of an hES</w:t>
            </w:r>
          </w:p>
        </w:tc>
      </w:tr>
      <w:tr>
        <w:trPr>
          <w:trHeight w:val="212"/>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Cell-Based Assay System for Hepatocyte Differentiation Studies and Predictive Toxicology Drug Screening, dated April 1, 2009, incorporated</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from the Company’s Current Report on Form 8-K/A filed on December 20, 2011.</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10.48</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w w:val="97"/>
              </w:rPr>
              <w:t>Amendment No. 4, dated October 24, 2011, to Sponsored Research Collaboration Agreement between VistaGen and University Health Network,</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8-K/A filed on November 30, 2011</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License Agreement No. 1, dated as of October 24, 2011 between University Health Network and VistaGen Therapeutics, Inc., incorporated by</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from the Company’s Current Report on Form 8-K/A filed on November 30, 2011.</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10.50</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Strategic Medicinal Chemistry Services Agreement, dated as of December 6, 2011, between Synterys, Inc. and VistaGen Therapeutics, Inc.,</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8-K/A filed on December 7, 2011.</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10.51</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Exchange Agreement, dated as of December 22, 2011 between Platinum Long Term Growth VII, LLC and VistaGen</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Therapeutics, Inc., incorporated by reference from the Company’s Current Report on Form 8-K/A filed on December 23, 2011.</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10.52</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Note and Warrant Exchange Agreement, dated as of December 28, 2011 between Platinum Long Term Growth VII, LLC and VistaGen</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Therapeutics, Inc., incorporated by reference from the Current Report on Form 8-K/A filed on January 4, 2012.</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Convertible Note and Warrant Purchase Agreement, dated as of February 28, 2012, by and between VistaGen and certain investors,</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from the Current Report on Form 8-K/A filed on March 2, 2012.</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10.54</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Form of Convertible Promissory Note, dated as of February 28, 2012, incorporated by reference from the Company’s Current Report on Form 8-</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 filed on March 2, 2012.</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Form of Warrant to Purchase Common Stock, dated as of February 28, 2012, incorporated by reference from the Company’s Current Report on</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8-K/A filed on March 2, 2012.</w:t>
            </w: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10.56</w:t>
            </w:r>
          </w:p>
        </w:tc>
        <w:tc>
          <w:tcPr>
            <w:tcW w:w="20" w:type="dxa"/>
            <w:vAlign w:val="bottom"/>
            <w:shd w:val="clear" w:color="auto" w:fill="CCEEFF"/>
          </w:tcPr>
          <w:p>
            <w:pPr>
              <w:spacing w:after="0"/>
              <w:rPr>
                <w:sz w:val="16"/>
                <w:szCs w:val="16"/>
                <w:color w:val="auto"/>
              </w:rPr>
            </w:pPr>
          </w:p>
        </w:tc>
        <w:tc>
          <w:tcPr>
            <w:tcW w:w="10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Registration Rights Agreement, dated as of February 28, 2012, by and between VistaGen and certain investors, incorporated by</w:t>
            </w:r>
          </w:p>
        </w:tc>
      </w:tr>
      <w:tr>
        <w:trPr>
          <w:trHeight w:val="231"/>
        </w:trPr>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from the Company’s Current Report on Form 8-K/A filed on March 2, 2012.</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6"/>
                <w:szCs w:val="16"/>
                <w:color w:val="auto"/>
              </w:rPr>
            </w:pPr>
          </w:p>
        </w:tc>
        <w:tc>
          <w:tcPr>
            <w:tcW w:w="10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License Agreement No. 2, dated as of March 19, 2012 between University Health Network and VistaGen Therapeutics, Inc., incorporated by</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from the Company’s Annual Report on Form 10-K filed on July 2, 2012.</w:t>
            </w:r>
          </w:p>
        </w:tc>
      </w:tr>
      <w:tr>
        <w:trPr>
          <w:trHeight w:val="5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II-11</w:t>
            </w:r>
          </w:p>
        </w:tc>
      </w:tr>
      <w:tr>
        <w:trPr>
          <w:trHeight w:val="115"/>
        </w:trPr>
        <w:tc>
          <w:tcPr>
            <w:tcW w:w="1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93"/>
              </w:rPr>
              <w:t>10.58</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Exchange Agreement dated as of June 29, 2012 between Platinum Long Term Growth VII, LLC and VistaGen Therapeutics. Inc., incorporated</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by reference from the Company’s Annual Report on Form 10-K filed on July 2,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10.59</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Secured Convertible Promissory Note, Dated as of July 2, 2012, issued to Platinum Long Term Growth VII, LLC., incorporated by reference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the Company’s Annual Report on Form 10-K filed on July 2,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10.60</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Security Agreement between Platinum Long Term Growth VII, LLC and VistaGen Therapeutics. Inc., dated as of July 2, 2012, incorporated by</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reference from the Company’s Annual Report on Form 10-K filed on July 2,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10.61</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Secured Convertible Promissory Note, Dated as of August 30, 2012, issued to Platinum Long Term Growth VII, LLC., incorporated by</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from the Company’s Current Report on Form 8-K filed on September 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10.62</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Amendment to Security Agreement between Platinum Long Term Growth VII, LLC and VistaGen Therapeutics. Inc.as of August 30, 2012,</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September 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10.63</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Unsecured Promissory Note in the face amount of $1,000,000 issued to Morrison &amp; Foerster LLP on August 31, 2012 (Replacement Note A),</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September 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10.64</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Unsecured Promissory Note in the face amount of $1,379,376 issued to Morrison &amp; Foerster LLP on August 31, 2012 (Replacement Note B),</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September 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10.65</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Stock Purchase Warrant issued to Morrison &amp; Foerster LLP on August 31, 2012 to purchase 1,379,376 shares of the Company’s common stock</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(New Morrison &amp; Foerster Warrant), incorporated by reference from the Company’s Current Report on Form 8-K filed on September 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10.66</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Warrant to Purchase Common Stock issued to Morrison &amp; Foerster LLP on August 31, 2012 to purchase 425,000 shares of the Company’s</w:t>
            </w:r>
          </w:p>
        </w:tc>
      </w:tr>
      <w:tr>
        <w:trPr>
          <w:trHeight w:val="212"/>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 (Amended Morrison &amp; Foerster Warrant), incorporated by reference from the Company’s Current Report on Form 8-K filed on</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September 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10.67</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Note Exchange and Purchase Agreement dated as of October 11, 2012 by and between VistaGen Therapeutics, Inc. and Platinum Long Term</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Growth VII, LLP, incorporated by reference from the Company’s Current Report on Form 8-K filed on October 16,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10.68</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Form of Senior Secured Convertible Promissory Note issued to Platinum Long Term Growth VII, LLP under the Note Exchange and Purchase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Agreement, incorporated by reference from the Company’s Current Report on Form 8-K filed on October 16,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10.69</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Form of Warrant to Purchase Shares of Common Stock issued to Platinum Long Term Growth VII, LLP under the Note Exchange and Purchase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 incorporated by reference from the Company’s Current Report on Form 8-K filed on October 16,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10.70</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Amended and Restated Security Agreement as of October 11, 2012 between VistaGen Therapeutics, Inc. and Platinum Long Term Growth VII,</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LLP, incorporated by reference from the Company’s Current Report on Form 8-K filed on October 16,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10.71</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Intellectual Property Security and Stock Pledge Agreement as of October 11, 2012 between VistaGen California and Platinum Long Term</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Growth VII, LLP, incorporated by reference from the Company’s Current Report on Form 8-K filed on October 16,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10.72</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Negative Covenant Agreement dated October 11, 2012 between VistaGen California, Artemis Neuroscience, Inc. and Platinum Long Term</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Growth VII, LLP, incorporated by reference from the Company’s Current Report on Form 8-K filed on October 16,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10.73</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7"/>
              </w:rPr>
              <w:t>Amendment to Note Exchange and Purchase Agreement as of November 14, 2012 between VistaGen Therapeutics Inc. and Platinum Long Term</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Growth VII, LLP, incorporated by reference from the Company’s Current Report on Form 8-K filed on November 20, 2012.</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10.74</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Form of Note Exchange Agreement between VistaGen Therapeutics, Inc. and Holders of the Company’s Promissory Notes dated February 28,</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2012, incorporated by reference from the Company’s Current Report on Form 8-K filed on November 20, 2012.</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10.75</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Amendment No. 2 to Note Exchange and Purchase Agreement as of January 31, 2013 between VistaGen Therapeutics Inc. and Platinum Long</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Growth VII, LLP, incorporated by reference from the Company’s Quarterly Report on Form 10-Q filed on February 14, 2013.</w:t>
            </w:r>
          </w:p>
        </w:tc>
      </w:tr>
      <w:tr>
        <w:trPr>
          <w:trHeight w:val="597"/>
        </w:trPr>
        <w:tc>
          <w:tcPr>
            <w:tcW w:w="780" w:type="dxa"/>
            <w:vAlign w:val="bottom"/>
          </w:tcPr>
          <w:p>
            <w:pPr>
              <w:spacing w:after="0"/>
              <w:rPr>
                <w:sz w:val="24"/>
                <w:szCs w:val="24"/>
                <w:color w:val="auto"/>
              </w:rPr>
            </w:pPr>
          </w:p>
        </w:tc>
        <w:tc>
          <w:tcPr>
            <w:tcW w:w="106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II-12</w:t>
            </w:r>
          </w:p>
        </w:tc>
      </w:tr>
      <w:tr>
        <w:trPr>
          <w:trHeight w:val="115"/>
        </w:trPr>
        <w:tc>
          <w:tcPr>
            <w:tcW w:w="780" w:type="dxa"/>
            <w:vAlign w:val="bottom"/>
            <w:tcBorders>
              <w:bottom w:val="single" w:sz="8" w:color="808080"/>
            </w:tcBorders>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93"/>
              </w:rPr>
              <w:t>10.76</w:t>
            </w: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Amendment No. 3 to Note Exchange and Purchase Agreement as of February 22, 2013 between VistaGen Therapeutics Inc. and Platinum Long</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Growth VII, LLP, incorporated by reference from the Company’s Current Report on Form 8-K filed on February 28,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10.77</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Form of Warrant to Purchase Common Stock issued to independent members of the Company’s Board of Directors and its executive officers on</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3, 2013, incorporated by reference from the Company’s Current Report on Form 8-K filed on March 6,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10.78</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Securities Purchase Agreement between VistaGen Therapeutics, Inc., and Autilion AG dated April 8, 2013, incorporated by reference from the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April 10,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10.79</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Voting Agreement between VistaGen Therapeutics, Inc., and Autilion AG dated April 8, 2013, incorporated by reference from the Company’s</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Report on Form 8-K filed on April 10,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10.80</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Note Conversion Agreement as of April 4, 2013 between VistaGen Therapeutics Inc. and Platinum Long Term Growth VII, LLP, incorporated</w:t>
            </w:r>
          </w:p>
        </w:tc>
      </w:tr>
      <w:tr>
        <w:trPr>
          <w:trHeight w:val="212"/>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by reference from the Company’s Current Report on Form 8-K filed on April 10, 2013, incorporated by reference from the Company’s Annual</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10.81</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Assignment and Assumption Agreement between Autilion AG and Bergamo Acquisition Corp. PTE LTD dated April 12, 2013, incorporated by</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from the Company’s Annual Report on Form 10-K filed on July 18,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10.82</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Amendment No. 1 to Securities Purchase Agreement dated April 30, 2013 between VistaGen Therapeutics, Inc. and Bergamo Acquisition Corp.</w:t>
            </w:r>
          </w:p>
        </w:tc>
      </w:tr>
      <w:tr>
        <w:trPr>
          <w:trHeight w:val="212"/>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PTE LTD, incorporated by reference from the Company’s Current Report on Form 8-K filed on May 1, 2013, incorporated by reference from the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10.83</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Lease between Bayside Area Development, LLC and VistaGen Therapeutics, Inc. (California) dated April 24, 2013, incorporated by reference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the Company’s Annual Report on Form 10-K filed on July 18,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10.84</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Jon S. Saxe, incorporated by reference from the Company’s</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Annual 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10.85</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8"/>
              </w:rPr>
              <w:t>Indemnification Agreement effective May 20, 2013 between the Company and Shawn K. Singh, incorporated by reference from the Company’s</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Annual Report on Form 10-K filed on July 18,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10.86</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H. Ralph Snodgrass, incorporated by reference from the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10.87</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Brian J. Underdown, incorporated by reference from the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filed on July 18,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10.88</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Jerrold D. Dotson, incorporated by reference from the</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filed on July 18,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10.89</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Amendment and Waiver effective May 24, 2013 between the Company and Platinum Long Term Growth VII, LLC, incorporated by reference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the Company’s Current Report on Form 8-K filed on June 3,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10.90</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Amendment No 2 to Securities Purchase Agreement dated June 27, 2013 between the Company, Autilion AG and Bergamo Acquisition Corp.</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PTE LTD, incorporated by reference from the Company’s Current Report on Form 8-K filed on June 28,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10.91</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Senior Secured Convertible Promissory Note, dated July 26, 2013 issued to Platinum Long Term Growth VII, LLP, incorporated by reference</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the Company’s Current Report on Form 8-K filed on August 2, 2013.</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10.92</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Common Stock Warrant, dated July 26, 2013 issued to Platinum Long Term Growth VII, LLP, incorporated by reference from the Company’s</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Report on Form 8-K filed on August 2, 2013</w:t>
            </w:r>
          </w:p>
        </w:tc>
      </w:tr>
      <w:tr>
        <w:trPr>
          <w:trHeight w:val="194"/>
        </w:trPr>
        <w:tc>
          <w:tcPr>
            <w:tcW w:w="780" w:type="dxa"/>
            <w:vAlign w:val="bottom"/>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10.93</w:t>
            </w:r>
          </w:p>
        </w:tc>
        <w:tc>
          <w:tcPr>
            <w:tcW w:w="106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Form of Unit Subscription Agreement between the Company and investors in the Spring 2014 Unit Private Placement dated April 1, 2014,</w:t>
            </w:r>
          </w:p>
        </w:tc>
      </w:tr>
      <w:tr>
        <w:trPr>
          <w:trHeight w:val="231"/>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April 8, 2014.</w:t>
            </w:r>
          </w:p>
        </w:tc>
      </w:tr>
      <w:tr>
        <w:trPr>
          <w:trHeight w:val="194"/>
        </w:trPr>
        <w:tc>
          <w:tcPr>
            <w:tcW w:w="780" w:type="dxa"/>
            <w:vAlign w:val="bottom"/>
            <w:shd w:val="clear" w:color="auto" w:fill="CCEEFF"/>
          </w:tcPr>
          <w:p>
            <w:pPr>
              <w:jc w:val="right"/>
              <w:ind w:right="292"/>
              <w:spacing w:after="0" w:line="194" w:lineRule="exact"/>
              <w:rPr>
                <w:sz w:val="20"/>
                <w:szCs w:val="20"/>
                <w:color w:val="auto"/>
              </w:rPr>
            </w:pPr>
            <w:r>
              <w:rPr>
                <w:rFonts w:ascii="Times New Roman" w:cs="Times New Roman" w:eastAsia="Times New Roman" w:hAnsi="Times New Roman"/>
                <w:sz w:val="18"/>
                <w:szCs w:val="18"/>
                <w:color w:val="auto"/>
                <w:w w:val="93"/>
              </w:rPr>
              <w:t>10.94</w:t>
            </w:r>
          </w:p>
        </w:tc>
        <w:tc>
          <w:tcPr>
            <w:tcW w:w="1064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color w:val="auto"/>
                <w:w w:val="99"/>
              </w:rPr>
              <w:t>Form of Subordinate Convertible Promissory Note between the Company and investors in the Spring 2014 Unit Private Placement dated April</w:t>
            </w:r>
          </w:p>
        </w:tc>
      </w:tr>
      <w:tr>
        <w:trPr>
          <w:trHeight w:val="231"/>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 2014, incorporated by reference from the Company’s Current Report on Form 8-K filed on April 8, 2014.</w:t>
            </w:r>
          </w:p>
        </w:tc>
      </w:tr>
      <w:tr>
        <w:trPr>
          <w:trHeight w:val="598"/>
        </w:trPr>
        <w:tc>
          <w:tcPr>
            <w:tcW w:w="780" w:type="dxa"/>
            <w:vAlign w:val="bottom"/>
          </w:tcPr>
          <w:p>
            <w:pPr>
              <w:spacing w:after="0"/>
              <w:rPr>
                <w:sz w:val="24"/>
                <w:szCs w:val="24"/>
                <w:color w:val="auto"/>
              </w:rPr>
            </w:pPr>
          </w:p>
        </w:tc>
        <w:tc>
          <w:tcPr>
            <w:tcW w:w="106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II-13</w:t>
            </w:r>
          </w:p>
        </w:tc>
      </w:tr>
      <w:tr>
        <w:trPr>
          <w:trHeight w:val="115"/>
        </w:trPr>
        <w:tc>
          <w:tcPr>
            <w:tcW w:w="780" w:type="dxa"/>
            <w:vAlign w:val="bottom"/>
            <w:tcBorders>
              <w:bottom w:val="single" w:sz="8" w:color="808080"/>
            </w:tcBorders>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8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EE"/>
                <w:w w:val="98"/>
              </w:rPr>
              <w:t>Table of Contents</w:t>
            </w:r>
          </w:p>
        </w:tc>
        <w:tc>
          <w:tcPr>
            <w:tcW w:w="10280" w:type="dxa"/>
            <w:vAlign w:val="bottom"/>
          </w:tcPr>
          <w:p>
            <w:pPr>
              <w:spacing w:after="0"/>
              <w:rPr>
                <w:sz w:val="16"/>
                <w:szCs w:val="16"/>
                <w:color w:val="auto"/>
              </w:rPr>
            </w:pPr>
          </w:p>
        </w:tc>
      </w:tr>
      <w:tr>
        <w:trPr>
          <w:trHeight w:val="452"/>
        </w:trPr>
        <w:tc>
          <w:tcPr>
            <w:tcW w:w="11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Pr>
          <w:p>
            <w:pPr>
              <w:spacing w:after="0"/>
              <w:rPr>
                <w:sz w:val="24"/>
                <w:szCs w:val="24"/>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Form of Common Stock Purchase Warrant between the Company and investors in the Spring 2014 Unit Private Placement dated April 1, 2014,</w:t>
            </w: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from the Company’s Current Report on Form 8-K filed on April 8, 2014.</w:t>
            </w:r>
          </w:p>
        </w:tc>
      </w:tr>
      <w:tr>
        <w:trPr>
          <w:trHeight w:val="212"/>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 regarding change in certifying accountant.</w:t>
            </w:r>
          </w:p>
        </w:tc>
      </w:tr>
      <w:tr>
        <w:trPr>
          <w:trHeight w:val="2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8"/>
                <w:szCs w:val="18"/>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12"/>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8"/>
                <w:szCs w:val="18"/>
                <w:color w:val="auto"/>
              </w:rPr>
            </w:pPr>
          </w:p>
        </w:tc>
        <w:tc>
          <w:tcPr>
            <w:tcW w:w="10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Consent of OUM, LLP, independent registered public accounting firm</w:t>
            </w: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24.1 +</w:t>
            </w:r>
          </w:p>
        </w:tc>
        <w:tc>
          <w:tcPr>
            <w:tcW w:w="20" w:type="dxa"/>
            <w:vAlign w:val="bottom"/>
          </w:tcPr>
          <w:p>
            <w:pPr>
              <w:spacing w:after="0"/>
              <w:rPr>
                <w:sz w:val="20"/>
                <w:szCs w:val="20"/>
                <w:color w:val="auto"/>
              </w:rPr>
            </w:pPr>
          </w:p>
        </w:tc>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Incorporated by reference from the like-numbered exhibit filed with our Current Report on Form 8-K on May 16, 2011.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Filed as an exhibit to the Registration Statement on Form S-1, dated May 12, 2014.</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financial schedules have been omitted because they are not applicable or the information is included in the Registrant’s financial statements or related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44" w:lineRule="exact"/>
        <w:rPr>
          <w:sz w:val="20"/>
          <w:szCs w:val="20"/>
          <w:color w:val="auto"/>
        </w:rPr>
      </w:pPr>
    </w:p>
    <w:p>
      <w:pPr>
        <w:ind w:left="260" w:hanging="254"/>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4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l0 (a)(3) of the Securities Act:</w:t>
      </w:r>
    </w:p>
    <w:p>
      <w:pPr>
        <w:spacing w:after="0" w:line="244" w:lineRule="exact"/>
        <w:rPr>
          <w:sz w:val="20"/>
          <w:szCs w:val="20"/>
          <w:color w:val="auto"/>
        </w:rPr>
      </w:pPr>
    </w:p>
    <w:p>
      <w:pPr>
        <w:jc w:val="both"/>
        <w:ind w:firstLine="6"/>
        <w:spacing w:after="0" w:line="253" w:lineRule="auto"/>
        <w:tabs>
          <w:tab w:leader="none" w:pos="29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8" w:lineRule="exact"/>
        <w:rPr>
          <w:rFonts w:ascii="Times New Roman" w:cs="Times New Roman" w:eastAsia="Times New Roman" w:hAnsi="Times New Roman"/>
          <w:sz w:val="18"/>
          <w:szCs w:val="18"/>
          <w:color w:val="auto"/>
        </w:rPr>
      </w:pPr>
    </w:p>
    <w:p>
      <w:pPr>
        <w:ind w:firstLine="6"/>
        <w:spacing w:after="0" w:line="274" w:lineRule="auto"/>
        <w:tabs>
          <w:tab w:leader="none" w:pos="3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0" w:lineRule="exact"/>
        <w:rPr>
          <w:sz w:val="20"/>
          <w:szCs w:val="20"/>
          <w:color w:val="auto"/>
        </w:rPr>
      </w:pPr>
    </w:p>
    <w:p>
      <w:pPr>
        <w:jc w:val="both"/>
        <w:ind w:firstLine="6"/>
        <w:spacing w:after="0" w:line="260" w:lineRule="auto"/>
        <w:tabs>
          <w:tab w:leader="none" w:pos="2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that remain unsold at the termination of the offering.</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l933 (the “</w:t>
      </w:r>
      <w:r>
        <w:rPr>
          <w:rFonts w:ascii="Times New Roman" w:cs="Times New Roman" w:eastAsia="Times New Roman" w:hAnsi="Times New Roman"/>
          <w:sz w:val="17"/>
          <w:szCs w:val="17"/>
          <w:i w:val="1"/>
          <w:iCs w:val="1"/>
          <w:color w:val="auto"/>
        </w:rPr>
        <w:t>Act</w:t>
      </w:r>
      <w:r>
        <w:rPr>
          <w:rFonts w:ascii="Times New Roman" w:cs="Times New Roman" w:eastAsia="Times New Roman" w:hAnsi="Times New Roman"/>
          <w:sz w:val="17"/>
          <w:szCs w:val="17"/>
          <w:color w:val="auto"/>
        </w:rPr>
        <w: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ind w:left="260" w:hanging="254"/>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4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Registrant is relying on Rule 430B:</w:t>
      </w:r>
    </w:p>
    <w:p>
      <w:pPr>
        <w:spacing w:after="0" w:line="244" w:lineRule="exact"/>
        <w:rPr>
          <w:sz w:val="20"/>
          <w:szCs w:val="20"/>
          <w:color w:val="auto"/>
        </w:rPr>
      </w:pPr>
    </w:p>
    <w:p>
      <w:pPr>
        <w:ind w:firstLine="6"/>
        <w:spacing w:after="0" w:line="274" w:lineRule="auto"/>
        <w:tabs>
          <w:tab w:leader="none" w:pos="29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0" w:lineRule="exact"/>
        <w:rPr>
          <w:rFonts w:ascii="Times New Roman" w:cs="Times New Roman" w:eastAsia="Times New Roman" w:hAnsi="Times New Roman"/>
          <w:sz w:val="18"/>
          <w:szCs w:val="18"/>
          <w:color w:val="auto"/>
        </w:rPr>
      </w:pPr>
    </w:p>
    <w:p>
      <w:pPr>
        <w:jc w:val="both"/>
        <w:ind w:firstLine="6"/>
        <w:spacing w:after="0" w:line="249" w:lineRule="auto"/>
        <w:tabs>
          <w:tab w:leader="none" w:pos="29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13" w:lineRule="exact"/>
        <w:rPr>
          <w:sz w:val="20"/>
          <w:szCs w:val="20"/>
          <w:color w:val="auto"/>
        </w:rPr>
      </w:pPr>
    </w:p>
    <w:p>
      <w:pPr>
        <w:jc w:val="both"/>
        <w:ind w:firstLine="6"/>
        <w:spacing w:after="0" w:line="269" w:lineRule="auto"/>
        <w:tabs>
          <w:tab w:leader="none" w:pos="26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That, for the purpose of determining liability of the Registrant under the Securities Act of 1933 to any purchaser in the initial distribution of the securities:</w:t>
      </w:r>
    </w:p>
    <w:p>
      <w:pPr>
        <w:spacing w:after="0" w:line="244"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6" w:lineRule="exact"/>
        <w:rPr>
          <w:sz w:val="20"/>
          <w:szCs w:val="20"/>
          <w:color w:val="auto"/>
        </w:rPr>
      </w:pPr>
    </w:p>
    <w:p>
      <w:pPr>
        <w:ind w:left="860" w:hanging="218"/>
        <w:spacing w:after="0"/>
        <w:tabs>
          <w:tab w:leader="none" w:pos="8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4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Registrant;</w:t>
      </w:r>
    </w:p>
    <w:p>
      <w:pPr>
        <w:spacing w:after="0" w:line="224" w:lineRule="exact"/>
        <w:rPr>
          <w:rFonts w:ascii="Times New Roman" w:cs="Times New Roman" w:eastAsia="Times New Roman" w:hAnsi="Times New Roman"/>
          <w:sz w:val="17"/>
          <w:szCs w:val="17"/>
          <w:color w:val="auto"/>
        </w:rPr>
      </w:pPr>
    </w:p>
    <w:p>
      <w:pPr>
        <w:ind w:firstLine="642"/>
        <w:spacing w:after="0" w:line="274" w:lineRule="auto"/>
        <w:tabs>
          <w:tab w:leader="none" w:pos="9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0" w:lineRule="exact"/>
        <w:rPr>
          <w:rFonts w:ascii="Times New Roman" w:cs="Times New Roman" w:eastAsia="Times New Roman" w:hAnsi="Times New Roman"/>
          <w:sz w:val="18"/>
          <w:szCs w:val="18"/>
          <w:color w:val="auto"/>
        </w:rPr>
      </w:pPr>
    </w:p>
    <w:p>
      <w:pPr>
        <w:ind w:left="940" w:hanging="298"/>
        <w:spacing w:after="0"/>
        <w:tabs>
          <w:tab w:leader="none" w:pos="9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l933, the registrant has duly caused this Registration Statement to be signed on its behalf by the undersigned, thereunto duly authorized, in the City of South San Francisco, California on the 20th day of May 2014.</w:t>
      </w:r>
    </w:p>
    <w:p>
      <w:pPr>
        <w:spacing w:after="0" w:line="1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Shawn K. Singh, JD</w:t>
      </w:r>
    </w:p>
    <w:p>
      <w:pPr>
        <w:spacing w:after="0" w:line="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Shawn K. Singh, JD</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l933, this Registration Statement has been signed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w:t>
            </w:r>
          </w:p>
        </w:tc>
        <w:tc>
          <w:tcPr>
            <w:tcW w:w="270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360" w:type="dxa"/>
            <w:vAlign w:val="bottom"/>
          </w:tcPr>
          <w:p>
            <w:pPr>
              <w:spacing w:after="0"/>
              <w:rPr>
                <w:sz w:val="17"/>
                <w:szCs w:val="17"/>
                <w:color w:val="auto"/>
              </w:rPr>
            </w:pPr>
          </w:p>
        </w:tc>
        <w:tc>
          <w:tcPr>
            <w:tcW w:w="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Date</w:t>
            </w:r>
          </w:p>
        </w:tc>
      </w:tr>
      <w:tr>
        <w:trPr>
          <w:trHeight w:val="20"/>
        </w:trPr>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20" w:type="dxa"/>
            <w:vAlign w:val="bottom"/>
            <w:gridSpan w:val="3"/>
          </w:tcPr>
          <w:p>
            <w:pPr>
              <w:jc w:val="center"/>
              <w:ind w:left="932"/>
              <w:spacing w:after="0"/>
              <w:rPr>
                <w:sz w:val="20"/>
                <w:szCs w:val="20"/>
                <w:color w:val="auto"/>
              </w:rPr>
            </w:pPr>
            <w:r>
              <w:rPr>
                <w:rFonts w:ascii="Times New Roman" w:cs="Times New Roman" w:eastAsia="Times New Roman" w:hAnsi="Times New Roman"/>
                <w:sz w:val="18"/>
                <w:szCs w:val="18"/>
                <w:color w:val="auto"/>
                <w:w w:val="99"/>
              </w:rPr>
              <w:t>May 20, 2014</w:t>
            </w:r>
          </w:p>
        </w:tc>
      </w:tr>
      <w:tr>
        <w:trPr>
          <w:trHeight w:val="233"/>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5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8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2020" w:type="dxa"/>
            <w:vAlign w:val="bottom"/>
            <w:gridSpan w:val="3"/>
          </w:tcPr>
          <w:p>
            <w:pPr>
              <w:jc w:val="center"/>
              <w:ind w:left="932"/>
              <w:spacing w:after="0"/>
              <w:rPr>
                <w:sz w:val="20"/>
                <w:szCs w:val="20"/>
                <w:color w:val="auto"/>
              </w:rPr>
            </w:pPr>
            <w:r>
              <w:rPr>
                <w:rFonts w:ascii="Times New Roman" w:cs="Times New Roman" w:eastAsia="Times New Roman" w:hAnsi="Times New Roman"/>
                <w:sz w:val="18"/>
                <w:szCs w:val="18"/>
                <w:color w:val="auto"/>
                <w:w w:val="99"/>
              </w:rPr>
              <w:t>May 20, 2014</w:t>
            </w:r>
          </w:p>
        </w:tc>
      </w:tr>
      <w:tr>
        <w:trPr>
          <w:trHeight w:val="233"/>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5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8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President and Chief Scientific Officer and</w:t>
            </w:r>
          </w:p>
        </w:tc>
        <w:tc>
          <w:tcPr>
            <w:tcW w:w="2020" w:type="dxa"/>
            <w:vAlign w:val="bottom"/>
            <w:gridSpan w:val="3"/>
          </w:tcPr>
          <w:p>
            <w:pPr>
              <w:jc w:val="center"/>
              <w:ind w:left="932"/>
              <w:spacing w:after="0"/>
              <w:rPr>
                <w:sz w:val="20"/>
                <w:szCs w:val="20"/>
                <w:color w:val="auto"/>
              </w:rPr>
            </w:pPr>
            <w:r>
              <w:rPr>
                <w:rFonts w:ascii="Times New Roman" w:cs="Times New Roman" w:eastAsia="Times New Roman" w:hAnsi="Times New Roman"/>
                <w:sz w:val="18"/>
                <w:szCs w:val="18"/>
                <w:color w:val="auto"/>
                <w:w w:val="99"/>
              </w:rPr>
              <w:t>May 20, 2014</w:t>
            </w:r>
          </w:p>
        </w:tc>
      </w:tr>
      <w:tr>
        <w:trPr>
          <w:trHeight w:val="233"/>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5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8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932"/>
              <w:spacing w:after="0"/>
              <w:rPr>
                <w:sz w:val="20"/>
                <w:szCs w:val="20"/>
                <w:color w:val="auto"/>
              </w:rPr>
            </w:pPr>
            <w:r>
              <w:rPr>
                <w:rFonts w:ascii="Times New Roman" w:cs="Times New Roman" w:eastAsia="Times New Roman" w:hAnsi="Times New Roman"/>
                <w:sz w:val="18"/>
                <w:szCs w:val="18"/>
                <w:color w:val="auto"/>
                <w:w w:val="99"/>
              </w:rPr>
              <w:t>May 20, 2014</w:t>
            </w:r>
          </w:p>
        </w:tc>
      </w:tr>
      <w:tr>
        <w:trPr>
          <w:trHeight w:val="233"/>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 S. Saxe</w:t>
            </w:r>
          </w:p>
        </w:tc>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8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932"/>
              <w:spacing w:after="0"/>
              <w:rPr>
                <w:sz w:val="20"/>
                <w:szCs w:val="20"/>
                <w:color w:val="auto"/>
              </w:rPr>
            </w:pPr>
            <w:r>
              <w:rPr>
                <w:rFonts w:ascii="Times New Roman" w:cs="Times New Roman" w:eastAsia="Times New Roman" w:hAnsi="Times New Roman"/>
                <w:sz w:val="18"/>
                <w:szCs w:val="18"/>
                <w:color w:val="auto"/>
                <w:w w:val="99"/>
              </w:rPr>
              <w:t>May 20, 2014</w:t>
            </w:r>
          </w:p>
        </w:tc>
      </w:tr>
      <w:tr>
        <w:trPr>
          <w:trHeight w:val="233"/>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J. Underdown</w:t>
            </w:r>
          </w:p>
        </w:tc>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u w:val="single" w:color="auto"/>
          <w:color w:val="auto"/>
        </w:rPr>
        <w:t>/s/ Shawn K. Singh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6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for the years ended March 31, 2013 and 2012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Preferred Stock</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Deficit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 for the three and nine month periods ended December 31, 2013 and 2012 (Unaudited)</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 at December 31, 2013 and March 31, 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and nine months ended December 31, 2013 and 2012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December 31, 2013 and 2012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F-58</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106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development stage company)</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VistaGen Therapeutics, Inc. (a development stage company) as of March 31, 2013 and 2012 and the related consolidated statements of operations and comprehensive loss, cash flows, preferred stock, and stockholders’ deficit for the years then ended, and for the period from May 26, 1998 (inception) through March 31, 2013. These financial statements are the responsibility of the Company's management. Our responsibility is to express an opinion on these consolidated financial statements based on our audits.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VistaGen Therapeutics, Inc. (a development stage company) at March 31, 2013 and 2012, and the consolidated results of its operations and its cash flows for the years then ended, and for the period from May 26, 1998 (inception) through March 31, 2013, in conformity with U.S. generally accepted accounting principles.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2013</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84"/>
        </w:trPr>
        <w:tc>
          <w:tcPr>
            <w:tcW w:w="90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920" w:type="dxa"/>
            <w:vAlign w:val="bottom"/>
          </w:tcPr>
          <w:p>
            <w:pPr>
              <w:jc w:val="center"/>
              <w:ind w:left="119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20" w:type="dxa"/>
            <w:vAlign w:val="bottom"/>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8"/>
              </w:rPr>
              <w:t>(a development stage company)</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20" w:type="dxa"/>
            <w:vAlign w:val="bottom"/>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20" w:type="dxa"/>
            <w:vAlign w:val="bottom"/>
          </w:tcPr>
          <w:p>
            <w:pPr>
              <w:jc w:val="center"/>
              <w:ind w:left="1192"/>
              <w:spacing w:after="0"/>
              <w:rPr>
                <w:sz w:val="20"/>
                <w:szCs w:val="20"/>
                <w:color w:val="auto"/>
              </w:rPr>
            </w:pPr>
            <w:r>
              <w:rPr>
                <w:rFonts w:ascii="Times New Roman" w:cs="Times New Roman" w:eastAsia="Times New Roman" w:hAnsi="Times New Roman"/>
                <w:sz w:val="18"/>
                <w:szCs w:val="18"/>
                <w:b w:val="1"/>
                <w:bCs w:val="1"/>
                <w:color w:val="auto"/>
                <w:w w:val="98"/>
              </w:rPr>
              <w:t>(Amounts in dollars, except share amounts)</w:t>
            </w:r>
          </w:p>
        </w:tc>
        <w:tc>
          <w:tcPr>
            <w:tcW w:w="160" w:type="dxa"/>
            <w:vAlign w:val="bottom"/>
          </w:tcPr>
          <w:p>
            <w:pPr>
              <w:spacing w:after="0"/>
              <w:rPr>
                <w:sz w:val="20"/>
                <w:szCs w:val="20"/>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920" w:type="dxa"/>
            <w:vAlign w:val="bottom"/>
          </w:tcPr>
          <w:p>
            <w:pPr>
              <w:jc w:val="center"/>
              <w:ind w:right="1132"/>
              <w:spacing w:after="0" w:line="194"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contract payments receivable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671,800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881,500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920" w:type="dxa"/>
            <w:vAlign w:val="bottom"/>
            <w:shd w:val="clear" w:color="auto" w:fill="CCEEFF"/>
          </w:tcPr>
          <w:p>
            <w:pPr>
              <w:jc w:val="center"/>
              <w:ind w:right="1152"/>
              <w:spacing w:after="0"/>
              <w:rPr>
                <w:sz w:val="20"/>
                <w:szCs w:val="20"/>
                <w:color w:val="auto"/>
              </w:rPr>
            </w:pPr>
            <w:r>
              <w:rPr>
                <w:rFonts w:ascii="Times New Roman" w:cs="Times New Roman" w:eastAsia="Times New Roman" w:hAnsi="Times New Roman"/>
                <w:sz w:val="18"/>
                <w:szCs w:val="18"/>
                <w:b w:val="1"/>
                <w:bCs w:val="1"/>
                <w:color w:val="auto"/>
                <w:w w:val="98"/>
              </w:rPr>
              <w:t>LIABILITIES AND STOCKHOLDERS’ DEFICIT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accrued interest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and accrued interest to related parties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2,414,300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Senior secured convertible promissory notes, net of discount of $1,963,100 at March 31, 2013</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accrued interest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net of discount of $499,300 at March 31, 2012 and accrued interest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discount of $1,142,600 at March 31, 2013 and $228,900 at March 31, 2012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Notes payable to related parties, net of discount of $147,200 at March 31, 2013 and $24,300 at</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2012 and accrued interest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officers’ compensation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11,023,600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13,437,900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Preferred stock, $0.001 par value; 10,000,000 shares, including 500,000 Series A shares, authorized</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March 31, 2013 and 2012; 500,000 and 437,055 Series A shares issued and outstanding at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2013 and 2012, respectively</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$0.001 par value; 200,000,000 shares authorized at March 31, 2013 and 2012;</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23,480,169 and 18,704,267 shares issued at March 31, 2013 and March 31, 2012,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59,266,000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52,539,50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Treasury stock, at cost, 2,713,308 and 2,083,858 shares of common stock held at March 31, 2013</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March 31, 2012,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(3,968,100)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receivable from sale of common stock</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accumulated during development stage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(67,669,200)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(12,556,400)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(5,705,60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881,500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14" w:right="1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4"/>
        </w:trPr>
        <w:tc>
          <w:tcPr>
            <w:tcW w:w="72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6160" w:type="dxa"/>
            <w:vAlign w:val="bottom"/>
          </w:tcPr>
          <w:p>
            <w:pPr>
              <w:jc w:val="center"/>
              <w:ind w:left="295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60" w:type="dxa"/>
            <w:vAlign w:val="bottom"/>
          </w:tcPr>
          <w:p>
            <w:pPr>
              <w:jc w:val="center"/>
              <w:ind w:left="2932"/>
              <w:spacing w:after="0"/>
              <w:rPr>
                <w:sz w:val="20"/>
                <w:szCs w:val="20"/>
                <w:color w:val="auto"/>
              </w:rPr>
            </w:pPr>
            <w:r>
              <w:rPr>
                <w:rFonts w:ascii="Times New Roman" w:cs="Times New Roman" w:eastAsia="Times New Roman" w:hAnsi="Times New Roman"/>
                <w:sz w:val="18"/>
                <w:szCs w:val="18"/>
                <w:b w:val="1"/>
                <w:bCs w:val="1"/>
                <w:color w:val="auto"/>
                <w:w w:val="98"/>
              </w:rPr>
              <w:t>(a development stage company)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960" w:type="dxa"/>
            <w:vAlign w:val="bottom"/>
            <w:gridSpan w:val="7"/>
          </w:tcPr>
          <w:p>
            <w:pPr>
              <w:jc w:val="center"/>
              <w:ind w:left="1152"/>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 AND COMPREHENSIVE 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20" w:type="dxa"/>
            <w:vAlign w:val="bottom"/>
            <w:gridSpan w:val="5"/>
          </w:tcPr>
          <w:p>
            <w:pPr>
              <w:jc w:val="center"/>
              <w:ind w:left="1492"/>
              <w:spacing w:after="0"/>
              <w:rPr>
                <w:sz w:val="20"/>
                <w:szCs w:val="20"/>
                <w:color w:val="auto"/>
              </w:rPr>
            </w:pPr>
            <w:r>
              <w:rPr>
                <w:rFonts w:ascii="Times New Roman" w:cs="Times New Roman" w:eastAsia="Times New Roman" w:hAnsi="Times New Roman"/>
                <w:sz w:val="18"/>
                <w:szCs w:val="18"/>
                <w:b w:val="1"/>
                <w:bCs w:val="1"/>
                <w:color w:val="auto"/>
                <w:w w:val="98"/>
              </w:rPr>
              <w:t>(Amounts in dollars, except share and per share amounts)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Fiscal Years Ended March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200,400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1,342,200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12,963,100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16,370,200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3,430,800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5,388,600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29,555,700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30,681,100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6,993,500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10,385,600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(6,793,100)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(9,043,400)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(51,389,800)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(1,893,200)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(10,362,200)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warrant and put and note extension option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(1,635,800)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(1,217,300)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(3,567,800)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(4,761,300)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(12,883,000)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(12,207,900)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(67,648,700)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(12,886,700)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(12,209,500)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(67,669,200)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(10,193,200)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(10,193,200)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(23,079,900)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(12,209,500)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(77,862,400)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 share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26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common stockholders per common share</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18,108,444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14,736,651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6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(12,886,700)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(12,209,500)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(67,669,200)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20" w:type="dxa"/>
            <w:vAlign w:val="bottom"/>
            <w:gridSpan w:val="5"/>
          </w:tcPr>
          <w:p>
            <w:pPr>
              <w:jc w:val="center"/>
              <w:ind w:left="1492"/>
              <w:spacing w:after="0"/>
              <w:rPr>
                <w:sz w:val="20"/>
                <w:szCs w:val="20"/>
                <w:color w:val="auto"/>
              </w:rPr>
            </w:pPr>
            <w:r>
              <w:rPr>
                <w:rFonts w:ascii="Times New Roman" w:cs="Times New Roman" w:eastAsia="Times New Roman" w:hAnsi="Times New Roman"/>
                <w:sz w:val="18"/>
                <w:szCs w:val="18"/>
                <w:color w:val="auto"/>
                <w:w w:val="98"/>
              </w:rPr>
              <w:t>See accompanying notes to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60" w:type="dxa"/>
            <w:vAlign w:val="bottom"/>
          </w:tcPr>
          <w:p>
            <w:pPr>
              <w:jc w:val="center"/>
              <w:ind w:left="2952"/>
              <w:spacing w:after="0"/>
              <w:rPr>
                <w:sz w:val="20"/>
                <w:szCs w:val="20"/>
                <w:color w:val="auto"/>
              </w:rPr>
            </w:pPr>
            <w:r>
              <w:rPr>
                <w:rFonts w:ascii="Times New Roman" w:cs="Times New Roman" w:eastAsia="Times New Roman" w:hAnsi="Times New Roman"/>
                <w:sz w:val="18"/>
                <w:szCs w:val="18"/>
                <w:color w:val="auto"/>
                <w:w w:val="95"/>
              </w:rPr>
              <w:t>F-4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1" w:name="page152"/>
    <w:bookmarkEnd w:id="151"/>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Period From</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(12,886,700)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(12,209,500)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(67,669,200)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imputed discount on non-interest bearing notes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 on 7%, 7.5% and 10%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discounts on Platinum notes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909,000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 on August 2010 short-term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discounts on February 2012 12% convertible notes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3,567,800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1,193,500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settlements of accounts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Change in warrant and put and note term extension option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1,635,800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1,241,300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1,591,300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related to modification of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741,700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C preferred stock, common stock,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for 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 granted for services prior to the Merger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2,225,500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granted for services following the Merger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452,000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granted for services and interest following the Merger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564,500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additional warrants granted pursuant to exercises of modified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(fiscal year 2013) and under Discounted Warrant Exercise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(fiscal year 2012)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138,100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 issued for note term modification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note receivable for stock purchase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Consulting services by related parties settled by issuing promissory notes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contract payments receivable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1,432,200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15,918,500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(65,600)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(3,565,800)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(20,971,700)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equipment,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(135,400)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units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1,185,100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2,679,200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preferred stock and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modified warrants (fiscal 2013) and under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Discounted Warrant Exercise Program (fiscal 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1,166,300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notes under line of credit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7% note payable to founding stockholder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7% convertible notes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10% convertible notes and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Platinum notes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3,222,100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2008/2010 notes and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2006/2007 notes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7% notes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August 2010 short-term notes and warrants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issuance of February 2012 12% convertible notes and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466,500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(757,600)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3,539,900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638,100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225,900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665,600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20,481</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3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8" w:orient="portrait"/>
          <w:cols w:equalWidth="0" w:num="1">
            <w:col w:w="11420"/>
          </w:cols>
          <w:pgMar w:left="240" w:top="124" w:right="239" w:bottom="0"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360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Period From</w:t>
            </w:r>
          </w:p>
        </w:tc>
      </w:tr>
      <w:tr>
        <w:trPr>
          <w:trHeight w:val="212"/>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r>
      <w:tr>
        <w:trPr>
          <w:trHeight w:val="212"/>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r>
      <w:tr>
        <w:trPr>
          <w:trHeight w:val="212"/>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39"/>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19"/>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9"/>
                <w:szCs w:val="19"/>
                <w:color w:val="auto"/>
              </w:rPr>
            </w:pP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Forgiveness of accrued compensation and accrued 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officers transferred to equity</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and options in exchange for debt cancellation</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accrued and prepaid interest by issuance of</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10% notes payable, net of discount, and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related accrued interest of $408,600 into Series C Preferred stock</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2,050,300</w:t>
            </w:r>
          </w:p>
        </w:tc>
        <w:tc>
          <w:tcPr>
            <w:tcW w:w="100" w:type="dxa"/>
            <w:vAlign w:val="bottom"/>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B-1 Preferred stock for acquired in-process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shd w:val="clear" w:color="auto" w:fill="CCEEFF"/>
          </w:tcPr>
          <w:p>
            <w:pPr>
              <w:spacing w:after="0"/>
              <w:rPr>
                <w:sz w:val="18"/>
                <w:szCs w:val="18"/>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7% notes payable, net of discount, and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related accrued interest of $3,800 into Series B Preferred stock</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508,000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accounts payable into convertible promissory notes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893,700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accounts payable into note payable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1,558,500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4,368,800</w:t>
            </w: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accounts payable into common stock</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275,400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1,927,300</w:t>
            </w:r>
          </w:p>
        </w:tc>
        <w:tc>
          <w:tcPr>
            <w:tcW w:w="100" w:type="dxa"/>
            <w:vAlign w:val="bottom"/>
            <w:shd w:val="clear" w:color="auto" w:fill="CCEEFF"/>
          </w:tcPr>
          <w:p>
            <w:pPr>
              <w:spacing w:after="0"/>
              <w:rPr>
                <w:sz w:val="18"/>
                <w:szCs w:val="18"/>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accrued interest on convertible promissory</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notes into common stock</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921,400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sale of common stock to related parties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exercise of options and warrants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put option and note term extension option liabilities upon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Original Platinum Notes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Incremental fair value of put option and note term extension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 liabilities from debt modifications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479,400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fair value of note conversion option from debt modification</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1,891,200</w:t>
            </w: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Incremental fair value of warrant from debt modifications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276,700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warrant liability upon adoption of new accounting standard</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with August 2010 short term notes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discount upon issuance of August 2010 short term notes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with February 2012 12 % convertible notes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discount upon issuance of February 2012 12% convertible notes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2006/2007 and 2008/2010 Notes into Units,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including accrued interest of $1,365,600</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6,174,800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6,174,800</w:t>
            </w:r>
          </w:p>
        </w:tc>
        <w:tc>
          <w:tcPr>
            <w:tcW w:w="100" w:type="dxa"/>
            <w:vAlign w:val="bottom"/>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all series of pre-Merger preferred stock into Units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14,534,800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14,534,800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2011 Platinum Note into Series A Preferred stock,</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including accrued interest of $611,100 and conversion premium</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5,763,900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5,763,900</w:t>
            </w:r>
          </w:p>
        </w:tc>
        <w:tc>
          <w:tcPr>
            <w:tcW w:w="100" w:type="dxa"/>
            <w:vAlign w:val="bottom"/>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7% note payable and accrued interest of $11,500 into common stock and warrants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 of accounts payable to Morrison &amp; Foerster, McCarthy Tetrault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and Desjardins into notes payable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1,603,400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1,603,400</w:t>
            </w:r>
          </w:p>
        </w:tc>
        <w:tc>
          <w:tcPr>
            <w:tcW w:w="100" w:type="dxa"/>
            <w:vAlign w:val="bottom"/>
          </w:tcPr>
          <w:p>
            <w:pPr>
              <w:spacing w:after="0"/>
              <w:rPr>
                <w:sz w:val="20"/>
                <w:szCs w:val="20"/>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cancellation premium converted into 2011 Private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Units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Cato Holding Company note converted to note payable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settled in December 2011 and May/June 2012 warrant exercises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267,600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280,100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110,100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accrued interest and fees on February 2012 Notes into 2012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Units</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92,900</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Accrued interest on July and August 2012 Notes to Platinum converted into</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Note</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settled by issuance of stock or notes payable and stock</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104,900</w:t>
            </w:r>
          </w:p>
        </w:tc>
      </w:tr>
      <w:tr>
        <w:trPr>
          <w:trHeight w:val="21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converted into 2012 Private Placement Units</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warrant liability upon issuance to Platinum of October 2012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Note and October 2012, February 2013 and March 2013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Notes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1,690,000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1,690,000</w:t>
            </w:r>
          </w:p>
        </w:tc>
        <w:tc>
          <w:tcPr>
            <w:tcW w:w="100" w:type="dxa"/>
            <w:vAlign w:val="bottom"/>
            <w:shd w:val="clear" w:color="auto" w:fill="CCEEFF"/>
          </w:tcPr>
          <w:p>
            <w:pPr>
              <w:spacing w:after="0"/>
              <w:rPr>
                <w:sz w:val="18"/>
                <w:szCs w:val="18"/>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Recognition of warrant liability for potential issuance to Platinum of Series 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Exchange Warrant under the terms of the October 2012 Agreement</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3,068,200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3,068,200</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PREFERRED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May 26, 1998 (inception) through March 31,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Series B-1</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Series C</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Preferred</w:t>
            </w: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Preferred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r>
      <w:tr>
        <w:trPr>
          <w:trHeight w:val="239"/>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May 26, 1998 (inception)</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Issuance of Series A preferred stock</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$2.302 per share for cash, net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costs of $24,000</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964,200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964,200</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2000</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964,200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964,200</w:t>
            </w:r>
          </w:p>
        </w:tc>
      </w:tr>
      <w:tr>
        <w:trPr>
          <w:trHeight w:val="194"/>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Issuance of Series A preferred stock</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$2.302 per share for cash, net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costs of $5,500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$5.545 per share for cash,</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conversion of $575,000 face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7% convertible notes plus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of $3,800, net of</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 of $70,800 and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of $39,800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316,282</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2001</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748,212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1,643,300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$5.545 per share for cash, net of</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of $97,200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199,286</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2002 and 2003</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2,651,100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3,615,800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B-1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$5.545 for acquired in-process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1,356,750</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2004</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2,304,248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2,651,100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7,523,200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11,139,000</w:t>
            </w: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C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$6.00 per share for cash, including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$1,655,000 face value of</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convertible notes plus accrued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7"/>
              </w:rPr>
              <w:t>interest of $408,600, net of unamortized note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of $13,200</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issuance costs of $27,200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2,301,500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2,301,500</w:t>
            </w:r>
          </w:p>
        </w:tc>
        <w:tc>
          <w:tcPr>
            <w:tcW w:w="10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Proceeds allocated to warrants issued in</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 Series C preferred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(25,500)</w:t>
            </w: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2005</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964,700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2,651,100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13,415,000</w:t>
            </w:r>
          </w:p>
        </w:tc>
        <w:tc>
          <w:tcPr>
            <w:tcW w:w="10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Issuance of Series C preferred stock</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$6.00 per share for cash, net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costs of $20,700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143,331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839,300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839,300</w:t>
            </w: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C preferred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$6.00 per share for services and in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interest on line of credit</w:t>
            </w: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280,500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280,500</w:t>
            </w:r>
          </w:p>
        </w:tc>
      </w:tr>
      <w:tr>
        <w:trPr>
          <w:trHeight w:val="194"/>
        </w:trPr>
        <w:tc>
          <w:tcPr>
            <w:tcW w:w="20" w:type="dxa"/>
            <w:vAlign w:val="bottom"/>
          </w:tcPr>
          <w:p>
            <w:pPr>
              <w:spacing w:after="0"/>
              <w:rPr>
                <w:sz w:val="16"/>
                <w:szCs w:val="16"/>
                <w:color w:val="auto"/>
              </w:rPr>
            </w:pPr>
          </w:p>
        </w:tc>
        <w:tc>
          <w:tcPr>
            <w:tcW w:w="320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color w:val="auto"/>
              </w:rPr>
              <w:t>Balances at March 31, 2006 through</w:t>
            </w: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2011</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2,884,655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2,651,100</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7,523,200</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3,395,800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14,534,800</w:t>
            </w:r>
          </w:p>
        </w:tc>
      </w:tr>
      <w:tr>
        <w:trPr>
          <w:trHeight w:val="194"/>
        </w:trPr>
        <w:tc>
          <w:tcPr>
            <w:tcW w:w="20" w:type="dxa"/>
            <w:vAlign w:val="bottom"/>
          </w:tcPr>
          <w:p>
            <w:pPr>
              <w:spacing w:after="0"/>
              <w:rPr>
                <w:sz w:val="16"/>
                <w:szCs w:val="16"/>
                <w:color w:val="auto"/>
              </w:rPr>
            </w:pPr>
          </w:p>
        </w:tc>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Conversion of all series of preferred stock</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into VistaGen common stock in</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 the Merger</w:t>
            </w: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(2,884,655)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(964,700)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(2,651,100)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(7,523,200)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(3,395,800)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(14,534,800)</w:t>
            </w:r>
          </w:p>
        </w:tc>
      </w:tr>
      <w:tr>
        <w:trPr>
          <w:trHeight w:val="212"/>
        </w:trPr>
        <w:tc>
          <w:tcPr>
            <w:tcW w:w="20" w:type="dxa"/>
            <w:vAlign w:val="bottom"/>
          </w:tcPr>
          <w:p>
            <w:pPr>
              <w:spacing w:after="0"/>
              <w:rPr>
                <w:sz w:val="18"/>
                <w:szCs w:val="18"/>
                <w:color w:val="auto"/>
              </w:rPr>
            </w:pPr>
          </w:p>
        </w:tc>
        <w:tc>
          <w:tcPr>
            <w:tcW w:w="3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at March 31, 2012 and 2013</w:t>
            </w: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gridSpan w:val="13"/>
          </w:tcPr>
          <w:p>
            <w:pPr>
              <w:jc w:val="right"/>
              <w:ind w:right="9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May 26, 1998 (inception) through March 31,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and per share amounts)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Notes</w:t>
            </w:r>
          </w:p>
        </w:tc>
        <w:tc>
          <w:tcPr>
            <w:tcW w:w="80" w:type="dxa"/>
            <w:vAlign w:val="bottom"/>
          </w:tcPr>
          <w:p>
            <w:pPr>
              <w:spacing w:after="0"/>
              <w:rPr>
                <w:sz w:val="17"/>
                <w:szCs w:val="17"/>
                <w:color w:val="auto"/>
              </w:rPr>
            </w:pPr>
          </w:p>
        </w:tc>
        <w:tc>
          <w:tcPr>
            <w:tcW w:w="10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Deficit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Series A Preferred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During the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20"/>
                <w:szCs w:val="20"/>
                <w:color w:val="auto"/>
              </w:rPr>
            </w:pP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26, 1998</w:t>
            </w: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(inception)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Initial sale of</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cash to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Founder</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Effect of the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Merger</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1,569,000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1,600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1999</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(230,900)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1999</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2,600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Sale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cash</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for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104,375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2,877,375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83,900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(930,900)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(844,100)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Common stock issued upon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1999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14,000</w:t>
            </w: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0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Proceeds allocated to warrants</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 convertible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91,200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2001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(1,809,000)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2,991,375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3,000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225,700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(2,739,900)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Common stock issued upon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1,511</w:t>
            </w: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33,100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Proceeds allocated to warrants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in connection with</w:t>
      </w:r>
    </w:p>
    <w:p>
      <w:pPr>
        <w:sectPr>
          <w:pgSz w:w="11900" w:h="16838" w:orient="portrait"/>
          <w:cols w:equalWidth="0" w:num="1">
            <w:col w:w="11420"/>
          </w:cols>
          <w:pgMar w:left="240" w:top="124" w:right="239" w:bottom="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convertible</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 fiscal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2002</w:t>
            </w:r>
          </w:p>
        </w:tc>
        <w:tc>
          <w:tcPr>
            <w:tcW w:w="66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at</w:t>
            </w: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2002</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2,992,886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upon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allocated to warrants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convertible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2003</w:t>
            </w:r>
          </w:p>
        </w:tc>
        <w:tc>
          <w:tcPr>
            <w:tcW w:w="760" w:type="dxa"/>
            <w:vAlign w:val="bottom"/>
            <w:gridSpan w:val="2"/>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76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2003</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3,007,886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upon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allocated to warrants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convertible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2004</w:t>
            </w:r>
          </w:p>
        </w:tc>
        <w:tc>
          <w:tcPr>
            <w:tcW w:w="760" w:type="dxa"/>
            <w:vAlign w:val="bottom"/>
            <w:gridSpan w:val="2"/>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76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2004</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3,010,811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upon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10,708</w:t>
            </w: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allocated to warrants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C preferred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2005</w:t>
            </w:r>
          </w:p>
        </w:tc>
        <w:tc>
          <w:tcPr>
            <w:tcW w:w="760" w:type="dxa"/>
            <w:vAlign w:val="bottom"/>
            <w:gridSpan w:val="2"/>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76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2005</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3,021,519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upon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14,604</w:t>
            </w: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2006</w:t>
            </w:r>
          </w:p>
        </w:tc>
        <w:tc>
          <w:tcPr>
            <w:tcW w:w="760" w:type="dxa"/>
            <w:vAlign w:val="bottom"/>
            <w:gridSpan w:val="2"/>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76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2006</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3,036,123</w:t>
            </w:r>
          </w:p>
        </w:tc>
        <w:tc>
          <w:tcPr>
            <w:tcW w:w="220" w:type="dxa"/>
            <w:vAlign w:val="bottom"/>
          </w:tcPr>
          <w:p>
            <w:pPr>
              <w:spacing w:after="0"/>
              <w:rPr>
                <w:sz w:val="20"/>
                <w:szCs w:val="20"/>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(continued)</w:t>
            </w:r>
          </w:p>
        </w:tc>
        <w:tc>
          <w:tcPr>
            <w:tcW w:w="76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358"/>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-9337040</wp:posOffset>
            </wp:positionV>
            <wp:extent cx="7249160" cy="269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91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-8933180</wp:posOffset>
            </wp:positionV>
            <wp:extent cx="7249160" cy="5391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-7990205</wp:posOffset>
            </wp:positionV>
            <wp:extent cx="7249160" cy="539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-7164705</wp:posOffset>
            </wp:positionV>
            <wp:extent cx="7249160" cy="134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-6760845</wp:posOffset>
            </wp:positionV>
            <wp:extent cx="7249160" cy="134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-6087110</wp:posOffset>
            </wp:positionV>
            <wp:extent cx="7249160" cy="4038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-4723130</wp:posOffset>
            </wp:positionV>
            <wp:extent cx="7249160" cy="269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91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-4319270</wp:posOffset>
            </wp:positionV>
            <wp:extent cx="7249160" cy="5391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-3241675</wp:posOffset>
            </wp:positionV>
            <wp:extent cx="7249160" cy="403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-2550795</wp:posOffset>
            </wp:positionV>
            <wp:extent cx="7249160" cy="134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-2146935</wp:posOffset>
            </wp:positionV>
            <wp:extent cx="7249160" cy="134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-1473200</wp:posOffset>
            </wp:positionV>
            <wp:extent cx="7249160" cy="403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-782955</wp:posOffset>
            </wp:positionV>
            <wp:extent cx="7249160" cy="134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-9758045</wp:posOffset>
            </wp:positionV>
            <wp:extent cx="7249160" cy="286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91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-5144135</wp:posOffset>
            </wp:positionV>
            <wp:extent cx="7249160" cy="286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9160" cy="286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64770</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7,300</w:t>
            </w:r>
          </w:p>
        </w:tc>
        <w:tc>
          <w:tcPr>
            <w:tcW w:w="480" w:type="dxa"/>
            <w:vAlign w:val="bottom"/>
          </w:tcPr>
          <w:p>
            <w:pPr>
              <w:spacing w:after="0"/>
              <w:rPr>
                <w:sz w:val="20"/>
                <w:szCs w:val="20"/>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7,300</w:t>
            </w:r>
          </w:p>
        </w:tc>
      </w:tr>
      <w:tr>
        <w:trPr>
          <w:trHeight w:val="635"/>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(2,113,000)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(2,113,000)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266,600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(4,852,900)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(4,583,300)</w:t>
            </w:r>
          </w:p>
        </w:tc>
      </w:tr>
      <w:tr>
        <w:trPr>
          <w:trHeight w:val="106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46,500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46,500</w:t>
            </w:r>
          </w:p>
        </w:tc>
      </w:tr>
      <w:tr>
        <w:trPr>
          <w:trHeight w:val="849"/>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86,800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86,800</w:t>
            </w:r>
          </w:p>
        </w:tc>
      </w:tr>
      <w:tr>
        <w:trPr>
          <w:trHeight w:val="423"/>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(502,600)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(502,600)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404,900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(5,355,500)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(4,947,600)</w:t>
            </w:r>
          </w:p>
        </w:tc>
      </w:tr>
      <w:tr>
        <w:trPr>
          <w:trHeight w:val="106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r>
      <w:tr>
        <w:trPr>
          <w:trHeight w:val="849"/>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60" w:type="dxa"/>
            <w:vAlign w:val="bottom"/>
          </w:tcPr>
          <w:p>
            <w:pPr>
              <w:spacing w:after="0"/>
              <w:rPr>
                <w:sz w:val="24"/>
                <w:szCs w:val="24"/>
                <w:color w:val="auto"/>
              </w:rPr>
            </w:pPr>
          </w:p>
        </w:tc>
      </w:tr>
      <w:tr>
        <w:trPr>
          <w:trHeight w:val="423"/>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(8,755,500)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(8,755,500)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419,100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(14,111,000)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(13,688,900)</w:t>
            </w:r>
          </w:p>
        </w:tc>
      </w:tr>
      <w:tr>
        <w:trPr>
          <w:trHeight w:val="106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4,800</w:t>
            </w:r>
          </w:p>
        </w:tc>
      </w:tr>
      <w:tr>
        <w:trPr>
          <w:trHeight w:val="849"/>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25,500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25,500</w:t>
            </w: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r>
      <w:tr>
        <w:trPr>
          <w:trHeight w:val="423"/>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(1,082,800)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(1,082,800)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450,900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(15,193,800)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(14,739,900)</w:t>
            </w:r>
          </w:p>
        </w:tc>
      </w:tr>
      <w:tr>
        <w:trPr>
          <w:trHeight w:val="1061"/>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6,600</w:t>
            </w: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3,300</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3,300</w:t>
            </w:r>
          </w:p>
        </w:tc>
      </w:tr>
      <w:tr>
        <w:trPr>
          <w:trHeight w:val="423"/>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(1,772,100)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(1,772,100)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6"/>
        </w:trPr>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u w:val="single" w:color="auto"/>
                <w:color w:val="auto"/>
                <w:w w:val="95"/>
              </w:rPr>
              <w:t>460,800</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 (16,965,900)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(16,502,100)</w:t>
            </w:r>
          </w:p>
        </w:tc>
      </w:tr>
      <w:tr>
        <w:trPr>
          <w:trHeight w:val="27"/>
        </w:trPr>
        <w:tc>
          <w:tcPr>
            <w:tcW w:w="7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-6819265</wp:posOffset>
            </wp:positionV>
            <wp:extent cx="57277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2770" cy="1714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-2205355</wp:posOffset>
            </wp:positionV>
            <wp:extent cx="57277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2770" cy="1714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-436880</wp:posOffset>
            </wp:positionV>
            <wp:extent cx="57277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2770" cy="17145"/>
                    </a:xfrm>
                    <a:prstGeom prst="rect">
                      <a:avLst/>
                    </a:prstGeom>
                    <a:noFill/>
                  </pic:spPr>
                </pic:pic>
              </a:graphicData>
            </a:graphic>
          </wp:anchor>
        </w:drawing>
      </w:r>
    </w:p>
    <w:p>
      <w:pPr>
        <w:sectPr>
          <w:pgSz w:w="11900" w:h="16838" w:orient="portrait"/>
          <w:cols w:equalWidth="0" w:num="2">
            <w:col w:w="5840" w:space="220"/>
            <w:col w:w="5320"/>
          </w:cols>
          <w:pgMar w:left="240" w:top="121" w:right="279" w:bottom="342"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May 26, 1998 (inception) through March 31,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and per share amounts)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7"/>
              </w:rPr>
              <w:t>Deficit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During</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2006</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3,036,123</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3,000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460,800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(16,965,900)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(16,502,100)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stock issued upon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1999 Stock Incentive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and warrants for: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33,465</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Debt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cancellation</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108,418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204,498</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(149,800)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Sale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cash</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Forgiveness of accrued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2007</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(1,999,800)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(1,999,800)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2007</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3,392,504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3,400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1,664,500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(18,965,700)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(17,447,600)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stock issued upon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exercise of options from 1999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issued upon</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employment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20,000</w:t>
            </w: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247,600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247,600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Proceeds allocated to warrants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in connection with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Platinum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2008</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(5,446,700)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(5,446,700)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2008</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3,414,738</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3,400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(24,412,400)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(22,167,000)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stock issued upon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exercise of options from 2008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and Scientific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Advisory Plan</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Proceeds allocated to warrants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in connection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Platinum Notes 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 fair value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warrant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reverse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split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2009</w:t>
            </w:r>
          </w:p>
        </w:tc>
        <w:tc>
          <w:tcPr>
            <w:tcW w:w="68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3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2009</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3,418,232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405"/>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adopting new</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standard</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upon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issued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cancellation of accounts payable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accrued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1,646,792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2"/>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Incremental fair value of note conversion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from</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2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Fair value of warrants issued for services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issued in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 Notes</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2010</w:t>
            </w:r>
          </w:p>
        </w:tc>
        <w:tc>
          <w:tcPr>
            <w:tcW w:w="68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3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2010</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5,241,110</w:t>
            </w:r>
          </w:p>
        </w:tc>
        <w:tc>
          <w:tcPr>
            <w:tcW w:w="220" w:type="dxa"/>
            <w:vAlign w:val="bottom"/>
          </w:tcPr>
          <w:p>
            <w:pPr>
              <w:spacing w:after="0"/>
              <w:rPr>
                <w:sz w:val="20"/>
                <w:szCs w:val="20"/>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(continued)</w:t>
            </w: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31"/>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72,700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23"/>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(4,696,200)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(4,696,200)</w:t>
            </w:r>
          </w:p>
        </w:tc>
      </w:tr>
      <w:tr>
        <w:trPr>
          <w:trHeight w:val="27"/>
        </w:trPr>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7"/>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2,588,200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(166,900)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(29,108,600)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(26,683,900)</w:t>
            </w:r>
          </w:p>
        </w:tc>
      </w:tr>
      <w:tr>
        <w:trPr>
          <w:trHeight w:val="1273"/>
        </w:trPr>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(293,700)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142,300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(151,400)</w:t>
            </w:r>
          </w:p>
        </w:tc>
      </w:tr>
      <w:tr>
        <w:trPr>
          <w:trHeight w:val="84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84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2,468,600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2,470,200</w:t>
            </w:r>
          </w:p>
        </w:tc>
        <w:tc>
          <w:tcPr>
            <w:tcW w:w="60" w:type="dxa"/>
            <w:vAlign w:val="bottom"/>
          </w:tcPr>
          <w:p>
            <w:pPr>
              <w:spacing w:after="0"/>
              <w:rPr>
                <w:sz w:val="24"/>
                <w:szCs w:val="24"/>
                <w:color w:val="auto"/>
              </w:rPr>
            </w:pPr>
          </w:p>
        </w:tc>
      </w:tr>
      <w:tr>
        <w:trPr>
          <w:trHeight w:val="84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828,500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262,500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668,500</w:t>
            </w:r>
          </w:p>
        </w:tc>
      </w:tr>
      <w:tr>
        <w:trPr>
          <w:trHeight w:val="1061"/>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110,100</w:t>
            </w:r>
          </w:p>
        </w:tc>
      </w:tr>
      <w:tr>
        <w:trPr>
          <w:trHeight w:val="849"/>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291,200</w:t>
            </w: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(8,400)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423"/>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(4,124,500)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(4,124,500)</w:t>
            </w:r>
          </w:p>
        </w:tc>
      </w:tr>
      <w:tr>
        <w:trPr>
          <w:trHeight w:val="27"/>
        </w:trPr>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3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$ 6,923,800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(175,300)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 (33,090,800)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(26,337,100)</w:t>
            </w:r>
          </w:p>
        </w:tc>
      </w:tr>
      <w:tr>
        <w:trPr>
          <w:trHeight w:val="27"/>
        </w:trPr>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-7458710</wp:posOffset>
            </wp:positionV>
            <wp:extent cx="7249160" cy="4038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-6650355</wp:posOffset>
            </wp:positionV>
            <wp:extent cx="7249160" cy="403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-5960110</wp:posOffset>
            </wp:positionV>
            <wp:extent cx="7249160" cy="134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-5556250</wp:posOffset>
            </wp:positionV>
            <wp:extent cx="7249160" cy="134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-4747895</wp:posOffset>
            </wp:positionV>
            <wp:extent cx="7249160" cy="5391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-3670300</wp:posOffset>
            </wp:positionV>
            <wp:extent cx="7249160" cy="5391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-2727325</wp:posOffset>
            </wp:positionV>
            <wp:extent cx="7249160" cy="403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9160" cy="40386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-1649730</wp:posOffset>
            </wp:positionV>
            <wp:extent cx="7249160" cy="5391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9160" cy="53911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-706755</wp:posOffset>
            </wp:positionV>
            <wp:extent cx="7249160" cy="286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9160" cy="28638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-285750</wp:posOffset>
            </wp:positionV>
            <wp:extent cx="7249160" cy="286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9160" cy="28638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80010</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520" w:space="80"/>
            <w:col w:w="5780"/>
          </w:cols>
          <w:pgMar w:left="240" w:top="121" w:right="27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84"/>
        </w:trPr>
        <w:tc>
          <w:tcPr>
            <w:tcW w:w="218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80" w:type="dxa"/>
            <w:vAlign w:val="bottom"/>
            <w:gridSpan w:val="13"/>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13"/>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 development stage company)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gridSpan w:val="1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STOCKHOLDERS’ DEFICIT (continued)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 from May 26, 1998 (inception) through March 31, 2013</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14"/>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(Amounts in dollars, except share and per share amounts)</w:t>
            </w: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During the</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Borders>
              <w:bottom w:val="single" w:sz="8" w:color="auto"/>
            </w:tcBorders>
            <w:gridSpan w:val="4"/>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w w:val="96"/>
              </w:rPr>
              <w:t>Common Stock</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5,241,110</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$ 6,923,800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(175,300)</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(33,090,800)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(26,337,100)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1,628,800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 interest 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issued in connection with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August 2010 Short-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Notes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252,000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Incremental fair value of note conversion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from</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modification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1,062,800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Net loss for fiscal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year 2011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(9,482,200)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(9,482,200)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2011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5,241,110</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9,867,400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(184,100)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(42,573,000)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(32,884,500)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1,591,300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 interest 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Reclassification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warrant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liability to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424,100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Incremental value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Platinum note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1,070,600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Incremental value of Morrison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&amp; Foerster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warrant modification</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Stock issued in May 2011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net of</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fees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2,216,106</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3,674,000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Payments on note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receivable for sale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9"/>
              </w:rPr>
              <w:t>Stock issued upon conversion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convertible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3,528,290</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6,171,300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6,174,800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Stock issued upon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conversion of all series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2,884,655</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14,531,900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14,534,800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for</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prior to</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Merger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1,371,743</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2,224,100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2,225,500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Forgiveness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notes at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Merger</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Stock issued upon exercise</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modified warrants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(includes Platinum</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3,121,259</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3,426,200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Incremental value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warrant modifications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modification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Platinum warrants)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1,028,900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bonus warrants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Discounted Warrant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Program</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issued in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63,570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111,200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111,300</w:t>
            </w: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Fall 2011 Follow-</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Offering</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Stock issued upon exercise of</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options from the 1999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Incentive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113,979</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issued for</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 the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Merger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155,555</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451,800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564,500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Proceeds allocated to warrants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and beneficial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conversion feature in connection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12% convertible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461,700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Stock issued in</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 note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extension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Stock issued upon</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conversion of</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Platinum Note to</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of Platinum</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exercise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reflected above)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231,090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3,387,700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exchanged for</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under</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agreements with</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Platinum:</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Common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Exchange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750,600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(750,600)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Note and Warrant</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159,985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2,480,900</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(2,481,100)</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Net loss for fiscal</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2012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(12,209,500)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(12,209,500)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2012</w:t>
            </w:r>
          </w:p>
        </w:tc>
        <w:tc>
          <w:tcPr>
            <w:tcW w:w="2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437,055</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18,704,267</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52,539,500</w:t>
            </w: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(3,231,700)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(54,782,500)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(5,705,600)</w:t>
            </w:r>
          </w:p>
        </w:tc>
        <w:tc>
          <w:tcPr>
            <w:tcW w:w="0" w:type="dxa"/>
            <w:vAlign w:val="bottom"/>
          </w:tcPr>
          <w:p>
            <w:pPr>
              <w:spacing w:after="0"/>
              <w:rPr>
                <w:sz w:val="1"/>
                <w:szCs w:val="1"/>
                <w:color w:val="auto"/>
              </w:rPr>
            </w:pPr>
          </w:p>
        </w:tc>
      </w:tr>
      <w:tr>
        <w:trPr>
          <w:trHeight w:val="27"/>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(continued)</w:t>
            </w: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4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3"/>
            <w:vMerge w:val="restart"/>
          </w:tcPr>
          <w:p>
            <w:pPr>
              <w:jc w:val="right"/>
              <w:ind w:right="880"/>
              <w:spacing w:after="0"/>
              <w:rPr>
                <w:sz w:val="20"/>
                <w:szCs w:val="20"/>
                <w:color w:val="auto"/>
              </w:rPr>
            </w:pPr>
            <w:r>
              <w:rPr>
                <w:rFonts w:ascii="Times New Roman" w:cs="Times New Roman" w:eastAsia="Times New Roman" w:hAnsi="Times New Roman"/>
                <w:sz w:val="18"/>
                <w:szCs w:val="18"/>
                <w:color w:val="auto"/>
                <w:w w:val="93"/>
              </w:rPr>
              <w:t>F-10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from May 26, 1998 (inception) through March 31,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and per share amounts)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Notes</w:t>
            </w:r>
          </w:p>
        </w:tc>
        <w:tc>
          <w:tcPr>
            <w:tcW w:w="60" w:type="dxa"/>
            <w:vAlign w:val="bottom"/>
          </w:tcPr>
          <w:p>
            <w:pPr>
              <w:spacing w:after="0"/>
              <w:rPr>
                <w:sz w:val="17"/>
                <w:szCs w:val="17"/>
                <w:color w:val="auto"/>
              </w:rPr>
            </w:pPr>
          </w:p>
        </w:tc>
        <w:tc>
          <w:tcPr>
            <w:tcW w:w="13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7"/>
              </w:rPr>
              <w:t>Deficit</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During the</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Series A Preferred Stock</w:t>
            </w:r>
          </w:p>
        </w:tc>
        <w:tc>
          <w:tcPr>
            <w:tcW w:w="10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Development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Balances at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437,055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18,704,267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$52,539,500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(3,231,700)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(250,000)</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(54,782,500)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(5,705,600)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Share-based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for services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339,600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services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Shares issued upon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exercise of modified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549,056</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274,000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Incremental fair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modified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warrants issued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upon exercise of</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modified warrants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35,900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shares issued in</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103,235</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Common 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exchanged for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A Preferred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2012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 with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Platinum</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736,300</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(736,400)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Payment on note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receivable from sale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stock</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66,900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6"/>
              </w:rPr>
              <w:t>Modification of note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 from sale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stock</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Incremental fair value of</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warrant and fair</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value of warrant issued in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6"/>
              </w:rPr>
              <w:t>Morrison &amp; Foerster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 issued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Cato Holding 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connection with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 issued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Cato Research, Ltd. 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accounts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restructure</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 issued to University</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 Network</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connection with</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264,800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of warrants issued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 Morrison &amp; Foerster,</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Cato Research Ltd. and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University Health Network</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 connection with</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notes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Units in</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2,366,330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Winter 2012 Private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Placement,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for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1,357,281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Fair value of warrants issued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to banker in connection with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Premium of fair value over face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Exchange Note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to Platinum</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Fair value of Series A Exchange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issuable to</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Platinum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recorded as 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1"/>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31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9"/>
              </w:rPr>
              <w:t>Proceeds allocated to beneficial conversion</w:t>
            </w: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1"/>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feature of</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4"/>
        </w:trPr>
        <w:tc>
          <w:tcPr>
            <w:tcW w:w="20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Investment Notes issued to</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Platinum in October 2012,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1"/>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March 2013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Incremental fair value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modifications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 fiscal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year 2013</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ind w:left="200"/>
        <w:spacing w:after="0"/>
        <w:tabs>
          <w:tab w:leader="none" w:pos="1940" w:val="left"/>
          <w:tab w:leader="none" w:pos="3060" w:val="left"/>
          <w:tab w:leader="none" w:pos="4400" w:val="left"/>
          <w:tab w:leader="none" w:pos="5000" w:val="left"/>
        </w:tabs>
        <w:rPr>
          <w:sz w:val="20"/>
          <w:szCs w:val="20"/>
          <w:color w:val="auto"/>
        </w:rPr>
      </w:pPr>
      <w:r>
        <w:rPr>
          <w:rFonts w:ascii="Times New Roman" w:cs="Times New Roman" w:eastAsia="Times New Roman" w:hAnsi="Times New Roman"/>
          <w:sz w:val="18"/>
          <w:szCs w:val="18"/>
          <w:color w:val="auto"/>
        </w:rPr>
        <w:t>1,246,600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1,249,000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284480</wp:posOffset>
            </wp:positionV>
            <wp:extent cx="7249160" cy="5391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916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tabs>
          <w:tab w:leader="none" w:pos="1940" w:val="left"/>
          <w:tab w:leader="none" w:pos="3060" w:val="left"/>
          <w:tab w:leader="none" w:pos="4400" w:val="left"/>
          <w:tab w:leader="none" w:pos="5000" w:val="left"/>
        </w:tabs>
        <w:rPr>
          <w:sz w:val="20"/>
          <w:szCs w:val="20"/>
          <w:color w:val="auto"/>
        </w:rPr>
      </w:pPr>
      <w:r>
        <w:rPr>
          <w:rFonts w:ascii="Times New Roman" w:cs="Times New Roman" w:eastAsia="Times New Roman" w:hAnsi="Times New Roman"/>
          <w:sz w:val="18"/>
          <w:szCs w:val="18"/>
          <w:color w:val="auto"/>
        </w:rPr>
        <w:t>1,214,200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1,215,600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31"/>
        </w:trPr>
        <w:tc>
          <w:tcPr>
            <w:tcW w:w="12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28,200</w:t>
            </w: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w:t>
            </w:r>
          </w:p>
        </w:tc>
      </w:tr>
      <w:tr>
        <w:trPr>
          <w:trHeight w:val="636"/>
        </w:trPr>
        <w:tc>
          <w:tcPr>
            <w:tcW w:w="12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94"/>
              </w:rPr>
              <w:t>1,083,200</w:t>
            </w: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-403860</wp:posOffset>
            </wp:positionV>
            <wp:extent cx="7249160" cy="403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9160"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spacing w:after="0"/>
        <w:tabs>
          <w:tab w:leader="none" w:pos="1940" w:val="left"/>
          <w:tab w:leader="none" w:pos="3060" w:val="left"/>
          <w:tab w:leader="none" w:pos="4400" w:val="left"/>
          <w:tab w:leader="none" w:pos="4960" w:val="left"/>
        </w:tabs>
        <w:rPr>
          <w:sz w:val="20"/>
          <w:szCs w:val="20"/>
          <w:color w:val="auto"/>
        </w:rPr>
      </w:pPr>
      <w:r>
        <w:rPr>
          <w:rFonts w:ascii="Times New Roman" w:cs="Times New Roman" w:eastAsia="Times New Roman" w:hAnsi="Times New Roman"/>
          <w:sz w:val="18"/>
          <w:szCs w:val="18"/>
          <w:color w:val="auto"/>
        </w:rPr>
        <w:t>(3,068,200)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(3,068,200)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wp:posOffset>
            </wp:positionV>
            <wp:extent cx="7249160" cy="808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9160"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958,500</w:t>
            </w:r>
          </w:p>
        </w:tc>
        <w:tc>
          <w:tcPr>
            <w:tcW w:w="60" w:type="dxa"/>
            <w:vAlign w:val="bottom"/>
          </w:tcPr>
          <w:p>
            <w:pPr>
              <w:spacing w:after="0"/>
              <w:rPr>
                <w:sz w:val="20"/>
                <w:szCs w:val="20"/>
                <w:color w:val="auto"/>
              </w:rPr>
            </w:pPr>
          </w:p>
        </w:tc>
      </w:tr>
      <w:tr>
        <w:trPr>
          <w:trHeight w:val="636"/>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67,500</w:t>
            </w:r>
          </w:p>
        </w:tc>
      </w:tr>
      <w:tr>
        <w:trPr>
          <w:trHeight w:val="423"/>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(12,886,700)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(12,886,700)</w:t>
            </w:r>
          </w:p>
        </w:tc>
      </w:tr>
      <w:tr>
        <w:trPr>
          <w:trHeight w:val="27"/>
        </w:trPr>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-285750</wp:posOffset>
            </wp:positionV>
            <wp:extent cx="7249160" cy="286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9160" cy="28638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420" w:space="200"/>
            <w:col w:w="580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Balances at</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March 31, 2013</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u w:val="single" w:color="auto"/>
                <w:color w:val="auto"/>
              </w:rPr>
              <w:t>500,000</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u w:val="single" w:color="auto"/>
                <w:color w:val="auto"/>
              </w:rPr>
              <w:t>23,480,169</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u w:val="single" w:color="auto"/>
                <w:color w:val="auto"/>
              </w:rPr>
              <w:t>23,500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u w:val="single" w:color="auto"/>
                <w:color w:val="auto"/>
              </w:rPr>
              <w:t>$59,266,000</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 (3,968,100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(209,100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(67,669,200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(12,556,400</w:t>
            </w: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-269240</wp:posOffset>
            </wp:positionV>
            <wp:extent cx="7249160" cy="3028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9160" cy="30289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VistaGen Therapeutics, Inc., a Nevada corporation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w:t>
      </w:r>
      <w:r>
        <w:rPr>
          <w:rFonts w:ascii="Times New Roman" w:cs="Times New Roman" w:eastAsia="Times New Roman" w:hAnsi="Times New Roman"/>
          <w:sz w:val="18"/>
          <w:szCs w:val="18"/>
          <w:color w:val="auto"/>
        </w:rPr>
        <w:t>y”), is a biotechnology company with expertise in human pluripotent stem cell technology (“</w:t>
      </w:r>
      <w:r>
        <w:rPr>
          <w:rFonts w:ascii="Times New Roman" w:cs="Times New Roman" w:eastAsia="Times New Roman" w:hAnsi="Times New Roman"/>
          <w:sz w:val="18"/>
          <w:szCs w:val="18"/>
          <w:i w:val="1"/>
          <w:iCs w:val="1"/>
          <w:color w:val="auto"/>
        </w:rPr>
        <w:t>hPSC technology</w:t>
      </w:r>
      <w:r>
        <w:rPr>
          <w:rFonts w:ascii="Times New Roman" w:cs="Times New Roman" w:eastAsia="Times New Roman" w:hAnsi="Times New Roman"/>
          <w:sz w:val="18"/>
          <w:szCs w:val="18"/>
          <w:color w:val="auto"/>
        </w:rPr>
        <w:t xml:space="preserve">”). The Company is currently applying its hPSC technology for drug rescue, predictive toxicology and drug metabolism screening. The Company’s primary goal is to use its hPSC technology platform, which it also refers to as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and the novel pharmaceutical assay systems developed using its hPSC technology expertise and network of strategic relationships, to generate novel, proprietary, safer variants (Drug Rescue Variants) of once-promising small molecule drug candidates originally discovered, developed and ultimately discontinued by large pharmaceutical or biotechnology companies prior to market approval due to unexpected safety concerns relating to heart toxicity, liver toxicity or adverse drug-drug interactions. The Company’s strategy is to leverage substantial prior third-party investment in drug discovery and drug development and to generate early indications, or predictions, of how humans will ultimately respond to new drug candidates, including Drug Rescue Variants, before they are ever tested in humans, bringing human biology to the front end of the drug development process..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VistaGen's orally-available, small molecule drug candidate, AV-101, has successfully completed Phase 1 development in the Unites States for treatment of neuropathic pain. Neuropathic pain, a serious and chronic condition causing pain after an injury or disease of the peripheral or central nervous system, affects millions of people worldwide. The NIH awarded VistaGen approximately $8.8 million for preclinical and clinical development of AV-101.</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VistaGen is in the development stage and, since inception, has devoted substantially all of its time and efforts to hPSC research and bioassay development, small molecule drug development, creating, protecting and patenting intellectual property, recruiting personnel and raising working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VistaGen Therapeutics, Inc., a California corporation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is a wholly-owned subsidiary of the Company. VistaGen California was incorporated in California on May 26, 1998. Excaliber Enterprises, Ltd. (“</w:t>
      </w:r>
      <w:r>
        <w:rPr>
          <w:rFonts w:ascii="Times New Roman" w:cs="Times New Roman" w:eastAsia="Times New Roman" w:hAnsi="Times New Roman"/>
          <w:sz w:val="18"/>
          <w:szCs w:val="18"/>
          <w:i w:val="1"/>
          <w:iCs w:val="1"/>
          <w:color w:val="auto"/>
        </w:rPr>
        <w:t>Excaliber</w:t>
      </w:r>
      <w:r>
        <w:rPr>
          <w:rFonts w:ascii="Times New Roman" w:cs="Times New Roman" w:eastAsia="Times New Roman" w:hAnsi="Times New Roman"/>
          <w:sz w:val="18"/>
          <w:szCs w:val="18"/>
          <w:color w:val="auto"/>
        </w:rPr>
        <w:t>”), a publicly-held company (formerly OTCBB: EXCA) was incorporated under the laws of the State of Nevada on October 6, 2005. After being unable to generate material revenues based on its original business plan, Excaliber became inactive in 2007. In May 2011, after assessing the prospects associated with its original business plan and the business opportunities associated with a strategic merger with an established, privately-held, biotechnology company seeking the potential advantages of being a publicly-held company, Excaliber’s Board of Directors agreed to pursue a strategic merger with VistaGen California, as described below.</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11, 2011, pursuant to a strategic merger transaction with VistaGen California, Excaliber acquired all outstanding shares of VistaGen California in exchange for 6,836,452 shares of Excaliber common stock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Excaliber assumed all of VistaGen California’s pre-Merger obligations to contingently issue shares of common stock in accordance with VistaGen California’s stock option agreements, warrant agreements, and a convertible promissory note. In connection with the Merger, Excaliber repurchased 5,064,207 shares of its common stock from two of its stockholders for a nominal amount, resulting in a total of 784,500 shares of Excaliber common stock outstanding at the date of the Merger. The 6,836,452 shares issued to VistaGen California stockholders in connection with the Merger represented approximately ninety percent (90%) of the outstanding shares of Excaliber’s common stock after the closing of the Merger. As a result of the Merger, the business of VistaGen California became the operating business of Excaliber.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and concurrent with the Merger:</w:t>
      </w:r>
    </w:p>
    <w:p>
      <w:pPr>
        <w:spacing w:after="0" w:line="2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VistaGen California sold 2,216,106 Units, consisting of one share of VistaGen California restricted common stock and a three-year warrant to purchase</w:t>
      </w:r>
    </w:p>
    <w:p>
      <w:pPr>
        <w:spacing w:after="0" w:line="36" w:lineRule="exact"/>
        <w:rPr>
          <w:sz w:val="20"/>
          <w:szCs w:val="20"/>
          <w:color w:val="auto"/>
        </w:rPr>
      </w:pPr>
    </w:p>
    <w:p>
      <w:pPr>
        <w:jc w:val="both"/>
        <w:ind w:left="580" w:hanging="336"/>
        <w:spacing w:after="0" w:line="187" w:lineRule="auto"/>
        <w:tabs>
          <w:tab w:leader="none" w:pos="580" w:val="left"/>
        </w:tabs>
        <w:numPr>
          <w:ilvl w:val="0"/>
          <w:numId w:val="79"/>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one-fourth (1/4) of one share of VistaGen California restricted common stock at an exercise price of $2.50 per share, at a price of $1.75 per Unit in a private placement for aggregate gross offering proceeds of $3,878,200, including $2,369,200 in cash (the “</w:t>
      </w:r>
      <w:r>
        <w:rPr>
          <w:rFonts w:ascii="Times New Roman" w:cs="Times New Roman" w:eastAsia="Times New Roman" w:hAnsi="Times New Roman"/>
          <w:sz w:val="18"/>
          <w:szCs w:val="18"/>
          <w:i w:val="1"/>
          <w:iCs w:val="1"/>
          <w:color w:val="auto"/>
        </w:rPr>
        <w:t>2011 Private Placement</w:t>
      </w:r>
      <w:r>
        <w:rPr>
          <w:rFonts w:ascii="Times New Roman" w:cs="Times New Roman" w:eastAsia="Times New Roman" w:hAnsi="Times New Roman"/>
          <w:sz w:val="18"/>
          <w:szCs w:val="18"/>
          <w:color w:val="auto"/>
        </w:rPr>
        <w:t xml:space="preserve">”).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for a further description;</w:t>
      </w:r>
    </w:p>
    <w:p>
      <w:pPr>
        <w:spacing w:after="0" w:line="193" w:lineRule="exact"/>
        <w:rPr>
          <w:rFonts w:ascii="Times New Roman" w:cs="Times New Roman" w:eastAsia="Times New Roman" w:hAnsi="Times New Roman"/>
          <w:sz w:val="35"/>
          <w:szCs w:val="35"/>
          <w:color w:val="auto"/>
          <w:vertAlign w:val="subscript"/>
        </w:rPr>
      </w:pPr>
    </w:p>
    <w:p>
      <w:pPr>
        <w:ind w:left="580"/>
        <w:spacing w:after="0"/>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7"/>
          <w:szCs w:val="17"/>
          <w:color w:val="auto"/>
        </w:rPr>
        <w:t>Holders of certain promissory notes issued by VistaGen California from 2006 through 2010 converted notes totaling $6,174,793, including principal and</w:t>
      </w:r>
    </w:p>
    <w:p>
      <w:pPr>
        <w:spacing w:after="0" w:line="35" w:lineRule="exact"/>
        <w:rPr>
          <w:rFonts w:ascii="Times New Roman" w:cs="Times New Roman" w:eastAsia="Times New Roman" w:hAnsi="Times New Roman"/>
          <w:sz w:val="35"/>
          <w:szCs w:val="35"/>
          <w:color w:val="auto"/>
          <w:vertAlign w:val="subscript"/>
        </w:rPr>
      </w:pPr>
    </w:p>
    <w:p>
      <w:pPr>
        <w:ind w:left="580" w:hanging="336"/>
        <w:spacing w:after="0" w:line="251" w:lineRule="auto"/>
        <w:tabs>
          <w:tab w:leader="none" w:pos="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but unpaid interest, into 3,528,290 Units at $1.75 per Unit. These Units were the same Units issued in connection with the 2011 Private Placement. See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ind w:left="580" w:hanging="336"/>
        <w:spacing w:after="0" w:line="181" w:lineRule="auto"/>
        <w:tabs>
          <w:tab w:leader="none" w:pos="580" w:val="left"/>
        </w:tabs>
        <w:numPr>
          <w:ilvl w:val="0"/>
          <w:numId w:val="7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 xml:space="preserve">All holders of VistaGen California's then-outstanding 2,884,655 shares of restricted preferred stock converted all of their preferred shares into 2,884,655 shares of VistaGen California restricted common stock. See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Shortly after the Merger:</w:t>
      </w:r>
    </w:p>
    <w:p>
      <w:pPr>
        <w:spacing w:after="0" w:line="244" w:lineRule="exact"/>
        <w:rPr>
          <w:sz w:val="20"/>
          <w:szCs w:val="20"/>
          <w:color w:val="auto"/>
        </w:rPr>
      </w:pPr>
    </w:p>
    <w:p>
      <w:pPr>
        <w:ind w:left="580" w:hanging="336"/>
        <w:spacing w:after="0"/>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VistaGen California's pre-Merger directors was appointed as a director of Excaliber;</w:t>
      </w:r>
    </w:p>
    <w:p>
      <w:pPr>
        <w:spacing w:after="0" w:line="24"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pre-Merger directors and officers of Excaliber resigned as officers and directors of Excaliber;</w:t>
      </w:r>
    </w:p>
    <w:p>
      <w:pPr>
        <w:spacing w:after="0" w:line="5"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VistaGen California’s pre-Merger officers was appointed an officer of like tenor of Excalber;</w:t>
      </w:r>
    </w:p>
    <w:p>
      <w:pPr>
        <w:spacing w:after="0" w:line="5" w:lineRule="exact"/>
        <w:rPr>
          <w:rFonts w:ascii="Times New Roman" w:cs="Times New Roman" w:eastAsia="Times New Roman" w:hAnsi="Times New Roman"/>
          <w:sz w:val="18"/>
          <w:szCs w:val="18"/>
          <w:color w:val="auto"/>
        </w:rPr>
      </w:pPr>
    </w:p>
    <w:p>
      <w:pPr>
        <w:ind w:left="580" w:hanging="336"/>
        <w:spacing w:after="0" w:line="180" w:lineRule="auto"/>
        <w:tabs>
          <w:tab w:leader="none" w:pos="580" w:val="left"/>
        </w:tabs>
        <w:numPr>
          <w:ilvl w:val="0"/>
          <w:numId w:val="8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The post-Merger directors of Excaliber (consisting of the pre-Merger directors of VistaGen California) approved a two-for-one (2:1) forward stock split of Excaliber’s common stock;</w:t>
      </w:r>
    </w:p>
    <w:p>
      <w:pPr>
        <w:spacing w:after="0" w:line="1" w:lineRule="exact"/>
        <w:rPr>
          <w:rFonts w:ascii="Times New Roman" w:cs="Times New Roman" w:eastAsia="Times New Roman" w:hAnsi="Times New Roman"/>
          <w:sz w:val="32"/>
          <w:szCs w:val="32"/>
          <w:color w:val="auto"/>
          <w:vertAlign w:val="subscript"/>
        </w:rPr>
      </w:pPr>
    </w:p>
    <w:p>
      <w:pPr>
        <w:ind w:left="580" w:hanging="336"/>
        <w:spacing w:after="0" w:line="180" w:lineRule="auto"/>
        <w:tabs>
          <w:tab w:leader="none" w:pos="580" w:val="left"/>
        </w:tabs>
        <w:numPr>
          <w:ilvl w:val="0"/>
          <w:numId w:val="8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 xml:space="preserve">The post-Merger directors of Excaliber approved an increase in the number of shares of common stock Excaliber was authorized to issue from 200 million to 400 million shares (see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32"/>
          <w:szCs w:val="32"/>
          <w:color w:val="auto"/>
          <w:vertAlign w:val="subscript"/>
        </w:rPr>
      </w:pPr>
    </w:p>
    <w:p>
      <w:pPr>
        <w:ind w:left="580" w:hanging="336"/>
        <w:spacing w:after="0"/>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Excaliber’s name was changed to “VistaGen Therapeutics, Inc.”;</w:t>
      </w:r>
    </w:p>
    <w:p>
      <w:pPr>
        <w:spacing w:after="0" w:line="5"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VistaGen’s common stock began trading on the OTC Bulletin Board under the symbol “VSTA” effective on June 21, 2011; and</w:t>
      </w:r>
    </w:p>
    <w:p>
      <w:pPr>
        <w:spacing w:after="0" w:line="5" w:lineRule="exact"/>
        <w:rPr>
          <w:rFonts w:ascii="Times New Roman" w:cs="Times New Roman" w:eastAsia="Times New Roman" w:hAnsi="Times New Roman"/>
          <w:sz w:val="18"/>
          <w:szCs w:val="18"/>
          <w:color w:val="auto"/>
        </w:rPr>
      </w:pPr>
    </w:p>
    <w:p>
      <w:pPr>
        <w:ind w:left="580" w:hanging="336"/>
        <w:spacing w:after="0"/>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VistaGen adopted VistaGen California's fiscal year-end of March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VistaGen California, as the accounting acquirer in the Merger, recorded the Merger as the issuance of common stock for the net monetary assets of Excaliber, accompanied by a recapitalization. This accounting for the Merger was identical to that resulting from a reverse acquisition, except that no goodwill or other intangible assets were recorded. A total of 1,569,000 shares of common stock, representing the shares held by stockholders of Excaliber immediately prior to the Merger and effected for the post-Merger two-for-one (2:1) stock split noted above,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 and the two-for one (2:1) stock split after the Merger.</w:t>
      </w:r>
    </w:p>
    <w:p>
      <w:pPr>
        <w:spacing w:after="0" w:line="1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October 2011, the Company’s stockholders amended the Company’s Articles of Incorporation to (1) reduce the number of shares of common stock the Company is authorized to issue from 400 million shares to 200 million shares; (2) authorize the Company to issue up to 10 million shares of preferred stock; and</w:t>
      </w:r>
    </w:p>
    <w:p>
      <w:pPr>
        <w:spacing w:after="0" w:line="1" w:lineRule="exact"/>
        <w:rPr>
          <w:sz w:val="20"/>
          <w:szCs w:val="20"/>
          <w:color w:val="auto"/>
        </w:rPr>
      </w:pPr>
    </w:p>
    <w:p>
      <w:pPr>
        <w:jc w:val="both"/>
        <w:ind w:firstLine="6"/>
        <w:spacing w:after="0" w:line="246" w:lineRule="auto"/>
        <w:tabs>
          <w:tab w:leader="none" w:pos="25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Pursuant to the Note Exchange and Purchase Agreement of October 11, 2012 (the “</w:t>
      </w:r>
      <w:r>
        <w:rPr>
          <w:rFonts w:ascii="Times New Roman" w:cs="Times New Roman" w:eastAsia="Times New Roman" w:hAnsi="Times New Roman"/>
          <w:sz w:val="18"/>
          <w:szCs w:val="18"/>
          <w:i w:val="1"/>
          <w:iCs w:val="1"/>
          <w:color w:val="auto"/>
        </w:rPr>
        <w:t>October 2012 Agreement</w:t>
      </w:r>
      <w:r>
        <w:rPr>
          <w:rFonts w:ascii="Times New Roman" w:cs="Times New Roman" w:eastAsia="Times New Roman" w:hAnsi="Times New Roman"/>
          <w:sz w:val="18"/>
          <w:szCs w:val="18"/>
          <w:color w:val="auto"/>
        </w:rPr>
        <w:t>”), as amended, between the Company and Platinum Long Term Growth VII, LLC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xml:space="preserve">”), currently the Company’s largest institutional security holder, Platinum has the right and option to exchange 500,000 shares of the Company’s Series A Preferred held by Platinum for (i) a total of 15,000,000 restricted shares of the Company’s common stock, and (ii) a five-year warrant to purchase 7,500,000 restricted shares of the Company’s common stock at an exercise price of $1.50 per share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also include the accounts of VistaGen California’s two wholly-owned subsidiaries, Artemis Neuroscience, Inc., a Maryland corporation (“</w:t>
      </w:r>
      <w:r>
        <w:rPr>
          <w:rFonts w:ascii="Times New Roman" w:cs="Times New Roman" w:eastAsia="Times New Roman" w:hAnsi="Times New Roman"/>
          <w:sz w:val="18"/>
          <w:szCs w:val="18"/>
          <w:i w:val="1"/>
          <w:iCs w:val="1"/>
          <w:color w:val="auto"/>
        </w:rPr>
        <w:t>Artemis</w:t>
      </w:r>
      <w:r>
        <w:rPr>
          <w:rFonts w:ascii="Times New Roman" w:cs="Times New Roman" w:eastAsia="Times New Roman" w:hAnsi="Times New Roman"/>
          <w:sz w:val="18"/>
          <w:szCs w:val="18"/>
          <w:color w:val="auto"/>
        </w:rPr>
        <w:t>”), and VistaStem Canada, Inc., an Ontario corporation (“</w:t>
      </w:r>
      <w:r>
        <w:rPr>
          <w:rFonts w:ascii="Times New Roman" w:cs="Times New Roman" w:eastAsia="Times New Roman" w:hAnsi="Times New Roman"/>
          <w:sz w:val="18"/>
          <w:szCs w:val="18"/>
          <w:i w:val="1"/>
          <w:iCs w:val="1"/>
          <w:color w:val="auto"/>
        </w:rPr>
        <w:t>VistaStem Canada</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Going Concern</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2013, VistaGen has a deficit accumulated during its development stage of $67.7 million. The Company expects these conditions to continue for the foreseeable future as it expands its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platform and executes its drug rescue and regenerative cell therapy business programs.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At March 31, 2013, the Company had approximately $638,100 in cash and cash equivalents. Such cash and cash equivalents are not sufficient to enable the Company to fund its operations, including expected cash expenditures of approximately $5 million, through the next twelve months. However, in April 2013, the Company entered into a securities purchase agreement, as amended, with an institutional investor involving the Company’s private issuance and sale of its restricted common stock in a transaction involving a series of closings scheduled to occur between June 27, 2013 and September 30, 2013, which financing transaction is expected to generate aggregate cash proceeds to the Company of $36.0 million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 further description of this private placement). Additionally, the Company expects that its participation in strategic collaborations, including licensing transactions, may provide additional cash in support of its future working capital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the assumptions used to value warrants, warrant modifications and put option, note term extension, and warrant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4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Company’s accounts, and the accounts of VistaGen California’s wholly-owned inactive subsidiaries, Artemis, and VistaStem Canada.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Authorized Number of Shares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Effective with the Merger, the Company was authorized to issue up to 400,000,000 shares of common stock, $0.001 par value and no shares of preferred stock. On October 28, 2011, the Company held a special meeting of its stockholders at which the stockholders approved a proposal to amend the Company’s Articles of Incorporation to (1) reduce the number of authorized shares of the Company’s common stock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considered to be highly liquid investments with maturities of three months or less at the date of purchase.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generates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jc w:val="both"/>
        <w:ind w:left="700"/>
        <w:spacing w:after="0" w:line="262" w:lineRule="auto"/>
        <w:rPr>
          <w:sz w:val="20"/>
          <w:szCs w:val="20"/>
          <w:color w:val="auto"/>
        </w:rPr>
      </w:pPr>
      <w:r>
        <w:rPr>
          <w:rFonts w:ascii="Times New Roman" w:cs="Times New Roman" w:eastAsia="Times New Roman" w:hAnsi="Times New Roman"/>
          <w:sz w:val="17"/>
          <w:szCs w:val="17"/>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ind w:left="700" w:hanging="380"/>
        <w:spacing w:after="0" w:line="248" w:lineRule="auto"/>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p>
      <w:pPr>
        <w:spacing w:after="0" w:line="188" w:lineRule="exact"/>
        <w:rPr>
          <w:rFonts w:ascii="Times New Roman" w:cs="Times New Roman" w:eastAsia="Times New Roman" w:hAnsi="Times New Roman"/>
          <w:sz w:val="18"/>
          <w:szCs w:val="18"/>
          <w:color w:val="auto"/>
        </w:rPr>
      </w:pPr>
    </w:p>
    <w:p>
      <w:pPr>
        <w:ind w:left="700" w:hanging="380"/>
        <w:spacing w:after="0" w:line="274" w:lineRule="auto"/>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and AV-101. All such research and development costs are charged to expense as incurred.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compensation cost for all share-based awards to employees in its financial statements based on their grant date fair value. Share-based compensation expense is recognized over the period during which the employee is required to perform service in exchange for the award, which generally represents the scheduled vesting period of options and warrants to purchase common stock of the Company. The Company has no awards with market or performance conditions. For share-based awards to non-employees, the Company re-measures the fair value of such awards as they vest and the resulting value is recognized as an expense during the period over which applicable services are performed by the recipient.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no components of other comprehensive loss other than net loss, and accordingly the Company’s comprehensive loss is equivalent to its net loss for the periods presented.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Common Share</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Basic loss per share of common stock excludes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 A total of 1,569,000 shares of common stock, representing the 784,500 shares held by stockholders of Excaliber immediately prior to the Merger and effected for the post-Merger two-for-one (2:1) stock split described in Note 1,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have been retroactively reflected as outstanding for the period prior to the Merger in the fiscal year ended March 31, 2012 for purposes of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basic and diluted loss per common share in the accompanying 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Potentially dilutive securities excluded in determining diluted net loss per common share are as follows:</w:t>
            </w:r>
          </w:p>
        </w:tc>
        <w:tc>
          <w:tcPr>
            <w:tcW w:w="168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68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Common stock warants issuable to Platinum upon exchange of Series A preferred stock under the terms of the October 11,</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2012 Note Purchase and Exchange Agreement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under the 2008 and 1999 Stock Incentive Plans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14,660,335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 convertible Exchange Note and Investment Notes issued to Platinum in October 2012, February 2013 and March</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2013, including accrued interest through March 31, 2013 </w:t>
            </w:r>
            <w:r>
              <w:rPr>
                <w:rFonts w:ascii="Times New Roman" w:cs="Times New Roman" w:eastAsia="Times New Roman" w:hAnsi="Times New Roman"/>
                <w:sz w:val="24"/>
                <w:szCs w:val="24"/>
                <w:color w:val="auto"/>
                <w:vertAlign w:val="superscript"/>
              </w:rPr>
              <w:t>(2)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6,775,682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48,848,621</w:t>
            </w: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13,302,910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249160" cy="168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9160" cy="168275"/>
                    </a:xfrm>
                    <a:prstGeom prst="rect">
                      <a:avLst/>
                    </a:prstGeom>
                    <a:noFill/>
                  </pic:spPr>
                </pic:pic>
              </a:graphicData>
            </a:graphic>
          </wp:anchor>
        </w:drawing>
      </w:r>
    </w:p>
    <w:p>
      <w:pPr>
        <w:ind w:left="200" w:hanging="194"/>
        <w:spacing w:after="0" w:line="230" w:lineRule="auto"/>
        <w:tabs>
          <w:tab w:leader="none" w:pos="200" w:val="left"/>
        </w:tabs>
        <w:numPr>
          <w:ilvl w:val="0"/>
          <w:numId w:val="8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at March 31, 2013, assumes exchange under the terms of the October 11, 2012 Note Exchange and Purchase Agreement with Platinum</w:t>
      </w:r>
    </w:p>
    <w:p>
      <w:pPr>
        <w:spacing w:after="0" w:line="1" w:lineRule="exact"/>
        <w:rPr>
          <w:rFonts w:ascii="Times New Roman" w:cs="Times New Roman" w:eastAsia="Times New Roman" w:hAnsi="Times New Roman"/>
          <w:sz w:val="24"/>
          <w:szCs w:val="24"/>
          <w:color w:val="auto"/>
          <w:vertAlign w:val="superscript"/>
        </w:rPr>
      </w:pPr>
    </w:p>
    <w:p>
      <w:pPr>
        <w:ind w:left="200" w:hanging="194"/>
        <w:spacing w:after="0" w:line="183" w:lineRule="auto"/>
        <w:tabs>
          <w:tab w:leader="none" w:pos="200" w:val="left"/>
        </w:tabs>
        <w:numPr>
          <w:ilvl w:val="0"/>
          <w:numId w:val="8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conversion under the terms of the October 11, 2012 Note Exchange and Purchase Agreement with Platinum and the terms of the individual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June 2011, the FASB issued ASU No. 2011-05, </w:t>
      </w:r>
      <w:r>
        <w:rPr>
          <w:rFonts w:ascii="Times New Roman" w:cs="Times New Roman" w:eastAsia="Times New Roman" w:hAnsi="Times New Roman"/>
          <w:sz w:val="18"/>
          <w:szCs w:val="18"/>
          <w:i w:val="1"/>
          <w:iCs w:val="1"/>
          <w:color w:val="auto"/>
        </w:rPr>
        <w:t>Presentation of Comprehensive Income,</w:t>
      </w:r>
      <w:r>
        <w:rPr>
          <w:rFonts w:ascii="Times New Roman" w:cs="Times New Roman" w:eastAsia="Times New Roman" w:hAnsi="Times New Roman"/>
          <w:sz w:val="18"/>
          <w:szCs w:val="18"/>
          <w:color w:val="auto"/>
        </w:rPr>
        <w:t xml:space="preserve"> which was issued to enhance comparability between entities that report under U.S. GAAP and International Financial Reporting Standards (“IFRS”), and to provide a more consistent method of presenting non-owner transactions that affect an entity’s equity.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became effective for fiscal years beginning after December 15, 2011. The Company’s adoption of this ASU effective April 1, 2012 did not have any impact on its consolidated results of operations or financial position; however it required modification of the format of the former “Consolidated Statements of Operations” to include total comprehensive loss and changing the title of the statements to “Consolidated Statements of Operations and Comprehensive Loss.”</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2011, the FASB issued ASU No. 2011-04, </w:t>
      </w:r>
      <w:r>
        <w:rPr>
          <w:rFonts w:ascii="Times New Roman" w:cs="Times New Roman" w:eastAsia="Times New Roman" w:hAnsi="Times New Roman"/>
          <w:sz w:val="18"/>
          <w:szCs w:val="18"/>
          <w:i w:val="1"/>
          <w:iCs w:val="1"/>
          <w:color w:val="auto"/>
        </w:rPr>
        <w:t>Amendments to Achieve Common Fair Value Measurement and Disclosure Requirements in U.S. GAAP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International Financial Reporting Standards (“IFRS”). </w:t>
      </w:r>
      <w:r>
        <w:rPr>
          <w:rFonts w:ascii="Times New Roman" w:cs="Times New Roman" w:eastAsia="Times New Roman" w:hAnsi="Times New Roman"/>
          <w:sz w:val="18"/>
          <w:szCs w:val="18"/>
          <w:color w:val="auto"/>
        </w:rPr>
        <w:t>This pronouncement was issued to provide a consistent definition of fair value and ensure that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 and disclosure requirements are similar between U.S. GAAP and IFRS. ASU 2011-04 changes certain fair value measurement principles and enhances the disclosure requirements particularly for Level 3 fair value measurements. The Company’s adoption of ASU No. 2011-04 effective April 1, 2012 did not have a material impact on its consolidated results of operations or financial condition.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30"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fiscal year ended March 31, 2013 that are of significance, or of potential significance,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211" w:lineRule="exact"/>
        <w:rPr>
          <w:sz w:val="20"/>
          <w:szCs w:val="20"/>
          <w:color w:val="auto"/>
        </w:rPr>
      </w:pPr>
    </w:p>
    <w:p>
      <w:pPr>
        <w:ind w:left="660" w:right="20" w:hanging="353"/>
        <w:spacing w:after="0" w:line="27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the highest priority to Level 1 inputs.</w:t>
      </w:r>
    </w:p>
    <w:p>
      <w:pPr>
        <w:spacing w:after="0" w:line="186" w:lineRule="exact"/>
        <w:rPr>
          <w:rFonts w:ascii="Times New Roman" w:cs="Times New Roman" w:eastAsia="Times New Roman" w:hAnsi="Times New Roman"/>
          <w:sz w:val="18"/>
          <w:szCs w:val="18"/>
          <w:color w:val="auto"/>
        </w:rPr>
      </w:pPr>
    </w:p>
    <w:p>
      <w:pPr>
        <w:jc w:val="both"/>
        <w:ind w:left="660" w:hanging="360"/>
        <w:spacing w:after="0" w:line="261"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other inputs that are observable or can be corroborated by observable market data for substantially the full term of the assets or liabilities.</w:t>
      </w:r>
    </w:p>
    <w:p>
      <w:pPr>
        <w:spacing w:after="0" w:line="199" w:lineRule="exact"/>
        <w:rPr>
          <w:rFonts w:ascii="Times New Roman" w:cs="Times New Roman" w:eastAsia="Times New Roman" w:hAnsi="Times New Roman"/>
          <w:sz w:val="18"/>
          <w:szCs w:val="18"/>
          <w:color w:val="auto"/>
        </w:rPr>
      </w:pPr>
    </w:p>
    <w:p>
      <w:pPr>
        <w:jc w:val="both"/>
        <w:ind w:left="660" w:hanging="360"/>
        <w:spacing w:after="0" w:line="261"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w:t>
      </w:r>
      <w:r>
        <w:rPr>
          <w:rFonts w:ascii="Times New Roman" w:cs="Times New Roman" w:eastAsia="Times New Roman" w:hAnsi="Times New Roman"/>
          <w:sz w:val="18"/>
          <w:szCs w:val="18"/>
          <w:i w:val="1"/>
          <w:iCs w:val="1"/>
          <w:color w:val="auto"/>
        </w:rPr>
        <w:t xml:space="preserve">i.e., </w:t>
      </w:r>
      <w:r>
        <w:rPr>
          <w:rFonts w:ascii="Times New Roman" w:cs="Times New Roman" w:eastAsia="Times New Roman" w:hAnsi="Times New Roman"/>
          <w:sz w:val="18"/>
          <w:szCs w:val="18"/>
          <w:color w:val="auto"/>
        </w:rPr>
        <w:t>inputs that reflect the reporting entity’s own assumptions about the assumptions that market participants would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estimating the fair value of an asset or liability) are used when little or no market data is available. The fair value hierarchy gives the lowest priority to Level 3 inputs.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February 2013 and March 2013 (see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xml:space="preserve">), and the potential issuance of the Series A Exchange Warrant (see Note 9,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all pursuant to the October 2012 Agreement, the Company determined that the warrants included certain exercise price adjustment features requiring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expense in other income (expense) in the Consolidated Statements of Operations and Comprehensive Loss for the year ended March 31, 2013.</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2007 and 2008, the Company issued three convertible promissory notes with an aggregate principal balance of $4.0 million (the “</w:t>
      </w:r>
      <w:r>
        <w:rPr>
          <w:rFonts w:ascii="Times New Roman" w:cs="Times New Roman" w:eastAsia="Times New Roman" w:hAnsi="Times New Roman"/>
          <w:sz w:val="18"/>
          <w:szCs w:val="18"/>
          <w:i w:val="1"/>
          <w:iCs w:val="1"/>
          <w:color w:val="auto"/>
        </w:rPr>
        <w:t>Original Platinum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to Platinum Long Term Growth VII, LLC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On May 5, 2011, the Original Platinum Notes were amended, restated and consolidated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single note (the “</w:t>
      </w:r>
      <w:r>
        <w:rPr>
          <w:rFonts w:ascii="Times New Roman" w:cs="Times New Roman" w:eastAsia="Times New Roman" w:hAnsi="Times New Roman"/>
          <w:sz w:val="18"/>
          <w:szCs w:val="18"/>
          <w:i w:val="1"/>
          <w:iCs w:val="1"/>
          <w:color w:val="auto"/>
        </w:rPr>
        <w:t>May 2011 Platinum Note</w:t>
      </w:r>
      <w:r>
        <w:rPr>
          <w:rFonts w:ascii="Times New Roman" w:cs="Times New Roman" w:eastAsia="Times New Roman" w:hAnsi="Times New Roman"/>
          <w:sz w:val="18"/>
          <w:szCs w:val="18"/>
          <w:color w:val="auto"/>
        </w:rPr>
        <w:t>”) with a principal balance of $4.0 million (“</w:t>
      </w:r>
      <w:r>
        <w:rPr>
          <w:rFonts w:ascii="Times New Roman" w:cs="Times New Roman" w:eastAsia="Times New Roman" w:hAnsi="Times New Roman"/>
          <w:sz w:val="18"/>
          <w:szCs w:val="18"/>
          <w:i w:val="1"/>
          <w:iCs w:val="1"/>
          <w:color w:val="auto"/>
        </w:rPr>
        <w:t>May 2011 Amendment</w:t>
      </w:r>
      <w:r>
        <w:rPr>
          <w:rFonts w:ascii="Times New Roman" w:cs="Times New Roman" w:eastAsia="Times New Roman" w:hAnsi="Times New Roman"/>
          <w:sz w:val="18"/>
          <w:szCs w:val="18"/>
          <w:color w:val="auto"/>
        </w:rPr>
        <w:t>”). In conjunction with the issuance of the Original Platinum Notes, the Company determined that (i) the cash payment option or put option, which provided Platinum with the right to require the Company to repay part of the debt in cash at a 25% premium, and (ii) the note term extension option, which provided Platinum with the right to extend the maturity date by one year, were embedded derivatives that should be bifurcated and accounted for separately as liabilities. In conjunction with the issuance of the Original Platinum Notes, the Company also issued warrants to purchase 560,000 shares of its common stock. These warrants included certain exercise price adjustment features and, as a result, the Company determined that the warrants were liabilities, which were recorded at their estimated fair value. The Company determined the fair value of the (i) put option and note term extension option using an internal valuation model with Level 3 inputs and (ii) the warrant liability using a lattice model with Level 3 inputs. Inputs used to determine fair value included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prior to the May 2011 Amendment were recognized as a non-cash charge or income in other income (expense) in the Consolidated Statements of Operations and Comprehensive Loss for the year ended March 31, 2012.</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the May 2011 Amendment, Platinum’s cash payment or put option was eliminated. Further, concurrent with the Merger transaction described in Note 1 above, the warrants were determined not to be liabilities, since the exercise price adjustment feature terminated upon the Company becoming a public company as a result of the Merger. The increase in fair value of the warrant liability of $7,000 and the increase in the put option and note term extension option liabilities of $71,000 were recognized in other expense, net in the statement of operations for the first quarter of the fiscal year ended March 31, 2012. The remaining put option and note term extension option liabilities, in the amount of $161,800, were reclassified to note discount in connection with the May 2011 Amendment. The aggregate fair value of the warrants at May 11, 2011, $424,100, was reclassified from a liability to additional paid-in capital, a component of stockholders’ deficit.</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December 2011, the Company and Platinum entered into a Note and Warrant Exchange Agreement pursuant to which the May 2011 Platinum Note and the warrants issued to Platinum were cancelled in exchange for shares of the Company’s Series A Preferred.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for liabilities measured at fair value on a recurring basis is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gridSpan w:val="4"/>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Fair Value Measurements at</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Reporting Date Using</w:t>
            </w: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Significant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0" w:type="dxa"/>
            <w:vAlign w:val="bottom"/>
          </w:tcPr>
          <w:p>
            <w:pPr>
              <w:spacing w:after="0"/>
              <w:rPr>
                <w:sz w:val="1"/>
                <w:szCs w:val="1"/>
                <w:color w:val="auto"/>
              </w:rPr>
            </w:pPr>
          </w:p>
        </w:tc>
      </w:tr>
      <w:tr>
        <w:trPr>
          <w:trHeight w:val="21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2013:</w:t>
            </w:r>
          </w:p>
        </w:tc>
        <w:tc>
          <w:tcPr>
            <w:tcW w:w="6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0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left w:val="single" w:sz="8" w:color="CCEEFF"/>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6,394,000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00" w:type="dxa"/>
            <w:vAlign w:val="bottom"/>
            <w:tcBorders>
              <w:top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March 31, 2012:</w:t>
            </w:r>
          </w:p>
        </w:tc>
        <w:tc>
          <w:tcPr>
            <w:tcW w:w="6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Put option and</w:t>
            </w:r>
          </w:p>
        </w:tc>
        <w:tc>
          <w:tcPr>
            <w:tcW w:w="6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tcBorders>
              <w:lef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term</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option</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left w:val="single" w:sz="8" w:color="CCEEFF"/>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Warrant liability</w:t>
            </w:r>
          </w:p>
        </w:tc>
        <w:tc>
          <w:tcPr>
            <w:tcW w:w="6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7"/>
                <w:szCs w:val="17"/>
                <w:color w:val="auto"/>
              </w:rPr>
            </w:pPr>
          </w:p>
        </w:tc>
        <w:tc>
          <w:tcPr>
            <w:tcW w:w="1120" w:type="dxa"/>
            <w:vAlign w:val="bottom"/>
          </w:tcPr>
          <w:p>
            <w:pPr>
              <w:jc w:val="right"/>
              <w:ind w:right="4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tcPr>
          <w:p>
            <w:pPr>
              <w:jc w:val="right"/>
              <w:ind w:right="4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7"/>
                <w:szCs w:val="17"/>
                <w:color w:val="auto"/>
              </w:rPr>
            </w:pPr>
          </w:p>
        </w:tc>
        <w:tc>
          <w:tcPr>
            <w:tcW w:w="6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5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fiscal years ended March 31, 2013 and 2012, there were no significant changes to the valuation models used for purposes of determining the fair value of the Level 3 warrant liability or the put option and note term extension liabilities.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Level 3 liabilities measured at fair value on a recurring basis are as follows:</w:t>
      </w:r>
    </w:p>
    <w:p>
      <w:pPr>
        <w:spacing w:after="0" w:line="22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Fair Value Measurements Using Significant</w:t>
      </w:r>
    </w:p>
    <w:p>
      <w:pPr>
        <w:spacing w:after="0" w:line="2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Unobservable Inputs (Level 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Put Option</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Note Term</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90,800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417,100</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507,900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to market loss included in net loss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71,000</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liability to note discount on Original Platinum Notes upon Merger</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(161,800)</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(161,800)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remaining warrant liability to equity upon Merger</w:t>
            </w:r>
          </w:p>
        </w:tc>
        <w:tc>
          <w:tcPr>
            <w:tcW w:w="12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(424,100)</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(424,100)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warrant liability upon issuance of Exchange and Investment Warrants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Platinum under October 2012 Agreement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1,690,000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Recognition of warrant liability in connection with Series A Exchange Warrant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potentially issuable to Platinum under October 2012 Agreement</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3,068,200</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to market loss included in net loss</w:t>
            </w:r>
          </w:p>
        </w:tc>
        <w:tc>
          <w:tcPr>
            <w:tcW w:w="12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1,635,800</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6,394,000</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No assets or other liabilities were measured on a recurring basis at fair value at March 31, 2013 or 2012.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4"/>
              </w:rPr>
              <w:t>2013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649,500</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 and network equipment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604,300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(551,300)</w:t>
            </w: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(529,800)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2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connection with the issuance of Senior Secured Convertible Promissory Notes to Platinum in July and August 2012 and with the October 2012 Agreement with Platinum, the Company entered into a Security Agreement with Platinum under which the repayment of all amounts due under the terms of the various notes issued to Platinum are secured by the Company’s assets, including its tangible and intangible personal property, licenses, patent licenses, trademarks and trademark licenses (see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In February 2004, the Company granted a security interest covering its laboratory and computer equipment in conjunction with notes payable under a line of credit agreement. The security interest was released in April 2011 in connection with the consolidation of certain notes payable.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AV-101 Acquisition</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November 2003, pursuant to an Agreement and Plan of Merger (the “</w:t>
      </w:r>
      <w:r>
        <w:rPr>
          <w:rFonts w:ascii="Times New Roman" w:cs="Times New Roman" w:eastAsia="Times New Roman" w:hAnsi="Times New Roman"/>
          <w:sz w:val="18"/>
          <w:szCs w:val="18"/>
          <w:i w:val="1"/>
          <w:iCs w:val="1"/>
          <w:color w:val="auto"/>
        </w:rPr>
        <w:t>Artemis Agreement</w:t>
      </w:r>
      <w:r>
        <w:rPr>
          <w:rFonts w:ascii="Times New Roman" w:cs="Times New Roman" w:eastAsia="Times New Roman" w:hAnsi="Times New Roman"/>
          <w:sz w:val="18"/>
          <w:szCs w:val="18"/>
          <w:color w:val="auto"/>
        </w:rPr>
        <w:t>”), the Company acquired Artemis, a private company also in the development stage, for the purpose of acquiring exclusive licenses to patents and other intellectual property related to the use and function of AV-101, a new drug candidate then in nonclinical development, with the potential to treat neuropathic pain, depression, and other neurological diseases and disorders, epilepsy, Huntington’s disease and Parkinson’s disease. Pursuant to the Artemis Agreement, each share of common stock of Artemis was converted into the right to receive 0.9045 shares of VistaGen California’s Series B-1 Preferred Stock, resulting in VistaGen California’s pre-Merger issuance of 1,356,750 shares of its Series B-1 Preferred Stock. The shares of Series B-1 Preferred Stock were valued, pre-Merger, at $5.545 per share, and accordingly the pre-Merger purchase price of all outstanding shares of Artemis in 2003 was $7,523,200. The total purchase price was allocated to AV-101 acquired in-process research and development and was expensed subsequent to the acquisition, since AV-101 required further research and development before the Company could commence clinical trials and did not have any proven alternative future uses.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NIH awarded the Company an aggregate of $4.2 million to support nonclinical development of AV-101 during fiscal years 2006 through 2008, culminating in the submission in November 2008 of its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application to conduct Phase 1 human clinical testing of AV-101 for neuropathic pain. In April 2009, the NIH awarded the Company an aggregate of $4.2 million grant to support the Phase 1 clinical development of AV-101, and subsequently increased the grant to an aggregate of $4.6 million in July 2010. The Company completed the Phase 1a clinical trial of AV-101 during the third calendar quarter of 2011 and completed the Phase 1b clinical testing in the last half of calendar 2012. To date, VistaGen has received an aggregate of $8.8 million from the NIH for non-clinical and clinical development of AV-101.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w:t>
            </w:r>
          </w:p>
        </w:tc>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 and other compensation</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Accrued placement agent fees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 and license fees</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4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342,900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540" w:type="dxa"/>
            <w:vAlign w:val="bottom"/>
            <w:gridSpan w:val="2"/>
          </w:tcPr>
          <w:p>
            <w:pPr>
              <w:jc w:val="right"/>
              <w:ind w:right="2992"/>
              <w:spacing w:after="0"/>
              <w:rPr>
                <w:sz w:val="20"/>
                <w:szCs w:val="20"/>
                <w:color w:val="auto"/>
              </w:rPr>
            </w:pPr>
            <w:r>
              <w:rPr>
                <w:rFonts w:ascii="Times New Roman" w:cs="Times New Roman" w:eastAsia="Times New Roman" w:hAnsi="Times New Roman"/>
                <w:sz w:val="18"/>
                <w:szCs w:val="18"/>
                <w:color w:val="auto"/>
              </w:rPr>
              <w:t>F-21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84"/>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8. Convertible Promissory Notes and Other Notes Payable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The following table summarizes the components of the Company’s convertible promissory notes and other notes payable: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2013</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color w:val="auto"/>
              </w:rPr>
              <w:t>Principal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color w:val="auto"/>
              </w:rPr>
              <w:t>Principal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0"/>
        </w:trPr>
        <w:tc>
          <w:tcPr>
            <w:tcW w:w="33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w w:val="99"/>
              </w:rPr>
              <w:t>Senior Secured 10% Convertible Promissory</w:t>
            </w:r>
          </w:p>
        </w:tc>
        <w:tc>
          <w:tcPr>
            <w:tcW w:w="114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Notes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issued to Platinum:</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Note issued on October 11, 2012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1,272,600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61,700</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1,334,300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Note issued on October 11, 2012</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524,200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Note issued on October 19, 2012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Investment Note issued on February 22,</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w:t>
            </w: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2,600</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252,600</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Note issued on March 12, 2013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754,700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3,272,600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116,200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3,388,800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note discount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(1,963,100)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Senior notes (non-current)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1,309,500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116,200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1,425,700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February 2012 12% convertible promissory</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505,300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discount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Total 12% convertible notes, net (non-</w:t>
            </w: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to unrelated parties: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 Notes payable (April 2011)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 Notes payable (August 2012)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59,400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 Notes payable - non-current portion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7.5% Notes payable to service providers for</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converted to notes payable: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Burr, Pilger, Mayer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Desjardins</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194,900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McCarthy Tetrault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404,800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2011 Morrison Foerster</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2,420,100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2012 Morrison &amp; Foerster Note A</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937,400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August 2012 Morrison &amp; Foerster Note B,</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 solely in restricted shares of the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Company's common stock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1,379,400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60,100</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1,439,500</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University Health Network, payable solely in</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of the Company's common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tcBorders>
              <w:right w:val="single" w:sz="8" w:color="CCEEFF"/>
            </w:tcBorders>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stock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549,500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19,400</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568,900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3,553,900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3,635,900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3,197,200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discount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(1,142,600)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2,411,300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82,000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2,493,300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2,968,300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(452,800)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1,961,000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79,500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2,040,500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2,600,600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5.8% and 8% Notes payable to insurance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 financing company (current)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 Notes payable to vendors for accounts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payable converted to notes payable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notes payable to unrelated parties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2,603,700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105,300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2,709,000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3,202,100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64,700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(617,200)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2,012,300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79,500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2,091,800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2,620,000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64,300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to related parties: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2011 7 % Note to Cato Holding Co.</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293,300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300,200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October 2012 7.5% Note to Cato Holding</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293,600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7,400</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301,000</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October 2012 7.5% Note to Cato Research</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 payable solely in restricted shares of the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tcBorders>
              <w:right w:val="single" w:sz="8" w:color="CCEEFF"/>
            </w:tcBorders>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Company's common stock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1,009,000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36,200</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1,045,200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43,600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1,346,200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discount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(147,200)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5" w:right="239" w:bottom="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notes payable to related parties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1,199,000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269,000</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275,900</w:t>
            </w:r>
          </w:p>
        </w:tc>
        <w:tc>
          <w:tcPr>
            <w:tcW w:w="10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(7,400)</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(93,000)</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(168,200)</w:t>
            </w: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(168,200)</w:t>
            </w:r>
          </w:p>
        </w:tc>
      </w:tr>
      <w:tr>
        <w:trPr>
          <w:trHeight w:val="212"/>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1,069,800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1,106,000</w:t>
            </w: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100,800</w:t>
            </w: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ind w:left="200" w:hanging="194"/>
        <w:spacing w:after="0"/>
        <w:tabs>
          <w:tab w:leader="none" w:pos="200" w:val="left"/>
        </w:tabs>
        <w:numPr>
          <w:ilvl w:val="0"/>
          <w:numId w:val="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See description of debt restructuring in Note 8.</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Convertible Promissory Notes issued to Platinum</w:t>
      </w: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On July 2, 2012 and on August 31, 2012, the Company issued to Platinum senior secured convertible promissory notes in the principal amount of $500,000 (the </w:t>
      </w:r>
      <w:r>
        <w:rPr>
          <w:rFonts w:ascii="Times New Roman" w:cs="Times New Roman" w:eastAsia="Times New Roman" w:hAnsi="Times New Roman"/>
          <w:sz w:val="17"/>
          <w:szCs w:val="17"/>
          <w:i w:val="1"/>
          <w:iCs w:val="1"/>
          <w:color w:val="auto"/>
        </w:rPr>
        <w:t>“July 2012 Platinum Note</w:t>
      </w:r>
      <w:r>
        <w:rPr>
          <w:rFonts w:ascii="Times New Roman" w:cs="Times New Roman" w:eastAsia="Times New Roman" w:hAnsi="Times New Roman"/>
          <w:sz w:val="17"/>
          <w:szCs w:val="17"/>
          <w:color w:val="auto"/>
        </w:rPr>
        <w:t>”) and $750,000 (the "</w:t>
      </w:r>
      <w:r>
        <w:rPr>
          <w:rFonts w:ascii="Times New Roman" w:cs="Times New Roman" w:eastAsia="Times New Roman" w:hAnsi="Times New Roman"/>
          <w:sz w:val="17"/>
          <w:szCs w:val="17"/>
          <w:i w:val="1"/>
          <w:iCs w:val="1"/>
          <w:color w:val="auto"/>
        </w:rPr>
        <w:t>August 2012 Platinum Note</w:t>
      </w:r>
      <w:r>
        <w:rPr>
          <w:rFonts w:ascii="Times New Roman" w:cs="Times New Roman" w:eastAsia="Times New Roman" w:hAnsi="Times New Roman"/>
          <w:sz w:val="17"/>
          <w:szCs w:val="17"/>
          <w:color w:val="auto"/>
        </w:rPr>
        <w:t>"), respectively. The July 2012 Platinum Note and the August 2012 Platinum Note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October 11, 2012, the Company and Platinum entered into a Note Exchange and Purchase Agreement (the “</w:t>
      </w:r>
      <w:r>
        <w:rPr>
          <w:rFonts w:ascii="Times New Roman" w:cs="Times New Roman" w:eastAsia="Times New Roman" w:hAnsi="Times New Roman"/>
          <w:sz w:val="18"/>
          <w:szCs w:val="18"/>
          <w:i w:val="1"/>
          <w:iCs w:val="1"/>
          <w:color w:val="auto"/>
        </w:rPr>
        <w:t>October 2012 Agreement</w:t>
      </w:r>
      <w:r>
        <w:rPr>
          <w:rFonts w:ascii="Times New Roman" w:cs="Times New Roman" w:eastAsia="Times New Roman" w:hAnsi="Times New Roman"/>
          <w:sz w:val="18"/>
          <w:szCs w:val="18"/>
          <w:color w:val="auto"/>
        </w:rPr>
        <w:t>”) in which the July 2012 Platinum Note and the August 2012 Platinum Note (together, the “</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as well as the related accrued interest, were consolidated into and exchanged for a single senior secured convertible note in the amount of $1,272,577 (the “</w:t>
      </w:r>
      <w:r>
        <w:rPr>
          <w:rFonts w:ascii="Times New Roman" w:cs="Times New Roman" w:eastAsia="Times New Roman" w:hAnsi="Times New Roman"/>
          <w:sz w:val="18"/>
          <w:szCs w:val="18"/>
          <w:i w:val="1"/>
          <w:iCs w:val="1"/>
          <w:color w:val="auto"/>
        </w:rPr>
        <w:t>Exchange Note</w:t>
      </w:r>
      <w:r>
        <w:rPr>
          <w:rFonts w:ascii="Times New Roman" w:cs="Times New Roman" w:eastAsia="Times New Roman" w:hAnsi="Times New Roman"/>
          <w:sz w:val="18"/>
          <w:szCs w:val="18"/>
          <w:color w:val="auto"/>
        </w:rPr>
        <w:t>”) and Platinum agreed to purchase four additional 10% senior secured convertible promissory notes in the aggregate principal amount of $2.0 million (the “</w:t>
      </w:r>
      <w:r>
        <w:rPr>
          <w:rFonts w:ascii="Times New Roman" w:cs="Times New Roman" w:eastAsia="Times New Roman" w:hAnsi="Times New Roman"/>
          <w:sz w:val="18"/>
          <w:szCs w:val="18"/>
          <w:i w:val="1"/>
          <w:iCs w:val="1"/>
          <w:color w:val="auto"/>
        </w:rPr>
        <w:t>Investment Notes</w:t>
      </w:r>
      <w:r>
        <w:rPr>
          <w:rFonts w:ascii="Times New Roman" w:cs="Times New Roman" w:eastAsia="Times New Roman" w:hAnsi="Times New Roman"/>
          <w:sz w:val="18"/>
          <w:szCs w:val="18"/>
          <w:color w:val="auto"/>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November 14, 2012 and January 31, 2013, the Company and Platinum entered into amendments to the October 2012 Agreement (the “</w:t>
      </w:r>
      <w:r>
        <w:rPr>
          <w:rFonts w:ascii="Times New Roman" w:cs="Times New Roman" w:eastAsia="Times New Roman" w:hAnsi="Times New Roman"/>
          <w:sz w:val="18"/>
          <w:szCs w:val="18"/>
          <w:i w:val="1"/>
          <w:iCs w:val="1"/>
          <w:color w:val="auto"/>
        </w:rPr>
        <w:t>NEPA Amendments</w:t>
      </w:r>
      <w:r>
        <w:rPr>
          <w:rFonts w:ascii="Times New Roman" w:cs="Times New Roman" w:eastAsia="Times New Roman" w:hAnsi="Times New Roman"/>
          <w:sz w:val="18"/>
          <w:szCs w:val="18"/>
          <w:color w:val="auto"/>
        </w:rPr>
        <w:t xml:space="preserve">”), pursuant to which the final two $500,000 tranches contemplated by the October 2012 Agreement were combined into a single Investment Note in the aggregate principal amount of $1.0 million (the </w:t>
      </w:r>
      <w:r>
        <w:rPr>
          <w:rFonts w:ascii="Times New Roman" w:cs="Times New Roman" w:eastAsia="Times New Roman" w:hAnsi="Times New Roman"/>
          <w:sz w:val="18"/>
          <w:szCs w:val="18"/>
          <w:i w:val="1"/>
          <w:iCs w:val="1"/>
          <w:color w:val="auto"/>
        </w:rPr>
        <w:t>“$1.0 Million Note</w:t>
      </w:r>
      <w:r>
        <w:rPr>
          <w:rFonts w:ascii="Times New Roman" w:cs="Times New Roman" w:eastAsia="Times New Roman" w:hAnsi="Times New Roman"/>
          <w:sz w:val="18"/>
          <w:szCs w:val="18"/>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Times New Roman" w:cs="Times New Roman" w:eastAsia="Times New Roman" w:hAnsi="Times New Roman"/>
          <w:sz w:val="18"/>
          <w:szCs w:val="18"/>
          <w:i w:val="1"/>
          <w:iCs w:val="1"/>
          <w:color w:val="auto"/>
        </w:rPr>
        <w:t>Additional Financing Requirement</w:t>
      </w:r>
      <w:r>
        <w:rPr>
          <w:rFonts w:ascii="Times New Roman" w:cs="Times New Roman" w:eastAsia="Times New Roman" w:hAnsi="Times New Roman"/>
          <w:sz w:val="18"/>
          <w:szCs w:val="18"/>
          <w:color w:val="auto"/>
        </w:rPr>
        <w:t xml:space="preserve">”). The Company satisfied the Additional Financing Requirement on February 12, 2013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Exchange Note and each Investment Note (together,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At maturity, all principal and accrued interest under the Notes shall be payable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additional consideration for the purchase of the Investment Notes, the Company agreed to issue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cs="Times New Roman" w:eastAsia="Times New Roman" w:hAnsi="Times New Roman"/>
          <w:sz w:val="18"/>
          <w:szCs w:val="18"/>
          <w:i w:val="1"/>
          <w:iCs w:val="1"/>
          <w:color w:val="auto"/>
        </w:rPr>
        <w:t>Investment Warrant</w:t>
      </w:r>
      <w:r>
        <w:rPr>
          <w:rFonts w:ascii="Times New Roman" w:cs="Times New Roman" w:eastAsia="Times New Roman" w:hAnsi="Times New Roman"/>
          <w:sz w:val="18"/>
          <w:szCs w:val="18"/>
          <w:color w:val="auto"/>
        </w:rPr>
        <w:t>”). In addition, the Company issued Platinum a warrant to purchase 1,272,577 shares of the Company’s common stock in connection with the issuance of the Exchange Note (the “</w:t>
      </w:r>
      <w:r>
        <w:rPr>
          <w:rFonts w:ascii="Times New Roman" w:cs="Times New Roman" w:eastAsia="Times New Roman" w:hAnsi="Times New Roman"/>
          <w:sz w:val="18"/>
          <w:szCs w:val="18"/>
          <w:i w:val="1"/>
          <w:iCs w:val="1"/>
          <w:color w:val="auto"/>
        </w:rPr>
        <w:t>Exchange Warrant</w:t>
      </w:r>
      <w:r>
        <w:rPr>
          <w:rFonts w:ascii="Times New Roman" w:cs="Times New Roman" w:eastAsia="Times New Roman" w:hAnsi="Times New Roman"/>
          <w:sz w:val="18"/>
          <w:szCs w:val="18"/>
          <w:color w:val="auto"/>
        </w:rPr>
        <w:t xml:space="preserve">”). At issuance, the Platinum Exchange Warrant and each Investment Warrant has a term of 5 years and an exercise price of $1.50 per share, subject to certain adjustments.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regarding a modification of the exercise price of the Exchange Warrant and the Investment Warrants. The Company and Platinum also executed and subsequently amended a security agreement to secure repayment of all obligations due and payable under the terms of the Exchange Note and all of the Investment Notes.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spacing w:after="0" w:line="2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Subject to limited exceptions, which include issuances of common stock pursuant to the 2012 Private Placement of Units (see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xml:space="preserve">), the Exchange Warrant and each of the Investment Warrants include certain exercise price reset and anti-dilution protection features in the event that the Company issues other shares of common stock during the five-year term of the warrants at a price less than their initial $1.50 per share exercise price. As a result of these provisions, the Exchange Warrant and the Investment Warrants do not meet the criteria set forth in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to be considered indexed to the Company’s own stock and treated as equity instruments. Consequently, the Company recorded the Exchange Warrant and each of the Investment Warrants as liabilities at their fair value, which was estimated at the issuance date using a Monte Carlo simulation model and the following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Exchange</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color w:val="auto"/>
                <w:w w:val="98"/>
              </w:rPr>
              <w:t>Investment Warrants Issued on:</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Warrant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9"/>
              </w:rPr>
              <w:t>10/11/2012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10/19/2012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2/22/2013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of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1,272,577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date of issuance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672,000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264,000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at the date of issuance was recorded as a liability and as a corresponding discount to the related Investment Note. Subject to limitations of the absolute amount of discount attributable to each Investment Note, the Company treated the issuance-date intrinsic value of the beneficial conversion feature embedded in each Investment Note as an additional component of the discount attributable to each Investment Note and recorded a discount attributable to the beneficial conversion feature for each Investment Note. The Company amortizes the aggregate discount attributable to each of the Investment Notes using the interest method over the respective term of each note. The table below summarizes the components of the discount and the effective interest rate at inception for the Exchange Note and each of the Investment Notes.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84"/>
        </w:trPr>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10"/>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rPr>
              <w:t>Inception Date Carrying Value of</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3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10"/>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Exchange</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Investment Notes Issued on:</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Note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9"/>
              </w:rPr>
              <w:t>10/11/2012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9"/>
              </w:rPr>
              <w:t>10/19/2012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2/22/2013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1,272,600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attributable to:</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 conversion feature</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(349,500)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Inception date carrying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1,272,600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127.27%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fair value of the Exchange Warrant and Investment Warrants was re-measured as of March 31, 2013 at an aggregate of $1,988,000 and the $298,000 increase in fair value since inception was reflected in the accompanying Consolidated Statement of Operations and Comprehensive Income for the year ended March 31, 2013.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2011 Platinum Note</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2007 and 2008, the Company issued three convertible promissory notes with an aggregate principal balance of $4.0 million to Platinum (the “</w:t>
      </w:r>
      <w:r>
        <w:rPr>
          <w:rFonts w:ascii="Times New Roman" w:cs="Times New Roman" w:eastAsia="Times New Roman" w:hAnsi="Times New Roman"/>
          <w:sz w:val="17"/>
          <w:szCs w:val="17"/>
          <w:i w:val="1"/>
          <w:iCs w:val="1"/>
          <w:color w:val="auto"/>
        </w:rPr>
        <w:t>Original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Platinum Notes</w:t>
      </w:r>
      <w:r>
        <w:rPr>
          <w:rFonts w:ascii="Times New Roman" w:cs="Times New Roman" w:eastAsia="Times New Roman" w:hAnsi="Times New Roman"/>
          <w:sz w:val="17"/>
          <w:szCs w:val="17"/>
          <w:color w:val="auto"/>
        </w:rPr>
        <w:t>”). In conjunction with the issuance of the Original Platinum Notes, the Company also issued warrants to Platinum to purchase an aggregate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560,000 shares of the Company’s common stock. On May 5, 2011, the Original Platinum Notes were amended, restated and consolidated into a single note (the “</w:t>
      </w:r>
      <w:r>
        <w:rPr>
          <w:rFonts w:ascii="Times New Roman" w:cs="Times New Roman" w:eastAsia="Times New Roman" w:hAnsi="Times New Roman"/>
          <w:sz w:val="17"/>
          <w:szCs w:val="17"/>
          <w:i w:val="1"/>
          <w:iCs w:val="1"/>
          <w:color w:val="auto"/>
        </w:rPr>
        <w:t>May 2011Platinum Note</w:t>
      </w:r>
      <w:r>
        <w:rPr>
          <w:rFonts w:ascii="Times New Roman" w:cs="Times New Roman" w:eastAsia="Times New Roman" w:hAnsi="Times New Roman"/>
          <w:sz w:val="17"/>
          <w:szCs w:val="17"/>
          <w:color w:val="auto"/>
        </w:rPr>
        <w:t>”) with a principal balance of $4.0 million and an extended maturity date of June 30, 2012, a one year extension from the June 30, 2011 maturity date of the Original Platinum Notes (the “</w:t>
      </w:r>
      <w:r>
        <w:rPr>
          <w:rFonts w:ascii="Times New Roman" w:cs="Times New Roman" w:eastAsia="Times New Roman" w:hAnsi="Times New Roman"/>
          <w:sz w:val="17"/>
          <w:szCs w:val="17"/>
          <w:i w:val="1"/>
          <w:iCs w:val="1"/>
          <w:color w:val="auto"/>
        </w:rPr>
        <w:t>May 2011 Amendment</w:t>
      </w:r>
      <w:r>
        <w:rPr>
          <w:rFonts w:ascii="Times New Roman" w:cs="Times New Roman" w:eastAsia="Times New Roman" w:hAnsi="Times New Roman"/>
          <w:sz w:val="17"/>
          <w:szCs w:val="17"/>
          <w:color w:val="auto"/>
        </w:rPr>
        <w:t xml:space="preserve">”). The May 2011 Platinum Note continued to bear interest at an annual rate of 10%. Platinum retained the right, in its sole discretion, to extend the maturity date of the May 2011 Platinum Note by one year to June 30, 2013. The May 2011 Platinum Note would have been automatically converted, subject to certain conditions, upon the last to occur of (i) the closing of an equity or equity-based financing or series of equity or equity-based financings after May 1, 2011 resulting in gross proceeds to the Company totaling at least $5.0 million, including the 2011 Private Placement (see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xml:space="preserve"> and cancellation of debt not otherwise convertible; and (ii) the Company becoming a publicly traded company ("</w:t>
      </w:r>
      <w:r>
        <w:rPr>
          <w:rFonts w:ascii="Times New Roman" w:cs="Times New Roman" w:eastAsia="Times New Roman" w:hAnsi="Times New Roman"/>
          <w:sz w:val="17"/>
          <w:szCs w:val="17"/>
          <w:i w:val="1"/>
          <w:iCs w:val="1"/>
          <w:color w:val="auto"/>
        </w:rPr>
        <w:t>Amended Qualified Financing</w:t>
      </w:r>
      <w:r>
        <w:rPr>
          <w:rFonts w:ascii="Times New Roman" w:cs="Times New Roman" w:eastAsia="Times New Roman" w:hAnsi="Times New Roman"/>
          <w:sz w:val="17"/>
          <w:szCs w:val="17"/>
          <w:color w:val="auto"/>
        </w:rPr>
        <w:t>"). The number of shares issuable to Platinum upon the automatic conversion of the May 2011 Platinum Note would have been determined in accordance with one of the following three formulas, as selected by Platinum in its sole discretion: (i) the outstanding principal plus accrued but unpaid interest ("</w:t>
      </w:r>
      <w:r>
        <w:rPr>
          <w:rFonts w:ascii="Times New Roman" w:cs="Times New Roman" w:eastAsia="Times New Roman" w:hAnsi="Times New Roman"/>
          <w:sz w:val="17"/>
          <w:szCs w:val="17"/>
          <w:i w:val="1"/>
          <w:iCs w:val="1"/>
          <w:color w:val="auto"/>
        </w:rPr>
        <w:t>Outstanding Balance</w:t>
      </w:r>
      <w:r>
        <w:rPr>
          <w:rFonts w:ascii="Times New Roman" w:cs="Times New Roman" w:eastAsia="Times New Roman" w:hAnsi="Times New Roman"/>
          <w:sz w:val="17"/>
          <w:szCs w:val="17"/>
          <w:color w:val="auto"/>
        </w:rPr>
        <w:t>") as of the closing of the Amended Qualified Financing multiplied by 1.25 and divided by $1.75 per share;</w:t>
      </w:r>
    </w:p>
    <w:p>
      <w:pPr>
        <w:spacing w:after="0" w:line="6" w:lineRule="exact"/>
        <w:rPr>
          <w:sz w:val="20"/>
          <w:szCs w:val="20"/>
          <w:color w:val="auto"/>
        </w:rPr>
      </w:pPr>
    </w:p>
    <w:p>
      <w:pPr>
        <w:jc w:val="both"/>
        <w:ind w:firstLine="6"/>
        <w:spacing w:after="0" w:line="247" w:lineRule="auto"/>
        <w:tabs>
          <w:tab w:leader="none" w:pos="2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 as of the closing of the Amended Qualified Financing multiplied by 1.25 and divided by the per share price of shares sold in the Amended Qualified Financing; or (iii) the Outstanding Balance as of the closing of the Amended Qualified Financing divided by the Company's per share price assuming a pre-Amended Qualified Financing valuation of the Company of $30 million on a fully-diluted basis, subject to certain exclusions. Under the May 2011 Platinum Note, the cash payment option previously included in the Original Platinum Notes was eliminated. In the event the Company had completed an Amended Qualified Financing prior to December 31, 2011, interest accrued on the May 2011 Platinum Note from May 5, 2011 through the date of the closing of the Amended Qualified Financing would have been forgiven.</w:t>
      </w:r>
    </w:p>
    <w:p>
      <w:pPr>
        <w:spacing w:after="0" w:line="21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May 2011 Platinum Note would have been voluntarily convertible, at the option of Platinum, at any time prior to an Amended Qualified Financing or its maturity date into restricted shares of common stock determined by multiplying the Outstanding Balance being converted by 1.25 and dividing by the lesser of</w:t>
      </w:r>
    </w:p>
    <w:p>
      <w:pPr>
        <w:spacing w:after="0" w:line="1" w:lineRule="exact"/>
        <w:rPr>
          <w:sz w:val="20"/>
          <w:szCs w:val="20"/>
          <w:color w:val="auto"/>
        </w:rPr>
      </w:pPr>
    </w:p>
    <w:p>
      <w:pPr>
        <w:jc w:val="both"/>
        <w:ind w:firstLine="6"/>
        <w:spacing w:after="0" w:line="246" w:lineRule="auto"/>
        <w:tabs>
          <w:tab w:leader="none" w:pos="2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per share; (ii) the per share price in any subsequent equity financing; or (iii) the per share price assuming a $30 million valuation of the Company on a fully diluted basis (subject to certain exclusions). Platinum could have elected to convert the May 2011 Platinum Note at any time, but was not obligated to convert the May 2011 Platinum Note until the restricted shares issuable upon conversion of the note were freely tradable pursuant to an effective registration statement or could have been sold in any ninety day period without registration under the Securities Act of 1933, as amended (“Securities Act”), in compliance with Rule 144. Additionally, Platinum could not have converted the May 2011 Platinum Note if the shares issuable upon conversion would result in it beneficially owning in excess of 9.99% of the then outstanding shares of the Company's common stock. However, Platinum could have waived this condition upon giving 61 days’ notice to the Company.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May 2011 Platinum Note, the Company issued to Platinum a three-year warrant to purchase 825,574 restricted shares of the Company’s common stock at an exercise price of $2.50 per share. The warrant would have expired on May 5, 2014, and become exercisable upon Platinum’s conversion of the May 2011 Platinum Note and would have been exercisable for one-fourth (1/4) of the number of shares issued in the conversion.</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December 2011, the Company and Platinum entered into a Note and Warrant Exchange Agreement pursuant to which the May 2011 Platinum Note was cancelled and all warrants issued to Platinum were exercised in exchange for restricted shares of the Company’s new Series A Preferred stock. See </w:t>
      </w:r>
      <w:r>
        <w:rPr>
          <w:rFonts w:ascii="Times New Roman" w:cs="Times New Roman" w:eastAsia="Times New Roman" w:hAnsi="Times New Roman"/>
          <w:sz w:val="18"/>
          <w:szCs w:val="18"/>
          <w:i w:val="1"/>
          <w:iCs w:val="1"/>
          <w:color w:val="auto"/>
        </w:rPr>
        <w:t>Note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 Exchange Agreement </w:t>
      </w:r>
      <w:r>
        <w:rPr>
          <w:rFonts w:ascii="Times New Roman" w:cs="Times New Roman" w:eastAsia="Times New Roman" w:hAnsi="Times New Roman"/>
          <w:sz w:val="18"/>
          <w:szCs w:val="18"/>
          <w:color w:val="auto"/>
        </w:rPr>
        <w:t>below.</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evaluated the extension of the maturity date of the Original Platinum Notes along with the issuance of the new three-year warrant and determined that the modifications were to be accounted for as a troubled debt restructuring on a prospective basis. The Company recorded a discount to the May 2011 Platinum Note of $908,900, which amount was equal to the incremental fair value of the note conversion feature and the cash payment or put option liability, and the fair value of the new warrant. The note discount was to be amortized as non-cash interest expense over the remaining term of the May 2011 Platinum Note using the effective interest method. The effective annual interest rate of the May 2011 Platinum Note was determined to be 17.3%, based on the amount of the note discount, the stated interest rate, and the note term.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related to Original Platinum Notes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warrants issued with the Original Platinum Notes included certain exercise price adjustment features and accordingly were not deemed to be indexed to the Company’s common stock. At issuance, the Company recorded the estimated fair value of the warrant liability of $151,300 as a non-current liability in the consolidated balance sheet. Changes in the estimated fair value of the warrant liability were recorded in other income (expense) in the Consolidated Statement of Operations and Comprehensive Loss until the closing of the Merger on May 11, 2011, when the amended warrants no longer contained the exercise price adjustment features, at which time the warrants were deemed to be indexed to the Company’s common stock and therefore no longer treated as a liability. The warrant liability was recorded at its fair value of $424,100 at May 11, 2011, which resulted in non-cash expense of $7,000 that was charged to other income (expense) in the first quarter of the fiscal year ended March 31, 2012. As of May 11, 2011, $424,100, the then-current aggregate fair value of these warrants, was reclassified from warrant liability to additional paid-in capital, a component of stockholders’ deficit.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2011 Note and Warrant Exchange Agreement with Platinum</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December 29, 2011, the Company and Platinum entered into a Note and Warrant Exchange Agreement pursuant to which the May 2011 Platinum Note and all outstanding warrants issued to Platinum to purchase an aggregate of 1,599,858 restricted shares of the Company’s common stock were cancelled in exchange for 391,075 restricted shares of the Company’s newly-created Series A Preferred Stock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xml:space="preserve">”). Each share of Series A Preferred was initially convertible into ten shares of the Company’s common stock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The Company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Company determined that the cancellation of the Platinum Note and exercise of the warrants pursuant to the Note and Warrant Exchange Agreement should be accounted for as a debt extinguishment. The Company estimated the fair value of the restricted shares of Series A Preferred tendered to Platinum for the cancellation of the Platinum Note under the terms of the agreement at $15.51 per share ($1.55 on a per common share equivalent basis). The Company recorded a loss of $1,193,500 attributable to the early debt extinguishment, reported in Other expenses, net in the accompanying Consolidated Statements of Operations and Comprehensive Loss for the year ended March 31, 2012. The loss includes $287,278, calculated using the Black-Scholes Option Pricing Model, representing the incremental fair value of the warrants exercised by Platinum as modified to reduce their exercise price. (See </w:t>
      </w:r>
      <w:r>
        <w:rPr>
          <w:rFonts w:ascii="Times New Roman" w:cs="Times New Roman" w:eastAsia="Times New Roman" w:hAnsi="Times New Roman"/>
          <w:sz w:val="18"/>
          <w:szCs w:val="18"/>
          <w:i w:val="1"/>
          <w:iCs w:val="1"/>
          <w:color w:val="auto"/>
        </w:rPr>
        <w:t>Discounted Warrant Exercise Program</w:t>
      </w:r>
      <w:r>
        <w:rPr>
          <w:rFonts w:ascii="Times New Roman" w:cs="Times New Roman" w:eastAsia="Times New Roman" w:hAnsi="Times New Roman"/>
          <w:sz w:val="18"/>
          <w:szCs w:val="18"/>
          <w:color w:val="auto"/>
        </w:rPr>
        <w:t xml:space="preserve">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for a description of the modification of warrant exercise prices and the resulting valuation that occurred during the quarter ended December 31, 2011.) The restricted common shares issued in connection with the warrant exercise that were exchanged for shares of Series A Preferred Stock are treated as Treasury Stock in the accompanying Consolidated Balance Sheets at March 31, 2013 and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2012 Convertible Promissory Notes</w:t>
      </w:r>
    </w:p>
    <w:p>
      <w:pPr>
        <w:spacing w:after="0" w:line="2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February 28, 2012, the Company completed a private placement of convertible promissory notes to certain accredited investors in the aggregate principal amount of $500,000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Each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Times New Roman" w:cs="Times New Roman" w:eastAsia="Times New Roman" w:hAnsi="Times New Roman"/>
          <w:sz w:val="17"/>
          <w:szCs w:val="17"/>
          <w:i w:val="1"/>
          <w:iCs w:val="1"/>
          <w:color w:val="auto"/>
        </w:rPr>
        <w:t>Qualified Financing Threshold</w:t>
      </w:r>
      <w:r>
        <w:rPr>
          <w:rFonts w:ascii="Times New Roman" w:cs="Times New Roman" w:eastAsia="Times New Roman" w:hAnsi="Times New Roman"/>
          <w:sz w:val="17"/>
          <w:szCs w:val="17"/>
          <w:color w:val="auto"/>
        </w:rPr>
        <w:t>”). The holders of the Notes had the right to voluntarily convert the outstanding principal amount of the Notes and all accrued and unpaid interest (the “</w:t>
      </w:r>
      <w:r>
        <w:rPr>
          <w:rFonts w:ascii="Times New Roman" w:cs="Times New Roman" w:eastAsia="Times New Roman" w:hAnsi="Times New Roman"/>
          <w:sz w:val="17"/>
          <w:szCs w:val="17"/>
          <w:i w:val="1"/>
          <w:iCs w:val="1"/>
          <w:color w:val="auto"/>
        </w:rPr>
        <w:t>Outstanding Balance</w:t>
      </w:r>
      <w:r>
        <w:rPr>
          <w:rFonts w:ascii="Times New Roman" w:cs="Times New Roman" w:eastAsia="Times New Roman" w:hAnsi="Times New Roman"/>
          <w:sz w:val="17"/>
          <w:szCs w:val="17"/>
          <w:color w:val="auto"/>
        </w:rPr>
        <w:t>”) at any time prior to maturity into that number of restricted shares of the Company’s common stock equal to the Outstanding Balance, divided by $3.00 (the "</w:t>
      </w:r>
      <w:r>
        <w:rPr>
          <w:rFonts w:ascii="Times New Roman" w:cs="Times New Roman" w:eastAsia="Times New Roman" w:hAnsi="Times New Roman"/>
          <w:sz w:val="17"/>
          <w:szCs w:val="17"/>
          <w:i w:val="1"/>
          <w:iCs w:val="1"/>
          <w:color w:val="auto"/>
        </w:rPr>
        <w:t>Conversion Shares</w:t>
      </w:r>
      <w:r>
        <w:rPr>
          <w:rFonts w:ascii="Times New Roman" w:cs="Times New Roman" w:eastAsia="Times New Roman" w:hAnsi="Times New Roman"/>
          <w:sz w:val="17"/>
          <w:szCs w:val="17"/>
          <w:color w:val="auto"/>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Times New Roman" w:cs="Times New Roman" w:eastAsia="Times New Roman" w:hAnsi="Times New Roman"/>
          <w:sz w:val="17"/>
          <w:szCs w:val="17"/>
          <w:i w:val="1"/>
          <w:iCs w:val="1"/>
          <w:color w:val="auto"/>
        </w:rPr>
        <w:t>Qualified Financing</w:t>
      </w:r>
      <w:r>
        <w:rPr>
          <w:rFonts w:ascii="Times New Roman" w:cs="Times New Roman" w:eastAsia="Times New Roman" w:hAnsi="Times New Roman"/>
          <w:sz w:val="17"/>
          <w:szCs w:val="17"/>
          <w:color w:val="auto"/>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 The purchaser of each Note was issued a five-year warrant to purchase, for $2.75 per share, the number of restricted shares of the Company’s common stock equal to 150% of the total principal amount of the Notes purchased by such purchaser, divided by $2.75, resulting in the potential issuance of an aggregate of 272,724 restricted shares of the Company’s common stock upon exercise of the warrants (the “</w:t>
      </w:r>
      <w:r>
        <w:rPr>
          <w:rFonts w:ascii="Times New Roman" w:cs="Times New Roman" w:eastAsia="Times New Roman" w:hAnsi="Times New Roman"/>
          <w:sz w:val="17"/>
          <w:szCs w:val="17"/>
          <w:i w:val="1"/>
          <w:iCs w:val="1"/>
          <w:color w:val="auto"/>
        </w:rPr>
        <w:t>Warrant Shares</w:t>
      </w:r>
      <w:r>
        <w:rPr>
          <w:rFonts w:ascii="Times New Roman" w:cs="Times New Roman" w:eastAsia="Times New Roman" w:hAnsi="Times New Roman"/>
          <w:sz w:val="17"/>
          <w:szCs w:val="17"/>
          <w:color w:val="auto"/>
        </w:rPr>
        <w:t>”). The warrants terminate, if not exercised, five years from the date of issuance. The Company valued the warrants at a fair value of $1.99 per share on the date of issuance using the Black-Scholes option pricing model and the following assumptions: fair value of common stock - $2.85; risk-free interest rate – 0.84%; volatility – 89.9%; contractual term – 5.00 years; dividend rate – 0%.</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allocated the proceeds from the Notes and associated warrants based on their relative fair values. The relative fair value attributable to the warrants was $260,076, which the Company recorded as a discount to the Notes and a corresponding credit to additional paid-in capital. The Company recorded an additional note discount of $235,084 for the fair value of the non-contingent beneficial conversion feature of the Notes. The note discounts totaling $495,160 were to be amortized to interest expense using the effective interest method over the term of the Notes. The effective interest rate on the Notes at the date of issuance was 268.9% based on the stated interest rate, the amount of discount, and the term of the Notes.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the purchasers of the February 2012 Notes pursuant to which the Company agreed to register for resale the Conversion Shares and the Warrant Shares. The Company agreed to file a registration statement no later than ninety days from the February 28, 2012 closing date, or by May 28, 2012 (the “</w:t>
      </w:r>
      <w:r>
        <w:rPr>
          <w:rFonts w:ascii="Times New Roman" w:cs="Times New Roman" w:eastAsia="Times New Roman" w:hAnsi="Times New Roman"/>
          <w:sz w:val="18"/>
          <w:szCs w:val="18"/>
          <w:i w:val="1"/>
          <w:iCs w:val="1"/>
          <w:color w:val="auto"/>
        </w:rPr>
        <w:t>Filing Deadline</w:t>
      </w:r>
      <w:r>
        <w:rPr>
          <w:rFonts w:ascii="Times New Roman" w:cs="Times New Roman" w:eastAsia="Times New Roman" w:hAnsi="Times New Roman"/>
          <w:sz w:val="18"/>
          <w:szCs w:val="18"/>
          <w:color w:val="auto"/>
        </w:rPr>
        <w:t>”). Should the Company not have filed the registration statement by the Filing Deadline or if the registration statement had not been declared effective by the agreed upon effectiveness deadline, the Company was required to make aggregate payments to the purchasers in an amount equal to 1% of the $500,000 aggregate face amount of the February 2012 Notes for each 30-day period following the Filing Deadline, or pro-rata portion thereof, with an aggregate limitation of $50,000.</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November 15, 2012, the holders of the February 2012 Notes entered into an Exchange Agreement with the Company (the "</w:t>
      </w:r>
      <w:r>
        <w:rPr>
          <w:rFonts w:ascii="Times New Roman" w:cs="Times New Roman" w:eastAsia="Times New Roman" w:hAnsi="Times New Roman"/>
          <w:sz w:val="17"/>
          <w:szCs w:val="17"/>
          <w:i w:val="1"/>
          <w:iCs w:val="1"/>
          <w:color w:val="auto"/>
        </w:rPr>
        <w:t>Exchange Agreement</w:t>
      </w:r>
      <w:r>
        <w:rPr>
          <w:rFonts w:ascii="Times New Roman" w:cs="Times New Roman" w:eastAsia="Times New Roman" w:hAnsi="Times New Roman"/>
          <w:sz w:val="17"/>
          <w:szCs w:val="17"/>
          <w:color w:val="auto"/>
        </w:rPr>
        <w:t>"). Under the terms of the Exchange Agreement, (i) the current amount due under the terms of the February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Times New Roman" w:cs="Times New Roman" w:eastAsia="Times New Roman" w:hAnsi="Times New Roman"/>
          <w:sz w:val="17"/>
          <w:szCs w:val="17"/>
          <w:i w:val="1"/>
          <w:iCs w:val="1"/>
          <w:color w:val="auto"/>
        </w:rPr>
        <w:t>Note Exchange Securities</w:t>
      </w:r>
      <w:r>
        <w:rPr>
          <w:rFonts w:ascii="Times New Roman" w:cs="Times New Roman" w:eastAsia="Times New Roman" w:hAnsi="Times New Roman"/>
          <w:sz w:val="17"/>
          <w:szCs w:val="17"/>
          <w:color w:val="auto"/>
        </w:rPr>
        <w:t>"); and (ii) the Registration Rights Agreement was terminated. Additionally, the Company issued a five-year warrant to purchase 72,000 restricted shares of the Company’s common stock at an exercise price of $1.50 per share as partial compensation to an investment bank that had placed certain of the Notes. The Company recorded the issuance of the warrants with a charge to interest expense of $28,200 and a corresponding credit to additional paid-in capital.</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determined that the exchange of the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Notes, including accrued interest, resulted in the recognition of $1,145,100 as a non-cash loss on early extinguishment of debt in the accompanying Consolidated Statements of Operations and Comprehensive Income for the year ended March 31, 2013. The warrants issued to the investment bank were valued using the same assumptions as used for the warrants issued to the exchanging note 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of Note Payable to Morrison &amp; Foerster</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5, 2011, the Company and Morrison &amp; Foerster LLP (“</w:t>
      </w:r>
      <w:r>
        <w:rPr>
          <w:rFonts w:ascii="Times New Roman" w:cs="Times New Roman" w:eastAsia="Times New Roman" w:hAnsi="Times New Roman"/>
          <w:sz w:val="18"/>
          <w:szCs w:val="18"/>
          <w:i w:val="1"/>
          <w:iCs w:val="1"/>
          <w:color w:val="auto"/>
        </w:rPr>
        <w:t>Morrison &amp; Foerster</w:t>
      </w:r>
      <w:r>
        <w:rPr>
          <w:rFonts w:ascii="Times New Roman" w:cs="Times New Roman" w:eastAsia="Times New Roman" w:hAnsi="Times New Roman"/>
          <w:sz w:val="18"/>
          <w:szCs w:val="18"/>
          <w:color w:val="auto"/>
        </w:rPr>
        <w:t>”), then the Company’s general corporate and and intellectual property counsel, amended a previously outstanding note (the “</w:t>
      </w:r>
      <w:r>
        <w:rPr>
          <w:rFonts w:ascii="Times New Roman" w:cs="Times New Roman" w:eastAsia="Times New Roman" w:hAnsi="Times New Roman"/>
          <w:sz w:val="18"/>
          <w:szCs w:val="18"/>
          <w:i w:val="1"/>
          <w:iCs w:val="1"/>
          <w:color w:val="auto"/>
        </w:rPr>
        <w:t>Original Note</w:t>
      </w:r>
      <w:r>
        <w:rPr>
          <w:rFonts w:ascii="Times New Roman" w:cs="Times New Roman" w:eastAsia="Times New Roman" w:hAnsi="Times New Roman"/>
          <w:sz w:val="18"/>
          <w:szCs w:val="18"/>
          <w:color w:val="auto"/>
        </w:rPr>
        <w:t>”) issued by the Company in payment of legal services (the “</w:t>
      </w:r>
      <w:r>
        <w:rPr>
          <w:rFonts w:ascii="Times New Roman" w:cs="Times New Roman" w:eastAsia="Times New Roman" w:hAnsi="Times New Roman"/>
          <w:sz w:val="18"/>
          <w:szCs w:val="18"/>
          <w:i w:val="1"/>
          <w:iCs w:val="1"/>
          <w:color w:val="auto"/>
        </w:rPr>
        <w:t>Amended Note</w:t>
      </w:r>
      <w:r>
        <w:rPr>
          <w:rFonts w:ascii="Times New Roman" w:cs="Times New Roman" w:eastAsia="Times New Roman" w:hAnsi="Times New Roman"/>
          <w:sz w:val="18"/>
          <w:szCs w:val="18"/>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The Company made the required $100,000 payment in a timely manner.</w:t>
      </w:r>
    </w:p>
    <w:p>
      <w:pPr>
        <w:spacing w:after="0" w:line="1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August 31, 2012, the Company restructured the Amended Note (the “</w:t>
      </w:r>
      <w:r>
        <w:rPr>
          <w:rFonts w:ascii="Times New Roman" w:cs="Times New Roman" w:eastAsia="Times New Roman" w:hAnsi="Times New Roman"/>
          <w:sz w:val="18"/>
          <w:szCs w:val="18"/>
          <w:i w:val="1"/>
          <w:iCs w:val="1"/>
          <w:color w:val="auto"/>
        </w:rPr>
        <w:t>Restructuring Agreement</w:t>
      </w:r>
      <w:r>
        <w:rPr>
          <w:rFonts w:ascii="Times New Roman" w:cs="Times New Roman" w:eastAsia="Times New Roman" w:hAnsi="Times New Roman"/>
          <w:sz w:val="18"/>
          <w:szCs w:val="18"/>
          <w:color w:val="auto"/>
        </w:rPr>
        <w:t>”). Pursuant to the Restructuring Agreement, the Company issued to Morrison &amp; Foerster two new unsecured promissory notes to replace the Amended Note, one in the principal amount of $1,000,000 ("</w:t>
      </w:r>
      <w:r>
        <w:rPr>
          <w:rFonts w:ascii="Times New Roman" w:cs="Times New Roman" w:eastAsia="Times New Roman" w:hAnsi="Times New Roman"/>
          <w:sz w:val="18"/>
          <w:szCs w:val="18"/>
          <w:i w:val="1"/>
          <w:iCs w:val="1"/>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A</w:t>
      </w:r>
      <w:r>
        <w:rPr>
          <w:rFonts w:ascii="Times New Roman" w:cs="Times New Roman" w:eastAsia="Times New Roman" w:hAnsi="Times New Roman"/>
          <w:sz w:val="18"/>
          <w:szCs w:val="18"/>
          <w:color w:val="auto"/>
        </w:rPr>
        <w:t>") and the other in the principal amount of $1,379,400 ("</w:t>
      </w:r>
      <w:r>
        <w:rPr>
          <w:rFonts w:ascii="Times New Roman" w:cs="Times New Roman" w:eastAsia="Times New Roman" w:hAnsi="Times New Roman"/>
          <w:sz w:val="18"/>
          <w:szCs w:val="18"/>
          <w:i w:val="1"/>
          <w:iCs w:val="1"/>
          <w:color w:val="auto"/>
        </w:rPr>
        <w:t>Replacement Note B</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i w:val="1"/>
          <w:iCs w:val="1"/>
          <w:color w:val="auto"/>
        </w:rPr>
        <w:t>Replacement Notes</w:t>
      </w:r>
      <w:r>
        <w:rPr>
          <w:rFonts w:ascii="Times New Roman" w:cs="Times New Roman" w:eastAsia="Times New Roman" w:hAnsi="Times New Roman"/>
          <w:sz w:val="18"/>
          <w:szCs w:val="18"/>
          <w:color w:val="auto"/>
        </w:rPr>
        <w:t>"); amended an outstanding warrant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 restricted shares of the Company’s common stock (the </w:t>
      </w:r>
      <w:r>
        <w:rPr>
          <w:rFonts w:ascii="Times New Roman" w:cs="Times New Roman" w:eastAsia="Times New Roman" w:hAnsi="Times New Roman"/>
          <w:sz w:val="18"/>
          <w:szCs w:val="18"/>
          <w:i w:val="1"/>
          <w:iCs w:val="1"/>
          <w:color w:val="auto"/>
        </w:rPr>
        <w:t>“Amended M&amp;F Warrant”)</w:t>
      </w:r>
      <w:r>
        <w:rPr>
          <w:rFonts w:ascii="Times New Roman" w:cs="Times New Roman" w:eastAsia="Times New Roman" w:hAnsi="Times New Roman"/>
          <w:sz w:val="18"/>
          <w:szCs w:val="18"/>
          <w:color w:val="auto"/>
        </w:rPr>
        <w:t>; and issued a new warrant to purchase restricted shares of the Company’s common stock (the “</w:t>
      </w:r>
      <w:r>
        <w:rPr>
          <w:rFonts w:ascii="Times New Roman" w:cs="Times New Roman" w:eastAsia="Times New Roman" w:hAnsi="Times New Roman"/>
          <w:sz w:val="18"/>
          <w:szCs w:val="18"/>
          <w:i w:val="1"/>
          <w:iCs w:val="1"/>
          <w:color w:val="auto"/>
        </w:rPr>
        <w:t>New M&amp;F Warrant”).</w:t>
      </w:r>
      <w:r>
        <w:rPr>
          <w:rFonts w:ascii="Times New Roman" w:cs="Times New Roman" w:eastAsia="Times New Roman" w:hAnsi="Times New Roman"/>
          <w:sz w:val="18"/>
          <w:szCs w:val="18"/>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requires monthly payments of $15,000 per month through March 31, 2013, and $25,000 per month thereafter until maturity. 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0.52</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2013, the Company has adjusted the New M&amp;F Warrant to increase the number of restricted shares available for purchase by 60,088 shares, based on interest accrued on Replacement Note B through that date. The Company has recorded the fair value of the additional shares as a charge to interest expense and a corresponding credit to additional paid-in capital.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of Accounts Payable to Cato Research Ltd. (“</w:t>
      </w:r>
      <w:r>
        <w:rPr>
          <w:rFonts w:ascii="Times New Roman" w:cs="Times New Roman" w:eastAsia="Times New Roman" w:hAnsi="Times New Roman"/>
          <w:sz w:val="18"/>
          <w:szCs w:val="18"/>
          <w:b w:val="1"/>
          <w:bCs w:val="1"/>
          <w:i w:val="1"/>
          <w:iCs w:val="1"/>
          <w:color w:val="auto"/>
        </w:rPr>
        <w:t>CRL</w:t>
      </w:r>
      <w:r>
        <w:rPr>
          <w:rFonts w:ascii="Times New Roman" w:cs="Times New Roman" w:eastAsia="Times New Roman" w:hAnsi="Times New Roman"/>
          <w:sz w:val="18"/>
          <w:szCs w:val="18"/>
          <w:b w:val="1"/>
          <w:bCs w:val="1"/>
          <w:color w:val="auto"/>
        </w:rPr>
        <w:t>”)</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October 10, 2012, the Company issued to CRL,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as payment in full for all contract research and development services and regulatory advice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rendered by CRL to the Company and its affiliates through December 31, 2012 with respect to the non-clinical and clinical development of AV-101,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cs="Times New Roman" w:eastAsia="Times New Roman" w:hAnsi="Times New Roman"/>
          <w:sz w:val="18"/>
          <w:szCs w:val="18"/>
          <w:i w:val="1"/>
          <w:iCs w:val="1"/>
          <w:color w:val="auto"/>
        </w:rPr>
        <w:t>CRL Warrant</w:t>
      </w:r>
      <w:r>
        <w:rPr>
          <w:rFonts w:ascii="Times New Roman" w:cs="Times New Roman" w:eastAsia="Times New Roman" w:hAnsi="Times New Roman"/>
          <w:sz w:val="18"/>
          <w:szCs w:val="18"/>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2013, the Company has adjusted the CRL Warrant to increase the number of restricted shares available for purchase by 36,188 shares, based on interest accrued on the CRL Note through that date. The Company has recorded the fair value of the additional shares as a charge to interest expense and a corresponding credit to additional paid-in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and Restructuring of Long-Term Promissory Note to Cato Holding Company</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2011, all amounts owed by the Company to 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and its affiliates, which included the $105,000 balance of an August 2010 Short-Term Note issued to Cato BioVentures, were consolidated into a single note, in the principal amount of $352,273 (the “</w:t>
      </w:r>
      <w:r>
        <w:rPr>
          <w:rFonts w:ascii="Times New Roman" w:cs="Times New Roman" w:eastAsia="Times New Roman" w:hAnsi="Times New Roman"/>
          <w:sz w:val="18"/>
          <w:szCs w:val="18"/>
          <w:i w:val="1"/>
          <w:iCs w:val="1"/>
          <w:color w:val="auto"/>
        </w:rPr>
        <w:t>2011 CHC Note</w:t>
      </w:r>
      <w:r>
        <w:rPr>
          <w:rFonts w:ascii="Times New Roman" w:cs="Times New Roman" w:eastAsia="Times New Roman" w:hAnsi="Times New Roman"/>
          <w:sz w:val="18"/>
          <w:szCs w:val="18"/>
          <w:color w:val="auto"/>
        </w:rPr>
        <w:t>”). Concurrently, CHC released all of its security interests in certain of the Company’s personal property. The 2011 CHC note accrued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10, 2012, the Company and CHC restructured the 2011 CHC Note. The 2011 CHC Note was cancelled and exchanged for a new unsecured promissory note in the principal amount of $310,443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and a five-year warrant to purchase 250,000 restricted shares of the Company’s common stock at a price of $1.50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 The 2012 CHC Note accrues interest at a rate of 7.5% per annum and is due and payable in monthly installments of $10,000, beginning November 1, 2012 and continuing until the outstanding balance is paid in full.</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$120,462,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$120,462, which is treated as an equity instrument, was credited to additional paid in capital at the issuance date. The difference between the face value of the 2012 CHC Note and its fair value, $19,343, has been treated as a discount to the note and is being amortized over the term of the note using the interest method, resulting in an effective interest rate of 11.9% on the CHC 2012 Note.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of Accounts Payable to University Health Network (“</w:t>
      </w:r>
      <w:r>
        <w:rPr>
          <w:rFonts w:ascii="Times New Roman" w:cs="Times New Roman" w:eastAsia="Times New Roman" w:hAnsi="Times New Roman"/>
          <w:sz w:val="18"/>
          <w:szCs w:val="18"/>
          <w:b w:val="1"/>
          <w:bCs w:val="1"/>
          <w:i w:val="1"/>
          <w:iCs w:val="1"/>
          <w:color w:val="auto"/>
        </w:rPr>
        <w:t>UHN</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Times New Roman" w:cs="Times New Roman" w:eastAsia="Times New Roman" w:hAnsi="Times New Roman"/>
          <w:sz w:val="18"/>
          <w:szCs w:val="18"/>
          <w:i w:val="1"/>
          <w:iCs w:val="1"/>
          <w:color w:val="auto"/>
        </w:rPr>
        <w:t>UHN Note</w:t>
      </w:r>
      <w:r>
        <w:rPr>
          <w:rFonts w:ascii="Times New Roman" w:cs="Times New Roman" w:eastAsia="Times New Roman" w:hAnsi="Times New Roman"/>
          <w:sz w:val="18"/>
          <w:szCs w:val="18"/>
          <w:color w:val="auto"/>
        </w:rPr>
        <w:t>”), and (ii) a five-year warrant to purchase, at a price of $1.00 per share, 549,500 restricted shares of the Company’s common stock, the amount equal to the sum of the principal amount of the UHN Note, plus all accrued interest thereon, divided by $1.00 per share (the “</w:t>
      </w:r>
      <w:r>
        <w:rPr>
          <w:rFonts w:ascii="Times New Roman" w:cs="Times New Roman" w:eastAsia="Times New Roman" w:hAnsi="Times New Roman"/>
          <w:sz w:val="18"/>
          <w:szCs w:val="18"/>
          <w:i w:val="1"/>
          <w:iCs w:val="1"/>
          <w:color w:val="auto"/>
        </w:rPr>
        <w:t>UHN Warrant</w:t>
      </w:r>
      <w:r>
        <w:rPr>
          <w:rFonts w:ascii="Times New Roman" w:cs="Times New Roman" w:eastAsia="Times New Roman" w:hAnsi="Times New Roman"/>
          <w:sz w:val="18"/>
          <w:szCs w:val="18"/>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2013, the Company has adjusted the UHN Warrant to increase the number of restricted shares available for purchase by 19,421 shares, based on interest accrued on the UHN Note through that date. The Company has recorded the fair value of the additional shares as a charge to interest expense and a corresponding credit to additional paid-in capital.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Long-Term Notes and Cancellation of Amounts Payable</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25, 2011, the Company issued to Burr, Pilger, and Mayer, LLC (“</w:t>
      </w:r>
      <w:r>
        <w:rPr>
          <w:rFonts w:ascii="Times New Roman" w:cs="Times New Roman" w:eastAsia="Times New Roman" w:hAnsi="Times New Roman"/>
          <w:sz w:val="18"/>
          <w:szCs w:val="18"/>
          <w:i w:val="1"/>
          <w:iCs w:val="1"/>
          <w:color w:val="auto"/>
        </w:rPr>
        <w:t>BPM</w:t>
      </w:r>
      <w:r>
        <w:rPr>
          <w:rFonts w:ascii="Times New Roman" w:cs="Times New Roman" w:eastAsia="Times New Roman" w:hAnsi="Times New Roman"/>
          <w:sz w:val="18"/>
          <w:szCs w:val="18"/>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29, 2011, the Company issued to Desjardins Securities, Inc. (“</w:t>
      </w:r>
      <w:r>
        <w:rPr>
          <w:rFonts w:ascii="Times New Roman" w:cs="Times New Roman" w:eastAsia="Times New Roman" w:hAnsi="Times New Roman"/>
          <w:sz w:val="18"/>
          <w:szCs w:val="18"/>
          <w:i w:val="1"/>
          <w:iCs w:val="1"/>
          <w:color w:val="auto"/>
        </w:rPr>
        <w:t>Desjardins</w:t>
      </w:r>
      <w:r>
        <w:rPr>
          <w:rFonts w:ascii="Times New Roman" w:cs="Times New Roman" w:eastAsia="Times New Roman" w:hAnsi="Times New Roman"/>
          <w:sz w:val="18"/>
          <w:szCs w:val="18"/>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May 5, 2011, the Company issued to McCarthy Tetrault LLP (“</w:t>
      </w:r>
      <w:r>
        <w:rPr>
          <w:rFonts w:ascii="Times New Roman" w:cs="Times New Roman" w:eastAsia="Times New Roman" w:hAnsi="Times New Roman"/>
          <w:sz w:val="18"/>
          <w:szCs w:val="18"/>
          <w:i w:val="1"/>
          <w:iCs w:val="1"/>
          <w:color w:val="auto"/>
        </w:rPr>
        <w:t>McCarthy</w:t>
      </w:r>
      <w:r>
        <w:rPr>
          <w:rFonts w:ascii="Times New Roman" w:cs="Times New Roman" w:eastAsia="Times New Roman" w:hAnsi="Times New Roman"/>
          <w:sz w:val="18"/>
          <w:szCs w:val="18"/>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2010 Short-Term Note Converted to 7% Note Payable</w:t>
      </w:r>
    </w:p>
    <w:p>
      <w:pPr>
        <w:spacing w:after="0" w:line="2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August 2010, the Company issued short-term, (the “</w:t>
      </w:r>
      <w:r>
        <w:rPr>
          <w:rFonts w:ascii="Times New Roman" w:cs="Times New Roman" w:eastAsia="Times New Roman" w:hAnsi="Times New Roman"/>
          <w:sz w:val="17"/>
          <w:szCs w:val="17"/>
          <w:i w:val="1"/>
          <w:iCs w:val="1"/>
          <w:color w:val="auto"/>
        </w:rPr>
        <w:t>August 2010 Short-Term Notes</w:t>
      </w:r>
      <w:r>
        <w:rPr>
          <w:rFonts w:ascii="Times New Roman" w:cs="Times New Roman" w:eastAsia="Times New Roman" w:hAnsi="Times New Roman"/>
          <w:sz w:val="17"/>
          <w:szCs w:val="17"/>
          <w:color w:val="auto"/>
        </w:rPr>
        <w:t>”) having an aggregate principal amount, as adjusted, of $1,120,000. In May 2011, a total of $840,000 of the aggregate principal amount of the August 2010 Short-Term Notes were converted into Units consisting of restricted shares of the Company’s common stock and three-year warrants to purchase restricted shares of the Company’s common stock at an exercise price of $2.50 per share. Of the remaining balance of the August 2010 Short Term Notes; $105,000 of such amount was converted into a long-term note issued to Cato Holding Company, doing business as Cato BioVentures; and $175,000 of such amount was amended into a note bearing interest at 7% per annum, as described below.</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April 2011, the Company and the holder of a non-interest bearing, unsecured promissory note issued in August 2010 in the face amount of $175,000 amended the note, whereby the Company paid $50,000 of the note balance in May 2011 and was to make four monthly payments of $5,000 between May 2011 and August 2011, an additional nine monthly payments of $11,125 per month for the period from September 1, 2011 through May 1, 2012, plus a final payment on May 2, 2012 equal to any remaining balance. In September 2011, the Company and the holder agreed to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 For strategic purposes, the Company did not make the February 2012 and March 2012 payments as scheduled. In March 2012, the Company and the note holder again agreed to modify the payment schedule to require seven monthly payments of $9,171 beginning June 1, 2012 with the final payment due on December 1, 2012 to include interest accrued after March 2012. The Company repaid the note and accrued interest in installments through March 2013.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Issued for the Cancellation of Accounts Payable</w:t>
      </w: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October 12, 2009, the Company issued a promissory note payable to the Regents of the University of California (“</w:t>
      </w:r>
      <w:r>
        <w:rPr>
          <w:rFonts w:ascii="Times New Roman" w:cs="Times New Roman" w:eastAsia="Times New Roman" w:hAnsi="Times New Roman"/>
          <w:sz w:val="18"/>
          <w:szCs w:val="18"/>
          <w:i w:val="1"/>
          <w:iCs w:val="1"/>
          <w:color w:val="auto"/>
        </w:rPr>
        <w:t>UC</w:t>
      </w:r>
      <w:r>
        <w:rPr>
          <w:rFonts w:ascii="Times New Roman" w:cs="Times New Roman" w:eastAsia="Times New Roman" w:hAnsi="Times New Roman"/>
          <w:sz w:val="18"/>
          <w:szCs w:val="18"/>
          <w:color w:val="auto"/>
        </w:rPr>
        <w:t>”) with a principal balance of $90,000 in exchange for the cancellation of certain amounts payable under a research collaboration agreement (the “</w:t>
      </w:r>
      <w:r>
        <w:rPr>
          <w:rFonts w:ascii="Times New Roman" w:cs="Times New Roman" w:eastAsia="Times New Roman" w:hAnsi="Times New Roman"/>
          <w:sz w:val="18"/>
          <w:szCs w:val="18"/>
          <w:i w:val="1"/>
          <w:iCs w:val="1"/>
          <w:color w:val="auto"/>
        </w:rPr>
        <w:t>UC Note 1</w:t>
      </w:r>
      <w:r>
        <w:rPr>
          <w:rFonts w:ascii="Times New Roman" w:cs="Times New Roman" w:eastAsia="Times New Roman" w:hAnsi="Times New Roman"/>
          <w:sz w:val="18"/>
          <w:szCs w:val="18"/>
          <w:color w:val="auto"/>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Times New Roman" w:cs="Times New Roman" w:eastAsia="Times New Roman" w:hAnsi="Times New Roman"/>
          <w:sz w:val="18"/>
          <w:szCs w:val="18"/>
          <w:i w:val="1"/>
          <w:iCs w:val="1"/>
          <w:color w:val="auto"/>
        </w:rPr>
        <w:t>UC Note 2</w:t>
      </w:r>
      <w:r>
        <w:rPr>
          <w:rFonts w:ascii="Times New Roman" w:cs="Times New Roman" w:eastAsia="Times New Roman" w:hAnsi="Times New Roman"/>
          <w:sz w:val="18"/>
          <w:szCs w:val="18"/>
          <w:color w:val="auto"/>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Times New Roman" w:cs="Times New Roman" w:eastAsia="Times New Roman" w:hAnsi="Times New Roman"/>
          <w:sz w:val="17"/>
          <w:szCs w:val="17"/>
          <w:i w:val="1"/>
          <w:iCs w:val="1"/>
          <w:color w:val="auto"/>
        </w:rPr>
        <w:t>March 2010 Note</w:t>
      </w:r>
      <w:r>
        <w:rPr>
          <w:rFonts w:ascii="Times New Roman" w:cs="Times New Roman" w:eastAsia="Times New Roman" w:hAnsi="Times New Roman"/>
          <w:sz w:val="17"/>
          <w:szCs w:val="17"/>
          <w:color w:val="auto"/>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expects the Note will be cancelled in favor of certain amounts payable to the Company equal to or greater than the outstanding balance of the Note. At March 31, 2013, the Company has made no payments on the March 2010 Note.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Amounts of Capital Stock Authorized</w:t>
      </w: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March 31, 2011 and prior to the Merger, Excaliber was authorized to issue up to 200,000,000 shares of common stock, $0.001 par value, and no shares of preferred stock. Effective with the Merger, the Company was authorized to issue up to 400,000,000 shares of common stock, $0.001 par value and no shares of preferred stock. On October 28, 2011, the Company held a special meeting of its stockholders at which the stockholders approved a proposal to amend its Articles of Incorporation to (1) reduce the number of shares of common stock the Company is authorized to issue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December 2011, the Company’s Board of Directors authorized the creation of a series of up to 500,000 shares of Series A Preferred Stock, par value $0.001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Each restricted share of Series A Preferred is convertible at the option of the holder into ten restricted shares of the Company's common stock. The Series A Preferred ranks prior to the common stock for purposes of liquidation preference.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At March 31, 2013, there were 500,000 restricted shares of Series A Preferred outstanding, all issued to Platinum under the terms of the Note and Warrant Exchange Agreement described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xml:space="preserve"> and the December 2011 Common Stock Exchange Agreement, described below. Platinum’s exchange rights with respect to the Series A Preferred have been modified as described in the section entitled 2012 Exchange Agreement with Platinum and Deemed Dividend,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2011 Private Placement of Units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May 11, 2011, and immediately preceding the closing of the Merger, VistaGen California sold 2,216,106 Units in a private placement for aggregate gross proceeds of $3,878,200, including $2,369,200 in cash, a $500,000 short-term note receivable due on September 6, 2011, cancellation of $840,000 of short-term notes maturing on April 30, 2011, a note cancellation premium of $94,500, and cancellation of $74,500 of accounts payable (the “</w:t>
      </w:r>
      <w:r>
        <w:rPr>
          <w:rFonts w:ascii="Times New Roman" w:cs="Times New Roman" w:eastAsia="Times New Roman" w:hAnsi="Times New Roman"/>
          <w:sz w:val="17"/>
          <w:szCs w:val="17"/>
          <w:i w:val="1"/>
          <w:iCs w:val="1"/>
          <w:color w:val="auto"/>
        </w:rPr>
        <w:t>2011 Private Placement</w:t>
      </w:r>
      <w:r>
        <w:rPr>
          <w:rFonts w:ascii="Times New Roman" w:cs="Times New Roman" w:eastAsia="Times New Roman" w:hAnsi="Times New Roman"/>
          <w:sz w:val="17"/>
          <w:szCs w:val="17"/>
          <w:color w:val="auto"/>
        </w:rPr>
        <w:t>”). The Units were sold for $1.75 per Unit and consisted of one restricted share of common stock and a three-year warrant to purchase one-fourth (1/4) of one restricted share of common stock at an exercise price of $2.50 per share. Warrants to purchase a total of 554,013 restricted shares of common stock were issued to the purchasers of the Units. Concurrently, VistaGen California issued to its placement agent three-year warrants to purchase 114,284 restricted shares of its common stock at $2.50 per share, and agreed to pay $200,000 in placement agent fees, $150,000 of which amount was paid on May 11, 2011.</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October 2011, VistaGen restructured the terms of a $500,000 short term promissory note received from an investor in conjunction with the 2011 Private Placement. The Company modified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2013 is $209,100.</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Convertible Promissory Notes</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May 11, 2011, concurrent with the Merger, holders of certain promissory notes issued by VistaGen California from 2006 through 2010 converted their notes totaling aggregate principal and interest of $6,174,793 into 3,528,290 Units, at a price of $1.75 per Unit. These Units were the same Units issued in connection with the 2011 Private Placement.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Pre-Merger Preferred Stock</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shares of preferred stock outstanding.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Fall 2011 Follow-On Unit Offering</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October 2011, the Company initiated a follow-on private placement of Units. These Units were essentially the same as the Units issued in connection with the 2011 Private Placement, namely, each Unit was priced at $1.75 and consisted of one restricted share of the Company’s common stock and a three-year warrant to purchase one-fourth (1/4) of one restricted share of the Company’s common stock at an exercise price of $2.50 per share. The Company sold a total of 63,570 Units and received aggregate cash proceeds of $111,300.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Discounted Warrant Exercise Program</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the quarter ended December 31, 2011, certain warrant holders exercised warrants to purchase an aggregate of 3,121,259 restricted shares of the Company’s common stock at reduced exercise prices, including warrants to purchase 1,599,858 restricted shares of common stock exercised by Platinum under the terms of the Note and Warrant Exchange Agreement, as described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The warrants exercised by Platinum were exercised at reduced prices ranging from $0.75 per share to $1.25 per share, resulting in proceeds of $1,719,800 which was applied to reduce the outstanding balance of the Platinum Note and accrued interest under the terms of the Note and Exchange Agreement.</w:t>
      </w:r>
    </w:p>
    <w:p>
      <w:pPr>
        <w:spacing w:after="0" w:line="20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Other investors and service providers exercised warrants to purchase an aggregate of 1,028,860 restricted shares of the Company’s common stock at reduced exercise prices ranging from $0.75 per share to $1.31 per share. In conjunction with these exercises, the Company:</w:t>
      </w:r>
    </w:p>
    <w:p>
      <w:pPr>
        <w:spacing w:after="0" w:line="190" w:lineRule="exact"/>
        <w:rPr>
          <w:sz w:val="20"/>
          <w:szCs w:val="20"/>
          <w:color w:val="auto"/>
        </w:rPr>
      </w:pPr>
    </w:p>
    <w:p>
      <w:pPr>
        <w:ind w:left="660" w:hanging="351"/>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965,734 restricted shares of its common stock and received cash proceeds of $1,106,100;</w:t>
      </w:r>
    </w:p>
    <w:p>
      <w:pPr>
        <w:spacing w:after="0" w:line="24" w:lineRule="exact"/>
        <w:rPr>
          <w:rFonts w:ascii="Times New Roman" w:cs="Times New Roman" w:eastAsia="Times New Roman" w:hAnsi="Times New Roman"/>
          <w:sz w:val="18"/>
          <w:szCs w:val="18"/>
          <w:color w:val="auto"/>
        </w:rPr>
      </w:pPr>
    </w:p>
    <w:p>
      <w:pPr>
        <w:ind w:left="640" w:hanging="338"/>
        <w:spacing w:after="0" w:line="245" w:lineRule="auto"/>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29,426 restricted shares of its common stock to warrant holders who elected to exercise their warrants in lieu of payment by the Company in satisfaction of outstanding indebtedness to such holders totaling an aggregate of $30,100; and</w:t>
      </w:r>
    </w:p>
    <w:p>
      <w:pPr>
        <w:spacing w:after="0" w:line="1" w:lineRule="exact"/>
        <w:rPr>
          <w:rFonts w:ascii="Times New Roman" w:cs="Times New Roman" w:eastAsia="Times New Roman" w:hAnsi="Times New Roman"/>
          <w:sz w:val="18"/>
          <w:szCs w:val="18"/>
          <w:color w:val="auto"/>
        </w:rPr>
      </w:pPr>
    </w:p>
    <w:p>
      <w:pPr>
        <w:ind w:left="660" w:hanging="351"/>
        <w:spacing w:after="0" w:line="251"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33,700 restricted shares of its common stock to warrant holders who elected to exercise their warrants in lieu of payment by the Company in satisfaction of payment for services in the aggregate amount of $41,400 to be performed in the future by such holders.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Additionally, in December 2011, the Company entered into an Agreement Regarding Payment of Invoices and Warrant Exercises with Cato Holding Company (“</w:t>
      </w:r>
      <w:r>
        <w:rPr>
          <w:rFonts w:ascii="Times New Roman" w:cs="Times New Roman" w:eastAsia="Times New Roman" w:hAnsi="Times New Roman"/>
          <w:sz w:val="17"/>
          <w:szCs w:val="17"/>
          <w:i w:val="1"/>
          <w:iCs w:val="1"/>
          <w:color w:val="auto"/>
        </w:rPr>
        <w:t>CHC</w:t>
      </w:r>
      <w:r>
        <w:rPr>
          <w:rFonts w:ascii="Times New Roman" w:cs="Times New Roman" w:eastAsia="Times New Roman" w:hAnsi="Times New Roman"/>
          <w:sz w:val="17"/>
          <w:szCs w:val="17"/>
          <w:color w:val="auto"/>
        </w:rPr>
        <w:t>”), CRL, and certain individual warrant holders affiliated with CHC and CRL (collectively, the “</w:t>
      </w:r>
      <w:r>
        <w:rPr>
          <w:rFonts w:ascii="Times New Roman" w:cs="Times New Roman" w:eastAsia="Times New Roman" w:hAnsi="Times New Roman"/>
          <w:sz w:val="17"/>
          <w:szCs w:val="17"/>
          <w:i w:val="1"/>
          <w:iCs w:val="1"/>
          <w:color w:val="auto"/>
        </w:rPr>
        <w:t>CHC Affiliates</w:t>
      </w:r>
      <w:r>
        <w:rPr>
          <w:rFonts w:ascii="Times New Roman" w:cs="Times New Roman" w:eastAsia="Times New Roman" w:hAnsi="Times New Roman"/>
          <w:sz w:val="17"/>
          <w:szCs w:val="17"/>
          <w:color w:val="auto"/>
        </w:rPr>
        <w:t>”) under the terms of which CHC and the CHC Affiliates exercised warrants to purchase an aggregate of 492,541 restricted shares of the Company’s common stock at reduced exercise prices ranging from $0.88 per share to $1.25 per share. As a result of these warrant exercises, the Company received cash payments of $60,200 in connection with the exercise of warrants to purchase 68,417 restricted shares and, in lieu of cash payments for the remainder of the warrants to purchase 424,124 restricted shares, CHC and CRL agreed to the satisfaction of outstanding indebtedness to CRL in the amount of $245,300 and pre-payment for future services in the amount of $226,400.</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determined that the increase in the fair value of the warrants exercised as a result of the Discounted Warrant Exercise Program was $618,400, of which $287,300 is a component of the loss on debt extinguishment related to the conversion of the Platinum Note, as described in Note 8,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Promissory Notes and Other Notes Payable, </w:t>
      </w:r>
      <w:r>
        <w:rPr>
          <w:rFonts w:ascii="Times New Roman" w:cs="Times New Roman" w:eastAsia="Times New Roman" w:hAnsi="Times New Roman"/>
          <w:sz w:val="18"/>
          <w:szCs w:val="18"/>
          <w:color w:val="auto"/>
        </w:rPr>
        <w:t>$101,200 is attributable to the modifications of the CHC and CHC Affiliates warrants and reflected in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 and $229,800 is reflected in general and administrative expense for the fiscal year ended March 31, 2012 in the accompanying Consolidated Statements of Operations and Comprehensive Loss. The warrants subject to the exercise price modifications were valued at the inception of the Discounted Warrant Exercise Program using the Black-Scholes Option Pricing Model and using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8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1.50 - $2.625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0.75 - $1.31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 - 0.45%</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0.90 – 3.25</w:t>
            </w: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 - 82.8%</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 respect to use of the Black-Scholes Option Pricing Model for determining the fair value of warrants issued or modified, the Company employs the following in determining its valuation input assumptions. The market price per share is based on the quoted market price of the Company’s common stock on the Over-the-Counter Bulletin Board on the date of the issuance or modification. Because of its short history as a public company, the Company estimates volatility based on the historical volatilities of a peer group of public companies over the expected term of the warrants. The risk-free rate of interest is based on the quoted constant maturity rate for U.S Treasury Bills on the date of issuance or modification for the term corresponding with the expected term of the warrant. The expected dividend rate is zero as the Company has not paid and does not expect to pay dividends in the near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2011 Common Stock Exchange Agreement with Platinum</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22, 2011, the Company entered into a Common Stock Exchange Agreement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with Platinum, pursuant to which Platinum converted 484,000 restricted shares of the Company’s common stock into 45,980 restricted shares of the then newly created Series A Preferred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Each restricted share of Series A Preferred issued to Platinum is convertible into ten restricted shares of the Company’s common stock. In consideration for the Exchange, the Series A Preferred received by Platinum in connection with the Exchange is convertible into the equivalent of 0.95 restricted shares of common stock surrendered in connection with the Exchange. The Company determined the fair value of the common stock subject to the Exchange to be $1.55 per share and has reflected the 484,000 restricted common shares as treasury stock on that basis in the accompanying Consolidated Balance Sheet at March 31, 2012 and 2013.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Exchange Agreement with Platinum and Deemed Dividend</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June 29, 2012, the Company and Platinum entered into an Exchange Agreement (the “</w:t>
      </w:r>
      <w:r>
        <w:rPr>
          <w:rFonts w:ascii="Times New Roman" w:cs="Times New Roman" w:eastAsia="Times New Roman" w:hAnsi="Times New Roman"/>
          <w:sz w:val="18"/>
          <w:szCs w:val="18"/>
          <w:i w:val="1"/>
          <w:iCs w:val="1"/>
          <w:color w:val="auto"/>
        </w:rPr>
        <w:t>2012 Platinum Exchange Agreement</w:t>
      </w:r>
      <w:r>
        <w:rPr>
          <w:rFonts w:ascii="Times New Roman" w:cs="Times New Roman" w:eastAsia="Times New Roman" w:hAnsi="Times New Roman"/>
          <w:sz w:val="18"/>
          <w:szCs w:val="18"/>
          <w:color w:val="auto"/>
        </w:rPr>
        <w:t xml:space="preserve">”) pursuant to which the Company agreed to issue Platinum 62,945 restricted shares of Series A Preferred in exchange for 629,450 restricted shares of common stock then owned by Platinum, in consideration for Platinum’s agreement to purchase from the Company the July 2012 Platinum Note, as described in Note 8, </w:t>
      </w:r>
      <w:r>
        <w:rPr>
          <w:rFonts w:ascii="Times New Roman" w:cs="Times New Roman" w:eastAsia="Times New Roman" w:hAnsi="Times New Roman"/>
          <w:sz w:val="18"/>
          <w:szCs w:val="18"/>
          <w:i w:val="1"/>
          <w:iCs w:val="1"/>
          <w:color w:val="auto"/>
        </w:rPr>
        <w:t>Convertible Promissory Notes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Notes Payable</w:t>
      </w:r>
      <w:r>
        <w:rPr>
          <w:rFonts w:ascii="Times New Roman" w:cs="Times New Roman" w:eastAsia="Times New Roman" w:hAnsi="Times New Roman"/>
          <w:sz w:val="18"/>
          <w:szCs w:val="18"/>
          <w:color w:val="auto"/>
        </w:rPr>
        <w:t>. Under the terms of the 2012 Platinum Exchange Agreement, Platinum, at its option, could have exchanged all or a portion of its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for the securities issued in connection with a qualified financing, an equity or equity-based financing, or series of financing transactions resulting in gross proceeds to the Company of at least $3.0 million, based on the stated value of $15.00 per share of Series A Preferred. The Company estimated the fair value of the Series A Preferred shares tendered to Platinum under the terms of the 2012 Platinum Exchange Agreement at $736,400 ($1.17 per share on a common share equivalent basis). Following the issuance of the Series A Preferred pursuant to the 2012 Platinum Exchange Agreement, Platinum owns all 500,000 authorized and outstanding restricted shares of the Company’s Series A Preferred, each share of which, in accordance with the certificate of designations, is convertible into ten shares of the Company’s common stock. The common shares exchanged for shares of Series A Preferred are treated as treasury stock in the accompanying Consolidated Balance Sheet at March 31, 2013.</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Pursuant to the October 2012 Agreement described in Note 8, </w:t>
      </w:r>
      <w:r>
        <w:rPr>
          <w:rFonts w:ascii="Times New Roman" w:cs="Times New Roman" w:eastAsia="Times New Roman" w:hAnsi="Times New Roman"/>
          <w:sz w:val="17"/>
          <w:szCs w:val="17"/>
          <w:i w:val="1"/>
          <w:iCs w:val="1"/>
          <w:color w:val="auto"/>
        </w:rPr>
        <w:t>Convertible Promissory Notes and Other Notes Payable</w:t>
      </w:r>
      <w:r>
        <w:rPr>
          <w:rFonts w:ascii="Times New Roman" w:cs="Times New Roman" w:eastAsia="Times New Roman" w:hAnsi="Times New Roman"/>
          <w:sz w:val="17"/>
          <w:szCs w:val="17"/>
          <w:color w:val="auto"/>
        </w:rPr>
        <w:t>, Platinum’s exchange rights in the Series A Preferred were modified such that Platinum now has the right and option to exchange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Times New Roman" w:cs="Times New Roman" w:eastAsia="Times New Roman" w:hAnsi="Times New Roman"/>
          <w:sz w:val="17"/>
          <w:szCs w:val="17"/>
          <w:i w:val="1"/>
          <w:iCs w:val="1"/>
          <w:color w:val="auto"/>
        </w:rPr>
        <w:t>Series A Exchange Warrant</w:t>
      </w:r>
      <w:r>
        <w:rPr>
          <w:rFonts w:ascii="Times New Roman" w:cs="Times New Roman" w:eastAsia="Times New Roman" w:hAnsi="Times New Roman"/>
          <w:sz w:val="17"/>
          <w:szCs w:val="17"/>
          <w:color w:val="auto"/>
        </w:rPr>
        <w: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was determined based on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The fair value of the Series A Exchange Warrant,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was recognized as a liability in the amount of $3,068,200 at the date of the October 2012 Agreement, with a corresponding charge to Additional paid-in capital in the accompanying Consolidated Balance Sheet. The fair value of the Series A Exchange Warrant was treated as an additional component of the deemed dividend in the accompanying Consolidated Statement of Operations and Comprehensive Loss for the fiscal year ended March 31, 2013.</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fair value of the Series A Exchange Warrant was re-measured as of March 31, 2013 at $4,406,000 and the $1,337,800 increase in fair value since the date of the October 2012 Agreement was reflected in the accompanying Consolidated Statement of Operations and Comprehensive Loss for the year ended March 31, 2013.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Private Placement of Units</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entitling the Company to sell and requiring Platinum to purchase senior secured convertible promissory notes in the aggregate face amount of $1.0 million in February and March 2013. In connection with the settlement of legal fees payable by issuing Units, the Company recorded a loss on extinguishment of debt of $30,800 based on the fair market value of the common shares and the warrant comprising the Unit on the effective date of the settlement.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Warrant Grants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29, 2011, VistaGen California issued 157,143 restricted shares of its common stock at a per share price of $1.75 as a prepayment for CRO services to be performed by Cato Research Ltd., a related party, during 2011. The prepayment of $275,000 was recognized in research and development expense in the Consolidated Statement of Operations and Comprehensive Loss as the services were performed by Cato Research, Ltd. during the fiscal year ended March 31, 2012.</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December 2010, VistaGen California agreed to issue 700,000 restricted shares of its common stock, valued at $1.50 per share, related to its execution of the second amendment to its Sponsored Research Collaboration Agreement (“SRCA”) with UHN as described in Note 12, </w:t>
      </w:r>
      <w:r>
        <w:rPr>
          <w:rFonts w:ascii="Times New Roman" w:cs="Times New Roman" w:eastAsia="Times New Roman" w:hAnsi="Times New Roman"/>
          <w:sz w:val="18"/>
          <w:szCs w:val="18"/>
          <w:i w:val="1"/>
          <w:iCs w:val="1"/>
          <w:color w:val="auto"/>
        </w:rPr>
        <w:t>Licensing and Collaborative Agreements</w:t>
      </w:r>
      <w:r>
        <w:rPr>
          <w:rFonts w:ascii="Times New Roman" w:cs="Times New Roman" w:eastAsia="Times New Roman" w:hAnsi="Times New Roman"/>
          <w:sz w:val="18"/>
          <w:szCs w:val="18"/>
          <w:color w:val="auto"/>
        </w:rPr>
        <w:t>, and recorded $1,050,000 of research and development expense in the Consolidated Statements of Operations for the fiscal year ended March 31, 2011. Such shares were issued in May 2011. In April 2011, VistaGen California agreed to issue to UHN an additional 100,000 restricted shares of its common stock valued at $1.75 per share in conjunction with its execution of the third amendment to the SRCA, as also described in Note 12, and recorded $175,000 of research and development expense in the Consolidated Statements of Operations and Comprehensive Loss for the fiscal year ended March 31, 2012. Such shares were issued in May 2011.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10, 2011, VistaGen California issued 75,000 restricted shares of common stock, valued at $1.75 per share, to a strategic consultant for services rendered and recorded $131,250 in general and administrative expense in the Consolidated Statements of Operations and Comprehensive Loss for the fiscal year ended March 31, 2012.</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2012, the Company issued an aggregate of 50,000 restricted shares of its common stock, valued at $3.15 per share, and three-year warrants to purchase an aggregate of 50,000 restricted shares of its common stock at an exercise price of $3.00 per share to two service providers as compensation for services. The Company recorded $157,500 in general and administrative expense in the Consolidated Statements of Operations for the fiscal year ended March 31, 2012 related to the restricted stock grants. The Company valued the warrants at a fair value of $1.73 per share on the date of issuance using the Black-Scholes option pricing model and the following assumptions: fair value of common stock - $3.15; risk-free interest rate – 0.40%; volatility – 84.6%; contractual term – 3.00 years; dividend rate – 0%, and recorded $86,700 in general and administrative expense in the Consolidated Statements of Operations and Comprehensive Loss for the fiscal year ended March 31, 2012 related to the warrant grants.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February 2012, the Company granted four-year warrants to non-employee members of its Board of Directors and Scientific Advisory Board and to certain strategic consultants to purchase an aggregate of 280,000 restricted shares of its common stock at an exercise price of $3.00 per share. The Company valued the warrants at a fair value of $1.71 per share on the date of issuance using the Black-Scholes option pricing model and the following assumptions: fair value of common stock - $2.75; risk-free interest rate – 0.63%; volatility – 90.0%; contractual term – 4.00 years; dividend rate – 0%, and recorded $179,200 in research and development expense and $298,600 in general and administrative expense in the Consolidated Statements of Operations and Comprehensive Loss for the fiscal year ended March 31, 2012.</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March 2012, the Company granted three-year warrants to purchase an aggregate of 100,000 restricted shares of its common stock at an exercise price of $3.00 per share to investors who had exercised warrants generating more than $100,000 in cash proceeds to the Company during the Discounted Warrant Exercise Program. The Company valued the warrants at a fair value of $1.38 per share on the date of issuance using the Black-Scholes option pricing model and the following assumptions: fair value of common stock - $2.79; risk-free interest rate – 0.54%; volatility – 79.5%; contractual term – 3.00 years; dividend rate – 0%, and recorded $138,100 in interest expense in the Consolidated Statements of Operations and Comprehensive Loss for the fiscal year ended March 31, 2012.</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March 2012, the Company issued 50,000 restricted shares of its common stock, valued at $2.79 per share, to a strategic consultant for services rendered and recorded $139,500 in general and administrative expense in expense in the Consolidated Statements of Operations and Comprehensive Loss for the fiscal year ended March 31, 2012. The Company also issued 55,555 restricted shares of its common stock, valued at $2.79 per share, to University Health Network, a related party, in connection with the execution of License Agreement No. 2, and recorded $155,000 in research and development expense in the Consolidated Statements of Operations and Comprehensive Loss for the fiscal year ended March 31, 2012. The Company also issued 8,000 restricted shares of its common stock, valued at $2.80 per share, in connection with the extension of the term of a promissory note, and recorded $22,400 in interest expense in the Consolidated Statements of Operations and Comprehensive Loss for the fiscal year ended March 31, 2012.</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2012, the Company modified an existing warrant and issued a new warrant to Morrison &amp; Foerster as additional consideration for the Restructuring Agreement, as disclosed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As described in Note 8, the Company has treated the aggregate of the incremental value of the Amended M&amp;F Warrant and the fair value of the New M&amp;F Warrant as a discount to the Replacement Notes, which discount is being amortized to interest expense using the effective interest rate method over the term of the Replacement Notes.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in August 2012, the Company issued a promissory note in the principal amount of $60,000 and 15,000 restricted shares of its common stock valued at $0.94 per share in settlement of its past due obligation for AV-101 clinical development services.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Modifications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share of its common stock at an exercise price of $3.00 per share.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calculated the fair value of the warrants exercised immediately before and after the May 18, 2012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6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(weighted average)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(weighted 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6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3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(weighted average)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33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(weighted average)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33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320" w:type="dxa"/>
            <w:vAlign w:val="bottom"/>
            <w:gridSpan w:val="3"/>
          </w:tcPr>
          <w:p>
            <w:pPr>
              <w:jc w:val="right"/>
              <w:ind w:right="1672"/>
              <w:spacing w:after="0"/>
              <w:rPr>
                <w:sz w:val="20"/>
                <w:szCs w:val="20"/>
                <w:color w:val="auto"/>
              </w:rPr>
            </w:pPr>
            <w:r>
              <w:rPr>
                <w:rFonts w:ascii="Times New Roman" w:cs="Times New Roman" w:eastAsia="Times New Roman" w:hAnsi="Times New Roman"/>
                <w:sz w:val="18"/>
                <w:szCs w:val="18"/>
                <w:color w:val="auto"/>
              </w:rPr>
              <w:t>F-40</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Warrant Modifications</w:t>
      </w:r>
    </w:p>
    <w:p>
      <w:pPr>
        <w:spacing w:after="0" w:line="2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2011, the Company entered into a consulting agreement with a strategic consultant for general and capital markets advisory services. As consideration for the services to be provided under this agreement, the Company modified the term and exercise price of certain previously-issued warrants to purchase an aggregate of 384,184 restricted shares of its common stock. The Company determined that the increase in the fair value of the modified warrants was $397,500, which is reflected in general and administrative expense for the fiscal year ended March 31, 2012 in the accompanying Consolidated Statements of Operations and Comprehensive Loss. The warrants modified were valued using the Black-Scholes Option Pricing Model and using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8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2.25 - $3.00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 $1.50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0.29%</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81.0%</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2011, the Company also entered into a consulting agreement with an individual for strategic consulting services. As consideration for the services to be provided under this agreement, the Company modified the term and exercise price of certain previously-issued warrants to purchase an aggregate of 23,138 restricted shares of its common stock and will pay the consultant $1,000 per month for the period June 2012 through December 2012. The Company determined that the increase in the fair value of the modified warrants was $13,100, which is reflected in general and administrative expense for the fiscal year ended March 31, 2012 in the accompanying Consolidated Statements of Operations and Comprehensive Loss. The warrants modified were valued using the Black-Scholes Option Pricing Model and using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8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1.75 - $2.50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$0.88 - $1.25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0.29%</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78.3%</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Outstanding</w:t>
      </w:r>
    </w:p>
    <w:p>
      <w:pPr>
        <w:spacing w:after="0" w:line="2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outstanding warrants to purchase restricted shares of the Company’s common stock as of March 31, 2013 and 2012. The weighted average exercise price of outstanding warrants at March 31, 2013 and 2012 was $1.26 and $2.16 per share,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Shares Subject to Purchase</w:t>
            </w:r>
          </w:p>
        </w:tc>
      </w:tr>
      <w:tr>
        <w:trPr>
          <w:trHeight w:val="192"/>
        </w:trPr>
        <w:tc>
          <w:tcPr>
            <w:tcW w:w="18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6"/>
                <w:szCs w:val="16"/>
                <w:color w:val="auto"/>
              </w:rPr>
            </w:pPr>
          </w:p>
        </w:tc>
        <w:tc>
          <w:tcPr>
            <w:tcW w:w="3580" w:type="dxa"/>
            <w:vAlign w:val="bottom"/>
          </w:tcPr>
          <w:p>
            <w:pPr>
              <w:jc w:val="center"/>
              <w:ind w:left="1692"/>
              <w:spacing w:after="0" w:line="192" w:lineRule="exact"/>
              <w:rPr>
                <w:sz w:val="20"/>
                <w:szCs w:val="20"/>
                <w:color w:val="auto"/>
              </w:rPr>
            </w:pPr>
            <w:r>
              <w:rPr>
                <w:rFonts w:ascii="Times New Roman" w:cs="Times New Roman" w:eastAsia="Times New Roman" w:hAnsi="Times New Roman"/>
                <w:sz w:val="18"/>
                <w:szCs w:val="18"/>
                <w:b w:val="1"/>
                <w:bCs w:val="1"/>
                <w:color w:val="auto"/>
                <w:w w:val="96"/>
              </w:rPr>
              <w:t>Expiration</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auto"/>
            </w:tcBorders>
            <w:gridSpan w:val="2"/>
          </w:tcPr>
          <w:p>
            <w:pPr>
              <w:jc w:val="right"/>
              <w:ind w:right="740"/>
              <w:spacing w:after="0" w:line="19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20" w:type="dxa"/>
            <w:vAlign w:val="bottom"/>
            <w:tcBorders>
              <w:top w:val="single" w:sz="8" w:color="auto"/>
            </w:tcBorders>
          </w:tcPr>
          <w:p>
            <w:pPr>
              <w:jc w:val="right"/>
              <w:ind w:right="432"/>
              <w:spacing w:after="0" w:line="19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9"/>
        </w:trPr>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3580" w:type="dxa"/>
            <w:vAlign w:val="bottom"/>
            <w:tcBorders>
              <w:bottom w:val="single" w:sz="8" w:color="auto"/>
            </w:tcBorders>
          </w:tcPr>
          <w:p>
            <w:pPr>
              <w:jc w:val="center"/>
              <w:ind w:left="1692"/>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$0.64</w:t>
            </w:r>
          </w:p>
        </w:tc>
        <w:tc>
          <w:tcPr>
            <w:tcW w:w="3700" w:type="dxa"/>
            <w:vAlign w:val="bottom"/>
            <w:gridSpan w:val="2"/>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9"/>
              </w:rPr>
              <w:t>3/3/2023</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$0.88</w:t>
            </w:r>
          </w:p>
        </w:tc>
        <w:tc>
          <w:tcPr>
            <w:tcW w:w="3700" w:type="dxa"/>
            <w:vAlign w:val="bottom"/>
            <w:gridSpan w:val="2"/>
          </w:tcPr>
          <w:p>
            <w:pPr>
              <w:jc w:val="center"/>
              <w:ind w:left="1812"/>
              <w:spacing w:after="0"/>
              <w:rPr>
                <w:sz w:val="20"/>
                <w:szCs w:val="20"/>
                <w:color w:val="auto"/>
              </w:rPr>
            </w:pPr>
            <w:r>
              <w:rPr>
                <w:rFonts w:ascii="Times New Roman" w:cs="Times New Roman" w:eastAsia="Times New Roman" w:hAnsi="Times New Roman"/>
                <w:sz w:val="18"/>
                <w:szCs w:val="18"/>
                <w:color w:val="auto"/>
                <w:w w:val="98"/>
              </w:rPr>
              <w:t>5/11/2014</w:t>
            </w:r>
          </w:p>
        </w:tc>
        <w:tc>
          <w:tcPr>
            <w:tcW w:w="3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15,428</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314,328</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w w:val="97"/>
              </w:rPr>
              <w:t>9/15/2017 to 9/30/2017</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3,053,573</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$1.125</w:t>
            </w:r>
          </w:p>
        </w:tc>
        <w:tc>
          <w:tcPr>
            <w:tcW w:w="3700" w:type="dxa"/>
            <w:vAlign w:val="bottom"/>
            <w:gridSpan w:val="2"/>
          </w:tcPr>
          <w:p>
            <w:pPr>
              <w:jc w:val="center"/>
              <w:ind w:left="1812"/>
              <w:spacing w:after="0"/>
              <w:rPr>
                <w:sz w:val="20"/>
                <w:szCs w:val="20"/>
                <w:color w:val="auto"/>
              </w:rPr>
            </w:pPr>
            <w:r>
              <w:rPr>
                <w:rFonts w:ascii="Times New Roman" w:cs="Times New Roman" w:eastAsia="Times New Roman" w:hAnsi="Times New Roman"/>
                <w:sz w:val="18"/>
                <w:szCs w:val="18"/>
                <w:color w:val="auto"/>
                <w:w w:val="97"/>
              </w:rPr>
              <w:t>12/28/2012</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97,679</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w w:val="98"/>
              </w:rPr>
              <w:t>5/11/2014 to 12/31/2014</w:t>
            </w:r>
          </w:p>
        </w:tc>
        <w:tc>
          <w:tcPr>
            <w:tcW w:w="39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120,280</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120,280</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8"/>
                <w:szCs w:val="18"/>
                <w:color w:val="auto"/>
              </w:rPr>
            </w:pPr>
          </w:p>
        </w:tc>
        <w:tc>
          <w:tcPr>
            <w:tcW w:w="358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8"/>
              </w:rPr>
              <w:t>12/31/2012 to 3/14/2018</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7,460,816</w:t>
            </w:r>
          </w:p>
        </w:tc>
        <w:tc>
          <w:tcPr>
            <w:tcW w:w="2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3700" w:type="dxa"/>
            <w:vAlign w:val="bottom"/>
            <w:gridSpan w:val="2"/>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7"/>
              </w:rPr>
              <w:t>12/31/2013</w:t>
            </w:r>
          </w:p>
        </w:tc>
        <w:tc>
          <w:tcPr>
            <w:tcW w:w="39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349,235</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643,184</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20" w:type="dxa"/>
            <w:vAlign w:val="bottom"/>
          </w:tcPr>
          <w:p>
            <w:pPr>
              <w:spacing w:after="0"/>
              <w:rPr>
                <w:sz w:val="18"/>
                <w:szCs w:val="18"/>
                <w:color w:val="auto"/>
              </w:rPr>
            </w:pPr>
          </w:p>
        </w:tc>
        <w:tc>
          <w:tcPr>
            <w:tcW w:w="358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7"/>
              </w:rPr>
              <w:t>8/3/2013 to 9/15/2017</w:t>
            </w:r>
          </w:p>
        </w:tc>
        <w:tc>
          <w:tcPr>
            <w:tcW w:w="3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425,000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609,000</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3700" w:type="dxa"/>
            <w:vAlign w:val="bottom"/>
            <w:gridSpan w:val="2"/>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8"/>
              </w:rPr>
              <w:t>5/11/2014</w:t>
            </w:r>
          </w:p>
        </w:tc>
        <w:tc>
          <w:tcPr>
            <w:tcW w:w="39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42,443</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617,394</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$2.625</w:t>
            </w:r>
          </w:p>
        </w:tc>
        <w:tc>
          <w:tcPr>
            <w:tcW w:w="3700" w:type="dxa"/>
            <w:vAlign w:val="bottom"/>
            <w:gridSpan w:val="2"/>
          </w:tcPr>
          <w:p>
            <w:pPr>
              <w:jc w:val="center"/>
              <w:ind w:left="1812"/>
              <w:spacing w:after="0"/>
              <w:rPr>
                <w:sz w:val="20"/>
                <w:szCs w:val="20"/>
                <w:color w:val="auto"/>
              </w:rPr>
            </w:pPr>
            <w:r>
              <w:rPr>
                <w:rFonts w:ascii="Times New Roman" w:cs="Times New Roman" w:eastAsia="Times New Roman" w:hAnsi="Times New Roman"/>
                <w:sz w:val="18"/>
                <w:szCs w:val="18"/>
                <w:color w:val="auto"/>
                <w:w w:val="97"/>
              </w:rPr>
              <w:t>12/31/2013</w:t>
            </w:r>
          </w:p>
        </w:tc>
        <w:tc>
          <w:tcPr>
            <w:tcW w:w="3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68,560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588,200</w:t>
            </w:r>
          </w:p>
        </w:tc>
      </w:tr>
      <w:tr>
        <w:trPr>
          <w:trHeight w:val="212"/>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3700" w:type="dxa"/>
            <w:vAlign w:val="bottom"/>
            <w:gridSpan w:val="2"/>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8"/>
              </w:rPr>
              <w:t>2/28/2017</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272,724</w:t>
            </w:r>
          </w:p>
        </w:tc>
      </w:tr>
      <w:tr>
        <w:trPr>
          <w:trHeight w:val="212"/>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20" w:type="dxa"/>
            <w:vAlign w:val="bottom"/>
          </w:tcPr>
          <w:p>
            <w:pPr>
              <w:spacing w:after="0"/>
              <w:rPr>
                <w:sz w:val="18"/>
                <w:szCs w:val="18"/>
                <w:color w:val="auto"/>
              </w:rPr>
            </w:pPr>
          </w:p>
        </w:tc>
        <w:tc>
          <w:tcPr>
            <w:tcW w:w="358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7"/>
              </w:rPr>
              <w:t>5/11/2015 to 2/13/2016</w:t>
            </w:r>
          </w:p>
        </w:tc>
        <w:tc>
          <w:tcPr>
            <w:tcW w:w="3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430,000</w:t>
            </w:r>
          </w:p>
        </w:tc>
      </w:tr>
      <w:tr>
        <w:trPr>
          <w:trHeight w:val="219"/>
        </w:trPr>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2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shd w:val="clear" w:color="auto" w:fill="CCEEFF"/>
          </w:tcPr>
          <w:p>
            <w:pPr>
              <w:jc w:val="center"/>
              <w:ind w:left="1692"/>
              <w:spacing w:after="0"/>
              <w:rPr>
                <w:sz w:val="20"/>
                <w:szCs w:val="20"/>
                <w:color w:val="auto"/>
              </w:rPr>
            </w:pPr>
            <w:r>
              <w:rPr>
                <w:rFonts w:ascii="Times New Roman" w:cs="Times New Roman" w:eastAsia="Times New Roman" w:hAnsi="Times New Roman"/>
                <w:sz w:val="18"/>
                <w:szCs w:val="18"/>
                <w:color w:val="auto"/>
                <w:w w:val="98"/>
              </w:rPr>
              <w:t>6/28/2012 to 12/31/2013</w:t>
            </w:r>
          </w:p>
        </w:tc>
        <w:tc>
          <w:tcPr>
            <w:tcW w:w="1900" w:type="dxa"/>
            <w:vAlign w:val="bottom"/>
            <w:tcBorders>
              <w:bottom w:val="single" w:sz="8" w:color="CCEEFF"/>
            </w:tcBorders>
            <w:gridSpan w:val="2"/>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2"/>
        </w:trPr>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spacing w:after="0"/>
              <w:rPr>
                <w:sz w:val="21"/>
                <w:szCs w:val="21"/>
                <w:color w:val="auto"/>
              </w:rPr>
            </w:pP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14,660,335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4,126,589</w:t>
            </w:r>
          </w:p>
        </w:tc>
        <w:tc>
          <w:tcPr>
            <w:tcW w:w="100" w:type="dxa"/>
            <w:vAlign w:val="bottom"/>
            <w:shd w:val="clear" w:color="auto" w:fill="CCEEFF"/>
          </w:tcPr>
          <w:p>
            <w:pPr>
              <w:spacing w:after="0"/>
              <w:rPr>
                <w:sz w:val="21"/>
                <w:szCs w:val="21"/>
                <w:color w:val="auto"/>
              </w:rPr>
            </w:pPr>
          </w:p>
        </w:tc>
      </w:tr>
      <w:tr>
        <w:trPr>
          <w:trHeight w:val="352"/>
        </w:trPr>
        <w:tc>
          <w:tcPr>
            <w:tcW w:w="18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F-41</w:t>
            </w:r>
          </w:p>
        </w:tc>
        <w:tc>
          <w:tcPr>
            <w:tcW w:w="1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1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2013, the Company has reserved shares of its common stock for future issuance as follows: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Upon exchange of all shares of Series A Preferred Stock currently issued and outstanding </w:t>
            </w:r>
            <w:r>
              <w:rPr>
                <w:rFonts w:ascii="Times New Roman" w:cs="Times New Roman" w:eastAsia="Times New Roman" w:hAnsi="Times New Roman"/>
                <w:sz w:val="24"/>
                <w:szCs w:val="24"/>
                <w:color w:val="auto"/>
                <w:vertAlign w:val="superscript"/>
              </w:rPr>
              <w:t>(1)</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Warrant shares issuable to Platinum upon exercise of common stock warrant upon exchange of Series A preferred stock under the terms of</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October 11, 2012 Note Purchase and Exchange Agreement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110% of shares issuable upon conversion of 10% convertible Exchange Note and Investment Notes issued to Platinum in October 2012,</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February 2013 and March 2013, including interest accrued through maturity </w:t>
            </w:r>
            <w:r>
              <w:rPr>
                <w:rFonts w:ascii="Times New Roman" w:cs="Times New Roman" w:eastAsia="Times New Roman" w:hAnsi="Times New Roman"/>
                <w:sz w:val="24"/>
                <w:szCs w:val="24"/>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Pursuant to warrants to purchase common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Subject to outstanding warrants</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14,660,335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Issuable pursuant to accrued interest through maturity on outstanding promissory notes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to Morrison &amp; Foerster, Cato Research Ltd., and University Health Network</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15,856,762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stock incentive plans: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outstanding options under the 2008 and 1999 Stock Incentive Plans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future grants</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sales of additional Units pursuant to the 2012 Private Placement of Units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15,414,583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68,689,238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249160" cy="168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9160" cy="168275"/>
                    </a:xfrm>
                    <a:prstGeom prst="rect">
                      <a:avLst/>
                    </a:prstGeom>
                    <a:noFill/>
                  </pic:spPr>
                </pic:pic>
              </a:graphicData>
            </a:graphic>
          </wp:anchor>
        </w:drawing>
      </w:r>
    </w:p>
    <w:p>
      <w:pPr>
        <w:ind w:left="200" w:hanging="194"/>
        <w:spacing w:after="0" w:line="230" w:lineRule="auto"/>
        <w:tabs>
          <w:tab w:leader="none" w:pos="200" w:val="left"/>
        </w:tabs>
        <w:numPr>
          <w:ilvl w:val="0"/>
          <w:numId w:val="8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exchange under the terms of the October 11, 2012 Note Exchange and Purchase Agreement with Platinum</w:t>
      </w:r>
    </w:p>
    <w:p>
      <w:pPr>
        <w:spacing w:after="0" w:line="1" w:lineRule="exact"/>
        <w:rPr>
          <w:rFonts w:ascii="Times New Roman" w:cs="Times New Roman" w:eastAsia="Times New Roman" w:hAnsi="Times New Roman"/>
          <w:sz w:val="24"/>
          <w:szCs w:val="24"/>
          <w:color w:val="auto"/>
          <w:vertAlign w:val="superscript"/>
        </w:rPr>
      </w:pPr>
    </w:p>
    <w:p>
      <w:pPr>
        <w:ind w:left="200" w:hanging="194"/>
        <w:spacing w:after="0" w:line="183" w:lineRule="auto"/>
        <w:tabs>
          <w:tab w:leader="none" w:pos="200" w:val="left"/>
        </w:tabs>
        <w:numPr>
          <w:ilvl w:val="0"/>
          <w:numId w:val="8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conversion under the terms of the October 11, 2012 Note Exchange and Purchase Agreement with Platinum and the terms of the individual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Research and Development Expenses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research and development expenses of approximately $3.4 million and $5.4 million in the fiscal years ended March 31, 2013 and 2012,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provision for income taxes for the periods presented in the consolidated statements of operations represents minimum California franchise taxes. Income tax expense differed from the amounts computed by applying the U.S. federal income tax rate of 34% to pretax losses as a result of the following:</w:t>
      </w:r>
    </w:p>
    <w:p>
      <w:pPr>
        <w:ind w:left="8520"/>
        <w:spacing w:after="0"/>
        <w:rPr>
          <w:sz w:val="20"/>
          <w:szCs w:val="20"/>
          <w:color w:val="auto"/>
        </w:rPr>
      </w:pPr>
      <w:r>
        <w:rPr>
          <w:rFonts w:ascii="Times New Roman" w:cs="Times New Roman" w:eastAsia="Times New Roman" w:hAnsi="Times New Roman"/>
          <w:sz w:val="18"/>
          <w:szCs w:val="18"/>
          <w:color w:val="auto"/>
        </w:rPr>
        <w:t>Fiscal Years Ended 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gridSpan w:val="2"/>
          </w:tcPr>
          <w:p>
            <w:pPr>
              <w:spacing w:after="0"/>
              <w:rPr>
                <w:sz w:val="19"/>
                <w:szCs w:val="19"/>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not benefitted</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7940" w:type="dxa"/>
            <w:vAlign w:val="bottom"/>
            <w:tcBorders>
              <w:top w:val="single" w:sz="8" w:color="CCEEFF"/>
            </w:tcBorders>
          </w:tcPr>
          <w:p>
            <w:pPr>
              <w:ind w:left="5520"/>
              <w:spacing w:after="0"/>
              <w:rPr>
                <w:sz w:val="20"/>
                <w:szCs w:val="20"/>
                <w:color w:val="auto"/>
              </w:rPr>
            </w:pPr>
            <w:r>
              <w:rPr>
                <w:rFonts w:ascii="Times New Roman" w:cs="Times New Roman" w:eastAsia="Times New Roman" w:hAnsi="Times New Roman"/>
                <w:sz w:val="18"/>
                <w:szCs w:val="18"/>
                <w:color w:val="auto"/>
              </w:rPr>
              <w:t>F-42</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2013</w:t>
            </w:r>
          </w:p>
        </w:tc>
        <w:tc>
          <w:tcPr>
            <w:tcW w:w="6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99"/>
              </w:rPr>
              <w:t>2012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12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19,010</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16,191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Basis differences in fixed assets</w:t>
            </w: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Accruals and reserves</w:t>
            </w:r>
          </w:p>
        </w:tc>
        <w:tc>
          <w:tcPr>
            <w:tcW w:w="1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19,027</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16,213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(19,027</w:t>
            </w:r>
          </w:p>
        </w:tc>
        <w:tc>
          <w:tcPr>
            <w:tcW w:w="10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(16,213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deferred tax assets have been fully offset by a valuation allowance. The valuation allowance increased by $2,814,000 and $2,991,000 during the fiscal years ended March 31, 2013 and 2012, respectively. When realized, deferred tax assets related to employee stock options will be credited to additional paid-in capital.</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2013, the Company had U.S. federal net operating loss carryforwards of $47.9 million, which will expire in fiscal years 2019 through 2033. As of March 31, 2013, the Company had state net operating loss carryforwards of $34.8 million, which will expire in fiscal years 2013 through 2033.</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2013, that could result in the expiration of the loss carryforwards before they are utilized.</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Canadian jurisdictions and California and Maryland state jurisdictions. The Company is subject to U.S. federal and state income tax examinations by tax authorities for tax years 1999 through 2013 due to net operating losses that are being carried forward for tax purposes.</w:t>
      </w:r>
    </w:p>
    <w:p>
      <w:pPr>
        <w:spacing w:after="0" w:line="20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 does not have any uncertain tax positions or unrecognized tax benefits at March 31, 2013 and 2012. The Company’s policy is to recognize interest and penalties related to income taxes as components of interest expense and other expense, respectively.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Licensing and Collaborative Agreements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Health Network</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September 17, 2007, the Company and UHN entered into a Sponsored Research Collaboration Agreement (“</w:t>
      </w:r>
      <w:r>
        <w:rPr>
          <w:rFonts w:ascii="Times New Roman" w:cs="Times New Roman" w:eastAsia="Times New Roman" w:hAnsi="Times New Roman"/>
          <w:sz w:val="18"/>
          <w:szCs w:val="18"/>
          <w:i w:val="1"/>
          <w:iCs w:val="1"/>
          <w:color w:val="auto"/>
        </w:rPr>
        <w:t>SRCA</w:t>
      </w:r>
      <w:r>
        <w:rPr>
          <w:rFonts w:ascii="Times New Roman" w:cs="Times New Roman" w:eastAsia="Times New Roman" w:hAnsi="Times New Roman"/>
          <w:sz w:val="18"/>
          <w:szCs w:val="18"/>
          <w:color w:val="auto"/>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elected to fund additional projects through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8, </w:t>
      </w:r>
      <w:r>
        <w:rPr>
          <w:rFonts w:ascii="Times New Roman" w:cs="Times New Roman" w:eastAsia="Times New Roman" w:hAnsi="Times New Roman"/>
          <w:sz w:val="18"/>
          <w:szCs w:val="18"/>
          <w:i w:val="1"/>
          <w:iCs w:val="1"/>
          <w:color w:val="auto"/>
        </w:rPr>
        <w:t>Convertible Notes and Other Notes Payable</w:t>
      </w:r>
      <w:r>
        <w:rPr>
          <w:rFonts w:ascii="Times New Roman" w:cs="Times New Roman" w:eastAsia="Times New Roman" w:hAnsi="Times New Roman"/>
          <w:sz w:val="18"/>
          <w:szCs w:val="18"/>
          <w:color w:val="auto"/>
        </w:rPr>
        <w:t>, in October 2012, the Company issued to UHN a promissory note in the principal amount of $549,500 and a warrant to purchase 549,500 restricted shares of the Company’s common stock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 including payments aggregating $150,000 applicable to services for the period from October 1, 2012 through March 31, 2013.</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if any, by the Company attributable to the licensed patents.</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March 2012, the Company and UHN entered into License Agreement No. 2 under the terms of which UHN granted the Company exclusive rights to the use of technology included in a new U.S. patent application to develop hematopoietic precursor stem cells from human pluripotent stem cells. Hematopoietic precursor stem cells give rise to all red and white blood cells and platelets in the body. The Company plans to use the UHN invention to improve the cell culture methods utilized to efficiently produce hematopoietic stem cell populations. In consideration for the grant of the license, the Company issued to UHN 55,555 restricted shares of its common stock, valued at $155,000 in March 2012 and was obligated to make a cash payment of $25,000 in July 2012. Under the terms of License Agreement No. 2, the Company has also agreed to make payments to UHN totaling $3.9 million, if, and when, it achieves certain milestones designated in License Agreement No. 2, and to pay UHN royalties based on the receipt of revenue, if any, by the Company attributable to the licensed patents.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National Institutes of Health</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1998 through 2008,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xml:space="preserve">") awarded VistaGen California a total of $11.3 million in non-dilutive research and development grants, including $2.3 million to support research and development of its stem cell technology-based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platform and, as described below, a total of $8.8 million for nonclinical and Phase 1 clinical development of AV-101 (also referred to in scientific literature as “4-Cl-KYN”). AV-101, the Company’s small molecule drug candidate, has successfully completed Phase 1 clinical development.</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During fiscal years 2006 through 2008, the NIH awarded VistaGen California a $4.2 million grant to support preclinical development of AV-101 for treatment of neuropathic pain and other neurodegenerative diseases such as Huntington’s and Parkinson’s diseases. In April 2009, the NIH awarded VistaGen California a $4.2 million grant to support the Phase I clinical development of AV-101, which amount was subsequently increased to a total of $4.6 million in July 2010. The Company recognized $0.2 million and $1.2 million of grant revenue related to AV-101 in the fiscal years ended March 31, 2013 and 2012, respectively.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Cato Research Ltd.</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built a strategic development relationship with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xml:space="preserve">”), a global contract research and development organization, or CRO, and an affiliate of one of the Company’s largest stockholders. See Note 14,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CRL has provided the Company with access to essential CRO services supporting its nonclinical and Phase 1 clinical development programs. The Company recorded research and development expenses of $703,800 and $1,461,300 in the fiscal years ended March 31, 2013 and 2012, respectively, for services provided by CRL. As disclosed in Note 8,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and Other Notes Payable</w:t>
      </w:r>
      <w:r>
        <w:rPr>
          <w:rFonts w:ascii="Times New Roman" w:cs="Times New Roman" w:eastAsia="Times New Roman" w:hAnsi="Times New Roman"/>
          <w:sz w:val="18"/>
          <w:szCs w:val="18"/>
          <w:color w:val="auto"/>
        </w:rPr>
        <w:t>, in October 2012, the Company issued to CRL a promissory note in the initial principal amount of $1,009,000, which is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in restricted shares of the Company’s common stock as payment in full for all contract research and development services and regulatory advice rendered by CRL to the Company and its affiliates through December 31, 2012 with respect to the preclinical and clinical development of AV-101, and a five-year warrant to purchase 1,009,000 restricted shares of the Company’s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Option Plans and 401(k) Plan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share-based compensation plans.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Stock Incentive Plan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2008 Stock Incentive Plan (the “</w:t>
      </w:r>
      <w:r>
        <w:rPr>
          <w:rFonts w:ascii="Times New Roman" w:cs="Times New Roman" w:eastAsia="Times New Roman" w:hAnsi="Times New Roman"/>
          <w:sz w:val="18"/>
          <w:szCs w:val="18"/>
          <w:i w:val="1"/>
          <w:iCs w:val="1"/>
          <w:color w:val="auto"/>
        </w:rPr>
        <w:t>2008 Plan</w:t>
      </w:r>
      <w:r>
        <w:rPr>
          <w:rFonts w:ascii="Times New Roman" w:cs="Times New Roman" w:eastAsia="Times New Roman" w:hAnsi="Times New Roman"/>
          <w:sz w:val="18"/>
          <w:szCs w:val="18"/>
          <w:color w:val="auto"/>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1999 Stock Incentive Plan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1999 Stock Incentive Plan (the “</w:t>
      </w:r>
      <w:r>
        <w:rPr>
          <w:rFonts w:ascii="Times New Roman" w:cs="Times New Roman" w:eastAsia="Times New Roman" w:hAnsi="Times New Roman"/>
          <w:sz w:val="18"/>
          <w:szCs w:val="18"/>
          <w:i w:val="1"/>
          <w:iCs w:val="1"/>
          <w:color w:val="auto"/>
        </w:rPr>
        <w:t>1999 Plan</w:t>
      </w:r>
      <w:r>
        <w:rPr>
          <w:rFonts w:ascii="Times New Roman" w:cs="Times New Roman" w:eastAsia="Times New Roman" w:hAnsi="Times New Roman"/>
          <w:sz w:val="18"/>
          <w:szCs w:val="18"/>
          <w:color w:val="auto"/>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1998 Stock Incentive Plan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Scientific Advisory Board 1998 Stock Incentive Plan (the “</w:t>
      </w:r>
      <w:r>
        <w:rPr>
          <w:rFonts w:ascii="Times New Roman" w:cs="Times New Roman" w:eastAsia="Times New Roman" w:hAnsi="Times New Roman"/>
          <w:sz w:val="18"/>
          <w:szCs w:val="18"/>
          <w:i w:val="1"/>
          <w:iCs w:val="1"/>
          <w:color w:val="auto"/>
        </w:rPr>
        <w:t>SAB Plan</w:t>
      </w:r>
      <w:r>
        <w:rPr>
          <w:rFonts w:ascii="Times New Roman" w:cs="Times New Roman" w:eastAsia="Times New Roman" w:hAnsi="Times New Roman"/>
          <w:sz w:val="18"/>
          <w:szCs w:val="18"/>
          <w:color w:val="auto"/>
        </w:rPr>
        <w:t>”) was adopted by VistaGen California’s Board of Directors in July 1998. The VistaGen California Board of Directors authorized 25,000 shares of common stock for awards from the SAB Plan. No awards have been granted from the SAB Plan since August 2001. The SAB Plan expired in July 2008 and all of the options granted from the SAB Plan have either been exercised or expired during fiscal 2012.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2008 Plan</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Unless terminated sooner, the 2008 Plan will automatically terminate in 2017. The Board of Directors may at any time amend, suspend or terminate the Company’s 2008 Plan.</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first quarter of fiscal 2013, when the quoted market price of the Company’s common stock was $0.51, the Company granted options to purchase an aggregate of 155,000 shares of its common stock at an exercise price of $0.51 per share to certain of its employees, excluding the Company’s Chief Executive Officer and President and Chief Scientific Officer, and to certain scientific consultants. Options granted during the first quarter of fiscal 2013 have a contractual term of 10 years and vest over a period of 4 years. 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Options granted during the third quarter of fiscal 2013 have a contractual term of 10 years and options to purchase 604,699 shares were granted as immediately vested, with the remaining option shares vesting over a period of two years. The cancellation and reissuance was accounted for as a modification of the options. During fiscal year 2012, the Company granted options to purchase an aggregate of 1,020,000 shares of its common stock at exercise prices ranging from $1.75 per share to $2.99 per share to certain of its employees and scientific and business consultants, including members of the Company's Board of Directors and Scientific Advisory Board, and one of the Company’s officers exercised options to purchase 113,636 restricted shares of its common stock at an exercise price of $0.88 per share. Including the impact of the modification of the option grants during fiscal 2013 described above, the Company recorded share-based compensation costs related to 2008 Plan option grants of $438,800 for the fiscal year ended March 31, 2013 compared with $1,591,300 for the fiscal year ended March 31, 2012.</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following table summarizes share-based compensation expense, including share-based expense related to the March 2013 grant of warrants to certain of the Company’s officers and to its independent directors as described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included in the accompanying Consolidated Statement of Operations and Comprehensive Loss for the years ended March 31, 2013 and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19"/>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to stock option grants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242,300</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477,400</w:t>
            </w:r>
          </w:p>
        </w:tc>
      </w:tr>
      <w:tr>
        <w:trPr>
          <w:trHeight w:val="212"/>
        </w:trPr>
        <w:tc>
          <w:tcPr>
            <w:tcW w:w="2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to warrant grants to officers and directors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477,400</w:t>
            </w: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to stock option grants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196,600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1,113,900</w:t>
            </w:r>
          </w:p>
        </w:tc>
      </w:tr>
      <w:tr>
        <w:trPr>
          <w:trHeight w:val="212"/>
        </w:trPr>
        <w:tc>
          <w:tcPr>
            <w:tcW w:w="2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to warrant grants to officers and directors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1,113,900</w:t>
            </w: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1,241,300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1,591,300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used the Black-Scholes option valuation model with the following assumptions to determine share-based compensation expense related to option grants during the fiscal years ended March 31, 2013 and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$0.51 and $0.75</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1.75 to $2.99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on date of grant</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$0.51 and $0.71</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1.75 to $2.99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0.895% to 1.74%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to</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6.25 to 10.0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to</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82.9% to 85.4%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to</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 at grant date</w:t>
            </w:r>
          </w:p>
        </w:tc>
        <w:tc>
          <w:tcPr>
            <w:tcW w:w="3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0.36 to $0.59</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1.08 to $2.48</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0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F-46</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the fiscal years ended March 31, 2013 and 2012 under the Company’s stock option plans: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color w:val="auto"/>
                <w:w w:val="98"/>
              </w:rPr>
              <w:t>Fiscal Years Ended March 31,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jc w:val="right"/>
              <w:ind w:right="592"/>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center"/>
              <w:ind w:right="72"/>
              <w:spacing w:after="0" w:line="194" w:lineRule="exact"/>
              <w:rPr>
                <w:sz w:val="20"/>
                <w:szCs w:val="20"/>
                <w:color w:val="auto"/>
              </w:rPr>
            </w:pPr>
            <w:r>
              <w:rPr>
                <w:rFonts w:ascii="Times New Roman" w:cs="Times New Roman" w:eastAsia="Times New Roman" w:hAnsi="Times New Roman"/>
                <w:sz w:val="18"/>
                <w:szCs w:val="18"/>
                <w:color w:val="auto"/>
                <w:w w:val="97"/>
              </w:rPr>
              <w:t>Weighted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4"/>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Exercise</w:t>
            </w:r>
          </w:p>
        </w:tc>
        <w:tc>
          <w:tcPr>
            <w:tcW w:w="180" w:type="dxa"/>
            <w:vAlign w:val="bottom"/>
          </w:tcPr>
          <w:p>
            <w:pPr>
              <w:spacing w:after="0"/>
              <w:rPr>
                <w:sz w:val="18"/>
                <w:szCs w:val="18"/>
                <w:color w:val="auto"/>
              </w:rPr>
            </w:pPr>
          </w:p>
        </w:tc>
        <w:tc>
          <w:tcPr>
            <w:tcW w:w="12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Price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color w:val="auto"/>
                <w:w w:val="97"/>
              </w:rPr>
              <w:t>Price</w:t>
            </w: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beginning of period</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4,805,771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14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3,949,153</w:t>
            </w:r>
          </w:p>
        </w:tc>
        <w:tc>
          <w:tcPr>
            <w:tcW w:w="8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Options granted</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1,075,550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0.72</w:t>
            </w:r>
          </w:p>
        </w:tc>
        <w:tc>
          <w:tcPr>
            <w:tcW w:w="14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1,020,000</w:t>
            </w:r>
          </w:p>
        </w:tc>
        <w:tc>
          <w:tcPr>
            <w:tcW w:w="8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exercised</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(113,979)</w:t>
            </w:r>
          </w:p>
        </w:tc>
        <w:tc>
          <w:tcPr>
            <w:tcW w:w="8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Options cancelled</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(870,550)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forfeited</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8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Options expired</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(19,403)</w:t>
            </w:r>
          </w:p>
        </w:tc>
        <w:tc>
          <w:tcPr>
            <w:tcW w:w="8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rPr>
              <w:t>Options outstanding at end of period</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rPr>
              <w:t>4,912,604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line="192" w:lineRule="exact"/>
              <w:rPr>
                <w:sz w:val="20"/>
                <w:szCs w:val="20"/>
                <w:color w:val="auto"/>
              </w:rPr>
            </w:pPr>
            <w:r>
              <w:rPr>
                <w:rFonts w:ascii="Times New Roman" w:cs="Times New Roman" w:eastAsia="Times New Roman" w:hAnsi="Times New Roman"/>
                <w:sz w:val="18"/>
                <w:szCs w:val="18"/>
                <w:color w:val="auto"/>
              </w:rPr>
              <w:t>1.32</w:t>
            </w:r>
          </w:p>
        </w:tc>
        <w:tc>
          <w:tcPr>
            <w:tcW w:w="1400" w:type="dxa"/>
            <w:vAlign w:val="bottom"/>
            <w:gridSpan w:val="6"/>
          </w:tcPr>
          <w:p>
            <w:pPr>
              <w:jc w:val="right"/>
              <w:ind w:right="80"/>
              <w:spacing w:after="0" w:line="192" w:lineRule="exact"/>
              <w:rPr>
                <w:sz w:val="20"/>
                <w:szCs w:val="20"/>
                <w:color w:val="auto"/>
              </w:rPr>
            </w:pPr>
            <w:r>
              <w:rPr>
                <w:rFonts w:ascii="Times New Roman" w:cs="Times New Roman" w:eastAsia="Times New Roman" w:hAnsi="Times New Roman"/>
                <w:sz w:val="18"/>
                <w:szCs w:val="18"/>
                <w:color w:val="auto"/>
              </w:rPr>
              <w:t>4,805,771</w:t>
            </w:r>
          </w:p>
        </w:tc>
        <w:tc>
          <w:tcPr>
            <w:tcW w:w="880" w:type="dxa"/>
            <w:vAlign w:val="bottom"/>
            <w:gridSpan w:val="2"/>
          </w:tcPr>
          <w:p>
            <w:pPr>
              <w:jc w:val="right"/>
              <w:ind w:right="5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480" w:type="dxa"/>
            <w:vAlign w:val="bottom"/>
            <w:gridSpan w:val="4"/>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Options exercisable at end of period</w:t>
            </w:r>
          </w:p>
        </w:tc>
        <w:tc>
          <w:tcPr>
            <w:tcW w:w="3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4,227,436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0"/>
              <w:spacing w:after="0" w:line="192" w:lineRule="exact"/>
              <w:rPr>
                <w:sz w:val="20"/>
                <w:szCs w:val="20"/>
                <w:color w:val="auto"/>
              </w:rPr>
            </w:pPr>
            <w:r>
              <w:rPr>
                <w:rFonts w:ascii="Times New Roman" w:cs="Times New Roman" w:eastAsia="Times New Roman" w:hAnsi="Times New Roman"/>
                <w:sz w:val="18"/>
                <w:szCs w:val="18"/>
                <w:color w:val="auto"/>
              </w:rPr>
              <w:t>1.35</w:t>
            </w:r>
          </w:p>
        </w:tc>
        <w:tc>
          <w:tcPr>
            <w:tcW w:w="1400" w:type="dxa"/>
            <w:vAlign w:val="bottom"/>
            <w:gridSpan w:val="6"/>
            <w:shd w:val="clear" w:color="auto" w:fill="CCEEFF"/>
          </w:tcPr>
          <w:p>
            <w:pPr>
              <w:jc w:val="right"/>
              <w:ind w:right="80"/>
              <w:spacing w:after="0" w:line="192" w:lineRule="exact"/>
              <w:rPr>
                <w:sz w:val="20"/>
                <w:szCs w:val="20"/>
                <w:color w:val="auto"/>
              </w:rPr>
            </w:pPr>
            <w:r>
              <w:rPr>
                <w:rFonts w:ascii="Times New Roman" w:cs="Times New Roman" w:eastAsia="Times New Roman" w:hAnsi="Times New Roman"/>
                <w:sz w:val="18"/>
                <w:szCs w:val="18"/>
                <w:color w:val="auto"/>
              </w:rPr>
              <w:t>3,740,135</w:t>
            </w:r>
          </w:p>
        </w:tc>
        <w:tc>
          <w:tcPr>
            <w:tcW w:w="880" w:type="dxa"/>
            <w:vAlign w:val="bottom"/>
            <w:gridSpan w:val="2"/>
            <w:shd w:val="clear" w:color="auto" w:fill="CCEEFF"/>
          </w:tcPr>
          <w:p>
            <w:pPr>
              <w:jc w:val="right"/>
              <w:ind w:right="5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Borders>
              <w:top w:val="single" w:sz="8" w:color="CCEEFF"/>
            </w:tcBorders>
            <w:gridSpan w:val="4"/>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 average grant-date fair value of</w:t>
            </w:r>
          </w:p>
        </w:tc>
        <w:tc>
          <w:tcPr>
            <w:tcW w:w="3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granted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109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and exercisable under the Company’s option plans as of March 31, 2013:</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Options Outstanding</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8"/>
          </w:tcPr>
          <w:p>
            <w:pPr>
              <w:jc w:val="right"/>
              <w:ind w:right="692"/>
              <w:spacing w:after="0"/>
              <w:rPr>
                <w:sz w:val="20"/>
                <w:szCs w:val="20"/>
                <w:color w:val="auto"/>
              </w:rPr>
            </w:pPr>
            <w:r>
              <w:rPr>
                <w:rFonts w:ascii="Times New Roman" w:cs="Times New Roman" w:eastAsia="Times New Roman" w:hAnsi="Times New Roman"/>
                <w:sz w:val="18"/>
                <w:szCs w:val="18"/>
                <w:color w:val="auto"/>
              </w:rPr>
              <w:t>Options Exercisable</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color w:val="auto"/>
                <w:w w:val="94"/>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7"/>
              </w:rPr>
              <w:t>Weighted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Remaining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52"/>
              <w:spacing w:after="0"/>
              <w:rPr>
                <w:sz w:val="20"/>
                <w:szCs w:val="20"/>
                <w:color w:val="auto"/>
              </w:rPr>
            </w:pPr>
            <w:r>
              <w:rPr>
                <w:rFonts w:ascii="Times New Roman" w:cs="Times New Roman" w:eastAsia="Times New Roman" w:hAnsi="Times New Roman"/>
                <w:sz w:val="18"/>
                <w:szCs w:val="18"/>
                <w:color w:val="auto"/>
                <w:w w:val="95"/>
              </w:rPr>
              <w:t>Average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Exercise</w:t>
            </w:r>
          </w:p>
        </w:tc>
        <w:tc>
          <w:tcPr>
            <w:tcW w:w="1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Number</w:t>
            </w:r>
          </w:p>
        </w:tc>
        <w:tc>
          <w:tcPr>
            <w:tcW w:w="3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Years until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6"/>
              </w:rPr>
              <w:t>Exercise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6"/>
              </w:rPr>
              <w:t>Exercise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color w:val="auto"/>
                <w:w w:val="97"/>
              </w:rPr>
              <w:t>Price</w:t>
            </w:r>
          </w:p>
        </w:tc>
        <w:tc>
          <w:tcPr>
            <w:tcW w:w="280" w:type="dxa"/>
            <w:vAlign w:val="bottom"/>
          </w:tcPr>
          <w:p>
            <w:pPr>
              <w:spacing w:after="0"/>
              <w:rPr>
                <w:sz w:val="20"/>
                <w:szCs w:val="20"/>
                <w:color w:val="auto"/>
              </w:rPr>
            </w:pPr>
          </w:p>
        </w:tc>
        <w:tc>
          <w:tcPr>
            <w:tcW w:w="1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Expiration</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8"/>
                <w:szCs w:val="18"/>
                <w:color w:val="auto"/>
              </w:rPr>
              <w:t>Exercisable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7"/>
              </w:rPr>
              <w:t>Price</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0.51 - $0.72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267,540</w:t>
            </w:r>
          </w:p>
        </w:tc>
        <w:tc>
          <w:tcPr>
            <w:tcW w:w="2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112,540</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920,550</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670,494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0.80 - $1.13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455,776</w:t>
            </w:r>
          </w:p>
        </w:tc>
        <w:tc>
          <w:tcPr>
            <w:tcW w:w="2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455,776</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2,413,250</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2,413,250</w:t>
            </w:r>
          </w:p>
        </w:tc>
        <w:tc>
          <w:tcPr>
            <w:tcW w:w="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1.65 - $1.925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695,833</w:t>
            </w:r>
          </w:p>
        </w:tc>
        <w:tc>
          <w:tcPr>
            <w:tcW w:w="2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415,721</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2.10 - $2.99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159,655</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159,655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tcBorders>
              <w:top w:val="single" w:sz="8" w:color="auto"/>
            </w:tcBorders>
            <w:gridSpan w:val="4"/>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4,912,604</w:t>
            </w:r>
          </w:p>
        </w:tc>
        <w:tc>
          <w:tcPr>
            <w:tcW w:w="2200" w:type="dxa"/>
            <w:vAlign w:val="bottom"/>
            <w:gridSpan w:val="3"/>
          </w:tcPr>
          <w:p>
            <w:pPr>
              <w:jc w:val="right"/>
              <w:ind w:right="280"/>
              <w:spacing w:after="0" w:line="192" w:lineRule="exact"/>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jc w:val="right"/>
              <w:ind w:right="5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jc w:val="right"/>
              <w:ind w:right="120"/>
              <w:spacing w:after="0" w:line="192"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700" w:type="dxa"/>
            <w:vAlign w:val="bottom"/>
            <w:gridSpan w:val="5"/>
          </w:tcPr>
          <w:p>
            <w:pPr>
              <w:jc w:val="right"/>
              <w:spacing w:after="0" w:line="192" w:lineRule="exact"/>
              <w:rPr>
                <w:sz w:val="20"/>
                <w:szCs w:val="20"/>
                <w:color w:val="auto"/>
              </w:rPr>
            </w:pPr>
            <w:r>
              <w:rPr>
                <w:rFonts w:ascii="Times New Roman" w:cs="Times New Roman" w:eastAsia="Times New Roman" w:hAnsi="Times New Roman"/>
                <w:sz w:val="18"/>
                <w:szCs w:val="18"/>
                <w:color w:val="auto"/>
              </w:rPr>
              <w:t>4,227,436</w:t>
            </w:r>
          </w:p>
        </w:tc>
        <w:tc>
          <w:tcPr>
            <w:tcW w:w="40" w:type="dxa"/>
            <w:vAlign w:val="bottom"/>
          </w:tcPr>
          <w:p>
            <w:pPr>
              <w:spacing w:after="0"/>
              <w:rPr>
                <w:sz w:val="18"/>
                <w:szCs w:val="18"/>
                <w:color w:val="auto"/>
              </w:rPr>
            </w:pPr>
          </w:p>
        </w:tc>
        <w:tc>
          <w:tcPr>
            <w:tcW w:w="660" w:type="dxa"/>
            <w:vAlign w:val="bottom"/>
            <w:gridSpan w:val="2"/>
          </w:tcPr>
          <w:p>
            <w:pPr>
              <w:jc w:val="right"/>
              <w:ind w:right="280"/>
              <w:spacing w:after="0" w:line="19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60"/>
              <w:spacing w:after="0" w:line="192" w:lineRule="exact"/>
              <w:rPr>
                <w:sz w:val="20"/>
                <w:szCs w:val="20"/>
                <w:color w:val="auto"/>
              </w:rPr>
            </w:pPr>
            <w:r>
              <w:rPr>
                <w:rFonts w:ascii="Times New Roman" w:cs="Times New Roman" w:eastAsia="Times New Roman" w:hAnsi="Times New Roman"/>
                <w:sz w:val="18"/>
                <w:szCs w:val="18"/>
                <w:color w:val="auto"/>
                <w:w w:val="95"/>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March 31, 2013, there were 257,867 shares of the Company’s common stock remaining available for grant under the 2008 Plan. There were no option exercises during the year ended March 31, 2013. The Company received cash proceeds of $102,200 as a result of options exercised during the year ended March 31, 2012.</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Aggregate intrinsic value is the sum of the amounts by which the fair value of the stock exceeded the exercise price (“</w:t>
      </w:r>
      <w:r>
        <w:rPr>
          <w:rFonts w:ascii="Times New Roman" w:cs="Times New Roman" w:eastAsia="Times New Roman" w:hAnsi="Times New Roman"/>
          <w:sz w:val="18"/>
          <w:szCs w:val="18"/>
          <w:i w:val="1"/>
          <w:iCs w:val="1"/>
          <w:color w:val="auto"/>
        </w:rPr>
        <w:t>in-the-money-options</w:t>
      </w:r>
      <w:r>
        <w:rPr>
          <w:rFonts w:ascii="Times New Roman" w:cs="Times New Roman" w:eastAsia="Times New Roman" w:hAnsi="Times New Roman"/>
          <w:sz w:val="18"/>
          <w:szCs w:val="18"/>
          <w:color w:val="auto"/>
        </w:rPr>
        <w:t>”). Based on the quoted market price of the Company’s common stock of $0.83 per share on March 31, 2013, the aggregate intrinsic value of outstanding options at that date was $165,000, of which $87,300 related to exercisable options.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2013, there was approximately $743,000 of unrecognized compensation cost related to non-vested share-based compensation awards from the 2008 Plan, which is expected to be recognized through May 2016.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Grants from 2008 Plan</w:t>
      </w:r>
    </w:p>
    <w:p>
      <w:pPr>
        <w:spacing w:after="0" w:line="2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As discussed in Note 8, </w:t>
      </w:r>
      <w:r>
        <w:rPr>
          <w:rFonts w:ascii="Times New Roman" w:cs="Times New Roman" w:eastAsia="Times New Roman" w:hAnsi="Times New Roman"/>
          <w:sz w:val="17"/>
          <w:szCs w:val="17"/>
          <w:i w:val="1"/>
          <w:iCs w:val="1"/>
          <w:color w:val="auto"/>
        </w:rPr>
        <w:t>Convertible Promissory Notes and Other Notes Payable,</w:t>
      </w:r>
      <w:r>
        <w:rPr>
          <w:rFonts w:ascii="Times New Roman" w:cs="Times New Roman" w:eastAsia="Times New Roman" w:hAnsi="Times New Roman"/>
          <w:sz w:val="17"/>
          <w:szCs w:val="17"/>
          <w:color w:val="auto"/>
        </w:rPr>
        <w:t xml:space="preserve"> in April and May 2011, the Company issued an aggregate of 139,600 restricted shares of its common stock from the 2008 Plan to Desjardins and McCarthy as partial compensation for services performed by the two entities. At the date of issuance, the shares were valued at $1.75 per share and the Company recorded $244,300 in general and administrative expense in connection with the issuances.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Cato Holding Company (“</w:t>
      </w:r>
      <w:r>
        <w:rPr>
          <w:rFonts w:ascii="Times New Roman" w:cs="Times New Roman" w:eastAsia="Times New Roman" w:hAnsi="Times New Roman"/>
          <w:sz w:val="17"/>
          <w:szCs w:val="17"/>
          <w:i w:val="1"/>
          <w:iCs w:val="1"/>
          <w:color w:val="auto"/>
        </w:rPr>
        <w:t>CHC</w:t>
      </w:r>
      <w:r>
        <w:rPr>
          <w:rFonts w:ascii="Times New Roman" w:cs="Times New Roman" w:eastAsia="Times New Roman" w:hAnsi="Times New Roman"/>
          <w:sz w:val="17"/>
          <w:szCs w:val="17"/>
          <w:color w:val="auto"/>
        </w:rPr>
        <w:t>”), doing business as Cato BioVentures ("</w:t>
      </w:r>
      <w:r>
        <w:rPr>
          <w:rFonts w:ascii="Times New Roman" w:cs="Times New Roman" w:eastAsia="Times New Roman" w:hAnsi="Times New Roman"/>
          <w:sz w:val="17"/>
          <w:szCs w:val="17"/>
          <w:i w:val="1"/>
          <w:iCs w:val="1"/>
          <w:color w:val="auto"/>
        </w:rPr>
        <w:t>CBV</w:t>
      </w:r>
      <w:r>
        <w:rPr>
          <w:rFonts w:ascii="Times New Roman" w:cs="Times New Roman" w:eastAsia="Times New Roman" w:hAnsi="Times New Roman"/>
          <w:sz w:val="17"/>
          <w:szCs w:val="17"/>
          <w:color w:val="auto"/>
        </w:rPr>
        <w:t xml:space="preserve">"), the parent of CRL, is one of the Company’s largest institutional stockholders at March 31, 2013, holding common stock and warrants to purchase common stock. Prior to the May 11, 2011 conversion of certain of the Company’s outstanding promissory notes and the conversion of preferred stock into shares of common stock, CBV held various promissory notes and a majority of the Company's Series B-1 Preferred Stock. Shawn Singh, the Company’s Chief Executive Officer and member of its Board of Directors, served as Managing Principal of CBV and as an officer of CRL until August 2009. As described in Note 8, </w:t>
      </w:r>
      <w:r>
        <w:rPr>
          <w:rFonts w:ascii="Times New Roman" w:cs="Times New Roman" w:eastAsia="Times New Roman" w:hAnsi="Times New Roman"/>
          <w:sz w:val="17"/>
          <w:szCs w:val="17"/>
          <w:i w:val="1"/>
          <w:iCs w:val="1"/>
          <w:color w:val="auto"/>
        </w:rPr>
        <w:t>Convertible Promissory Notes and Other Notes Payable</w:t>
      </w:r>
      <w:r>
        <w:rPr>
          <w:rFonts w:ascii="Times New Roman" w:cs="Times New Roman" w:eastAsia="Times New Roman" w:hAnsi="Times New Roman"/>
          <w:sz w:val="17"/>
          <w:szCs w:val="17"/>
          <w:color w:val="auto"/>
        </w:rPr>
        <w:t>, in April 2011, CBV loaned the Company $352,273 under the terms of the 2011 CHC Note. On October 10, 2012, the Company and CHC cancelled the 2011 CHC Note and exchanged it for a new unsecured promissory note in the principal amount of $310,443 (the “</w:t>
      </w:r>
      <w:r>
        <w:rPr>
          <w:rFonts w:ascii="Times New Roman" w:cs="Times New Roman" w:eastAsia="Times New Roman" w:hAnsi="Times New Roman"/>
          <w:sz w:val="17"/>
          <w:szCs w:val="17"/>
          <w:i w:val="1"/>
          <w:iCs w:val="1"/>
          <w:color w:val="auto"/>
        </w:rPr>
        <w:t>2012 CHC Note</w:t>
      </w:r>
      <w:r>
        <w:rPr>
          <w:rFonts w:ascii="Times New Roman" w:cs="Times New Roman" w:eastAsia="Times New Roman" w:hAnsi="Times New Roman"/>
          <w:sz w:val="17"/>
          <w:szCs w:val="17"/>
          <w:color w:val="auto"/>
        </w:rPr>
        <w:t>”) and a five-year warrant to purchase 250,000 restricted shares of the Company’s common stock at a price of $1.50 per share (the “</w:t>
      </w:r>
      <w:r>
        <w:rPr>
          <w:rFonts w:ascii="Times New Roman" w:cs="Times New Roman" w:eastAsia="Times New Roman" w:hAnsi="Times New Roman"/>
          <w:sz w:val="17"/>
          <w:szCs w:val="17"/>
          <w:i w:val="1"/>
          <w:iCs w:val="1"/>
          <w:color w:val="auto"/>
        </w:rPr>
        <w:t>CHC Warrant</w:t>
      </w:r>
      <w:r>
        <w:rPr>
          <w:rFonts w:ascii="Times New Roman" w:cs="Times New Roman" w:eastAsia="Times New Roman" w:hAnsi="Times New Roman"/>
          <w:sz w:val="17"/>
          <w:szCs w:val="17"/>
          <w:color w:val="auto"/>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Times New Roman" w:cs="Times New Roman" w:eastAsia="Times New Roman" w:hAnsi="Times New Roman"/>
          <w:sz w:val="17"/>
          <w:szCs w:val="17"/>
          <w:i w:val="1"/>
          <w:iCs w:val="1"/>
          <w:color w:val="auto"/>
        </w:rPr>
        <w:t>CRL Note</w:t>
      </w:r>
      <w:r>
        <w:rPr>
          <w:rFonts w:ascii="Times New Roman" w:cs="Times New Roman" w:eastAsia="Times New Roman" w:hAnsi="Times New Roman"/>
          <w:sz w:val="17"/>
          <w:szCs w:val="17"/>
          <w:color w:val="auto"/>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During fiscal year 2007, the Company entered into a contract research organization arrangement with CRL related to the development of AV-101, under which the Company incurred expenses of $703,800 and $1,461,300 for the fiscal years ended March 31, 2013 and 2012, respectively, a substantial portion of which were reimbursed under the NIH grant. Total interest expense on notes payable to CHC and CRL was $101,700 and $93,100 for the fiscal years ended March 31, 2013 and 2012, respectively, with the majority of amounts reported for periods prior to May 2011 having been converted to equity. On April 29, 2011, the Company issued 157,143 restricted shares of common stock, valued at $1.75 per share, as prepayment for research and development services to be performed by CRL during 2011. As described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in December 2011, the Company entered into an Agreement Regarding Payment of Invoices and Warrant Exercises with CHC, CRL and the CHC affiliates pursuant to which CHC and the CHC Affiliates exercised warrants at discounted exercise prices to purchase an aggregate of 492,541 restricted shares of the Company’s common stock and the Company received $60,200 cash, and, in lieu of cash payment for certain of the warrant exercises, settled outstanding liabilities of $245,300 for past services received from CRL and prepaid $226,400 for future services to be received from CRL, which services had been fully received by March 31, 2012.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Prior to his April 2003 appointment as one of the Company’s officers (on a part-time basis) and as a director, the Company retained Mr. Singh as a consultant to provide legal and other consulting services. During the course of the consultancy, as payment for his services, the Company issued him warrants to purchase 55,898 restricted shares of common stock at $0.80 per share and a 7% promissory note in the principal amount of $26,400. On May 11, 2011, and concurrent with the Merger, the Company paid the outstanding balance of principal and accrued interest totaling $36,000 (see Note 8, </w:t>
      </w:r>
      <w:r>
        <w:rPr>
          <w:rFonts w:ascii="Times New Roman" w:cs="Times New Roman" w:eastAsia="Times New Roman" w:hAnsi="Times New Roman"/>
          <w:sz w:val="17"/>
          <w:szCs w:val="17"/>
          <w:i w:val="1"/>
          <w:iCs w:val="1"/>
          <w:color w:val="auto"/>
        </w:rPr>
        <w:t>Convertible Promissory Notes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Notes Payable</w:t>
      </w:r>
      <w:r>
        <w:rPr>
          <w:rFonts w:ascii="Times New Roman" w:cs="Times New Roman" w:eastAsia="Times New Roman" w:hAnsi="Times New Roman"/>
          <w:sz w:val="17"/>
          <w:szCs w:val="17"/>
          <w:color w:val="auto"/>
        </w:rPr>
        <w:t>). Upon the approval by the Board of Directors, in December 2006, VistaGen California accepted a full-recourse promissory note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of $103,400 from Mr. Singh in payment of the exercise price for options and warrants to purchase an aggregate of 126,389 restricted shares of the Company’s common stock. The note accrued interest at a rate of 4.90% per annum and was due and payable no later than the earlier of (i) December 1, 2016 or</w:t>
      </w:r>
    </w:p>
    <w:p>
      <w:pPr>
        <w:spacing w:after="0" w:line="3" w:lineRule="exact"/>
        <w:rPr>
          <w:sz w:val="20"/>
          <w:szCs w:val="20"/>
          <w:color w:val="auto"/>
        </w:rPr>
      </w:pPr>
    </w:p>
    <w:p>
      <w:pPr>
        <w:jc w:val="both"/>
        <w:ind w:firstLine="6"/>
        <w:spacing w:after="0" w:line="247" w:lineRule="auto"/>
        <w:tabs>
          <w:tab w:leader="none" w:pos="2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days prior to the Company becoming subject to the requirements of the Securities Exchange Act of 1934, as amended (“Exchange Act”). On May 11, 2011, in connection with the Merger, the $128,200 outstanding balance of the principal and accrued interest on this note was cancelled in accordance with Mr. Singh's employment agreement and recorded as additional compensation. In accordance with his employment agreement, Mr. Singh is also entitled to an income tax gross-up on the compensation related to the note cancellation. At March 31, 2012 and 2013, the Company had accrued $101,900 as an estimate of the gross-up amount, but had not yet paid that amount to Mr. Singh.</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2007, VistaGen California accepted a full recourse promissory note in the amount of $46,400 from A. Franklin Rice, its former Chief Financial Officer and a former director of the Company in exchange for his exercise of options to purchase 52,681 restricted shares of the Company’s common stock. The note accrued interest at a rate of 4.90% per annum and was due and payable no later than the earlier of (i) March 1, 2017 or (ii) ten days prior to the Company becoming subject to the requirements of the Exchange Act. On May 11, 2011, in connection with the Merger, the $57,000 outstanding balance of principal and accrued interest on this note was cancelled in accordance with Mr. Rice's employment agreement and recorded as additional compensation. In accordance with his employment agreement, Mr. Rice is entitled to an income tax gross-up on the compensation related to the note cancellation. At March 31, 2012 and 2013, the Company had accrued $33,900 as an estimate of the gross-up amount, but had not paid it to Mr. Rice.</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Merger, VistaGen California engaged Jon A. Saxe, a current director, separately from his duties as a director, as a management consultant from July 1, 2000 through June 30, 2010 to provide strategic and other business advisory services. As payment for consulting services rendered through June 30, 2010, Mr. Saxe has been issued warrants and non-qualified options to purchase an aggregate of 250,815 restricted shares of the Company’s common stock, of which he has exercised warrants to purchase 18,568 restricted shares. Additionally, Mr. Saxe was issued a 7% promissory note in the amount of $8,000. On May 11, 2011, the $14,400 balance of the note and related accrued interest plus a note cancellation premium of $5,100 was converted to 11,142 restricted shares of the Company’s common stock and a three-year warrant to purchase 2,784 restricted shares of common stock at an exercise price of $2.50 per share. In lieu of payment from the Company, in December 2011, Mr. Saxe exercised the warrant as a part of the Discounted Warrant Exercise Program at an exercise price of $1.25 per share in satisfaction of amounts owed to him in conjunction with his service as a member of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Contingencies, Guarantees and Indemnifications</w:t>
      </w:r>
    </w:p>
    <w:p>
      <w:pPr>
        <w:spacing w:after="0" w:line="24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From time to time, the Company may become involved in claims and other legal matters arising in the ordinary course of business. Management is not currently aware of any matters that will have a material adverse effect on the Company’s consolidated financial position, results of operations or its cash flows.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2013 or 2012.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2013 or 2012.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2013 and 2012, the following assets are under capital lease obligations and included in property and equipment: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2013</w:t>
            </w:r>
          </w:p>
        </w:tc>
        <w:tc>
          <w:tcPr>
            <w:tcW w:w="14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laboratory and computer equipment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133,200</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4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(119,200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Equipment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680" w:type="dxa"/>
            <w:vAlign w:val="bottom"/>
          </w:tcPr>
          <w:p>
            <w:pPr>
              <w:spacing w:after="0"/>
              <w:rPr>
                <w:sz w:val="20"/>
                <w:szCs w:val="20"/>
                <w:color w:val="auto"/>
              </w:rPr>
            </w:pPr>
          </w:p>
        </w:tc>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Capital Leases</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2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6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 included in minimum lease payments</w:t>
            </w:r>
          </w:p>
        </w:tc>
        <w:tc>
          <w:tcPr>
            <w:tcW w:w="68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8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capital lease obligation</w:t>
            </w:r>
          </w:p>
        </w:tc>
        <w:tc>
          <w:tcPr>
            <w:tcW w:w="24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At March 31, 2013, future minimum payments under operating leases relate to the Company’s facility lease in South San Francisco, California through June 30, 2013 and total $45,000 for the fiscal year ended March 31, 2014.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Total facility rent expense incurred by the Company for the fiscal years ended March 31, 2013 and 2012 was $179,000 and $166,000, respectively.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Repayment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2013, future minimum principal payments related to long-term debt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Thereafter through October 2023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evaluated subsequent events through July 12, 2013 and has identified the following material events and transactions that occurred after March 31, 2013.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Autilion AG Securities Purchase Agreement</w:t>
      </w:r>
    </w:p>
    <w:p>
      <w:pPr>
        <w:spacing w:after="0" w:line="24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April 8, 2013, the Company entered into a Securities Purchase Agreement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with Autilion AG, a company organized and existing under the laws of Switzerland (“</w:t>
      </w:r>
      <w:r>
        <w:rPr>
          <w:rFonts w:ascii="Times New Roman" w:cs="Times New Roman" w:eastAsia="Times New Roman" w:hAnsi="Times New Roman"/>
          <w:sz w:val="18"/>
          <w:szCs w:val="18"/>
          <w:i w:val="1"/>
          <w:iCs w:val="1"/>
          <w:color w:val="auto"/>
        </w:rPr>
        <w:t>Autilion</w:t>
      </w:r>
      <w:r>
        <w:rPr>
          <w:rFonts w:ascii="Times New Roman" w:cs="Times New Roman" w:eastAsia="Times New Roman" w:hAnsi="Times New Roman"/>
          <w:sz w:val="18"/>
          <w:szCs w:val="18"/>
          <w:color w:val="auto"/>
        </w:rPr>
        <w:t>”). On April 12, 2013, Autilion assigned the Purchase Agreement to its affiliate, Bergamo Acquisition Corp. PTE LTD, a corporation organized and existing under the laws of Singapore (“</w:t>
      </w:r>
      <w:r>
        <w:rPr>
          <w:rFonts w:ascii="Times New Roman" w:cs="Times New Roman" w:eastAsia="Times New Roman" w:hAnsi="Times New Roman"/>
          <w:sz w:val="18"/>
          <w:szCs w:val="18"/>
          <w:i w:val="1"/>
          <w:iCs w:val="1"/>
          <w:color w:val="auto"/>
        </w:rPr>
        <w:t>Bergamo Singapore</w:t>
      </w:r>
      <w:r>
        <w:rPr>
          <w:rFonts w:ascii="Times New Roman" w:cs="Times New Roman" w:eastAsia="Times New Roman" w:hAnsi="Times New Roman"/>
          <w:sz w:val="18"/>
          <w:szCs w:val="18"/>
          <w:color w:val="auto"/>
        </w:rPr>
        <w:t>”). On April 30, 2013, the Company and Bergamo Singapore amended the Purchase Agreement (the “</w:t>
      </w:r>
      <w:r>
        <w:rPr>
          <w:rFonts w:ascii="Times New Roman" w:cs="Times New Roman" w:eastAsia="Times New Roman" w:hAnsi="Times New Roman"/>
          <w:sz w:val="18"/>
          <w:szCs w:val="18"/>
          <w:i w:val="1"/>
          <w:iCs w:val="1"/>
          <w:color w:val="auto"/>
        </w:rPr>
        <w:t>Amendment No. 1</w:t>
      </w:r>
      <w:r>
        <w:rPr>
          <w:rFonts w:ascii="Times New Roman" w:cs="Times New Roman" w:eastAsia="Times New Roman" w:hAnsi="Times New Roman"/>
          <w:sz w:val="18"/>
          <w:szCs w:val="18"/>
          <w:color w:val="auto"/>
        </w:rPr>
        <w:t>”) to modify the investment dates. On June 27, 2013, the Company, Autilion and Bergamo Singapore further amended the Agreement to vacate Autilion’s April 2013 assignment of the Purchase Agreement to Bergamo Singapore, provide for an initial closing under the Purchase Agreement, and amend certain of the investment dates under the Purchase Agreement (“</w:t>
      </w:r>
      <w:r>
        <w:rPr>
          <w:rFonts w:ascii="Times New Roman" w:cs="Times New Roman" w:eastAsia="Times New Roman" w:hAnsi="Times New Roman"/>
          <w:sz w:val="18"/>
          <w:szCs w:val="18"/>
          <w:i w:val="1"/>
          <w:iCs w:val="1"/>
          <w:color w:val="auto"/>
        </w:rPr>
        <w:t>Amendment No. 2</w:t>
      </w:r>
      <w:r>
        <w:rPr>
          <w:rFonts w:ascii="Times New Roman" w:cs="Times New Roman" w:eastAsia="Times New Roman" w:hAnsi="Times New Roman"/>
          <w:sz w:val="18"/>
          <w:szCs w:val="18"/>
          <w:color w:val="auto"/>
        </w:rPr>
        <w:t>”, and together with the Agreement and Amendment No. 1, the “</w:t>
      </w:r>
      <w:r>
        <w:rPr>
          <w:rFonts w:ascii="Times New Roman" w:cs="Times New Roman" w:eastAsia="Times New Roman" w:hAnsi="Times New Roman"/>
          <w:sz w:val="18"/>
          <w:szCs w:val="18"/>
          <w:i w:val="1"/>
          <w:iCs w:val="1"/>
          <w:color w:val="auto"/>
        </w:rPr>
        <w:t>Amended Agreement</w:t>
      </w:r>
      <w:r>
        <w:rPr>
          <w:rFonts w:ascii="Times New Roman" w:cs="Times New Roman" w:eastAsia="Times New Roman" w:hAnsi="Times New Roman"/>
          <w:sz w:val="18"/>
          <w:szCs w:val="18"/>
          <w:color w:val="auto"/>
        </w:rPr>
        <w:t>”). Under the terms of the Amended Agreement, Autilion is contractually obligated to purchase an aggregate of 72.0 million restricted shares of the Company’s common stock at a purchase price of $0.50 per share for aggregate cash consideration of $36.0 million, in a series of tranches between June 27, 2013 and September 30, 2013 (cumulatively, the “</w:t>
      </w:r>
      <w:r>
        <w:rPr>
          <w:rFonts w:ascii="Times New Roman" w:cs="Times New Roman" w:eastAsia="Times New Roman" w:hAnsi="Times New Roman"/>
          <w:sz w:val="18"/>
          <w:szCs w:val="18"/>
          <w:i w:val="1"/>
          <w:iCs w:val="1"/>
          <w:color w:val="auto"/>
        </w:rPr>
        <w:t>Autilion Financing</w:t>
      </w:r>
      <w:r>
        <w:rPr>
          <w:rFonts w:ascii="Times New Roman" w:cs="Times New Roman" w:eastAsia="Times New Roman" w:hAnsi="Times New Roman"/>
          <w:sz w:val="18"/>
          <w:szCs w:val="18"/>
          <w:color w:val="auto"/>
        </w:rPr>
        <w:t>”). The Amended Agreement also provides for the election to the Company’s Board of Directors of a designee of Autilion upon completion of the Autilion Financing. The Company has completed a nominal initial closing of the Autilion Financing.</w:t>
      </w:r>
    </w:p>
    <w:p>
      <w:pPr>
        <w:spacing w:after="0" w:line="21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Company and Autilion also entered into a Voting Agreement, pursuant to which Autilion has agreed to vote all shares of capital stock of the Company held by Autilion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Autilion’s designee, as well as by the holders of a majority of the outstanding shares of Common Stock held by stockholders unaffiliated with Autilion (an “</w:t>
      </w:r>
      <w:r>
        <w:rPr>
          <w:rFonts w:ascii="Times New Roman" w:cs="Times New Roman" w:eastAsia="Times New Roman" w:hAnsi="Times New Roman"/>
          <w:sz w:val="18"/>
          <w:szCs w:val="18"/>
          <w:i w:val="1"/>
          <w:iCs w:val="1"/>
          <w:color w:val="auto"/>
        </w:rPr>
        <w:t>Approved Transaction</w:t>
      </w:r>
      <w:r>
        <w:rPr>
          <w:rFonts w:ascii="Times New Roman" w:cs="Times New Roman" w:eastAsia="Times New Roman" w:hAnsi="Times New Roman"/>
          <w:sz w:val="18"/>
          <w:szCs w:val="18"/>
          <w:color w:val="auto"/>
        </w:rPr>
        <w:t>”), Autilion is required to vote all shares of capital stock of the Company held by it for such Approved Transaction.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Warrants held by Platinum</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Effective on May 24, 2013, the Company and Platinum entered into an Amendment and Waiver pursuant to which the Company agreed to reduce the exercise price of the Exchange Warrant and the Investment Warrants issued to Platinum in October 2012 and February 2013 and March 2013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Bergamo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of previously outstanding warrants for which the Company may reduce the exercise price to not less than $0.50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Facility Lease</w:t>
      </w:r>
    </w:p>
    <w:p>
      <w:pPr>
        <w:spacing w:after="0" w:line="24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On April 24, 2013, the Company entered into a four-year facility lease for approximately 10,900 square feet of laboratory and headquarters office space in South San Francisco, California beginning July 1, 2013. Future minimum payments under the lease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70,400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Modifications</w:t>
      </w:r>
    </w:p>
    <w:p>
      <w:pPr>
        <w:spacing w:after="0" w:line="24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During June 2013, the Company offered certain warrant holders the opportunity to exercise their warrants to purchase restricted shares of the Company’s common stock at an exercise price reduced from $1.50 per share to $0.50 per share. Through the date of this report, warrant holders exercised warrants to purchase an aggregate of 399,106 restricted shares of the Company’s common stock and the Company received cash proceeds of $191,200 and settled accounts payable for professional services in the amount of $8,300 in lieu of cash payment by the Company.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ind w:right="8020" w:firstLine="6"/>
        <w:spacing w:after="0" w:line="554" w:lineRule="auto"/>
        <w:tabs>
          <w:tab w:leader="none" w:pos="265"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Supplemental Financial Information Quarterly Results of Operations (Unaudited)</w:t>
      </w:r>
    </w:p>
    <w:p>
      <w:pPr>
        <w:spacing w:after="0" w:line="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The following table presents the unaudited statements of operations data for each of the eight quarters in the period ended March 31, 2013. This information represents the activity of VistaGen California for the pre-Merger portion of the first quarter of fiscal 2012 and the consolidated activity of VistaGen California and the Company from May 11, 2011 (the date of the Merger) through March 31, 2013. A total of 1,569,000 shares of common stock, representing the 784,500 shares held by stockholders of Excaliber immediately prior to the Merger and effected for the post-Merger two-for-one (2:1) stock split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have been retroactively reflected as outstanding for the entire fiscal year ended March 31, 2012 for purposes of determining basic and diluted loss per common share below.</w:t>
      </w:r>
    </w:p>
    <w:p>
      <w:pPr>
        <w:spacing w:after="0" w:line="213"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Quarterly Results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4"/>
              </w:rPr>
              <w:t>Total Fiscal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00"/>
              <w:spacing w:after="0" w:line="19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300" w:type="dxa"/>
            <w:vAlign w:val="bottom"/>
            <w:gridSpan w:val="3"/>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16"/>
                <w:szCs w:val="16"/>
                <w:color w:val="auto"/>
              </w:rPr>
            </w:pPr>
          </w:p>
        </w:tc>
        <w:tc>
          <w:tcPr>
            <w:tcW w:w="1360" w:type="dxa"/>
            <w:vAlign w:val="bottom"/>
            <w:gridSpan w:val="3"/>
          </w:tcPr>
          <w:p>
            <w:pPr>
              <w:jc w:val="right"/>
              <w:ind w:right="260"/>
              <w:spacing w:after="0" w:line="19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6"/>
                <w:szCs w:val="16"/>
                <w:color w:val="auto"/>
              </w:rPr>
            </w:pPr>
          </w:p>
        </w:tc>
        <w:tc>
          <w:tcPr>
            <w:tcW w:w="1000" w:type="dxa"/>
            <w:vAlign w:val="bottom"/>
          </w:tcPr>
          <w:p>
            <w:pPr>
              <w:jc w:val="right"/>
              <w:ind w:right="92"/>
              <w:spacing w:after="0" w:line="19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00"/>
              <w:spacing w:after="0" w:line="192" w:lineRule="exact"/>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1,919</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(1,919)</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Change in put and note extension option and warrant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(3,537)</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(5,333)</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(5,335)</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(10,193)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(1,826)</w:t>
            </w: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2"/>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(0.85)</w:t>
            </w:r>
          </w:p>
        </w:tc>
        <w:tc>
          <w:tcPr>
            <w:tcW w:w="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00" w:type="dxa"/>
            <w:vAlign w:val="bottom"/>
            <w:tcBorders>
              <w:top w:val="single" w:sz="8" w:color="CCEEFF"/>
            </w:tcBorders>
          </w:tcPr>
          <w:p>
            <w:pPr>
              <w:ind w:left="160"/>
              <w:spacing w:after="0" w:line="187" w:lineRule="exact"/>
              <w:rPr>
                <w:sz w:val="20"/>
                <w:szCs w:val="20"/>
                <w:color w:val="auto"/>
              </w:rPr>
            </w:pPr>
            <w:r>
              <w:rPr>
                <w:rFonts w:ascii="Times New Roman" w:cs="Times New Roman" w:eastAsia="Times New Roman" w:hAnsi="Times New Roman"/>
                <w:sz w:val="18"/>
                <w:szCs w:val="18"/>
                <w:color w:val="auto"/>
                <w:w w:val="99"/>
              </w:rPr>
              <w:t>Weighted average shares used in computing basic and diluted</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16,842,655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17,094,833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18,292,301</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20,236,491</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 reflects adjustment to amount of deemed dividend on Series A Preferred in the quarter ended December 31, 2012.</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4"/>
              </w:rPr>
              <w:t>Total Fiscal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00"/>
              <w:spacing w:after="0" w:line="19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300" w:type="dxa"/>
            <w:vAlign w:val="bottom"/>
            <w:gridSpan w:val="3"/>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16"/>
                <w:szCs w:val="16"/>
                <w:color w:val="auto"/>
              </w:rPr>
            </w:pPr>
          </w:p>
        </w:tc>
        <w:tc>
          <w:tcPr>
            <w:tcW w:w="1360" w:type="dxa"/>
            <w:vAlign w:val="bottom"/>
            <w:gridSpan w:val="3"/>
          </w:tcPr>
          <w:p>
            <w:pPr>
              <w:jc w:val="right"/>
              <w:ind w:right="260"/>
              <w:spacing w:after="0" w:line="19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6"/>
                <w:szCs w:val="16"/>
                <w:color w:val="auto"/>
              </w:rPr>
            </w:pPr>
          </w:p>
        </w:tc>
        <w:tc>
          <w:tcPr>
            <w:tcW w:w="1000" w:type="dxa"/>
            <w:vAlign w:val="bottom"/>
          </w:tcPr>
          <w:p>
            <w:pPr>
              <w:jc w:val="right"/>
              <w:ind w:right="92"/>
              <w:spacing w:after="0" w:line="19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00"/>
              <w:spacing w:after="0" w:line="192" w:lineRule="exact"/>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2,854</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(2,852)</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Change in put and note extension option and warrant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(2,411)</w:t>
            </w: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-0.15</w:t>
            </w:r>
          </w:p>
        </w:tc>
        <w:tc>
          <w:tcPr>
            <w:tcW w:w="300" w:type="dxa"/>
            <w:vAlign w:val="bottom"/>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00" w:type="dxa"/>
            <w:vAlign w:val="bottom"/>
            <w:tcBorders>
              <w:top w:val="single" w:sz="8" w:color="CCEEFF"/>
            </w:tcBorders>
          </w:tcPr>
          <w:p>
            <w:pPr>
              <w:ind w:left="160"/>
              <w:spacing w:after="0" w:line="187" w:lineRule="exact"/>
              <w:rPr>
                <w:sz w:val="20"/>
                <w:szCs w:val="20"/>
                <w:color w:val="auto"/>
              </w:rPr>
            </w:pPr>
            <w:r>
              <w:rPr>
                <w:rFonts w:ascii="Times New Roman" w:cs="Times New Roman" w:eastAsia="Times New Roman" w:hAnsi="Times New Roman"/>
                <w:sz w:val="18"/>
                <w:szCs w:val="18"/>
                <w:color w:val="auto"/>
                <w:w w:val="99"/>
              </w:rPr>
              <w:t>Weighted average shares used in computing basic and diluted</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11,105,854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15,241,904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16,035,861</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16,542,717</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 reflects adjustment to amount of deemed dividend on Series A Preferred in the quarter ended December 31, 2012.</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84"/>
        </w:trPr>
        <w:tc>
          <w:tcPr>
            <w:tcW w:w="83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260" w:type="dxa"/>
            <w:vAlign w:val="bottom"/>
          </w:tcPr>
          <w:p>
            <w:pPr>
              <w:jc w:val="center"/>
              <w:ind w:left="185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60" w:type="dxa"/>
            <w:vAlign w:val="bottom"/>
          </w:tcPr>
          <w:p>
            <w:pPr>
              <w:jc w:val="center"/>
              <w:ind w:left="1832"/>
              <w:spacing w:after="0"/>
              <w:rPr>
                <w:sz w:val="20"/>
                <w:szCs w:val="20"/>
                <w:color w:val="auto"/>
              </w:rPr>
            </w:pPr>
            <w:r>
              <w:rPr>
                <w:rFonts w:ascii="Times New Roman" w:cs="Times New Roman" w:eastAsia="Times New Roman" w:hAnsi="Times New Roman"/>
                <w:sz w:val="18"/>
                <w:szCs w:val="18"/>
                <w:b w:val="1"/>
                <w:bCs w:val="1"/>
                <w:color w:val="auto"/>
                <w:w w:val="98"/>
              </w:rPr>
              <w:t>(a development stage company)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60" w:type="dxa"/>
            <w:vAlign w:val="bottom"/>
          </w:tcPr>
          <w:p>
            <w:pPr>
              <w:jc w:val="center"/>
              <w:ind w:left="1832"/>
              <w:spacing w:after="0"/>
              <w:rPr>
                <w:sz w:val="20"/>
                <w:szCs w:val="20"/>
                <w:color w:val="auto"/>
              </w:rPr>
            </w:pPr>
            <w:r>
              <w:rPr>
                <w:rFonts w:ascii="Times New Roman" w:cs="Times New Roman" w:eastAsia="Times New Roman" w:hAnsi="Times New Roman"/>
                <w:sz w:val="18"/>
                <w:szCs w:val="18"/>
                <w:b w:val="1"/>
                <w:bCs w:val="1"/>
                <w:color w:val="auto"/>
                <w:w w:val="98"/>
              </w:rPr>
              <w:t>CONDENSED CONSOLIDATED BALANCE SHEETS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60" w:type="dxa"/>
            <w:vAlign w:val="bottom"/>
          </w:tcPr>
          <w:p>
            <w:pPr>
              <w:jc w:val="center"/>
              <w:ind w:left="1832"/>
              <w:spacing w:after="0"/>
              <w:rPr>
                <w:sz w:val="20"/>
                <w:szCs w:val="20"/>
                <w:color w:val="auto"/>
              </w:rPr>
            </w:pPr>
            <w:r>
              <w:rPr>
                <w:rFonts w:ascii="Times New Roman" w:cs="Times New Roman" w:eastAsia="Times New Roman" w:hAnsi="Times New Roman"/>
                <w:sz w:val="18"/>
                <w:szCs w:val="18"/>
                <w:b w:val="1"/>
                <w:bCs w:val="1"/>
                <w:color w:val="auto"/>
                <w:w w:val="97"/>
              </w:rPr>
              <w:t>(Amounts in Dollars, except share amounts)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60" w:type="dxa"/>
            <w:vAlign w:val="bottom"/>
            <w:vMerge w:val="restart"/>
          </w:tcPr>
          <w:p>
            <w:pPr>
              <w:jc w:val="center"/>
              <w:ind w:left="1712"/>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(Note 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671,800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60" w:type="dxa"/>
            <w:vAlign w:val="bottom"/>
            <w:shd w:val="clear" w:color="auto" w:fill="CCEEFF"/>
          </w:tcPr>
          <w:p>
            <w:pPr>
              <w:jc w:val="center"/>
              <w:ind w:left="1692"/>
              <w:spacing w:after="0" w:line="205" w:lineRule="exact"/>
              <w:rPr>
                <w:sz w:val="20"/>
                <w:szCs w:val="20"/>
                <w:color w:val="auto"/>
              </w:rPr>
            </w:pPr>
            <w:r>
              <w:rPr>
                <w:rFonts w:ascii="Times New Roman" w:cs="Times New Roman" w:eastAsia="Times New Roman" w:hAnsi="Times New Roman"/>
                <w:sz w:val="18"/>
                <w:szCs w:val="18"/>
                <w:b w:val="1"/>
                <w:bCs w:val="1"/>
                <w:color w:val="auto"/>
                <w:w w:val="98"/>
              </w:rPr>
              <w:t>LIABILITIES AND STOCKHOLDERS’ DEFICIT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2,256,600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1,353,600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532,500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 from officer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Current portion of notes payable and accrued interest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638,600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notes payable to related parties and accrued interest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Convertible promissory notes and accrued interest, net of discount of $423,900 at December 31, 2013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8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3,712,300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2,414,300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Senior secured convertible promissory notes, net of discount of $2,135,800 at December 31, 2013 and $1,963,100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March 31, 2013 and accrued interest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1,781,200</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shd w:val="clear" w:color="auto" w:fill="CCEEFF"/>
          </w:tcPr>
          <w:p>
            <w:pPr>
              <w:ind w:left="460"/>
              <w:spacing w:after="0" w:line="194" w:lineRule="exact"/>
              <w:rPr>
                <w:sz w:val="20"/>
                <w:szCs w:val="20"/>
                <w:color w:val="auto"/>
              </w:rPr>
            </w:pPr>
            <w:r>
              <w:rPr>
                <w:rFonts w:ascii="Times New Roman" w:cs="Times New Roman" w:eastAsia="Times New Roman" w:hAnsi="Times New Roman"/>
                <w:sz w:val="18"/>
                <w:szCs w:val="18"/>
                <w:color w:val="auto"/>
              </w:rPr>
              <w:t>Notes payable, net of discount of $929,000 at December 31, 2013 and $1,142,600 at March 31, 2013 and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accrued interest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2,479,200</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2,091,800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tcPr>
          <w:p>
            <w:pPr>
              <w:ind w:left="460"/>
              <w:spacing w:after="0" w:line="194" w:lineRule="exact"/>
              <w:rPr>
                <w:sz w:val="20"/>
                <w:szCs w:val="20"/>
                <w:color w:val="auto"/>
              </w:rPr>
            </w:pPr>
            <w:r>
              <w:rPr>
                <w:rFonts w:ascii="Times New Roman" w:cs="Times New Roman" w:eastAsia="Times New Roman" w:hAnsi="Times New Roman"/>
                <w:sz w:val="18"/>
                <w:szCs w:val="18"/>
                <w:color w:val="auto"/>
                <w:w w:val="98"/>
              </w:rPr>
              <w:t>Notes payable to related parties, net of discount of $115,000 at December 31, 2013 and $147,200 at 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2013 and accrued interest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1,209,700</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1,106,000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2,717,100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6,394,000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rent liability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8,286,900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11,023,600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83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11,999,200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13,437,900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tcPr>
          <w:p>
            <w:pPr>
              <w:ind w:left="460"/>
              <w:spacing w:after="0" w:line="194" w:lineRule="exact"/>
              <w:rPr>
                <w:sz w:val="20"/>
                <w:szCs w:val="20"/>
                <w:color w:val="auto"/>
              </w:rPr>
            </w:pPr>
            <w:r>
              <w:rPr>
                <w:rFonts w:ascii="Times New Roman" w:cs="Times New Roman" w:eastAsia="Times New Roman" w:hAnsi="Times New Roman"/>
                <w:sz w:val="18"/>
                <w:szCs w:val="18"/>
                <w:color w:val="auto"/>
              </w:rPr>
              <w:t>Preferred stock, $0.001 par value; 10,000,000 shares, including 500,000 Series A shares, authorized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December 31, 2013 and March 31, 2013; 500,000 Series A shares issued and outstanding at 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2013 and March 31, 2013, respectively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60" w:type="dxa"/>
            <w:vAlign w:val="bottom"/>
            <w:gridSpan w:val="2"/>
            <w:shd w:val="clear" w:color="auto" w:fill="CCEEFF"/>
          </w:tcPr>
          <w:p>
            <w:pPr>
              <w:ind w:left="460"/>
              <w:spacing w:after="0" w:line="194" w:lineRule="exact"/>
              <w:rPr>
                <w:sz w:val="20"/>
                <w:szCs w:val="20"/>
                <w:color w:val="auto"/>
              </w:rPr>
            </w:pPr>
            <w:r>
              <w:rPr>
                <w:rFonts w:ascii="Times New Roman" w:cs="Times New Roman" w:eastAsia="Times New Roman" w:hAnsi="Times New Roman"/>
                <w:sz w:val="18"/>
                <w:szCs w:val="18"/>
                <w:color w:val="auto"/>
              </w:rPr>
              <w:t>Common stock, $0.001 par value; 200,000,000 shares authorized at December 31, 2013 and March 31, 2013;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25,295,185 and 23,480,169 shares issued at December 31, 2013 and March 31, 2013, respectively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25,300</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61,282,400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59,266,000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Treasury stock, at cost, 2,713,308 shares of common stock held at December 31, 2013 and March 31, 2013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(3,968,100)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(3,968,100)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Note receivable from sale of 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(198,100)</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Deficit accumulated during development stage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(68,812,300)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(67,669,200)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(11,670,300)</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(12,556,400)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3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12,963,100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200,400</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16,370,200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1,916,100</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3,092,200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31,471,800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2,047,500</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2,430,200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32,728,600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1,918,600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3,963,600</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5,522,400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71,723,600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(1,448,300)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(3,963,600)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(5,322,000)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(55,353,400)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(1,000,500)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(611,700)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(11,362,700)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CCEEFF"/>
          </w:tcPr>
          <w:p>
            <w:pPr>
              <w:ind w:left="460"/>
              <w:spacing w:after="0" w:line="194" w:lineRule="exact"/>
              <w:rPr>
                <w:sz w:val="20"/>
                <w:szCs w:val="20"/>
                <w:color w:val="auto"/>
              </w:rPr>
            </w:pPr>
            <w:r>
              <w:rPr>
                <w:rFonts w:ascii="Times New Roman" w:cs="Times New Roman" w:eastAsia="Times New Roman" w:hAnsi="Times New Roman"/>
                <w:sz w:val="18"/>
                <w:szCs w:val="18"/>
                <w:color w:val="auto"/>
              </w:rPr>
              <w:t>Change in warrant and put and note extension option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357,800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3,823,700</w:t>
            </w: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357,800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(3,537,000)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(3,537,000)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(4,761,300)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(5,333,200)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(1,140,400)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(9,112,900)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(68,789,100)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(1,143,100)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(9,116,600)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(68,812,300)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on Series A Preferred stock</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(10,193,200)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(10,193,200)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(10,193,200)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(15,528,200)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(1,143,100)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(19,309,800)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(79,005,500)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Basic net income (loss) attributable to common stockholders per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80" w:type="dxa"/>
            <w:vAlign w:val="bottom"/>
            <w:tcBorders>
              <w:top w:val="single" w:sz="8" w:color="CCEEFF"/>
            </w:tcBorders>
          </w:tcPr>
          <w:p>
            <w:pPr>
              <w:spacing w:after="0" w:line="187" w:lineRule="exact"/>
              <w:rPr>
                <w:sz w:val="20"/>
                <w:szCs w:val="20"/>
                <w:color w:val="auto"/>
              </w:rPr>
            </w:pPr>
            <w:r>
              <w:rPr>
                <w:rFonts w:ascii="Times New Roman" w:cs="Times New Roman" w:eastAsia="Times New Roman" w:hAnsi="Times New Roman"/>
                <w:sz w:val="18"/>
                <w:szCs w:val="18"/>
                <w:color w:val="auto"/>
              </w:rPr>
              <w:t>Diluted net loss attributable to common stockholders per</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Basic net income (loss) attributable to common stockholders per</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22,210,573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18,292,301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21,554,929</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17,411,993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Diluted net loss attributable to common stockholders per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22,210,573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18,292,301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21,554,929</w:t>
            </w:r>
          </w:p>
        </w:tc>
        <w:tc>
          <w:tcPr>
            <w:tcW w:w="2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17,411,993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131,000</w:t>
            </w:r>
          </w:p>
        </w:tc>
        <w:tc>
          <w:tcPr>
            <w:tcW w:w="140" w:type="dxa"/>
            <w:vAlign w:val="bottom"/>
          </w:tcPr>
          <w:p>
            <w:pPr>
              <w:spacing w:after="0"/>
              <w:rPr>
                <w:sz w:val="17"/>
                <w:szCs w:val="17"/>
                <w:color w:val="auto"/>
              </w:rPr>
            </w:pPr>
          </w:p>
        </w:tc>
        <w:tc>
          <w:tcPr>
            <w:tcW w:w="28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(5,335,000)</w:t>
            </w:r>
          </w:p>
        </w:tc>
        <w:tc>
          <w:tcPr>
            <w:tcW w:w="30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(1,143,100)</w:t>
            </w:r>
          </w:p>
        </w:tc>
        <w:tc>
          <w:tcPr>
            <w:tcW w:w="2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(9,116,600)</w:t>
            </w: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(68,812,300)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Period From</w:t>
            </w: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May 26, 1998</w:t>
            </w: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(Inception)</w:t>
            </w: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39"/>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31, 2013</w:t>
            </w:r>
          </w:p>
        </w:tc>
        <w:tc>
          <w:tcPr>
            <w:tcW w:w="100" w:type="dxa"/>
            <w:vAlign w:val="bottom"/>
          </w:tcPr>
          <w:p>
            <w:pPr>
              <w:spacing w:after="0"/>
              <w:rPr>
                <w:sz w:val="19"/>
                <w:szCs w:val="19"/>
                <w:color w:val="auto"/>
              </w:rPr>
            </w:pPr>
          </w:p>
        </w:tc>
      </w:tr>
      <w:tr>
        <w:trPr>
          <w:trHeight w:val="21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(1,143,100)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(9,116,600)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(68,812,200)</w:t>
            </w: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817,700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Amortization of discounts on convertible and promissory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352,200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5,031,700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Change in warrant liability and put and note term extension option liabilities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(3,823,700)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(357,800)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(2,606,500)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6,489,200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Expense related to modification of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440,700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Non-cash rent and relocation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Interest income on note receivable for stock purchase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Fair value of common stock granted for services following the Merger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340,000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846,000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Fair value of warrants granted for services and interest following the Merger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748,300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Gain on currency fluctuation</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(37,100)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Fair value of additional warrants granted pursuant to exercises of modified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Loss on settlements of accounts payable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3,537,000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4,761,300</w:t>
            </w:r>
          </w:p>
        </w:tc>
        <w:tc>
          <w:tcPr>
            <w:tcW w:w="10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780"/>
              <w:spacing w:after="0" w:line="194" w:lineRule="exact"/>
              <w:rPr>
                <w:sz w:val="20"/>
                <w:szCs w:val="20"/>
                <w:color w:val="auto"/>
              </w:rPr>
            </w:pPr>
            <w:r>
              <w:rPr>
                <w:rFonts w:ascii="Times New Roman" w:cs="Times New Roman" w:eastAsia="Times New Roman" w:hAnsi="Times New Roman"/>
                <w:sz w:val="18"/>
                <w:szCs w:val="18"/>
                <w:color w:val="auto"/>
              </w:rPr>
              <w:t>Fair value of Series C preferred stock, common stock, and warrant granted for services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prior to the Merger</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3,150,900</w:t>
            </w:r>
          </w:p>
        </w:tc>
        <w:tc>
          <w:tcPr>
            <w:tcW w:w="10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Fair value of common stock issued for note term modification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Consulting services by related parties settled by issuing promissory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44,600</w:t>
            </w:r>
          </w:p>
        </w:tc>
      </w:tr>
      <w:tr>
        <w:trPr>
          <w:trHeight w:val="212"/>
        </w:trPr>
        <w:tc>
          <w:tcPr>
            <w:tcW w:w="20" w:type="dxa"/>
            <w:vAlign w:val="bottom"/>
          </w:tcPr>
          <w:p>
            <w:pPr>
              <w:spacing w:after="0"/>
              <w:rPr>
                <w:sz w:val="18"/>
                <w:szCs w:val="18"/>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Gain on sale of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Unbilled contract payments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106,200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97,800</w:t>
            </w:r>
          </w:p>
        </w:tc>
      </w:tr>
      <w:tr>
        <w:trPr>
          <w:trHeight w:val="212"/>
        </w:trPr>
        <w:tc>
          <w:tcPr>
            <w:tcW w:w="20" w:type="dxa"/>
            <w:vAlign w:val="bottom"/>
          </w:tcPr>
          <w:p>
            <w:pPr>
              <w:spacing w:after="0"/>
              <w:rPr>
                <w:sz w:val="18"/>
                <w:szCs w:val="18"/>
                <w:color w:val="auto"/>
              </w:rPr>
            </w:pPr>
          </w:p>
        </w:tc>
        <w:tc>
          <w:tcPr>
            <w:tcW w:w="7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payable and accrued expenses, including accrued interest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1,051,500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17,696,400</w:t>
            </w:r>
          </w:p>
        </w:tc>
      </w:tr>
      <w:tr>
        <w:trPr>
          <w:trHeight w:val="212"/>
        </w:trPr>
        <w:tc>
          <w:tcPr>
            <w:tcW w:w="20" w:type="dxa"/>
            <w:vAlign w:val="bottom"/>
          </w:tcPr>
          <w:p>
            <w:pPr>
              <w:spacing w:after="0"/>
              <w:rPr>
                <w:sz w:val="18"/>
                <w:szCs w:val="18"/>
                <w:color w:val="auto"/>
              </w:rPr>
            </w:pPr>
          </w:p>
        </w:tc>
        <w:tc>
          <w:tcPr>
            <w:tcW w:w="7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(1,658,900)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(2,493,200)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(22,630,600)</w:t>
            </w:r>
          </w:p>
        </w:tc>
      </w:tr>
      <w:tr>
        <w:trPr>
          <w:trHeight w:val="212"/>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equipment,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(131,100)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(825,800)</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7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(131,100)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(825,800)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Units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480,600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exercise of modified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262,100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Platinum notes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2,222,100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7,172,100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 from officer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w:t>
            </w: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issuance of notes under line of credit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issuance of 7% note payable to founding stockholder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7% convertible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10% convertible notes and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preferred stock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notes and warrants from 2006 to 2010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4,851,800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issuance of February 2012 12% convertible notes and warrants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466,500</w:t>
            </w: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(123,100)</w:t>
            </w:r>
          </w:p>
        </w:tc>
      </w:tr>
      <w:tr>
        <w:trPr>
          <w:trHeight w:val="219"/>
        </w:trPr>
        <w:tc>
          <w:tcPr>
            <w:tcW w:w="2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notes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(382,000)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(1,948,400)</w:t>
            </w: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23,477,100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(617,400)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(56,800)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20,700</w:t>
            </w: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20,700</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History and Organization</w:t>
      </w:r>
    </w:p>
    <w:p>
      <w:pPr>
        <w:spacing w:after="0" w:line="244" w:lineRule="exact"/>
        <w:rPr>
          <w:sz w:val="20"/>
          <w:szCs w:val="20"/>
          <w:color w:val="auto"/>
        </w:rPr>
      </w:pPr>
    </w:p>
    <w:p>
      <w:pPr>
        <w:jc w:val="both"/>
        <w:ind w:firstLine="802"/>
        <w:spacing w:after="0" w:line="249" w:lineRule="auto"/>
        <w:rPr>
          <w:sz w:val="20"/>
          <w:szCs w:val="20"/>
          <w:color w:val="auto"/>
        </w:rPr>
      </w:pPr>
      <w:r>
        <w:rPr>
          <w:rFonts w:ascii="Times New Roman" w:cs="Times New Roman" w:eastAsia="Times New Roman" w:hAnsi="Times New Roman"/>
          <w:sz w:val="18"/>
          <w:szCs w:val="18"/>
          <w:color w:val="auto"/>
        </w:rPr>
        <w:t>VistaGen Therapeutics, Inc., a Nevada corporation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w:t>
      </w:r>
      <w:r>
        <w:rPr>
          <w:rFonts w:ascii="Times New Roman" w:cs="Times New Roman" w:eastAsia="Times New Roman" w:hAnsi="Times New Roman"/>
          <w:sz w:val="18"/>
          <w:szCs w:val="18"/>
          <w:color w:val="auto"/>
        </w:rPr>
        <w:t xml:space="preserve">y”), is a biotechnology company with expertise in human pluripotent stem cell technology. The Company is applying and developing its stem cell technology for drug rescue, drug discovery and regenerative medicine. The Company’s primary goal is to use its stem cell technology platform,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xml:space="preserve">™, and its network of strategic relationships, to design and generate novel, proprietary, safer variants, which the Company refers to as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of once-promising small molecule drug candidates discovered, developed and ultimately discontinued by pharmaceutical companies and others prior to market approval due to unexpected heart or liver safety concerns. The Company refers to these once-promising drug candidates that are now potentially suitable for drug rescue as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The Company’s drug rescue strategy is to leverage (i) substantial prior investment in discovery and development of </w:t>
      </w:r>
      <w:r>
        <w:rPr>
          <w:rFonts w:ascii="Times New Roman" w:cs="Times New Roman" w:eastAsia="Times New Roman" w:hAnsi="Times New Roman"/>
          <w:sz w:val="18"/>
          <w:szCs w:val="18"/>
          <w:i w:val="1"/>
          <w:iCs w:val="1"/>
          <w:color w:val="auto"/>
        </w:rPr>
        <w:t>Drug Rescue Candidates</w:t>
      </w:r>
      <w:r>
        <w:rPr>
          <w:rFonts w:ascii="Times New Roman" w:cs="Times New Roman" w:eastAsia="Times New Roman" w:hAnsi="Times New Roman"/>
          <w:sz w:val="18"/>
          <w:szCs w:val="18"/>
          <w:color w:val="auto"/>
        </w:rPr>
        <w:t xml:space="preserve"> by others, (ii) its unique insight into heart and liver biology from its stem cell-derived bioassay systems, and (iii) medicinal chemistry to generate proprietary </w:t>
      </w:r>
      <w:r>
        <w:rPr>
          <w:rFonts w:ascii="Times New Roman" w:cs="Times New Roman" w:eastAsia="Times New Roman" w:hAnsi="Times New Roman"/>
          <w:sz w:val="18"/>
          <w:szCs w:val="18"/>
          <w:i w:val="1"/>
          <w:iCs w:val="1"/>
          <w:color w:val="auto"/>
        </w:rPr>
        <w:t>Drug Rescue Variants</w:t>
      </w:r>
      <w:r>
        <w:rPr>
          <w:rFonts w:ascii="Times New Roman" w:cs="Times New Roman" w:eastAsia="Times New Roman" w:hAnsi="Times New Roman"/>
          <w:sz w:val="18"/>
          <w:szCs w:val="18"/>
          <w:color w:val="auto"/>
        </w:rPr>
        <w:t xml:space="preserve"> for license and sale to pharmaceutical companies and others.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In parallel with its drug rescue activities, VistaGen plans to explore, internally and/or through sponsored external programs, pilot nonclinical development opportunities relating to small molecule drug discovery and/or regenerative medicine focused on blood, bone, cartilage, heart, liver and pancreas (insulin-producing beta islet) cells. Each of these drug discovery and regenerative medicine programs would be based on the proprietary differentiation and production capabilities of the Company’s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platform.</w:t>
      </w:r>
    </w:p>
    <w:p>
      <w:pPr>
        <w:spacing w:after="0" w:line="208"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AV-101 is VistaGen's orally-available, small molecule prodrug candidate. AV-101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AV-101.</w:t>
      </w:r>
    </w:p>
    <w:p>
      <w:pPr>
        <w:spacing w:after="0" w:line="18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VistaGen Therapeutics, Inc., a California corporation incorporated on May 26, 1998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is a wholly-owned subsidiary of the Company. As described more completely in the Company’s Annual Report on Form 10-K for the fiscal year ended March 31, 2013, pursuant to a strategic merger transaction on May 11, 2011, the Company acquired all outstanding shares of VistaGen California in exchange for 6,836,452 shares of the Company’s common stock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assumed all of VistaGen California’s pre-Merger obligations. The Condensed Consolidated Financial Statements of the Company included in this report also include the accounts of VistaGen California’s two wholly-owned subsidiaries, Artemis Neuroscience, Inc., a Maryland corporation, and VistaStem Canada, Inc., a corporation organized under the laws of Ontario, Canada.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Going Concern</w:t>
      </w:r>
    </w:p>
    <w:p>
      <w:pPr>
        <w:spacing w:after="0" w:line="24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2013 has been derived from the Company's audited consolidated financial statements at that date but does not include all disclosures required by U.S. GAAP. The operating results for the three and nine months ended December 31, 2013 are not necessarily indicative of the operating results to be expected for the Company's fiscal year ending March 31, 2014 or for any other interim period or any other future period.</w:t>
      </w:r>
    </w:p>
    <w:p>
      <w:pPr>
        <w:spacing w:after="0" w:line="184"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to Condensed Consolidated Financial Statements should be read in conjunction with the Company’s audited Consolidated Financial Statements for the fiscal year ended March 31, 2013 contained in its Annual Report on Form 10-K, as filed with the United States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December 31, 2013, the Company has a deficit accumulated during its development stage of $68.8 million. The Company expects these conditions to continue for the foreseeable future as it expands its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platform and executes its drug rescue programs and, potentially, regenerative medicine programs.</w:t>
      </w:r>
    </w:p>
    <w:p>
      <w:pPr>
        <w:spacing w:after="0" w:line="182" w:lineRule="exact"/>
        <w:rPr>
          <w:sz w:val="20"/>
          <w:szCs w:val="20"/>
          <w:color w:val="auto"/>
        </w:rPr>
      </w:pPr>
    </w:p>
    <w:p>
      <w:pPr>
        <w:jc w:val="both"/>
        <w:ind w:firstLine="881"/>
        <w:spacing w:after="0" w:line="247" w:lineRule="auto"/>
        <w:rPr>
          <w:sz w:val="20"/>
          <w:szCs w:val="20"/>
          <w:color w:val="auto"/>
        </w:rPr>
      </w:pPr>
      <w:r>
        <w:rPr>
          <w:rFonts w:ascii="Times New Roman" w:cs="Times New Roman" w:eastAsia="Times New Roman" w:hAnsi="Times New Roman"/>
          <w:sz w:val="18"/>
          <w:szCs w:val="18"/>
          <w:color w:val="auto"/>
        </w:rPr>
        <w:t>Since its inception in May 1998, the Company has financed its operations and technology acquisitions primarily through the issuance and sale of equity and debt securities, including convertible promissory notes and short-term promissory notes, for cash proceeds of approximately $25.4 million, as well as from an aggregate of approximately $16.4 million of government research grant awards, strategic collaboration payments and other revenues. Additionally, the Company has issued equity securities with an approximate value at issuance of $12.6 million in non-cash settlements of certain liabilities, including liabilities for professional services rendered to the Company or as compensation for such services. At December 31, 2013, the Company had approximately $20,700 in cash and cash equivalents. Such cash and cash equivalents are not sufficient to enable the Company to fund its planned operations, including expected cash expenditures of approximately $5 million through the next twelve months. However, on April 8, 2013, the Company entered into a Securities Purchase Agreement (as amended, the “Securities Purchase Agreement”) with Autilion AG, a company organized and existing under the laws of Switzerland (“Autilion”). Under the terms of the Securities Purchase Agreement, Autilion is contractually obligated to purchase an aggregate of 72.0 million restricted shares of the Company’s common stock at a purchase price of $0.50 per share for aggregate cash consideration of $36.0 million (the “Autilion Financing”). At December 31, 2013, the Company had completed a nominal initial closing of $25,000 and issued 50,000 restricted shares of its common stock under the Securities Purchase Agreement. Although there can be no assurance that an additional closing of the Autilion Financing will occur, in early January 2014, Autilion informed the Company of its expectation that the Company will receive the full $36.0 million committed under the terms of the Securities Purchase Agreement by mid-February 2014. As of the date of this report, there has not been a subsequent closing of the Autilion Financing. To provide working capital for operations prior to any closing of the Autilion Financing, from December 31, 2013 through the date of this report, the Company completed private placements of its securities resulting in aggregate cash proceeds of $390,000, as described in Note 11, Subsequent Events.</w:t>
      </w:r>
    </w:p>
    <w:p>
      <w:pPr>
        <w:spacing w:after="0" w:line="22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To the extent necessary, the Company may also seek to meet its cash needs and fund its working capital requirements through a combination of additional private placements of its securities, which may include both debt and equity securities issued to Platinum Long Term Growth Fund VII (“</w:t>
      </w:r>
      <w:r>
        <w:rPr>
          <w:rFonts w:ascii="Times New Roman" w:cs="Times New Roman" w:eastAsia="Times New Roman" w:hAnsi="Times New Roman"/>
          <w:sz w:val="18"/>
          <w:szCs w:val="18"/>
          <w:i w:val="1"/>
          <w:iCs w:val="1"/>
          <w:color w:val="auto"/>
        </w:rPr>
        <w:t>Platinum</w:t>
      </w:r>
      <w:r>
        <w:rPr>
          <w:rFonts w:ascii="Times New Roman" w:cs="Times New Roman" w:eastAsia="Times New Roman" w:hAnsi="Times New Roman"/>
          <w:sz w:val="18"/>
          <w:szCs w:val="18"/>
          <w:color w:val="auto"/>
        </w:rPr>
        <w:t>”), currently the Company’s largest institutional investor, and/or other investors, research and development collaborations, license fees and government grant awards. Additionally, the Company believes that its participation in strategic collaborations, including licensing transactions, may provide additional cash in support of its future working capital requirements. If the Company is unable to complete the Autilion Financing in a timely manner or to obtain sufficient financing from other sources, if required, it may be required to reduce, defer, or discontinue certain of its research and development activities or it may not be able to continue as a going concern.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4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4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Although the Company does not currently have any such arrangements, it has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spacing w:after="0" w:line="202" w:lineRule="exact"/>
        <w:rPr>
          <w:sz w:val="20"/>
          <w:szCs w:val="20"/>
          <w:color w:val="auto"/>
        </w:rPr>
      </w:pPr>
    </w:p>
    <w:p>
      <w:pPr>
        <w:jc w:val="both"/>
        <w:ind w:left="820" w:hanging="310"/>
        <w:spacing w:after="0" w:line="248" w:lineRule="auto"/>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19" w:lineRule="exact"/>
        <w:rPr>
          <w:rFonts w:ascii="Times New Roman" w:cs="Times New Roman" w:eastAsia="Times New Roman" w:hAnsi="Times New Roman"/>
          <w:sz w:val="18"/>
          <w:szCs w:val="18"/>
          <w:color w:val="auto"/>
        </w:rPr>
      </w:pPr>
    </w:p>
    <w:p>
      <w:pPr>
        <w:jc w:val="both"/>
        <w:ind w:left="820" w:hanging="310"/>
        <w:spacing w:after="0" w:line="255" w:lineRule="auto"/>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p>
      <w:pPr>
        <w:spacing w:after="0" w:line="207" w:lineRule="exact"/>
        <w:rPr>
          <w:rFonts w:ascii="Times New Roman" w:cs="Times New Roman" w:eastAsia="Times New Roman" w:hAnsi="Times New Roman"/>
          <w:sz w:val="18"/>
          <w:szCs w:val="18"/>
          <w:color w:val="auto"/>
        </w:rPr>
      </w:pPr>
    </w:p>
    <w:p>
      <w:pPr>
        <w:ind w:left="820" w:hanging="310"/>
        <w:spacing w:after="0" w:line="274" w:lineRule="auto"/>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4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 xml:space="preserve">Research and development expenses are composed of both internal and external costs. Internal costs include salaries and employment-related expenses of scientific personnel and direct project costs. External research and development expenses consist primarily of sponsored stem cell research and development costs, costs associated with clinical and non-clinical development of AV-101, the Company’s small molecule prodrug candidate for neuropathic pain, depression and potentially other neurological conditions, and costs related to the application and prosecution of patents related to the Company’s stem cell technology platform, </w:t>
      </w:r>
      <w:r>
        <w:rPr>
          <w:rFonts w:ascii="Times New Roman" w:cs="Times New Roman" w:eastAsia="Times New Roman" w:hAnsi="Times New Roman"/>
          <w:sz w:val="18"/>
          <w:szCs w:val="18"/>
          <w:i w:val="1"/>
          <w:iCs w:val="1"/>
          <w:color w:val="auto"/>
        </w:rPr>
        <w:t>Human Clinical Trials in a Test Tube</w:t>
      </w:r>
      <w:r>
        <w:rPr>
          <w:rFonts w:ascii="Times New Roman" w:cs="Times New Roman" w:eastAsia="Times New Roman" w:hAnsi="Times New Roman"/>
          <w:sz w:val="18"/>
          <w:szCs w:val="18"/>
          <w:color w:val="auto"/>
        </w:rPr>
        <w:t>™, and AV-101. All such costs are charged to expense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4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The Company recognizes compensation cost for all stock-based awards to employees based on the grant date fair value of the award. Stock-based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stock-based compensation expense included in the accompanying Condensed Consolidated Statements of Operations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for the quarter and nine months ended December 31, 2013: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9"/>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9"/>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4"/>
              </w:rPr>
              <w:t>2012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 including expense related to modifications</w:t>
            </w:r>
          </w:p>
        </w:tc>
        <w:tc>
          <w:tcPr>
            <w:tcW w:w="11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126,900</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574,700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240,300</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666,800</w:t>
            </w:r>
          </w:p>
        </w:tc>
      </w:tr>
      <w:tr>
        <w:trPr>
          <w:trHeight w:val="219"/>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granted to officer in March 2013</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160,300</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574,700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666,800</w:t>
            </w:r>
          </w:p>
        </w:tc>
      </w:tr>
      <w:tr>
        <w:trPr>
          <w:trHeight w:val="212"/>
        </w:trPr>
        <w:tc>
          <w:tcPr>
            <w:tcW w:w="20" w:type="dxa"/>
            <w:vAlign w:val="bottom"/>
          </w:tcPr>
          <w:p>
            <w:pPr>
              <w:spacing w:after="0"/>
              <w:rPr>
                <w:sz w:val="18"/>
                <w:szCs w:val="18"/>
                <w:color w:val="auto"/>
              </w:rPr>
            </w:pPr>
          </w:p>
        </w:tc>
        <w:tc>
          <w:tcPr>
            <w:tcW w:w="5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 including expense related to modifications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242,100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295,200</w:t>
            </w:r>
          </w:p>
        </w:tc>
      </w:tr>
      <w:tr>
        <w:trPr>
          <w:trHeight w:val="219"/>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granted to officers and directors in March 2013</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66,900</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469,300</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962,000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18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F-60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6"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During the nine months ended December 31, 2013, the Company granted options to purchase an aggregate of 156,000 shares of its common stock at exercise prices from $0.40 per share to $0.82 per share (the quoted market price on the grant dates) to certain employees and consultants. During the quarter ended December 31, 2013, the Company modified certain outstanding options granted from its 2008 Stock Incentive Plan to reduce the exercise price to $0.40 per share or $0.50 per share and modified certain options granted from its 1999 Stock Incentive Plan to reduce the exercise price to $0.50 per share. The expense indicated in the table above for the three and nine months ended December 31, 2013 includes an aggregate of $252,000 attributable to these modifications. The Company modified certain options during the quarter ended December 31, 2012 and recognized an aggregate of $788,800 attributable to such modifications in the three and nine month periods ended December 31, 2012. At December 31, 2013, there were options outstanding to purchase 4,705,270 shares of the Company’s common stock at a weighted average exercise price of $0.59 per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 xml:space="preserve">The Company has issued certain warrants to Platinum and, subject to Platinum’s exercise of its rights to exchange shares of the Company’s Series A preferred stock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Note 7, </w:t>
      </w:r>
      <w:r>
        <w:rPr>
          <w:rFonts w:ascii="Times New Roman" w:cs="Times New Roman" w:eastAsia="Times New Roman" w:hAnsi="Times New Roman"/>
          <w:sz w:val="18"/>
          <w:szCs w:val="18"/>
          <w:i w:val="1"/>
          <w:iCs w:val="1"/>
          <w:color w:val="auto"/>
        </w:rPr>
        <w:t>Convertible Promissory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and Note 9</w:t>
      </w:r>
      <w:r>
        <w:rPr>
          <w:rFonts w:ascii="Times New Roman" w:cs="Times New Roman" w:eastAsia="Times New Roman" w:hAnsi="Times New Roman"/>
          <w:sz w:val="18"/>
          <w:szCs w:val="18"/>
          <w:i w:val="1"/>
          <w:iCs w:val="1"/>
          <w:color w:val="auto"/>
        </w:rPr>
        <w:t>, Capital Stock</w:t>
      </w:r>
      <w:r>
        <w:rPr>
          <w:rFonts w:ascii="Times New Roman" w:cs="Times New Roman" w:eastAsia="Times New Roman" w:hAnsi="Times New Roman"/>
          <w:sz w:val="18"/>
          <w:szCs w:val="18"/>
          <w:color w:val="auto"/>
        </w:rPr>
        <w:t>. The Company computes the fair value of the warrant liability at each reporting period and the change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4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Company has no components of other comprehensive loss other than net loss, and accordingly the Company’s comprehensive loss is equivalent to its net loss for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per Common Share</w:t>
      </w:r>
    </w:p>
    <w:p>
      <w:pPr>
        <w:spacing w:after="0" w:line="24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the numerator is adjusted for the change in the fair value of the warrant liability attributable to outstanding warrants, only if dilutive, and the denominator is increased to include the number of potentially dilutive common shares assumed to be outstanding during the period using the treasury stock method. Based on the market price of the Company’s common stock for the quarter ended December 31, 2013, no potentially dilutive securities were assumed to be converted into common shares and outstanding during the period for purposes of calculating diluted earnings per share. For all loss periods presented, potentially dilutive securities have been excluded from the computation as their effect would be antidilutive.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Basic net income (loss) and diluted net loss attributable to common stockholders per share was computed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22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color w:val="auto"/>
              </w:rPr>
              <w:t>Net income (loss) attributable to common stockholders for basic earnings per</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131,100</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(15,528,200)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(19,309,800)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less: change in fair value of warrant liability attributable to Exchange, Investment</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Bridge Warrants issued to Platinum</w:t>
            </w: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(620,900)</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for diluted earnings per share attributable to common stockholders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(489,800)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(15,528,200)</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22,210,573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18,292,301</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21,554,929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17,411,993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Assumed conversion of dilutive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Potentially dilutive common shares assumed converted</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22,210,573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18,292,301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21,554,929</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17,411,993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Basic net income (loss) attributable to common stockholders per common share</w:t>
            </w:r>
          </w:p>
        </w:tc>
        <w:tc>
          <w:tcPr>
            <w:tcW w:w="22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(0.85)</w:t>
            </w:r>
          </w:p>
        </w:tc>
        <w:tc>
          <w:tcPr>
            <w:tcW w:w="22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Diluted net loss attributable to common stockholders per common share</w:t>
            </w:r>
          </w:p>
        </w:tc>
        <w:tc>
          <w:tcPr>
            <w:tcW w:w="22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(0.85)</w:t>
            </w:r>
          </w:p>
        </w:tc>
        <w:tc>
          <w:tcPr>
            <w:tcW w:w="22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124" w:right="2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184"/>
        </w:trPr>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87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Potentially dilutive securities excluded in determining diluted net loss per common share are as follows: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2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Warrant shares issuable to Platinum upon exercise of common stock warrants by Platinum upon exchange of Series A</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under the terms of the October 11, 2012 Note Purchase and Exchange Agreement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under the 2008 and 1999 Stock Incentive Plans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4,705,270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15,710,885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10% convertible Exchange Note and Investment Notes issued to Platinum in October 2012, February 2013 and March</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7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2013, including accrued interest through December 31, 2013 </w:t>
            </w:r>
            <w:r>
              <w:rPr>
                <w:rFonts w:ascii="Times New Roman" w:cs="Times New Roman" w:eastAsia="Times New Roman" w:hAnsi="Times New Roman"/>
                <w:sz w:val="24"/>
                <w:szCs w:val="24"/>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7,271,640</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4,645,198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Convertible note issued to Platinum on July 26, 2013, including accrued interest through December 31, 2013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522,339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 Convertible notes issued as a component of Unit Offering, including accrued interest through December 31, 2013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1,186,097</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51,896,231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41,985,003</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768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gridSpan w:val="2"/>
            <w:vMerge w:val="continue"/>
          </w:tcPr>
          <w:p>
            <w:pPr>
              <w:spacing w:after="0"/>
              <w:rPr>
                <w:sz w:val="17"/>
                <w:szCs w:val="17"/>
                <w:color w:val="auto"/>
              </w:rPr>
            </w:pPr>
          </w:p>
        </w:tc>
        <w:tc>
          <w:tcPr>
            <w:tcW w:w="76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94"/>
        <w:spacing w:after="0" w:line="188" w:lineRule="auto"/>
        <w:tabs>
          <w:tab w:leader="none" w:pos="200" w:val="left"/>
        </w:tabs>
        <w:numPr>
          <w:ilvl w:val="0"/>
          <w:numId w:val="9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exchange under the terms of the October 11, 2012 Note Exchange and Purchase Agreement with Platinum</w:t>
      </w:r>
    </w:p>
    <w:p>
      <w:pPr>
        <w:spacing w:after="0" w:line="1" w:lineRule="exact"/>
        <w:rPr>
          <w:rFonts w:ascii="Times New Roman" w:cs="Times New Roman" w:eastAsia="Times New Roman" w:hAnsi="Times New Roman"/>
          <w:sz w:val="24"/>
          <w:szCs w:val="24"/>
          <w:color w:val="auto"/>
          <w:vertAlign w:val="superscript"/>
        </w:rPr>
      </w:pPr>
    </w:p>
    <w:p>
      <w:pPr>
        <w:ind w:left="200" w:hanging="194"/>
        <w:spacing w:after="0" w:line="183" w:lineRule="auto"/>
        <w:tabs>
          <w:tab w:leader="none" w:pos="200" w:val="left"/>
        </w:tabs>
        <w:numPr>
          <w:ilvl w:val="0"/>
          <w:numId w:val="9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conversion under the terms of the October 11, 2012 Note Exchange and Purchase Agreement with Platinum and the terms of the individual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nine months ended December 31, 2013, as compared to the recent accounting pronouncements described in the Company’s Form 10-K for the fiscal year ended March 31, 2013, that are of significance or potential significance to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4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211" w:lineRule="exact"/>
        <w:rPr>
          <w:sz w:val="20"/>
          <w:szCs w:val="20"/>
          <w:color w:val="auto"/>
        </w:rPr>
      </w:pPr>
    </w:p>
    <w:p>
      <w:pPr>
        <w:ind w:left="820" w:right="20" w:hanging="310"/>
        <w:spacing w:after="0" w:line="276" w:lineRule="auto"/>
        <w:tabs>
          <w:tab w:leader="none" w:pos="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the highest priority to Level 1 inputs.</w:t>
      </w:r>
    </w:p>
    <w:p>
      <w:pPr>
        <w:spacing w:after="0" w:line="186" w:lineRule="exact"/>
        <w:rPr>
          <w:rFonts w:ascii="Times New Roman" w:cs="Times New Roman" w:eastAsia="Times New Roman" w:hAnsi="Times New Roman"/>
          <w:sz w:val="18"/>
          <w:szCs w:val="18"/>
          <w:color w:val="auto"/>
        </w:rPr>
      </w:pPr>
    </w:p>
    <w:p>
      <w:pPr>
        <w:jc w:val="both"/>
        <w:ind w:left="820" w:hanging="310"/>
        <w:spacing w:after="0" w:line="261" w:lineRule="auto"/>
        <w:tabs>
          <w:tab w:leader="none" w:pos="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199" w:lineRule="exact"/>
        <w:rPr>
          <w:rFonts w:ascii="Times New Roman" w:cs="Times New Roman" w:eastAsia="Times New Roman" w:hAnsi="Times New Roman"/>
          <w:sz w:val="18"/>
          <w:szCs w:val="18"/>
          <w:color w:val="auto"/>
        </w:rPr>
      </w:pPr>
    </w:p>
    <w:p>
      <w:pPr>
        <w:jc w:val="both"/>
        <w:ind w:left="820" w:hanging="310"/>
        <w:spacing w:after="0" w:line="261" w:lineRule="auto"/>
        <w:tabs>
          <w:tab w:leader="none" w:pos="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w:t>
      </w:r>
      <w:r>
        <w:rPr>
          <w:rFonts w:ascii="Times New Roman" w:cs="Times New Roman" w:eastAsia="Times New Roman" w:hAnsi="Times New Roman"/>
          <w:sz w:val="18"/>
          <w:szCs w:val="18"/>
          <w:i w:val="1"/>
          <w:iCs w:val="1"/>
          <w:color w:val="auto"/>
        </w:rPr>
        <w:t xml:space="preserve">i.e., </w:t>
      </w:r>
      <w:r>
        <w:rPr>
          <w:rFonts w:ascii="Times New Roman" w:cs="Times New Roman" w:eastAsia="Times New Roman" w:hAnsi="Times New Roman"/>
          <w:sz w:val="18"/>
          <w:szCs w:val="18"/>
          <w:color w:val="auto"/>
        </w:rPr>
        <w:t>inputs that reflect the reporting entity’s own assumptions about the assumptions that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estimating the fair value of an asset or liability) are used when little or no market data is available. The fair value hierarchy gives the lowest priority to Level 3 inputs.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08"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February 2013, March 2013, and the potential issuance of the Series A Exchange Warrant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all pursuant to the Note Exchange and Purchase Agreement of October 2012 between the Company and Platinum (see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and the issuance of the warrant related to the Senior Secured Convertible Promissory Note issued to Platinum in July 2013, the Company determined that the warrants included certain exercise price adjustment features requiring the warrants to be treated as liabilities, which were recorded at their estimated fair value. The Company determined the initial fair value of the warrant liability using a Monte Carlo simulation model with Level 3 inputs or the Black-Scholes Option Pricing model. Inputs used to determine fair value include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since March 31, 2013 have been recognized as a non-cash component of other expense, net in the Condensed Consolidated Statements of Operations and Comprehensive Loss for the quarter and nine months ended December 31, 2013.</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hierarchy for the warrant liability measured at fair value on a recurring basis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gridSpan w:val="2"/>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Markets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Identical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1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0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9"/>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2,717,100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2,717,100</w:t>
            </w:r>
          </w:p>
        </w:tc>
        <w:tc>
          <w:tcPr>
            <w:tcW w:w="100" w:type="dxa"/>
            <w:vAlign w:val="bottom"/>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March 31, 2013:</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During the nine month period ended December 31, 2013, there was no significant change to the valuation models used for purposes of determining the fair value of the Level 3 warrant liability. The decline in the market price of the Company’s common stock since March 31, 2013 and the reduction in the exercise price of the warrants as described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are the primary factors resulting in the reduction in the warrant liability.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84"/>
        </w:trPr>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0000EE"/>
              </w:rPr>
              <w:t>Table of Contents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changes in Level 3 liabilities measured at fair value on a recurring basis are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Measurements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Liability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Recognition of warrant liability upon issuance of Senior Secured Convertible Promissory Note and warrant to Platinum on July 26, 2013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to market gain included in net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(3,823,700)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2,717,100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 assets or other liabilities were carried at fair value at December 31, 2013 or March 31, 2013.</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is composed of the following at December 31, 2013 and March 31, 2013:</w:t>
            </w:r>
          </w:p>
        </w:tc>
        <w:tc>
          <w:tcPr>
            <w:tcW w:w="13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 on note receivable from 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common stock</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license fees and all other</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33,700</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Accrued Expenses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8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7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Accrued expenses is composed of the following at December 31, 2013 and March 31, 2013: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427,700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 and license fees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342,900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7680" w:type="dxa"/>
            <w:vAlign w:val="bottom"/>
            <w:tcBorders>
              <w:top w:val="single" w:sz="8" w:color="CCEEFF"/>
            </w:tcBorders>
          </w:tcPr>
          <w:p>
            <w:pPr>
              <w:ind w:left="4420"/>
              <w:spacing w:after="0"/>
              <w:rPr>
                <w:sz w:val="20"/>
                <w:szCs w:val="20"/>
                <w:color w:val="auto"/>
              </w:rPr>
            </w:pPr>
            <w:r>
              <w:rPr>
                <w:rFonts w:ascii="Times New Roman" w:cs="Times New Roman" w:eastAsia="Times New Roman" w:hAnsi="Times New Roman"/>
                <w:sz w:val="18"/>
                <w:szCs w:val="18"/>
                <w:color w:val="auto"/>
              </w:rPr>
              <w:t>F-64</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Convertible Promissory Notes and Other Notes Payable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Company’s secured and unsecured promissory notes and other notes payable at December 31, 2013 and March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2013</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color w:val="auto"/>
              </w:rPr>
              <w:t>Principal</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32"/>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2"/>
              <w:spacing w:after="0" w:line="194" w:lineRule="exact"/>
              <w:rPr>
                <w:sz w:val="20"/>
                <w:szCs w:val="20"/>
                <w:color w:val="auto"/>
              </w:rPr>
            </w:pPr>
            <w:r>
              <w:rPr>
                <w:rFonts w:ascii="Times New Roman" w:cs="Times New Roman" w:eastAsia="Times New Roman" w:hAnsi="Times New Roman"/>
                <w:sz w:val="18"/>
                <w:szCs w:val="18"/>
                <w:color w:val="auto"/>
              </w:rPr>
              <w:t>Accrued</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Balance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0"/>
        </w:trPr>
        <w:tc>
          <w:tcPr>
            <w:tcW w:w="39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Senior Secured 10% Convertible Promissory Notes</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issued to Platinum:</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Note issued on October 11, 2012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167,100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1,439,700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Note issued on October 11, 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65,700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565,700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Note issued on October 19, 2012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64,400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564,400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Note issued on February 22, 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272,500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Note issued on March 12, 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3,272,600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Convertible promissory note issued on July 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900" w:type="dxa"/>
            <w:vAlign w:val="bottom"/>
            <w:gridSpan w:val="2"/>
          </w:tcPr>
          <w:p>
            <w:pPr>
              <w:jc w:val="right"/>
              <w:ind w:right="2972"/>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Senior notes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3,272,600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116,200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Aggregate 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(2,135,800)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(2,135,800)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(1,963,100)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(1,963,100)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Senior notes (non-current)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394,400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10% Convertible Promissory Notes (2013 Unit Notes)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(423,900)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convertible notes (all current)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to unrelated parties: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 Notes payable to service providers for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converted to notes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Burr, Pilger, Mayer</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Desjardins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McCarthy Tetrault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18,800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392,100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403,100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2012 Morrison &amp; Foerster Note 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981,700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937,400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line="212" w:lineRule="exact"/>
              <w:rPr>
                <w:sz w:val="20"/>
                <w:szCs w:val="20"/>
                <w:color w:val="auto"/>
              </w:rPr>
            </w:pPr>
            <w:r>
              <w:rPr>
                <w:rFonts w:ascii="Times New Roman" w:cs="Times New Roman" w:eastAsia="Times New Roman" w:hAnsi="Times New Roman"/>
                <w:sz w:val="18"/>
                <w:szCs w:val="18"/>
                <w:color w:val="auto"/>
              </w:rPr>
              <w:t xml:space="preserve">August 2012 Morrison &amp; Foerster Note B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161,100</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1,540,500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1,379,400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8"/>
                <w:szCs w:val="18"/>
                <w:color w:val="auto"/>
              </w:rPr>
              <w:t xml:space="preserve">University Health Network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3,553,900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82,000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discount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(929,000)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(1,142,600)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(1,142,600)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2,411,300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82,000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(98,600)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(451,400)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2,213,800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211,600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5.75% and 10.25% Notes payable to insurance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 financing company (current)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10% Notes payable to vendors for accounts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converted to notes payable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119,400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(151,100)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(128,800)</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(23,300)</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portion</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 Note payable (August 2012)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 Notes payable - non-current portion</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notes payable to unrelated parties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3,702,200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344,600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4,046,800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3,746,300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105,300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(133,000)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(638,600)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(591,400)</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(25,800)</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discount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(929,000)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(1,142,600)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2,267,600</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211,600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2,479,200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2,012,300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Borders>
              <w:top w:val="single" w:sz="8" w:color="CCEEFF"/>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Notes payable to related parties:</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2012 7.5% Note to Cato Holding Co.</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October 2012 7.5% Note to Cato Research Ltd.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1,009,000</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Note discount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(115,000)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(147,200)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to related parties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(99,500)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(85,600)</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(7,400)</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and discount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1,112,900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96,800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1,209,700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8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ind w:left="200" w:hanging="194"/>
        <w:spacing w:after="0" w:line="188" w:lineRule="auto"/>
        <w:tabs>
          <w:tab w:leader="none" w:pos="200" w:val="left"/>
        </w:tabs>
        <w:numPr>
          <w:ilvl w:val="0"/>
          <w:numId w:val="9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Note and interest payable solely in restricted shares of the Company's common stock.</w:t>
      </w:r>
    </w:p>
    <w:p>
      <w:pPr>
        <w:sectPr>
          <w:pgSz w:w="11900" w:h="16838" w:orient="portrait"/>
          <w:cols w:equalWidth="0" w:num="1">
            <w:col w:w="11420"/>
          </w:cols>
          <w:pgMar w:left="240" w:top="124" w:right="239" w:bottom="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87630</wp:posOffset>
            </wp:positionV>
            <wp:extent cx="725360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Convertible Promissory Notes Issued to Platinum</w:t>
      </w:r>
    </w:p>
    <w:p>
      <w:pPr>
        <w:spacing w:after="0" w:line="24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On July 2, 2012 and on August 31, 2012, the Company issued to Platinum senior secured convertible promissory notes in the principal amount of $500,000 (the </w:t>
      </w:r>
      <w:r>
        <w:rPr>
          <w:rFonts w:ascii="Times New Roman" w:cs="Times New Roman" w:eastAsia="Times New Roman" w:hAnsi="Times New Roman"/>
          <w:sz w:val="18"/>
          <w:szCs w:val="18"/>
          <w:i w:val="1"/>
          <w:iCs w:val="1"/>
          <w:color w:val="auto"/>
        </w:rPr>
        <w:t>“July 2012 Platinum Note</w:t>
      </w:r>
      <w:r>
        <w:rPr>
          <w:rFonts w:ascii="Times New Roman" w:cs="Times New Roman" w:eastAsia="Times New Roman" w:hAnsi="Times New Roman"/>
          <w:sz w:val="18"/>
          <w:szCs w:val="18"/>
          <w:color w:val="auto"/>
        </w:rPr>
        <w:t>”) and $750,000 (the "</w:t>
      </w:r>
      <w:r>
        <w:rPr>
          <w:rFonts w:ascii="Times New Roman" w:cs="Times New Roman" w:eastAsia="Times New Roman" w:hAnsi="Times New Roman"/>
          <w:sz w:val="18"/>
          <w:szCs w:val="18"/>
          <w:i w:val="1"/>
          <w:iCs w:val="1"/>
          <w:color w:val="auto"/>
        </w:rPr>
        <w:t>August 2012 Platinum Note</w:t>
      </w:r>
      <w:r>
        <w:rPr>
          <w:rFonts w:ascii="Times New Roman" w:cs="Times New Roman" w:eastAsia="Times New Roman" w:hAnsi="Times New Roman"/>
          <w:sz w:val="18"/>
          <w:szCs w:val="18"/>
          <w:color w:val="auto"/>
        </w:rPr>
        <w:t>"), respectively. The July 2012 Platinum Note and the August 2012 Platinum Note 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spacing w:after="0" w:line="21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On October 11, 2012, the Company and Platinum entered into a Note Exchange and Purchase Agreement (the “</w:t>
      </w:r>
      <w:r>
        <w:rPr>
          <w:rFonts w:ascii="Times New Roman" w:cs="Times New Roman" w:eastAsia="Times New Roman" w:hAnsi="Times New Roman"/>
          <w:sz w:val="18"/>
          <w:szCs w:val="18"/>
          <w:i w:val="1"/>
          <w:iCs w:val="1"/>
          <w:color w:val="auto"/>
        </w:rPr>
        <w:t>October 2012 Agreement</w:t>
      </w:r>
      <w:r>
        <w:rPr>
          <w:rFonts w:ascii="Times New Roman" w:cs="Times New Roman" w:eastAsia="Times New Roman" w:hAnsi="Times New Roman"/>
          <w:sz w:val="18"/>
          <w:szCs w:val="18"/>
          <w:color w:val="auto"/>
        </w:rPr>
        <w:t>”) in which the July 2012 Platinum Note and the August 2012 Platinum Note (together, the “</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as well as the related accrued interest, were consolidated into and exchanged for a single senior secured convertible note in the amount of $1,272,600 (the “</w:t>
      </w:r>
      <w:r>
        <w:rPr>
          <w:rFonts w:ascii="Times New Roman" w:cs="Times New Roman" w:eastAsia="Times New Roman" w:hAnsi="Times New Roman"/>
          <w:sz w:val="18"/>
          <w:szCs w:val="18"/>
          <w:i w:val="1"/>
          <w:iCs w:val="1"/>
          <w:color w:val="auto"/>
        </w:rPr>
        <w:t>Exchange Note</w:t>
      </w:r>
      <w:r>
        <w:rPr>
          <w:rFonts w:ascii="Times New Roman" w:cs="Times New Roman" w:eastAsia="Times New Roman" w:hAnsi="Times New Roman"/>
          <w:sz w:val="18"/>
          <w:szCs w:val="18"/>
          <w:color w:val="auto"/>
        </w:rPr>
        <w:t>”) and Platinum agreed to purchase four additional 10% senior secured convertible promissory notes in the aggregate principal amount of $2.0 million (the “</w:t>
      </w:r>
      <w:r>
        <w:rPr>
          <w:rFonts w:ascii="Times New Roman" w:cs="Times New Roman" w:eastAsia="Times New Roman" w:hAnsi="Times New Roman"/>
          <w:sz w:val="18"/>
          <w:szCs w:val="18"/>
          <w:i w:val="1"/>
          <w:iCs w:val="1"/>
          <w:color w:val="auto"/>
        </w:rPr>
        <w:t>Investment Notes</w:t>
      </w:r>
      <w:r>
        <w:rPr>
          <w:rFonts w:ascii="Times New Roman" w:cs="Times New Roman" w:eastAsia="Times New Roman" w:hAnsi="Times New Roman"/>
          <w:sz w:val="18"/>
          <w:szCs w:val="18"/>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20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November 14, 2012 and January 31, 2013, the Company and Platinum entered into amendments to the October 2012 Agreement (the “</w:t>
      </w:r>
      <w:r>
        <w:rPr>
          <w:rFonts w:ascii="Times New Roman" w:cs="Times New Roman" w:eastAsia="Times New Roman" w:hAnsi="Times New Roman"/>
          <w:sz w:val="18"/>
          <w:szCs w:val="18"/>
          <w:i w:val="1"/>
          <w:iCs w:val="1"/>
          <w:color w:val="auto"/>
        </w:rPr>
        <w:t>NEPA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pursuant to which the final two $500,000 tranches contemplated by the October 2012 Agreement were combined into a single Investment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aggregate principal amount of $1.0 million (the </w:t>
      </w:r>
      <w:r>
        <w:rPr>
          <w:rFonts w:ascii="Times New Roman" w:cs="Times New Roman" w:eastAsia="Times New Roman" w:hAnsi="Times New Roman"/>
          <w:sz w:val="18"/>
          <w:szCs w:val="18"/>
          <w:i w:val="1"/>
          <w:iCs w:val="1"/>
          <w:color w:val="auto"/>
        </w:rPr>
        <w:t>“$1.0 Million Note</w:t>
      </w:r>
      <w:r>
        <w:rPr>
          <w:rFonts w:ascii="Times New Roman" w:cs="Times New Roman" w:eastAsia="Times New Roman" w:hAnsi="Times New Roman"/>
          <w:sz w:val="18"/>
          <w:szCs w:val="18"/>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Times New Roman" w:cs="Times New Roman" w:eastAsia="Times New Roman" w:hAnsi="Times New Roman"/>
          <w:sz w:val="18"/>
          <w:szCs w:val="18"/>
          <w:i w:val="1"/>
          <w:iCs w:val="1"/>
          <w:color w:val="auto"/>
        </w:rPr>
        <w:t>Additional Financing Requirement</w:t>
      </w:r>
      <w:r>
        <w:rPr>
          <w:rFonts w:ascii="Times New Roman" w:cs="Times New Roman" w:eastAsia="Times New Roman" w:hAnsi="Times New Roman"/>
          <w:sz w:val="18"/>
          <w:szCs w:val="18"/>
          <w:color w:val="auto"/>
        </w:rPr>
        <w:t>”). The Company satisfied the Additional Financing Requirement on February 12, 2013.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Exchange Note and each Investment Note (together,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respective Investment Notes. At maturity, all principal and accrued interest under the Notes will be payable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As additional consideration for the purchase of the Investment Notes, the Company agreed to issue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Times New Roman" w:cs="Times New Roman" w:eastAsia="Times New Roman" w:hAnsi="Times New Roman"/>
          <w:sz w:val="18"/>
          <w:szCs w:val="18"/>
          <w:i w:val="1"/>
          <w:iCs w:val="1"/>
          <w:color w:val="auto"/>
        </w:rPr>
        <w:t>Investment Warrant</w:t>
      </w:r>
      <w:r>
        <w:rPr>
          <w:rFonts w:ascii="Times New Roman" w:cs="Times New Roman" w:eastAsia="Times New Roman" w:hAnsi="Times New Roman"/>
          <w:sz w:val="18"/>
          <w:szCs w:val="18"/>
          <w:color w:val="auto"/>
        </w:rPr>
        <w:t>”). In addition, the Company issued Platinum a warrant to purchase 1,272,577 shares of the Company’s common stock in connection with the issuance of the Exchange Note (the “</w:t>
      </w:r>
      <w:r>
        <w:rPr>
          <w:rFonts w:ascii="Times New Roman" w:cs="Times New Roman" w:eastAsia="Times New Roman" w:hAnsi="Times New Roman"/>
          <w:sz w:val="18"/>
          <w:szCs w:val="18"/>
          <w:i w:val="1"/>
          <w:iCs w:val="1"/>
          <w:color w:val="auto"/>
        </w:rPr>
        <w:t>Exchange Warrant</w:t>
      </w:r>
      <w:r>
        <w:rPr>
          <w:rFonts w:ascii="Times New Roman" w:cs="Times New Roman" w:eastAsia="Times New Roman" w:hAnsi="Times New Roman"/>
          <w:sz w:val="18"/>
          <w:szCs w:val="18"/>
          <w:color w:val="auto"/>
        </w:rPr>
        <w:t xml:space="preserve">”). At issuance, the Platinum Exchange Warrant and each Investment Warrant had a term of 5 years and an exercise price of $1.50 per share, subject to certain adjustments.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regarding a modification of the exercise price of the Exchange Warrant and the Investment Warrants made in May 2013. In connection with the October 2012 Agreement, the Company and Platinum also executed and subsequently amended a security agreement to secure repayment of all obligations due and payable under the terms of the Exchange Note and all of the Investment Notes.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On July 26, 2013, the Company issued an additional senior secured convertible promissory note in the principal amount of $250,000 to Platinum (the “</w:t>
      </w:r>
      <w:r>
        <w:rPr>
          <w:rFonts w:ascii="Times New Roman" w:cs="Times New Roman" w:eastAsia="Times New Roman" w:hAnsi="Times New Roman"/>
          <w:sz w:val="18"/>
          <w:szCs w:val="18"/>
          <w:i w:val="1"/>
          <w:iCs w:val="1"/>
          <w:color w:val="auto"/>
        </w:rPr>
        <w:t>July 2013 Note</w:t>
      </w:r>
      <w:r>
        <w:rPr>
          <w:rFonts w:ascii="Times New Roman" w:cs="Times New Roman" w:eastAsia="Times New Roman" w:hAnsi="Times New Roman"/>
          <w:sz w:val="18"/>
          <w:szCs w:val="18"/>
          <w:color w:val="auto"/>
        </w:rPr>
        <w:t>”).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earlier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Times New Roman" w:cs="Times New Roman" w:eastAsia="Times New Roman" w:hAnsi="Times New Roman"/>
          <w:sz w:val="18"/>
          <w:szCs w:val="18"/>
          <w:i w:val="1"/>
          <w:iCs w:val="1"/>
          <w:color w:val="auto"/>
        </w:rPr>
        <w:t>July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 Warrant</w:t>
      </w:r>
      <w:r>
        <w:rPr>
          <w:rFonts w:ascii="Times New Roman" w:cs="Times New Roman" w:eastAsia="Times New Roman" w:hAnsi="Times New Roman"/>
          <w:sz w:val="18"/>
          <w:szCs w:val="18"/>
          <w:color w:val="auto"/>
        </w:rPr>
        <w:t>”). In addition, the Company granted Platinum the right to exchange all amounts due under the terms of the July 2013 Note into the 2013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Private Placement securities (see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offered by the Company to third party investors to finance its short-term working capital needs (the “</w:t>
      </w:r>
      <w:r>
        <w:rPr>
          <w:rFonts w:ascii="Times New Roman" w:cs="Times New Roman" w:eastAsia="Times New Roman" w:hAnsi="Times New Roman"/>
          <w:sz w:val="18"/>
          <w:szCs w:val="18"/>
          <w:i w:val="1"/>
          <w:iCs w:val="1"/>
          <w:color w:val="auto"/>
        </w:rPr>
        <w:t>Exchange Securities</w:t>
      </w:r>
      <w:r>
        <w:rPr>
          <w:rFonts w:ascii="Times New Roman" w:cs="Times New Roman" w:eastAsia="Times New Roman" w:hAnsi="Times New Roman"/>
          <w:sz w:val="18"/>
          <w:szCs w:val="18"/>
          <w:color w:val="auto"/>
        </w:rPr>
        <w:t>”). Upon the Company’s receipt of gross proceeds of at least $10.0 million from the Autilion Financing, the Company expects the July 2013 Note to be converted into the Exchange Securities.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Subject to limited exceptions,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exercise price (subsequently modified to $0.50 per share exercise price as described in Note 9, </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xml:space="preserve">), or $0.50 per share exercise price in the case of the July 2013 Warrant. As a result of these provisions, the Exchange Warrant, the Investment Warrants and the July 2013 Warrant do not meet the criteria set forth in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to be considered indexed to the Company’s own stock and treated as equity instruments. Consequently, the Company recorded the Exchange Warrant, each of the Investment Warrants and the July 2013 Warrant as liabilities at their fair value, which was estimated at the issuance date using a Monte Carlo simulation model or the Black-Scholes Option Pricing model. The fair value of the Exchange Warrant at the date of issuance was recorded as a liability and as a corresponding charge to loss on early extinguishment of debt in the Statement of Operations and Comprehensive Income in the third quarter of the fiscal year ended March 31, 2013. The fair value of each Investment Warrant at the date of issuance was recorded as a liability and as a corresponding discount to the respective Investment Note. Subject to limitations of the absolute amount of discount attributable to each Investment Note and the July 2013 Note, the Company treated the issuance-date intrinsic value of the beneficial conversion feature embedded in each note as an additional component of the discount attributable to each note and recorded a discount attributable to the beneficial conversion feature for each note.</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July 2013 Warrant at inception was determined to be $146,800 using the Black-Scholes Option Pricing Model and the following assumptions: market price per share: $0.75; exercise price per share: $0.50; risk-free interest rate: 1.36%; contractual term: 5.0 years; volatility: 96.9%; expected dividend rate: 0%. The fair value was recorded as a liability and as a corresponding discount to the July 2013 Note. The table below summarizes the components of the discount and the effective interest rate at inception for the July 2013 Note.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4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Discount attributable to:</w:t>
            </w: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w:t>
            </w: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Beneficial conversion feature</w:t>
            </w: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Inception date carrying value</w:t>
            </w:r>
          </w:p>
        </w:tc>
        <w:tc>
          <w:tcPr>
            <w:tcW w:w="4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4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Company amortizes the aggregate discount attributable to each of the Investment Notes and the July 2013 Note using the interest method over the respective term of each note. The effective interest rate attributable to the July 2013 Note is 159.05%</w:t>
      </w:r>
    </w:p>
    <w:p>
      <w:pPr>
        <w:spacing w:after="0" w:line="190"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The fair value of the Exchange Warrant, Investment Warrants and the July 2013 Warrant was re-measured as of December 31, 2013 at an aggregate fair value of $780,400. The accompanying Condensed Consolidated Statement of Operations and Comprehensive Loss reflects the $620,900 and $1,354,400 decrease in fair value of these warrants for the quarter and nine months ended December 31, 2013, respectively.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Notes Issued in Connection with 2013 Unit Private Placement</w:t>
      </w:r>
    </w:p>
    <w:p>
      <w:pPr>
        <w:spacing w:after="0" w:line="24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 xml:space="preserve">As described more completely in the section entitled 2013 Unit Private Placement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between August and December 2013, the Company issued to accredited investors 10% convertible notes (the “</w:t>
      </w:r>
      <w:r>
        <w:rPr>
          <w:rFonts w:ascii="Times New Roman" w:cs="Times New Roman" w:eastAsia="Times New Roman" w:hAnsi="Times New Roman"/>
          <w:sz w:val="18"/>
          <w:szCs w:val="18"/>
          <w:i w:val="1"/>
          <w:iCs w:val="1"/>
          <w:color w:val="auto"/>
        </w:rPr>
        <w:t>Unit Notes</w:t>
      </w:r>
      <w:r>
        <w:rPr>
          <w:rFonts w:ascii="Times New Roman" w:cs="Times New Roman" w:eastAsia="Times New Roman" w:hAnsi="Times New Roman"/>
          <w:sz w:val="18"/>
          <w:szCs w:val="18"/>
          <w:color w:val="auto"/>
        </w:rPr>
        <w:t>”) in an aggregate face amount of $580,000 in connection with its private placement offering of Units. The Unit Notes mature on July 30, 2014 and each Unit Note and its related accrued interest is convertible into shares of the Company’s common stock at a fixed conversion price of $0.50 per share at or prior to maturity, at the option of the investor. The Company has the right to prepay the Unit Notes and accrued interest in cash prior to maturity without penalty.</w:t>
      </w:r>
    </w:p>
    <w:p>
      <w:pPr>
        <w:spacing w:after="0" w:line="21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Company allocated the proceeds from the sale of the Units to the Unit Notes, the common stock and the warrants comprising the Units based on the relative fair values of the individual securities on the dates of the Unit sales. Based on the short-duration of the Unit Notes and their other terms, the Company determined that the fair value of the Unit Notes at the date of issuance was equal to their face value. Accordingly, the Company recorded an initial discount attributable to each Unit Note for an amount representing the difference between the face value of the Unit Note and its relative value. Additionally, the Unit Notes contain an embedded conversion feature, certain of which have an intrinsic value at the issuance date, which value the Company treated as an additional discount attributable to those Unit Notes, subject to limitations on the absolute amount of discount attributable to each Unit Note. The Company recorded a corresponding credit to additional paid-in capital, an equity account in the Condensed Consolidated Balance Sheet, attributable to the beneficial conversion feature. The Company amortizes the aggregate discount attributable to each of the Unit Notes using the interest method over the respective term of each Unit Note. Based on their respective discounts, the effective interest rates attributable to the Unit Notes range from 72.8% to 701.9%</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to Morrison &amp; Foerster</w:t>
      </w:r>
    </w:p>
    <w:p>
      <w:pPr>
        <w:spacing w:after="0" w:line="244"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On May 5, 2011, the Company and Morrison &amp; Foerster LLP (“</w:t>
      </w:r>
      <w:r>
        <w:rPr>
          <w:rFonts w:ascii="Times New Roman" w:cs="Times New Roman" w:eastAsia="Times New Roman" w:hAnsi="Times New Roman"/>
          <w:sz w:val="18"/>
          <w:szCs w:val="18"/>
          <w:i w:val="1"/>
          <w:iCs w:val="1"/>
          <w:color w:val="auto"/>
        </w:rPr>
        <w:t>Morrison &amp; Foerster</w:t>
      </w:r>
      <w:r>
        <w:rPr>
          <w:rFonts w:ascii="Times New Roman" w:cs="Times New Roman" w:eastAsia="Times New Roman" w:hAnsi="Times New Roman"/>
          <w:sz w:val="18"/>
          <w:szCs w:val="18"/>
          <w:color w:val="auto"/>
        </w:rPr>
        <w:t>”), the Company’s legal and intellectual property counsel, amended a previously outstanding note (the “</w:t>
      </w:r>
      <w:r>
        <w:rPr>
          <w:rFonts w:ascii="Times New Roman" w:cs="Times New Roman" w:eastAsia="Times New Roman" w:hAnsi="Times New Roman"/>
          <w:sz w:val="18"/>
          <w:szCs w:val="18"/>
          <w:i w:val="1"/>
          <w:iCs w:val="1"/>
          <w:color w:val="auto"/>
        </w:rPr>
        <w:t>Original Note</w:t>
      </w:r>
      <w:r>
        <w:rPr>
          <w:rFonts w:ascii="Times New Roman" w:cs="Times New Roman" w:eastAsia="Times New Roman" w:hAnsi="Times New Roman"/>
          <w:sz w:val="18"/>
          <w:szCs w:val="18"/>
          <w:color w:val="auto"/>
        </w:rPr>
        <w:t>”) issued by the Company in payment of legal services (the “</w:t>
      </w:r>
      <w:r>
        <w:rPr>
          <w:rFonts w:ascii="Times New Roman" w:cs="Times New Roman" w:eastAsia="Times New Roman" w:hAnsi="Times New Roman"/>
          <w:sz w:val="18"/>
          <w:szCs w:val="18"/>
          <w:i w:val="1"/>
          <w:iCs w:val="1"/>
          <w:color w:val="auto"/>
        </w:rPr>
        <w:t>Amended Note</w:t>
      </w:r>
      <w:r>
        <w:rPr>
          <w:rFonts w:ascii="Times New Roman" w:cs="Times New Roman" w:eastAsia="Times New Roman" w:hAnsi="Times New Roman"/>
          <w:sz w:val="18"/>
          <w:szCs w:val="18"/>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which the Company made in a timely manner.</w:t>
      </w:r>
    </w:p>
    <w:p>
      <w:pPr>
        <w:spacing w:after="0" w:line="20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On August 31, 2012, the Company restructured the Amended Note (the “</w:t>
      </w:r>
      <w:r>
        <w:rPr>
          <w:rFonts w:ascii="Times New Roman" w:cs="Times New Roman" w:eastAsia="Times New Roman" w:hAnsi="Times New Roman"/>
          <w:sz w:val="18"/>
          <w:szCs w:val="18"/>
          <w:i w:val="1"/>
          <w:iCs w:val="1"/>
          <w:color w:val="auto"/>
        </w:rPr>
        <w:t>Restructuring Agreement</w:t>
      </w:r>
      <w:r>
        <w:rPr>
          <w:rFonts w:ascii="Times New Roman" w:cs="Times New Roman" w:eastAsia="Times New Roman" w:hAnsi="Times New Roman"/>
          <w:sz w:val="18"/>
          <w:szCs w:val="18"/>
          <w:color w:val="auto"/>
        </w:rPr>
        <w:t>”). Pursuant to the Restructuring Agreement, the Company issued to Morrison &amp; Foerster two new unsecured promissory notes to replace the Amended Note, one in the principal amount of $1,000,000 ("</w:t>
      </w:r>
      <w:r>
        <w:rPr>
          <w:rFonts w:ascii="Times New Roman" w:cs="Times New Roman" w:eastAsia="Times New Roman" w:hAnsi="Times New Roman"/>
          <w:sz w:val="18"/>
          <w:szCs w:val="18"/>
          <w:i w:val="1"/>
          <w:iCs w:val="1"/>
          <w:color w:val="auto"/>
        </w:rPr>
        <w:t>Replacement Note A</w:t>
      </w:r>
      <w:r>
        <w:rPr>
          <w:rFonts w:ascii="Times New Roman" w:cs="Times New Roman" w:eastAsia="Times New Roman" w:hAnsi="Times New Roman"/>
          <w:sz w:val="18"/>
          <w:szCs w:val="18"/>
          <w:color w:val="auto"/>
        </w:rPr>
        <w:t>") and the other in the principal amount of $1,379,400 ("</w:t>
      </w:r>
      <w:r>
        <w:rPr>
          <w:rFonts w:ascii="Times New Roman" w:cs="Times New Roman" w:eastAsia="Times New Roman" w:hAnsi="Times New Roman"/>
          <w:sz w:val="18"/>
          <w:szCs w:val="18"/>
          <w:i w:val="1"/>
          <w:iCs w:val="1"/>
          <w:color w:val="auto"/>
        </w:rPr>
        <w:t>Replacement Note B</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i w:val="1"/>
          <w:iCs w:val="1"/>
          <w:color w:val="auto"/>
        </w:rPr>
        <w:t>Replacement Notes</w:t>
      </w:r>
      <w:r>
        <w:rPr>
          <w:rFonts w:ascii="Times New Roman" w:cs="Times New Roman" w:eastAsia="Times New Roman" w:hAnsi="Times New Roman"/>
          <w:sz w:val="18"/>
          <w:szCs w:val="18"/>
          <w:color w:val="auto"/>
        </w:rPr>
        <w:t xml:space="preserve">"); amended an outstanding warrant to purchase 425,000 restricted shares of the Company’s common stock (the </w:t>
      </w:r>
      <w:r>
        <w:rPr>
          <w:rFonts w:ascii="Times New Roman" w:cs="Times New Roman" w:eastAsia="Times New Roman" w:hAnsi="Times New Roman"/>
          <w:sz w:val="18"/>
          <w:szCs w:val="18"/>
          <w:i w:val="1"/>
          <w:iCs w:val="1"/>
          <w:color w:val="auto"/>
        </w:rPr>
        <w:t>“Amended M&amp;F Warrant”)</w:t>
      </w:r>
      <w:r>
        <w:rPr>
          <w:rFonts w:ascii="Times New Roman" w:cs="Times New Roman" w:eastAsia="Times New Roman" w:hAnsi="Times New Roman"/>
          <w:sz w:val="18"/>
          <w:szCs w:val="18"/>
          <w:color w:val="auto"/>
        </w:rPr>
        <w:t>; and issued a new warrant to purchase 1,379,376 restricted shares of the Company’s common stock (the “</w:t>
      </w:r>
      <w:r>
        <w:rPr>
          <w:rFonts w:ascii="Times New Roman" w:cs="Times New Roman" w:eastAsia="Times New Roman" w:hAnsi="Times New Roman"/>
          <w:sz w:val="18"/>
          <w:szCs w:val="18"/>
          <w:i w:val="1"/>
          <w:iCs w:val="1"/>
          <w:color w:val="auto"/>
        </w:rPr>
        <w:t>New M&amp;F Warrant”).</w:t>
      </w:r>
      <w:r>
        <w:rPr>
          <w:rFonts w:ascii="Times New Roman" w:cs="Times New Roman" w:eastAsia="Times New Roman" w:hAnsi="Times New Roman"/>
          <w:sz w:val="18"/>
          <w:szCs w:val="18"/>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the Company has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w:t>
      </w:r>
    </w:p>
    <w:p>
      <w:pPr>
        <w:spacing w:after="0" w:line="21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Company treated the aggregate of the incremental value of the Amended M&amp;F Warrant and the fair value of the New M&amp;F Warrant as a discount to the Replacement Notes. Through December 31, 2013, the Company has adjusted the New M&amp;F Warrant to increase the number of restricted shares available for purchase by 161,179 shares, based on interest accrued on Replacement Note B through that date. The Company has recorded the fair value of the additional warrant shares as a charge to interest expense and a corresponding credit to additional paid-in capital.</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University Health Network (“</w:t>
      </w:r>
      <w:r>
        <w:rPr>
          <w:rFonts w:ascii="Times New Roman" w:cs="Times New Roman" w:eastAsia="Times New Roman" w:hAnsi="Times New Roman"/>
          <w:sz w:val="18"/>
          <w:szCs w:val="18"/>
          <w:b w:val="1"/>
          <w:bCs w:val="1"/>
          <w:i w:val="1"/>
          <w:iCs w:val="1"/>
          <w:color w:val="auto"/>
        </w:rPr>
        <w:t>UHN</w:t>
      </w:r>
      <w:r>
        <w:rPr>
          <w:rFonts w:ascii="Times New Roman" w:cs="Times New Roman" w:eastAsia="Times New Roman" w:hAnsi="Times New Roman"/>
          <w:sz w:val="18"/>
          <w:szCs w:val="18"/>
          <w:b w:val="1"/>
          <w:bCs w:val="1"/>
          <w:color w:val="auto"/>
        </w:rPr>
        <w:t>”)</w:t>
      </w:r>
    </w:p>
    <w:p>
      <w:pPr>
        <w:spacing w:after="0" w:line="24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Sponsored Research Collaboration Agreement (“</w:t>
      </w:r>
      <w:r>
        <w:rPr>
          <w:rFonts w:ascii="Times New Roman" w:cs="Times New Roman" w:eastAsia="Times New Roman" w:hAnsi="Times New Roman"/>
          <w:sz w:val="18"/>
          <w:szCs w:val="18"/>
          <w:i w:val="1"/>
          <w:iCs w:val="1"/>
          <w:color w:val="auto"/>
        </w:rPr>
        <w:t>SRCA</w:t>
      </w:r>
      <w:r>
        <w:rPr>
          <w:rFonts w:ascii="Times New Roman" w:cs="Times New Roman" w:eastAsia="Times New Roman" w:hAnsi="Times New Roman"/>
          <w:sz w:val="18"/>
          <w:szCs w:val="18"/>
          <w:color w:val="auto"/>
        </w:rPr>
        <w:t xml:space="preserve">”, described in Note 8, </w:t>
      </w:r>
      <w:r>
        <w:rPr>
          <w:rFonts w:ascii="Times New Roman" w:cs="Times New Roman" w:eastAsia="Times New Roman" w:hAnsi="Times New Roman"/>
          <w:sz w:val="18"/>
          <w:szCs w:val="18"/>
          <w:i w:val="1"/>
          <w:iCs w:val="1"/>
          <w:color w:val="auto"/>
        </w:rPr>
        <w:t>Licensing and Collaborative Agreements</w:t>
      </w:r>
      <w:r>
        <w:rPr>
          <w:rFonts w:ascii="Times New Roman" w:cs="Times New Roman" w:eastAsia="Times New Roman" w:hAnsi="Times New Roman"/>
          <w:sz w:val="18"/>
          <w:szCs w:val="18"/>
          <w:color w:val="auto"/>
        </w:rPr>
        <w:t>) through September 30, 2012 (the “</w:t>
      </w:r>
      <w:r>
        <w:rPr>
          <w:rFonts w:ascii="Times New Roman" w:cs="Times New Roman" w:eastAsia="Times New Roman" w:hAnsi="Times New Roman"/>
          <w:sz w:val="18"/>
          <w:szCs w:val="18"/>
          <w:i w:val="1"/>
          <w:iCs w:val="1"/>
          <w:color w:val="auto"/>
        </w:rPr>
        <w:t>UHN Note</w:t>
      </w:r>
      <w:r>
        <w:rPr>
          <w:rFonts w:ascii="Times New Roman" w:cs="Times New Roman" w:eastAsia="Times New Roman" w:hAnsi="Times New Roman"/>
          <w:sz w:val="18"/>
          <w:szCs w:val="18"/>
          <w:color w:val="auto"/>
        </w:rPr>
        <w:t>”), and (ii) a five-year warrant to purchase, at a price of $1.00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549,500 restricted shares of the Company’s common stock, the amount equal to the sum of the principal amount of the UHN Note, plus all accrued interest thereon, divided by $1.00 per share (the “</w:t>
      </w:r>
      <w:r>
        <w:rPr>
          <w:rFonts w:ascii="Times New Roman" w:cs="Times New Roman" w:eastAsia="Times New Roman" w:hAnsi="Times New Roman"/>
          <w:sz w:val="18"/>
          <w:szCs w:val="18"/>
          <w:i w:val="1"/>
          <w:iCs w:val="1"/>
          <w:color w:val="auto"/>
        </w:rPr>
        <w:t>UHN Warrant</w:t>
      </w:r>
      <w:r>
        <w:rPr>
          <w:rFonts w:ascii="Times New Roman" w:cs="Times New Roman" w:eastAsia="Times New Roman" w:hAnsi="Times New Roman"/>
          <w:sz w:val="18"/>
          <w:szCs w:val="18"/>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1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difference between the face value of the UHN Note and its issuance-date fair value has been treated as a discount to the note and is being amortized over the term of the note using the interest method. Through December 31, 2013, the Company has adjusted the UHN Warrant to increase the number of shares available for purchase by 50,471 shares, based on interest accrued on the UHN Note through that date. The Company has recorded the fair value of the additional warrant shares as a charge to interest expense and a corresponding credit to additional paid-in capital.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for Cancellation of Amounts Payable</w:t>
      </w:r>
    </w:p>
    <w:p>
      <w:pPr>
        <w:spacing w:after="0" w:line="24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On February 25, 2011, the Company issued to Burr, Pilger, and Mayer, LLC (“</w:t>
      </w:r>
      <w:r>
        <w:rPr>
          <w:rFonts w:ascii="Times New Roman" w:cs="Times New Roman" w:eastAsia="Times New Roman" w:hAnsi="Times New Roman"/>
          <w:sz w:val="18"/>
          <w:szCs w:val="18"/>
          <w:i w:val="1"/>
          <w:iCs w:val="1"/>
          <w:color w:val="auto"/>
        </w:rPr>
        <w:t>BPM</w:t>
      </w:r>
      <w:r>
        <w:rPr>
          <w:rFonts w:ascii="Times New Roman" w:cs="Times New Roman" w:eastAsia="Times New Roman" w:hAnsi="Times New Roman"/>
          <w:sz w:val="18"/>
          <w:szCs w:val="18"/>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8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On April 29, 2011, the Company issued to Desjardins Securities, Inc. (“</w:t>
      </w:r>
      <w:r>
        <w:rPr>
          <w:rFonts w:ascii="Times New Roman" w:cs="Times New Roman" w:eastAsia="Times New Roman" w:hAnsi="Times New Roman"/>
          <w:sz w:val="17"/>
          <w:szCs w:val="17"/>
          <w:i w:val="1"/>
          <w:iCs w:val="1"/>
          <w:color w:val="auto"/>
        </w:rPr>
        <w:t>Desjardins</w:t>
      </w:r>
      <w:r>
        <w:rPr>
          <w:rFonts w:ascii="Times New Roman" w:cs="Times New Roman" w:eastAsia="Times New Roman" w:hAnsi="Times New Roman"/>
          <w:sz w:val="17"/>
          <w:szCs w:val="17"/>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shall also make payments equal to one-half percent (0.5%) of the net proceeds of all private or public equity financings closed during the term of the note.</w:t>
      </w:r>
    </w:p>
    <w:p>
      <w:pPr>
        <w:spacing w:after="0" w:line="17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On May 5, 2011, the Company issued to McCarthy Tetrault LLP (“</w:t>
      </w:r>
      <w:r>
        <w:rPr>
          <w:rFonts w:ascii="Times New Roman" w:cs="Times New Roman" w:eastAsia="Times New Roman" w:hAnsi="Times New Roman"/>
          <w:sz w:val="18"/>
          <w:szCs w:val="18"/>
          <w:i w:val="1"/>
          <w:iCs w:val="1"/>
          <w:color w:val="auto"/>
        </w:rPr>
        <w:t>McCarthy</w:t>
      </w:r>
      <w:r>
        <w:rPr>
          <w:rFonts w:ascii="Times New Roman" w:cs="Times New Roman" w:eastAsia="Times New Roman" w:hAnsi="Times New Roman"/>
          <w:sz w:val="18"/>
          <w:szCs w:val="18"/>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At September 30, 2012, the Company had not made the monthly payments required for February through September 2012. In October 2012, the Company and McCarthy agreed to extend the term of the note through March 2015.</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 during the second quarter of the fiscal year ended March 31,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Cato Holding Company</w:t>
      </w:r>
    </w:p>
    <w:p>
      <w:pPr>
        <w:spacing w:after="0" w:line="24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April 2011, all amounts owed by the Company to 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a related party, and its affiliates, were consolidated into a single note, in the principal amount of $352,300 (the “</w:t>
      </w:r>
      <w:r>
        <w:rPr>
          <w:rFonts w:ascii="Times New Roman" w:cs="Times New Roman" w:eastAsia="Times New Roman" w:hAnsi="Times New Roman"/>
          <w:sz w:val="18"/>
          <w:szCs w:val="18"/>
          <w:i w:val="1"/>
          <w:iCs w:val="1"/>
          <w:color w:val="auto"/>
        </w:rPr>
        <w:t>2011 CHC Note</w:t>
      </w:r>
      <w:r>
        <w:rPr>
          <w:rFonts w:ascii="Times New Roman" w:cs="Times New Roman" w:eastAsia="Times New Roman" w:hAnsi="Times New Roman"/>
          <w:sz w:val="18"/>
          <w:szCs w:val="18"/>
          <w:color w:val="auto"/>
        </w:rPr>
        <w:t>”). Concurrently, CHC released all of its security interests in certain of the Company’s personal property. The 2011 CHC note was to bear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w:t>
      </w:r>
    </w:p>
    <w:p>
      <w:pPr>
        <w:spacing w:after="0" w:line="21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On October 10, 2012, the Company and CHC restructured the 2011 CHC Note by cancelling the 2011 CHC Note and exchanging it for a new unsecured promissory note in the principal amount of $310,400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and a five-year warrant to purchase 250,000 shares of the Company’s common stock at a price of $1.50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 The 2012 CHC Note accrues interest at a rate of 7.5% per annum and is due and payable in monthly installments of $10,000, beginning November 1, 2012 and continuing until the outstanding balance is paid in full.</w:t>
      </w:r>
    </w:p>
    <w:p>
      <w:pPr>
        <w:spacing w:after="0" w:line="20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The Company recognized the difference between the sum of the fair values of the 2012 CHC Note and the CHC Warrant less the carrying value of the 2011 CHC Note, $119,100, as a non-cash loss on early extinguishment of debt in the Consolidated Statements of Operations and Comprehensive Income for the third quarter of the fiscal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 to Cato Research Ltd.</w:t>
      </w:r>
    </w:p>
    <w:p>
      <w:pPr>
        <w:spacing w:after="0" w:line="24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October 10, 2012, the Company issued to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a related party: (i) an unsecured promissory note in the initial principal amount of $1,009,000, which is payable solely in restricted shares of the Company’s common stock and which accrues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as payment in full for all contract research and development services and regulatory advice (“</w:t>
      </w:r>
      <w:r>
        <w:rPr>
          <w:rFonts w:ascii="Times New Roman" w:cs="Times New Roman" w:eastAsia="Times New Roman" w:hAnsi="Times New Roman"/>
          <w:sz w:val="18"/>
          <w:szCs w:val="18"/>
          <w:i w:val="1"/>
          <w:iCs w:val="1"/>
          <w:color w:val="auto"/>
        </w:rPr>
        <w:t>CRO Services</w:t>
      </w:r>
      <w:r>
        <w:rPr>
          <w:rFonts w:ascii="Times New Roman" w:cs="Times New Roman" w:eastAsia="Times New Roman" w:hAnsi="Times New Roman"/>
          <w:sz w:val="18"/>
          <w:szCs w:val="18"/>
          <w:color w:val="auto"/>
        </w:rPr>
        <w:t>”) rendered by CRL to the Company and its affiliates through December 31, 2012 with respect to the preclinical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cs="Times New Roman" w:eastAsia="Times New Roman" w:hAnsi="Times New Roman"/>
          <w:sz w:val="18"/>
          <w:szCs w:val="18"/>
          <w:i w:val="1"/>
          <w:iCs w:val="1"/>
          <w:color w:val="auto"/>
        </w:rPr>
        <w:t>CRL Warrant</w:t>
      </w:r>
      <w:r>
        <w:rPr>
          <w:rFonts w:ascii="Times New Roman" w:cs="Times New Roman" w:eastAsia="Times New Roman" w:hAnsi="Times New Roman"/>
          <w:sz w:val="18"/>
          <w:szCs w:val="18"/>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$486,200. The Company recognized the difference between the sum of the fair values of the CRL Note and the CRL Warrant less the accounts payable balance due to CRL, $335,100, as a non-cash loss on early extinguishment of debt in the Consolidated Statements of Operations and Comprehensive Income for the third quarter of the fiscal year ended March 31, 2013. The fair value of the warrant, $486,200,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Through December 31, 2013, the Company has adjusted the CRL Warrant to increase the number of restricted shares available for purchase by 96,754 shares, based on interest accrued on the CRL Note through that date. The Company has recorded the fair value of the additional warrant shares as a charge to interest expense and a corresponding credit to additional paid-in capital.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Licensing and Collaborative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Health Network</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17, 2007, the Company and UHN entered into a Sponsored Research Collaboration Agreement (“</w:t>
      </w:r>
      <w:r>
        <w:rPr>
          <w:rFonts w:ascii="Times New Roman" w:cs="Times New Roman" w:eastAsia="Times New Roman" w:hAnsi="Times New Roman"/>
          <w:sz w:val="17"/>
          <w:szCs w:val="17"/>
          <w:i w:val="1"/>
          <w:iCs w:val="1"/>
          <w:color w:val="auto"/>
        </w:rPr>
        <w:t>SRCA</w:t>
      </w:r>
      <w:r>
        <w:rPr>
          <w:rFonts w:ascii="Times New Roman" w:cs="Times New Roman" w:eastAsia="Times New Roman" w:hAnsi="Times New Roman"/>
          <w:sz w:val="17"/>
          <w:szCs w:val="17"/>
          <w:color w:val="auto"/>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7, </w:t>
      </w:r>
      <w:r>
        <w:rPr>
          <w:rFonts w:ascii="Times New Roman" w:cs="Times New Roman" w:eastAsia="Times New Roman" w:hAnsi="Times New Roman"/>
          <w:sz w:val="17"/>
          <w:szCs w:val="17"/>
          <w:i w:val="1"/>
          <w:iCs w:val="1"/>
          <w:color w:val="auto"/>
        </w:rPr>
        <w:t>Convertible Notes and Other Notes Payable</w:t>
      </w:r>
      <w:r>
        <w:rPr>
          <w:rFonts w:ascii="Times New Roman" w:cs="Times New Roman" w:eastAsia="Times New Roman" w:hAnsi="Times New Roman"/>
          <w:sz w:val="17"/>
          <w:szCs w:val="17"/>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0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National Institutes of Health</w:t>
      </w:r>
    </w:p>
    <w:p>
      <w:pPr>
        <w:spacing w:after="0" w:line="24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During fiscal years 2006 through 2008,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Cato Research Ltd.</w:t>
      </w:r>
    </w:p>
    <w:p>
      <w:pPr>
        <w:spacing w:after="0" w:line="24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Company has built a strategic development relationship with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xml:space="preserve">”), a global contract research and development organization, or CRO, and an affiliate of one of the Company’s largest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$7,500 and $45,000 for the three and nine month periods ended December 31, 2013, respectively, and $124,700 and $639,300 for the three and nine month periods ended December 31, 2012, respectively. As described in Note 7, </w:t>
      </w:r>
      <w:r>
        <w:rPr>
          <w:rFonts w:ascii="Times New Roman" w:cs="Times New Roman" w:eastAsia="Times New Roman" w:hAnsi="Times New Roman"/>
          <w:sz w:val="18"/>
          <w:szCs w:val="18"/>
          <w:i w:val="1"/>
          <w:iCs w:val="1"/>
          <w:color w:val="auto"/>
        </w:rPr>
        <w:t>Convertible Promissory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Notes Payable</w:t>
      </w:r>
      <w:r>
        <w:rPr>
          <w:rFonts w:ascii="Times New Roman" w:cs="Times New Roman" w:eastAsia="Times New Roman" w:hAnsi="Times New Roman"/>
          <w:sz w:val="18"/>
          <w:szCs w:val="18"/>
          <w:color w:val="auto"/>
        </w:rPr>
        <w:t>, in October 2012, the Company issued an unsecured promissory note in the principal amount of $1,009,000, and a warrant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1,009,000 shares of the Company’s common stock, as payment in full of all amounts owed to CRL for CRO services rendered to the Company through December 31, 2012.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Autilion AG Securities Purchase Agreement</w:t>
      </w:r>
    </w:p>
    <w:p>
      <w:pPr>
        <w:spacing w:after="0" w:line="24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On April 8, 2013, the Company entered into a Securities Purchase Agreement (as amended, the “</w:t>
      </w:r>
      <w:r>
        <w:rPr>
          <w:rFonts w:ascii="Times New Roman" w:cs="Times New Roman" w:eastAsia="Times New Roman" w:hAnsi="Times New Roman"/>
          <w:sz w:val="18"/>
          <w:szCs w:val="18"/>
          <w:i w:val="1"/>
          <w:iCs w:val="1"/>
          <w:color w:val="auto"/>
        </w:rPr>
        <w:t>Securities Purchase Agreement</w:t>
      </w:r>
      <w:r>
        <w:rPr>
          <w:rFonts w:ascii="Times New Roman" w:cs="Times New Roman" w:eastAsia="Times New Roman" w:hAnsi="Times New Roman"/>
          <w:sz w:val="18"/>
          <w:szCs w:val="18"/>
          <w:color w:val="auto"/>
        </w:rPr>
        <w:t>”) with Autilion AG, a company organized and existing under the laws of Switzerland (“</w:t>
      </w:r>
      <w:r>
        <w:rPr>
          <w:rFonts w:ascii="Times New Roman" w:cs="Times New Roman" w:eastAsia="Times New Roman" w:hAnsi="Times New Roman"/>
          <w:sz w:val="18"/>
          <w:szCs w:val="18"/>
          <w:i w:val="1"/>
          <w:iCs w:val="1"/>
          <w:color w:val="auto"/>
        </w:rPr>
        <w:t>Autilion</w:t>
      </w:r>
      <w:r>
        <w:rPr>
          <w:rFonts w:ascii="Times New Roman" w:cs="Times New Roman" w:eastAsia="Times New Roman" w:hAnsi="Times New Roman"/>
          <w:sz w:val="18"/>
          <w:szCs w:val="18"/>
          <w:color w:val="auto"/>
        </w:rPr>
        <w:t>”). On April 12, 2013, Autilion assigned the Purchase Agreement to its affiliate, Bergamo Acquisition Corp. PTE LTD, a corporation organized and existing under the laws of Singapore (“</w:t>
      </w:r>
      <w:r>
        <w:rPr>
          <w:rFonts w:ascii="Times New Roman" w:cs="Times New Roman" w:eastAsia="Times New Roman" w:hAnsi="Times New Roman"/>
          <w:sz w:val="18"/>
          <w:szCs w:val="18"/>
          <w:i w:val="1"/>
          <w:iCs w:val="1"/>
          <w:color w:val="auto"/>
        </w:rPr>
        <w:t>Bergamo Singapore</w:t>
      </w:r>
      <w:r>
        <w:rPr>
          <w:rFonts w:ascii="Times New Roman" w:cs="Times New Roman" w:eastAsia="Times New Roman" w:hAnsi="Times New Roman"/>
          <w:sz w:val="18"/>
          <w:szCs w:val="18"/>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Times New Roman" w:cs="Times New Roman" w:eastAsia="Times New Roman" w:hAnsi="Times New Roman"/>
          <w:sz w:val="18"/>
          <w:szCs w:val="18"/>
          <w:i w:val="1"/>
          <w:iCs w:val="1"/>
          <w:color w:val="auto"/>
        </w:rPr>
        <w:t>Autilion Financing</w:t>
      </w:r>
      <w:r>
        <w:rPr>
          <w:rFonts w:ascii="Times New Roman" w:cs="Times New Roman" w:eastAsia="Times New Roman" w:hAnsi="Times New Roman"/>
          <w:sz w:val="18"/>
          <w:szCs w:val="18"/>
          <w:color w:val="auto"/>
        </w:rPr>
        <w:t>”). At December 31, 2013, the Company had completed a nominal initial closing of the Autilion Financing in the amount of $25,000 and issued 50,000 restricted shares of common stock. Although there can be no assurance that an additional closing of the Autilion Financing will occur, in early January 2014, Autilion informed the Company of its expectation that the Company will receive the full $36.0 million committed under the terms of the Securities Purchase Agreement by mid-February 2014. As of the date of this report, there has not been a subsequent closing of the Autilion Financing. The Securities Purchase Agreement also provides for the election to the Company’s board of directors of a designee of Autilion upon completion of the Autilion Financing.</w:t>
      </w:r>
    </w:p>
    <w:p>
      <w:pPr>
        <w:spacing w:after="0" w:line="21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Company and Autilion also entered into a Voting Agreement, pursuant to which Autilion has agreed to vote all shares of capital stock of the Company held by Autilion consistent with the recommendation of a majority of the members of the Company’s board of directors. In addition, in the event of a Change in Control of the Company, as defined in the Voting Agreement, or an extraordinary transaction outside of the ordinary course of the Company’s business, in each case approved by a majority of the Company’s board of directors, including Autilion’s designee, as well as by the holders of a majority of the outstanding shares of Common Stock held by stockholders unaffiliated with Autilion (an “</w:t>
      </w:r>
      <w:r>
        <w:rPr>
          <w:rFonts w:ascii="Times New Roman" w:cs="Times New Roman" w:eastAsia="Times New Roman" w:hAnsi="Times New Roman"/>
          <w:sz w:val="18"/>
          <w:szCs w:val="18"/>
          <w:i w:val="1"/>
          <w:iCs w:val="1"/>
          <w:color w:val="auto"/>
        </w:rPr>
        <w:t>Approved Transaction</w:t>
      </w:r>
      <w:r>
        <w:rPr>
          <w:rFonts w:ascii="Times New Roman" w:cs="Times New Roman" w:eastAsia="Times New Roman" w:hAnsi="Times New Roman"/>
          <w:sz w:val="18"/>
          <w:szCs w:val="18"/>
          <w:color w:val="auto"/>
        </w:rPr>
        <w:t>”), Autilion is required to vote all shares of capital stock of the Company held by it for such Approved Transaction.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Unit Private Placement</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Between August and December 2013, the Company entered into securities purchase agreements with accredited investors pursuant to which it sold to such investors 116 Units, each Unit consisting of (i) a 10% convertible note in the face amount of $5,000 maturing on July 30, 2014 (the “</w:t>
      </w:r>
      <w:r>
        <w:rPr>
          <w:rFonts w:ascii="Times New Roman" w:cs="Times New Roman" w:eastAsia="Times New Roman" w:hAnsi="Times New Roman"/>
          <w:sz w:val="18"/>
          <w:szCs w:val="18"/>
          <w:i w:val="1"/>
          <w:iCs w:val="1"/>
          <w:color w:val="auto"/>
        </w:rPr>
        <w:t>Unit Note</w:t>
      </w:r>
      <w:r>
        <w:rPr>
          <w:rFonts w:ascii="Times New Roman" w:cs="Times New Roman" w:eastAsia="Times New Roman" w:hAnsi="Times New Roman"/>
          <w:sz w:val="18"/>
          <w:szCs w:val="18"/>
          <w:color w:val="auto"/>
        </w:rPr>
        <w:t>”); (ii) 10,000 shares of the Company’s restricted common stock (the “</w:t>
      </w:r>
      <w:r>
        <w:rPr>
          <w:rFonts w:ascii="Times New Roman" w:cs="Times New Roman" w:eastAsia="Times New Roman" w:hAnsi="Times New Roman"/>
          <w:sz w:val="18"/>
          <w:szCs w:val="18"/>
          <w:i w:val="1"/>
          <w:iCs w:val="1"/>
          <w:color w:val="auto"/>
        </w:rPr>
        <w:t>Unit Stock</w:t>
      </w:r>
      <w:r>
        <w:rPr>
          <w:rFonts w:ascii="Times New Roman" w:cs="Times New Roman" w:eastAsia="Times New Roman" w:hAnsi="Times New Roman"/>
          <w:sz w:val="18"/>
          <w:szCs w:val="18"/>
          <w:color w:val="auto"/>
        </w:rPr>
        <w:t>”); and (iii) a warrant exercisable through July 30, 2016 to purchase 10,000 restricted shares of the Company’s common stock at an exercise price of $1.00 per share (the “</w:t>
      </w:r>
      <w:r>
        <w:rPr>
          <w:rFonts w:ascii="Times New Roman" w:cs="Times New Roman" w:eastAsia="Times New Roman" w:hAnsi="Times New Roman"/>
          <w:sz w:val="18"/>
          <w:szCs w:val="18"/>
          <w:i w:val="1"/>
          <w:iCs w:val="1"/>
          <w:color w:val="auto"/>
        </w:rPr>
        <w:t>Unit Warrant</w:t>
      </w:r>
      <w:r>
        <w:rPr>
          <w:rFonts w:ascii="Times New Roman" w:cs="Times New Roman" w:eastAsia="Times New Roman" w:hAnsi="Times New Roman"/>
          <w:sz w:val="18"/>
          <w:szCs w:val="18"/>
          <w:color w:val="auto"/>
        </w:rPr>
        <w:t>”). Accordingly, the Company issued Unit Notes in the aggregate face amount of $580,000; an aggregate of 1,160,000 shares of Unit Stock, and warrants to purchase an aggregate of 1,160,000 shares of the Company’s restricted common stock pursuant to the Unit Warrants, and received cash proceeds of $580,000, including $50,000 in lieu of repayment of previous advances to the Company made by one of its executive officers. The Unit Notes and related accrued interest are convertible into shares of the Company’s common stock at a conversion price of $0.50 per share at or prior to maturity, at the option of each investor. The Units also represent the Exchange Securities into which Platinum may convert the July 2013 Note.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The Company allocated the proceeds from the sale of the Units to the various securities based on their relative fair values on the dates of the sales. As described in Note 7, </w:t>
      </w:r>
      <w:r>
        <w:rPr>
          <w:rFonts w:ascii="Times New Roman" w:cs="Times New Roman" w:eastAsia="Times New Roman" w:hAnsi="Times New Roman"/>
          <w:sz w:val="18"/>
          <w:szCs w:val="18"/>
          <w:i w:val="1"/>
          <w:iCs w:val="1"/>
          <w:color w:val="auto"/>
        </w:rPr>
        <w:t>Convertible PromissoryNotes and Other Notes Payable</w:t>
      </w:r>
      <w:r>
        <w:rPr>
          <w:rFonts w:ascii="Times New Roman" w:cs="Times New Roman" w:eastAsia="Times New Roman" w:hAnsi="Times New Roman"/>
          <w:sz w:val="18"/>
          <w:szCs w:val="18"/>
          <w:color w:val="auto"/>
        </w:rPr>
        <w:t>, based on the short-term nature of the Unit Notes, the Company determined that fair value of the Unit Notes was equal to their face value. The Company determined the fair value of the Unit Stock based on the quoted market price of its stock on the date of the Unit sale. The Company calculated the fair value of the Unit Warrants using the Black Scholes Option Pricing Model and the weighted average assumptions indicated in the table below. The table below also presents the aggregate allocation of the Unit sales proceeds based on the relative fair values of the Unit Stock, Unit Warrants and Unit Notes at the Unit sales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Unit Warrants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color w:val="auto"/>
              </w:rPr>
              <w:t>Weighted Average Issuance Date Valuation Assumptions</w:t>
            </w:r>
          </w:p>
        </w:tc>
        <w:tc>
          <w:tcPr>
            <w:tcW w:w="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Aggregate</w:t>
            </w:r>
          </w:p>
        </w:tc>
        <w:tc>
          <w:tcPr>
            <w:tcW w:w="29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Aggregate Allocation of Proceeds</w:t>
            </w:r>
          </w:p>
        </w:tc>
        <w:tc>
          <w:tcPr>
            <w:tcW w:w="0" w:type="dxa"/>
            <w:vAlign w:val="bottom"/>
          </w:tcPr>
          <w:p>
            <w:pPr>
              <w:spacing w:after="0"/>
              <w:rPr>
                <w:sz w:val="1"/>
                <w:szCs w:val="1"/>
                <w:color w:val="auto"/>
              </w:rPr>
            </w:pPr>
          </w:p>
        </w:tc>
      </w:tr>
      <w:tr>
        <w:trPr>
          <w:trHeight w:val="219"/>
        </w:trPr>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4"/>
              </w:rPr>
              <w:t>Warrant</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Risk free</w:t>
            </w: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Fair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Proceeds</w:t>
            </w:r>
          </w:p>
        </w:tc>
        <w:tc>
          <w:tcPr>
            <w:tcW w:w="29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7"/>
              </w:rPr>
              <w:t>Based on Relative Fair Value of:</w:t>
            </w:r>
          </w:p>
        </w:tc>
        <w:tc>
          <w:tcPr>
            <w:tcW w:w="0" w:type="dxa"/>
            <w:vAlign w:val="bottom"/>
          </w:tcPr>
          <w:p>
            <w:pPr>
              <w:spacing w:after="0"/>
              <w:rPr>
                <w:sz w:val="1"/>
                <w:szCs w:val="1"/>
                <w:color w:val="auto"/>
              </w:rPr>
            </w:pPr>
          </w:p>
        </w:tc>
      </w:tr>
      <w:tr>
        <w:trPr>
          <w:trHeight w:val="194"/>
        </w:trPr>
        <w:tc>
          <w:tcPr>
            <w:tcW w:w="92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Shares</w:t>
            </w:r>
          </w:p>
        </w:tc>
        <w:tc>
          <w:tcPr>
            <w:tcW w:w="7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Market</w:t>
            </w:r>
          </w:p>
        </w:tc>
        <w:tc>
          <w:tcPr>
            <w:tcW w:w="820" w:type="dxa"/>
            <w:vAlign w:val="bottom"/>
          </w:tcPr>
          <w:p>
            <w:pPr>
              <w:jc w:val="center"/>
              <w:ind w:right="12"/>
              <w:spacing w:after="0" w:line="194" w:lineRule="exact"/>
              <w:rPr>
                <w:sz w:val="20"/>
                <w:szCs w:val="20"/>
                <w:color w:val="auto"/>
              </w:rPr>
            </w:pPr>
            <w:r>
              <w:rPr>
                <w:rFonts w:ascii="Times New Roman" w:cs="Times New Roman" w:eastAsia="Times New Roman" w:hAnsi="Times New Roman"/>
                <w:sz w:val="18"/>
                <w:szCs w:val="18"/>
                <w:color w:val="auto"/>
                <w:w w:val="96"/>
              </w:rPr>
              <w:t>Exercise</w:t>
            </w:r>
          </w:p>
        </w:tc>
        <w:tc>
          <w:tcPr>
            <w:tcW w:w="700" w:type="dxa"/>
            <w:vAlign w:val="bottom"/>
          </w:tcPr>
          <w:p>
            <w:pPr>
              <w:jc w:val="center"/>
              <w:ind w:right="12"/>
              <w:spacing w:after="0" w:line="194" w:lineRule="exact"/>
              <w:rPr>
                <w:sz w:val="20"/>
                <w:szCs w:val="20"/>
                <w:color w:val="auto"/>
              </w:rPr>
            </w:pPr>
            <w:r>
              <w:rPr>
                <w:rFonts w:ascii="Times New Roman" w:cs="Times New Roman" w:eastAsia="Times New Roman" w:hAnsi="Times New Roman"/>
                <w:sz w:val="18"/>
                <w:szCs w:val="18"/>
                <w:color w:val="auto"/>
                <w:w w:val="92"/>
              </w:rPr>
              <w:t>Term</w:t>
            </w:r>
          </w:p>
        </w:tc>
        <w:tc>
          <w:tcPr>
            <w:tcW w:w="880" w:type="dxa"/>
            <w:vAlign w:val="bottom"/>
          </w:tcPr>
          <w:p>
            <w:pPr>
              <w:jc w:val="center"/>
              <w:ind w:right="32"/>
              <w:spacing w:after="0" w:line="194" w:lineRule="exact"/>
              <w:rPr>
                <w:sz w:val="20"/>
                <w:szCs w:val="20"/>
                <w:color w:val="auto"/>
              </w:rPr>
            </w:pPr>
            <w:r>
              <w:rPr>
                <w:rFonts w:ascii="Times New Roman" w:cs="Times New Roman" w:eastAsia="Times New Roman" w:hAnsi="Times New Roman"/>
                <w:sz w:val="18"/>
                <w:szCs w:val="18"/>
                <w:color w:val="auto"/>
                <w:w w:val="96"/>
              </w:rPr>
              <w:t>Interest</w:t>
            </w:r>
          </w:p>
        </w:tc>
        <w:tc>
          <w:tcPr>
            <w:tcW w:w="900" w:type="dxa"/>
            <w:vAlign w:val="bottom"/>
          </w:tcPr>
          <w:p>
            <w:pPr>
              <w:spacing w:after="0"/>
              <w:rPr>
                <w:sz w:val="16"/>
                <w:szCs w:val="16"/>
                <w:color w:val="auto"/>
              </w:rPr>
            </w:pPr>
          </w:p>
        </w:tc>
        <w:tc>
          <w:tcPr>
            <w:tcW w:w="9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Dividend</w:t>
            </w: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2"/>
              </w:rPr>
              <w:t>Value of</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of Unit</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of Unit</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52"/>
              <w:spacing w:after="0" w:line="194" w:lineRule="exact"/>
              <w:rPr>
                <w:sz w:val="20"/>
                <w:szCs w:val="20"/>
                <w:color w:val="auto"/>
              </w:rPr>
            </w:pPr>
            <w:r>
              <w:rPr>
                <w:rFonts w:ascii="Times New Roman" w:cs="Times New Roman" w:eastAsia="Times New Roman" w:hAnsi="Times New Roman"/>
                <w:sz w:val="18"/>
                <w:szCs w:val="18"/>
                <w:color w:val="auto"/>
                <w:w w:val="99"/>
              </w:rPr>
              <w:t>Unit</w:t>
            </w: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Issued</w:t>
            </w: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Price</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Price</w:t>
            </w: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(Years)</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Rate</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Rate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Warrant</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Warrants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Sales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Unit Stock</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4"/>
              </w:rPr>
              <w:t>Warrant</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Unit Note</w:t>
            </w:r>
          </w:p>
        </w:tc>
        <w:tc>
          <w:tcPr>
            <w:tcW w:w="0" w:type="dxa"/>
            <w:vAlign w:val="bottom"/>
          </w:tcPr>
          <w:p>
            <w:pPr>
              <w:spacing w:after="0"/>
              <w:rPr>
                <w:sz w:val="1"/>
                <w:szCs w:val="1"/>
                <w:color w:val="auto"/>
              </w:rPr>
            </w:pPr>
          </w:p>
        </w:tc>
      </w:tr>
      <w:tr>
        <w:trPr>
          <w:trHeight w:val="212"/>
        </w:trPr>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1,160,000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$580,000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Warrants held by Platinum</w:t>
      </w:r>
    </w:p>
    <w:p>
      <w:pPr>
        <w:spacing w:after="0" w:line="244"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Effective on May 24, 2013, the Company and Platinum entered into an Amendment and Waiver Agreement (the “</w:t>
      </w:r>
      <w:r>
        <w:rPr>
          <w:rFonts w:ascii="Times New Roman" w:cs="Times New Roman" w:eastAsia="Times New Roman" w:hAnsi="Times New Roman"/>
          <w:sz w:val="17"/>
          <w:szCs w:val="17"/>
          <w:i w:val="1"/>
          <w:iCs w:val="1"/>
          <w:color w:val="auto"/>
        </w:rPr>
        <w:t>Amendment and Waiver</w:t>
      </w:r>
      <w:r>
        <w:rPr>
          <w:rFonts w:ascii="Times New Roman" w:cs="Times New Roman" w:eastAsia="Times New Roman" w:hAnsi="Times New Roman"/>
          <w:sz w:val="17"/>
          <w:szCs w:val="17"/>
          <w:color w:val="auto"/>
        </w:rPr>
        <w:t>”) pursuant to which the Company agreed to reduce the exercise price of the Exchange Warrant and the Investment Warrants issued to Platinum in October 2012 and February 2013 and March 2013 (collectively, the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“Other Warrant Modifications and Exercises” below.)</w:t>
      </w:r>
    </w:p>
    <w:p>
      <w:pPr>
        <w:spacing w:after="0" w:line="19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 xml:space="preserve">As described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At December 31, 2013, the Company determined the fair values of the Exchange Warrant, the Investment Warrants and the July 2013 Warrant to be a weighted average of $0.22 per share, or an aggregate of $780,400, recorded as a component of Warrant Liability in the accompanying Condensed Consolidated Balance Sheet at December 31, 2013, using the Black Scholes Option Pricing Model and the following assumptions: market price per share: $0.42; exercise price per share: $0.50; risk-free interest rate: 1.16% to 1.54%; remaining contractual term: 3.78 years to 4.56 years; volatility: 76.1% to 81.5%; and expected dividend rate: 0%. At December 31, 2013, the Company also re-measured the fair value of the Series A Exchange Warrant which is contingently issuable to Platinum upon the exchange of its shares of the Company’s Series A Preferred Stock into shares of the Company’s restricted common stock. The Company determined the fair value of the Series A Exchange Warrant, also recorded as a component of Warrant Liability in the accompanying Condensed Consolidated Balance Sheets at December 31, 2013, to be $0.27 per share, or $1,936,700, using the Black Scholes Option Pricing Model and the following assumptions: market price per share: $0.42; exercise price per share: $0.50; risk-free interest rate: 1.75%; contractual term: 5.00 years; volatility: 85.7%; expected dividend rate: 0%; and assumed probability of issuance of 95%.</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Warrant Modifications and Exercises</w:t>
      </w:r>
    </w:p>
    <w:p>
      <w:pPr>
        <w:spacing w:after="0" w:line="24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shares of the Company’s restricted common stock in lieu of payment by the Company in satisfaction of amounts due for professional services in the aggregate amount of $8,300.</w:t>
      </w:r>
    </w:p>
    <w:p>
      <w:pPr>
        <w:spacing w:after="0" w:line="18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Company calculated the fair value of the warrants exercised immediately before and after the modifications and determined that the fair value of the warrants exercised decreased by $32,900, which is reflected in general and administrative expense in the accompanying Condensed Consolidated Statements of Operations and Comprehensive Loss. The warrants subject to the exercise price modifications were valued using the Black-Scholes Option Pricing Model and the following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0" w:type="dxa"/>
            <w:vAlign w:val="bottom"/>
          </w:tcPr>
          <w:p>
            <w:pPr>
              <w:spacing w:after="0"/>
              <w:rPr>
                <w:sz w:val="1"/>
                <w:szCs w:val="1"/>
                <w:color w:val="auto"/>
              </w:rPr>
            </w:pPr>
          </w:p>
        </w:tc>
      </w:tr>
      <w:tr>
        <w:trPr>
          <w:trHeight w:val="23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 (weighted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0.24</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In October 2013 the Company modified certain outstanding warrants held by its long-term investors and consultants to purchase an aggregate of 1,292,778 shares of the Company’s restricted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Condensed Consolidated Statements of Operations and Comprehensive Loss. The warrants subject to the exercise price modifications and term extensions were valued using the Black-Scholes Option Pricing Model and the following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0" w:type="dxa"/>
            <w:vAlign w:val="bottom"/>
          </w:tcPr>
          <w:p>
            <w:pPr>
              <w:spacing w:after="0"/>
              <w:rPr>
                <w:sz w:val="1"/>
                <w:szCs w:val="1"/>
                <w:color w:val="auto"/>
              </w:rPr>
            </w:pPr>
          </w:p>
        </w:tc>
      </w:tr>
      <w:tr>
        <w:trPr>
          <w:trHeight w:val="23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at modification date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 (weighted average)</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0.11</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520" w:type="dxa"/>
            <w:vAlign w:val="bottom"/>
            <w:gridSpan w:val="3"/>
          </w:tcPr>
          <w:p>
            <w:pPr>
              <w:jc w:val="right"/>
              <w:ind w:right="2932"/>
              <w:spacing w:after="0"/>
              <w:rPr>
                <w:sz w:val="20"/>
                <w:szCs w:val="20"/>
                <w:color w:val="auto"/>
              </w:rPr>
            </w:pPr>
            <w:r>
              <w:rPr>
                <w:rFonts w:ascii="Times New Roman" w:cs="Times New Roman" w:eastAsia="Times New Roman" w:hAnsi="Times New Roman"/>
                <w:sz w:val="18"/>
                <w:szCs w:val="18"/>
                <w:color w:val="auto"/>
              </w:rPr>
              <w:t>F-74</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Condensed Consolidated Statements of Operations and Comprehensive Loss, with a corresponding credit to additional paid-in capital, an equity account.</w:t>
      </w:r>
    </w:p>
    <w:p>
      <w:pPr>
        <w:spacing w:after="0" w:line="21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2013, the Company modified additional outstanding warrants held by certain of its long-term investors, consultants, and members of management and its Board of Directors to purchase an aggregate of 1,260,251 shares of its restricted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Condensed Consolidated Statements of Operations and Comprehensive Loss. The warrants subject to the exercise price modifications and term extensions were valued using the Black-Scholes Option Pricing Model and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Post-</w:t>
            </w:r>
          </w:p>
        </w:tc>
        <w:tc>
          <w:tcPr>
            <w:tcW w:w="0" w:type="dxa"/>
            <w:vAlign w:val="bottom"/>
          </w:tcPr>
          <w:p>
            <w:pPr>
              <w:spacing w:after="0"/>
              <w:rPr>
                <w:sz w:val="1"/>
                <w:szCs w:val="1"/>
                <w:color w:val="auto"/>
              </w:rPr>
            </w:pPr>
          </w:p>
        </w:tc>
      </w:tr>
      <w:tr>
        <w:trPr>
          <w:trHeight w:val="23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at modification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 (weighted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0.14</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modification for the term corresponding with the contractual term of the warrant. The dividend rate is zero as the Company has not paid and does not expect to pay dividends in the near future.</w:t>
      </w:r>
    </w:p>
    <w:p>
      <w:pPr>
        <w:spacing w:after="0" w:line="21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On June 27, 2013, the Company’s Chief Executive Officer exercised an outstanding warrant to purchase 50,000 restricted shares of the Company’s common stock at an exercise price of $0.64 per share and the Company received cash proceeds of $32,000 from his exercise.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Following the warrant issuances, modifications and exercises described above, at December 31, 2013, the Company had outstanding warrants to purchase shares of its restricted common stock at a weighted average exercise price of $0.89 per share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Subject to</w:t>
            </w:r>
          </w:p>
        </w:tc>
      </w:t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 at</w:t>
            </w:r>
          </w:p>
        </w:tc>
      </w:t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7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9"/>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20" w:type="dxa"/>
            <w:vAlign w:val="bottom"/>
          </w:tcPr>
          <w:p>
            <w:pPr>
              <w:spacing w:after="0"/>
              <w:rPr>
                <w:sz w:val="20"/>
                <w:szCs w:val="20"/>
                <w:color w:val="auto"/>
              </w:rPr>
            </w:pPr>
          </w:p>
        </w:tc>
        <w:tc>
          <w:tcPr>
            <w:tcW w:w="8780" w:type="dxa"/>
            <w:vAlign w:val="bottom"/>
            <w:tcBorders>
              <w:bottom w:val="single" w:sz="8" w:color="auto"/>
            </w:tcBorders>
          </w:tcPr>
          <w:p>
            <w:pPr>
              <w:ind w:left="4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5/11/2014 to 7/26/2018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5,254,019</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0.64</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3/3/2023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2,940,000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0.88</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5/11/2014</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15,428</w:t>
            </w:r>
          </w:p>
        </w:tc>
      </w:tr>
      <w:tr>
        <w:trPr>
          <w:trHeight w:val="212"/>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7/30/2016 to 9/30/2017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4,406,281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5/11/2014 to 12/31/2014</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50,280</w:t>
            </w:r>
          </w:p>
        </w:tc>
      </w:tr>
      <w:tr>
        <w:trPr>
          <w:trHeight w:val="212"/>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5/11/2014 to 3/14/2018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2,491,016</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9/15/2017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425,000</w:t>
            </w:r>
          </w:p>
        </w:tc>
      </w:tr>
      <w:tr>
        <w:trPr>
          <w:trHeight w:val="212"/>
        </w:trPr>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5/11/2014</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42,443</w:t>
            </w: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2.625</w:t>
            </w: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1/31/2015</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61,418</w:t>
            </w:r>
          </w:p>
        </w:tc>
      </w:tr>
      <w:tr>
        <w:trPr>
          <w:trHeight w:val="219"/>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2/13/2016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15,710,885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Dividend</w:t>
      </w:r>
    </w:p>
    <w:p>
      <w:pPr>
        <w:spacing w:after="0" w:line="24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 xml:space="preserve">Pursuant to the October 2012 Agreement described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Platinum’s exchange rights in the Company’s Series A Preferred were modified such that Platinum currently has the right and option to exchange 500,000 restricted shares of the Company’s Series A Preferred that it holds for (i) a total of 15,000,000 restricted shares of the Company’s common stock (increased from 5,000,000 shares), and (ii) a five-year warrant to purchase 7,500,000 restricted shares of the Company’s common stock at an initial exercise price of $1.50 per share (the “</w:t>
      </w:r>
      <w:r>
        <w:rPr>
          <w:rFonts w:ascii="Times New Roman" w:cs="Times New Roman" w:eastAsia="Times New Roman" w:hAnsi="Times New Roman"/>
          <w:sz w:val="18"/>
          <w:szCs w:val="18"/>
          <w:i w:val="1"/>
          <w:iCs w:val="1"/>
          <w:color w:val="auto"/>
        </w:rPr>
        <w:t>Series A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The modification of the exchange ratio and the contingent grant of the Series A Exchange Warrant pursuant to the October 2012 Agreement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deemed dividend on the Series A Preferred in the aggregate amount of $10,193,200 for accounting purposes, which has been reflected in the accompanying Condensed Consolidated Statement of Operations and Comprehensive Loss for the three and nine month periods ended December 31, 2012. The aggregate amount of the deemed dividend was determined based on (i) the fair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plus (ii) the fair value of the Series A Exchange Warrant, determined to be $0.43 per share, on the date of the agreement using the Black Scholes Option Pricing Model and the following assumptions: market price per share: $0.75; exercise price per share: $1.50; risk-free interest rate: 0.67%; contractual term: 5 years; volatility: 89.9%; expected dividend rate: 0%; further adjusted for an expected 95% probability of exercise of the exchange rights by Platinum, for a fair value of $3,068,200. The fair value of the Series A Exchange Warrant was also recognized as a liability at the date of the October 2012 Agreement, with a corresponding charge to additional paid-in capital, an equity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246"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Between September and December 2013, one of the Company’s executive officers provided short-term cash advances aggregating $64,000 to meet the Company’s short-term working capital requirements. In lieu of cash repayment of the advances by the Company, in December 2013, the officer elected to invest $50,000 in the 2013 Unit Private Placement. The Company has partially repaid the remaining balance of the advances.</w:t>
      </w:r>
    </w:p>
    <w:p>
      <w:pPr>
        <w:spacing w:after="0" w:line="2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Cato Holding Company, doing business as Cato BioVentures ("</w:t>
      </w:r>
      <w:r>
        <w:rPr>
          <w:rFonts w:ascii="Times New Roman" w:cs="Times New Roman" w:eastAsia="Times New Roman" w:hAnsi="Times New Roman"/>
          <w:sz w:val="18"/>
          <w:szCs w:val="18"/>
          <w:i w:val="1"/>
          <w:iCs w:val="1"/>
          <w:color w:val="auto"/>
        </w:rPr>
        <w:t>CBV</w:t>
      </w:r>
      <w:r>
        <w:rPr>
          <w:rFonts w:ascii="Times New Roman" w:cs="Times New Roman" w:eastAsia="Times New Roman" w:hAnsi="Times New Roman"/>
          <w:sz w:val="18"/>
          <w:szCs w:val="18"/>
          <w:color w:val="auto"/>
        </w:rPr>
        <w:t xml:space="preserve">"), the parent of CRL, is one of the Company’s largest institutional stockholders at December 31, 2013. As described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xml:space="preserve"> in October 2012, the 2011 CHC Note was cancelled and exchanged for the 2012 CHC Note and the CHC Warrant. The 2012 CHC Note bears interest at the rate of 7.5% compounded monthly and is payable in monthly installments of $10,000 beginning November 1, 2012 until the balance is paid in full, with the final monthly payment to be made in the amount equal to the then current outstanding balance of principal and interest due under the 2012 Cato Note. Total interest expense, including amortization of note discount, on notes payable to CHC was $7,900 and $24,000 in the three and nine month periods ended December 31, 2013, respectively, and $34,700 and $51,400 in the three and nine month periods ended December 31, 2012, respectively.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i w:val="1"/>
          <w:iCs w:val="1"/>
          <w:u w:val="single" w:color="auto"/>
          <w:color w:val="0000EE"/>
        </w:rPr>
        <w:t>Table of Contents</w:t>
      </w:r>
    </w:p>
    <w:p>
      <w:pPr>
        <w:spacing w:after="0" w:line="225"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18"/>
          <w:szCs w:val="18"/>
          <w:color w:val="auto"/>
        </w:rPr>
        <w:t>During fiscal year 2007, the Company entered into a contract research organization arrangement with CRL related to the development of its lead drug candidate, AV-101, and subsequent other projects under which the Company incurred expenses of $7,500 and $124,700 in the three month periods ended December 31, 2013 and 2012, respectively, and $45,000 and $639,300 in the nine month periods ended December 31, 2013 and 2012, respectively.</w:t>
      </w:r>
    </w:p>
    <w:p>
      <w:pPr>
        <w:spacing w:after="0" w:line="2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 xml:space="preserve">As described in Note 7, </w:t>
      </w:r>
      <w:r>
        <w:rPr>
          <w:rFonts w:ascii="Times New Roman" w:cs="Times New Roman" w:eastAsia="Times New Roman" w:hAnsi="Times New Roman"/>
          <w:sz w:val="18"/>
          <w:szCs w:val="18"/>
          <w:i w:val="1"/>
          <w:iCs w:val="1"/>
          <w:color w:val="auto"/>
        </w:rPr>
        <w:t>Convertible Promissory Notes and Other Notes Payable</w:t>
      </w:r>
      <w:r>
        <w:rPr>
          <w:rFonts w:ascii="Times New Roman" w:cs="Times New Roman" w:eastAsia="Times New Roman" w:hAnsi="Times New Roman"/>
          <w:sz w:val="18"/>
          <w:szCs w:val="18"/>
          <w:color w:val="auto"/>
        </w:rPr>
        <w:t>, in October 2012, the Company issued to CRL (i) the CRL Note as payment in full for all contract research and development services and regulatory advice (“</w:t>
      </w:r>
      <w:r>
        <w:rPr>
          <w:rFonts w:ascii="Times New Roman" w:cs="Times New Roman" w:eastAsia="Times New Roman" w:hAnsi="Times New Roman"/>
          <w:sz w:val="18"/>
          <w:szCs w:val="18"/>
          <w:i w:val="1"/>
          <w:iCs w:val="1"/>
          <w:color w:val="auto"/>
        </w:rPr>
        <w:t>CRO Services</w:t>
      </w:r>
      <w:r>
        <w:rPr>
          <w:rFonts w:ascii="Times New Roman" w:cs="Times New Roman" w:eastAsia="Times New Roman" w:hAnsi="Times New Roman"/>
          <w:sz w:val="18"/>
          <w:szCs w:val="18"/>
          <w:color w:val="auto"/>
        </w:rPr>
        <w:t>”) rendered by CRL to the Company and its affiliates through December 31, 2012 with respect to the preclinical and clinical development of AV-101, and (ii) the CRL Warrant. The principal amount of the CRL Note may, at the Company’s option, be automatically increased as a result of future CRO Services rendered by CRL to the Company and its affiliates from January 1, 2013 to June 30, 2013. The CRL Note accrues interest at a rate of 7.5% compounded monthly, is due and payable on March 31, 2016 and is payable solely by CRL's surrender from time to time of all or a portion of the principal and interest balance due on the CRL Note in connection with its concurrent exercise of the CRL Warrant. Total interest expense, including amortization of the note discount, on the CRL Note for the three and nine month periods ended December 31, 2013 was $32,000 and $103,500, respectively, and $26,300 for both the three and nine month periods ended December 31, 2012.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Unit Private Placement</w:t>
      </w:r>
    </w:p>
    <w:p>
      <w:pPr>
        <w:spacing w:after="0" w:line="24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Through February 10, 2014, the Company entered into additional securities purchase agreements with accredited investors pursuant to which it sold to such investors aggregate Units consisting of (i) one-year 10% convertible Unit Notes in the aggregate face amount of $390,000; (ii) an aggregate of 780,000 shares of the Company’s restricted common stock; and (iii) warrants exercisable through July 30, 2016 to purchase an aggregate of 780,000 restricted shares of the Company’s common stock at an exercise price of $1.00 per share. The Company received cash proceeds of $390,000 from the sales of the Units.</w:t>
      </w: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lvl w:ilvl="1">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lvl w:ilvl="1">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1)"/>
      <w:numFmt w:val="lowerRoman"/>
      <w:start w:val="4"/>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lvl w:ilvl="1">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decimal"/>
      <w:start w:val="2"/>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4"/>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decimal"/>
      <w:start w:val="9"/>
    </w:lvl>
  </w:abstractNum>
  <w:abstractNum w:abstractNumId="51">
    <w:nsid w:val="661E3F1E"/>
    <w:multiLevelType w:val="hybridMultilevel"/>
    <w:lvl w:ilvl="0">
      <w:lvlJc w:val="left"/>
      <w:lvlText w:val="(%1)"/>
      <w:numFmt w:val="decimal"/>
      <w:start w:val="10"/>
    </w:lvl>
  </w:abstractNum>
  <w:abstractNum w:abstractNumId="52">
    <w:nsid w:val="5DC79EA8"/>
    <w:multiLevelType w:val="hybridMultilevel"/>
    <w:lvl w:ilvl="0">
      <w:lvlJc w:val="left"/>
      <w:lvlText w:val="(%1)"/>
      <w:numFmt w:val="decimal"/>
      <w:start w:val="11"/>
    </w:lvl>
  </w:abstractNum>
  <w:abstractNum w:abstractNumId="53">
    <w:nsid w:val="540A471C"/>
    <w:multiLevelType w:val="hybridMultilevel"/>
    <w:lvl w:ilvl="0">
      <w:lvlJc w:val="left"/>
      <w:lvlText w:val="(%1)"/>
      <w:numFmt w:val="decimal"/>
      <w:start w:val="1"/>
    </w:lvl>
    <w:lvl w:ilvl="1">
      <w:lvlJc w:val="left"/>
      <w:lvlText w:val="(%2)"/>
      <w:numFmt w:val="decimal"/>
      <w:start w:val="2"/>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lvl w:ilvl="1">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7"/>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lowerRoman"/>
      <w:start w:val="2"/>
    </w:lvl>
  </w:abstractNum>
  <w:abstractNum w:abstractNumId="73">
    <w:nsid w:val="7FB7E0AA"/>
    <w:multiLevelType w:val="hybridMultilevel"/>
    <w:lvl w:ilvl="0">
      <w:lvlJc w:val="left"/>
      <w:lvlText w:val="(%1)"/>
      <w:numFmt w:val="decimal"/>
      <w:start w:val="2"/>
    </w:lvl>
  </w:abstractNum>
  <w:abstractNum w:abstractNumId="74">
    <w:nsid w:val="6EB5BD4"/>
    <w:multiLevelType w:val="hybridMultilevel"/>
    <w:lvl w:ilvl="0">
      <w:lvlJc w:val="left"/>
      <w:lvlText w:val="(%1)"/>
      <w:numFmt w:val="decimal"/>
      <w:start w:val="4"/>
    </w:lvl>
  </w:abstractNum>
  <w:abstractNum w:abstractNumId="75">
    <w:nsid w:val="6F6DD9AC"/>
    <w:multiLevelType w:val="hybridMultilevel"/>
    <w:lvl w:ilvl="0">
      <w:lvlJc w:val="left"/>
      <w:lvlText w:val="(%1)"/>
      <w:numFmt w:val="upperLetter"/>
      <w:start w:val="1"/>
    </w:lvl>
  </w:abstractNum>
  <w:abstractNum w:abstractNumId="76">
    <w:nsid w:val="94211F2"/>
    <w:multiLevelType w:val="hybridMultilevel"/>
    <w:lvl w:ilvl="0">
      <w:lvlJc w:val="left"/>
      <w:lvlText w:val="(%1)"/>
      <w:numFmt w:val="lowerRoman"/>
      <w:start w:val="2"/>
    </w:lvl>
  </w:abstractNum>
  <w:abstractNum w:abstractNumId="77">
    <w:nsid w:val="885E1B"/>
    <w:multiLevelType w:val="hybridMultilevel"/>
    <w:lvl w:ilvl="0">
      <w:lvlJc w:val="left"/>
      <w:lvlText w:val="(%1)"/>
      <w:numFmt w:val="lowerRoman"/>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1)"/>
      <w:numFmt w:val="decimal"/>
      <w:start w:val="3"/>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lowerRoman"/>
      <w:start w:val="2"/>
    </w:lvl>
  </w:abstractNum>
  <w:abstractNum w:abstractNumId="86">
    <w:nsid w:val="46B7D447"/>
    <w:multiLevelType w:val="hybridMultilevel"/>
    <w:lvl w:ilvl="0">
      <w:lvlJc w:val="left"/>
      <w:lvlText w:val="(%1)"/>
      <w:numFmt w:val="lowerRoman"/>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lowerRoman"/>
      <w:start w:val="2"/>
    </w:lvl>
  </w:abstractNum>
  <w:abstractNum w:abstractNumId="90">
    <w:nsid w:val="CC1016F"/>
    <w:multiLevelType w:val="hybridMultilevel"/>
    <w:lvl w:ilvl="0">
      <w:lvlJc w:val="left"/>
      <w:lvlText w:val="%1."/>
      <w:numFmt w:val="decimal"/>
      <w:start w:val="17"/>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2020-01-27T13:34:41Z</dcterms:created>
  <dcterms:modified xsi:type="dcterms:W3CDTF">2020-01-27T13:34:41Z</dcterms:modified>
</cp:coreProperties>
</file>