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January 10, 2019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88"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140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000-54014</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20-5093315</w:t>
            </w:r>
          </w:p>
        </w:tc>
      </w:tr>
      <w:tr>
        <w:trPr>
          <w:trHeight w:val="20"/>
        </w:trPr>
        <w:tc>
          <w:tcPr>
            <w:tcW w:w="1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5"/>
        </w:trPr>
        <w:tc>
          <w:tcPr>
            <w:tcW w:w="3340" w:type="dxa"/>
            <w:vAlign w:val="bottom"/>
            <w:gridSpan w:val="3"/>
          </w:tcPr>
          <w:p>
            <w:pPr>
              <w:jc w:val="center"/>
              <w:ind w:right="200"/>
              <w:spacing w:after="0"/>
              <w:rPr>
                <w:sz w:val="20"/>
                <w:szCs w:val="20"/>
                <w:color w:val="auto"/>
              </w:rPr>
            </w:pPr>
            <w:r>
              <w:rPr>
                <w:rFonts w:ascii="Arial" w:cs="Arial" w:eastAsia="Arial" w:hAnsi="Arial"/>
                <w:sz w:val="18"/>
                <w:szCs w:val="18"/>
                <w:i w:val="1"/>
                <w:iCs w:val="1"/>
                <w:color w:val="auto"/>
                <w:w w:val="92"/>
              </w:rPr>
              <w:t>(State or other jurisdiction of incorporation)</w:t>
            </w:r>
          </w:p>
        </w:tc>
        <w:tc>
          <w:tcPr>
            <w:tcW w:w="620" w:type="dxa"/>
            <w:vAlign w:val="bottom"/>
          </w:tcPr>
          <w:p>
            <w:pPr>
              <w:spacing w:after="0"/>
              <w:rPr>
                <w:sz w:val="20"/>
                <w:szCs w:val="20"/>
                <w:color w:val="auto"/>
              </w:rPr>
            </w:pPr>
          </w:p>
        </w:tc>
        <w:tc>
          <w:tcPr>
            <w:tcW w:w="3600" w:type="dxa"/>
            <w:vAlign w:val="bottom"/>
            <w:gridSpan w:val="6"/>
          </w:tcPr>
          <w:p>
            <w:pPr>
              <w:jc w:val="center"/>
              <w:ind w:right="720"/>
              <w:spacing w:after="0"/>
              <w:rPr>
                <w:sz w:val="20"/>
                <w:szCs w:val="20"/>
                <w:color w:val="auto"/>
              </w:rPr>
            </w:pPr>
            <w:r>
              <w:rPr>
                <w:rFonts w:ascii="Arial" w:cs="Arial" w:eastAsia="Arial" w:hAnsi="Arial"/>
                <w:sz w:val="18"/>
                <w:szCs w:val="18"/>
                <w:i w:val="1"/>
                <w:iCs w:val="1"/>
                <w:color w:val="auto"/>
                <w:w w:val="89"/>
              </w:rPr>
              <w:t>(Commission File Number)</w:t>
            </w:r>
          </w:p>
        </w:tc>
        <w:tc>
          <w:tcPr>
            <w:tcW w:w="3000" w:type="dxa"/>
            <w:vAlign w:val="bottom"/>
            <w:gridSpan w:val="3"/>
          </w:tcPr>
          <w:p>
            <w:pPr>
              <w:jc w:val="center"/>
              <w:ind w:left="212"/>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420"/>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b w:val="1"/>
                <w:bCs w:val="1"/>
                <w:color w:val="auto"/>
                <w:w w:val="88"/>
              </w:rPr>
              <w:t>343 Allerton Ave.</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80" w:type="dxa"/>
            <w:vAlign w:val="bottom"/>
            <w:tcBorders>
              <w:bottom w:val="single" w:sz="8" w:color="auto"/>
            </w:tcBorders>
            <w:gridSpan w:val="5"/>
          </w:tcPr>
          <w:p>
            <w:pPr>
              <w:jc w:val="center"/>
              <w:spacing w:after="0" w:line="190" w:lineRule="exact"/>
              <w:rPr>
                <w:sz w:val="20"/>
                <w:szCs w:val="20"/>
                <w:color w:val="auto"/>
              </w:rPr>
            </w:pPr>
            <w:r>
              <w:rPr>
                <w:rFonts w:ascii="Arial" w:cs="Arial" w:eastAsia="Arial" w:hAnsi="Arial"/>
                <w:sz w:val="18"/>
                <w:szCs w:val="18"/>
                <w:b w:val="1"/>
                <w:bCs w:val="1"/>
                <w:color w:val="auto"/>
                <w:w w:val="88"/>
              </w:rPr>
              <w:t>South San Francisco, California 94090</w:t>
            </w: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4"/>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(650) 577-3600</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20" w:type="dxa"/>
            <w:vAlign w:val="bottom"/>
            <w:gridSpan w:val="7"/>
          </w:tcPr>
          <w:p>
            <w:pPr>
              <w:jc w:val="center"/>
              <w:ind w:right="100"/>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Election of Directors.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January 10, 2019, Ann Cunningham, M.B.A., was appointed to serve on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and to serve as a member of the Board’s Corporate Governance and Nominating Committee. Ms. Cunningham was deemed to be an “independent director,” as such term is defined in Rule 5605 of the listing rules of the Nasdaq Stock Market. A copy of the press release announcing Ms. Cunningham’s appointment is attached to this Current Report on Form 8-K as Exhibit 99.1.</w:t>
      </w:r>
    </w:p>
    <w:p>
      <w:pPr>
        <w:spacing w:after="0" w:line="194"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8"/>
          <w:szCs w:val="18"/>
          <w:color w:val="auto"/>
        </w:rPr>
        <w:t>Ann Cunningham, age 51, currently serves as Managing Partner of I</w:t>
      </w:r>
      <w:r>
        <w:rPr>
          <w:rFonts w:ascii="Arial" w:cs="Arial" w:eastAsia="Arial" w:hAnsi="Arial"/>
          <w:sz w:val="24"/>
          <w:szCs w:val="24"/>
          <w:color w:val="auto"/>
          <w:vertAlign w:val="superscript"/>
        </w:rPr>
        <w:t>3</w:t>
      </w:r>
      <w:r>
        <w:rPr>
          <w:rFonts w:ascii="Arial" w:cs="Arial" w:eastAsia="Arial" w:hAnsi="Arial"/>
          <w:sz w:val="18"/>
          <w:szCs w:val="18"/>
          <w:color w:val="auto"/>
        </w:rPr>
        <w:t xml:space="preserve"> Strategy Partners, an insights consulting team comprised of qualitative and quantitative market researchers, analytics experts and pharmaceutical industry strategists focused on planning and executing successful portfolio strategies and commercial launches in the pharmaceutical industry. Prior to founding I</w:t>
      </w:r>
      <w:r>
        <w:rPr>
          <w:rFonts w:ascii="Arial" w:cs="Arial" w:eastAsia="Arial" w:hAnsi="Arial"/>
          <w:sz w:val="24"/>
          <w:szCs w:val="24"/>
          <w:color w:val="auto"/>
          <w:vertAlign w:val="superscript"/>
        </w:rPr>
        <w:t>3</w:t>
      </w:r>
      <w:r>
        <w:rPr>
          <w:rFonts w:ascii="Arial" w:cs="Arial" w:eastAsia="Arial" w:hAnsi="Arial"/>
          <w:sz w:val="18"/>
          <w:szCs w:val="18"/>
          <w:color w:val="auto"/>
        </w:rPr>
        <w:t xml:space="preserve"> Strategy Partners, Ms. Cunningham served as Vice President, Neurodegenerative Diseases and Psychiatry for Teva Pharmaceuticals Industries, Ltd. from 2015 to 2018, as Senior Marketing Director for Otsuka America Pharmaceutical from 2013 to 2015 and in several commercial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There are no arrangements or understandings between Ms. Cunningham and any other person pursuant to which she was selected as a director, and 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Cunningham is not a participant in any related party transaction required to be reported pursuant to Item 404(a) of Regulation S-K.</w:t>
      </w:r>
    </w:p>
    <w:p>
      <w:pPr>
        <w:spacing w:after="0" w:line="2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entered into an Indemnification Agreement (the “</w:t>
      </w:r>
      <w:r>
        <w:rPr>
          <w:rFonts w:ascii="Arial" w:cs="Arial" w:eastAsia="Arial" w:hAnsi="Arial"/>
          <w:sz w:val="18"/>
          <w:szCs w:val="18"/>
          <w:i w:val="1"/>
          <w:iCs w:val="1"/>
          <w:color w:val="auto"/>
        </w:rPr>
        <w:t>Indemnification Agreement</w:t>
      </w:r>
      <w:r>
        <w:rPr>
          <w:rFonts w:ascii="Arial" w:cs="Arial" w:eastAsia="Arial" w:hAnsi="Arial"/>
          <w:sz w:val="18"/>
          <w:szCs w:val="18"/>
          <w:color w:val="auto"/>
        </w:rPr>
        <w:t>”) with Ms. Cunningham in connection with her appointment. The Indemnification Agreement requires the Company to indemnify Ms. Cunningham to the fullest extent permitted under Nevada law against liability that may arise by reason of her service to the Company and to advance certain expenses incurred as a result of any proceeding against her as to which she could be indemnified.</w:t>
      </w:r>
    </w:p>
    <w:p>
      <w:pPr>
        <w:spacing w:after="0" w:line="197"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The foregoing description of the Indemnification Agreement is not complete and is qualified in its entirety by reference to the full text of the Indemnification Agreement, which is attached as Exhibit 10.1 to this Current Report on Form 8-K and incorporated into this Item 5.02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January 15,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60" w:type="dxa"/>
            <w:vAlign w:val="bottom"/>
          </w:tcPr>
          <w:p>
            <w:pPr>
              <w:ind w:left="308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46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01"/>
        </w:trPr>
        <w:tc>
          <w:tcPr>
            <w:tcW w:w="20" w:type="dxa"/>
            <w:vAlign w:val="bottom"/>
          </w:tcPr>
          <w:p>
            <w:pPr>
              <w:spacing w:after="0"/>
              <w:rPr>
                <w:sz w:val="17"/>
                <w:szCs w:val="17"/>
                <w:color w:val="auto"/>
              </w:rPr>
            </w:pPr>
          </w:p>
        </w:tc>
        <w:tc>
          <w:tcPr>
            <w:tcW w:w="300" w:type="dxa"/>
            <w:vAlign w:val="bottom"/>
            <w:tcBorders>
              <w:top w:val="single" w:sz="8" w:color="auto"/>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1180" w:type="dxa"/>
            <w:vAlign w:val="bottom"/>
            <w:tcBorders>
              <w:top w:val="single" w:sz="8" w:color="auto"/>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8"/>
              </w:rPr>
              <w:t>Indemnification Agreement, dated January 10, 2019, by and between VistaGen Therapeutics, Inc. and Ann Cunningham</w:t>
            </w:r>
          </w:p>
        </w:tc>
      </w:tr>
      <w:tr>
        <w:trPr>
          <w:trHeight w:val="176"/>
        </w:trPr>
        <w:tc>
          <w:tcPr>
            <w:tcW w:w="20" w:type="dxa"/>
            <w:vAlign w:val="bottom"/>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118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94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Press Release, dated January 15, 2019</w:t>
            </w:r>
          </w:p>
        </w:tc>
      </w:tr>
      <w:tr>
        <w:trPr>
          <w:trHeight w:val="892"/>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VISTAGEN THERAPEUTICS, INC. INDEMNIFICATION AGREEMENT</w:t>
      </w:r>
    </w:p>
    <w:p>
      <w:pPr>
        <w:spacing w:after="0" w:line="164"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THIS AGREEMENT is entered into, effective as of January 10, 2019, between VistaGen Therapeutics, Inc., a Nevada corporation (the "Company"), and Ann Cunningham (“Indemnitee”).</w:t>
      </w:r>
    </w:p>
    <w:p>
      <w:pPr>
        <w:spacing w:after="0" w:line="186" w:lineRule="exact"/>
        <w:rPr>
          <w:sz w:val="20"/>
          <w:szCs w:val="20"/>
          <w:color w:val="auto"/>
        </w:rPr>
      </w:pPr>
    </w:p>
    <w:p>
      <w:pPr>
        <w:ind w:left="640" w:right="1940"/>
        <w:spacing w:after="0" w:line="422" w:lineRule="auto"/>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 WHEREAS, Indemnitee is a director of the Company;</w:t>
      </w:r>
    </w:p>
    <w:p>
      <w:pPr>
        <w:spacing w:after="0" w:line="1"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currently being asserted against directors and officers of corporations; and</w:t>
      </w:r>
    </w:p>
    <w:p>
      <w:pPr>
        <w:spacing w:after="0" w:line="118"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WHEREAS, in recognition of Indemnitee's need for substantial protection against personal liability in order to enhance Indemnitee's continued and effective service to the Company, and in order to induce Indemnitee to provide services to the Company as a director,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spacing w:after="0" w:line="129" w:lineRule="exact"/>
        <w:rPr>
          <w:sz w:val="20"/>
          <w:szCs w:val="20"/>
          <w:color w:val="auto"/>
        </w:rPr>
      </w:pPr>
    </w:p>
    <w:p>
      <w:pPr>
        <w:ind w:right="380" w:firstLine="648"/>
        <w:spacing w:after="0" w:line="268" w:lineRule="auto"/>
        <w:rPr>
          <w:sz w:val="20"/>
          <w:szCs w:val="20"/>
          <w:color w:val="auto"/>
        </w:rPr>
      </w:pPr>
      <w:r>
        <w:rPr>
          <w:rFonts w:ascii="Arial" w:cs="Arial" w:eastAsia="Arial" w:hAnsi="Arial"/>
          <w:sz w:val="18"/>
          <w:szCs w:val="18"/>
          <w:color w:val="auto"/>
        </w:rPr>
        <w:t>NOW, THEREFORE, in consideration of the above premises and of Indemnitee's continuing to serve the Company directly or, at its request, with another enterprise, and intending to be legally bound hereby, the parties agree as follows:</w:t>
      </w:r>
    </w:p>
    <w:p>
      <w:pPr>
        <w:spacing w:after="0" w:line="213" w:lineRule="exact"/>
        <w:rPr>
          <w:sz w:val="20"/>
          <w:szCs w:val="20"/>
          <w:color w:val="auto"/>
        </w:rPr>
      </w:pPr>
    </w:p>
    <w:p>
      <w:pPr>
        <w:ind w:left="1140" w:hanging="340"/>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Definitions:</w:t>
      </w:r>
    </w:p>
    <w:p>
      <w:pPr>
        <w:spacing w:after="0" w:line="184" w:lineRule="exact"/>
        <w:rPr>
          <w:rFonts w:ascii="Arial" w:cs="Arial" w:eastAsia="Arial" w:hAnsi="Arial"/>
          <w:sz w:val="18"/>
          <w:szCs w:val="18"/>
          <w:color w:val="auto"/>
        </w:rPr>
      </w:pPr>
    </w:p>
    <w:p>
      <w:pPr>
        <w:ind w:left="1860" w:hanging="411"/>
        <w:spacing w:after="0"/>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184" w:lineRule="exact"/>
        <w:rPr>
          <w:rFonts w:ascii="Arial" w:cs="Arial" w:eastAsia="Arial" w:hAnsi="Arial"/>
          <w:sz w:val="18"/>
          <w:szCs w:val="18"/>
          <w:color w:val="auto"/>
        </w:rPr>
      </w:pPr>
    </w:p>
    <w:p>
      <w:pPr>
        <w:ind w:right="80" w:firstLine="1449"/>
        <w:spacing w:after="0" w:line="286" w:lineRule="auto"/>
        <w:tabs>
          <w:tab w:leader="none" w:pos="1879"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spacing w:after="0" w:line="201" w:lineRule="exact"/>
        <w:rPr>
          <w:rFonts w:ascii="Arial" w:cs="Arial" w:eastAsia="Arial" w:hAnsi="Arial"/>
          <w:sz w:val="16"/>
          <w:szCs w:val="16"/>
          <w:color w:val="auto"/>
        </w:rPr>
      </w:pPr>
    </w:p>
    <w:p>
      <w:pPr>
        <w:ind w:right="60" w:firstLine="1449"/>
        <w:spacing w:after="0" w:line="319" w:lineRule="auto"/>
        <w:tabs>
          <w:tab w:leader="none" w:pos="1869" w:val="left"/>
        </w:tabs>
        <w:numPr>
          <w:ilvl w:val="1"/>
          <w:numId w:val="2"/>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w:t>
      </w:r>
    </w:p>
    <w:p>
      <w:pPr>
        <w:ind w:right="880"/>
        <w:spacing w:after="0" w:line="332" w:lineRule="auto"/>
        <w:rPr>
          <w:rFonts w:ascii="Arial" w:cs="Arial" w:eastAsia="Arial" w:hAnsi="Arial"/>
          <w:sz w:val="15"/>
          <w:szCs w:val="15"/>
          <w:color w:val="auto"/>
        </w:rPr>
      </w:pPr>
      <w:r>
        <w:rPr>
          <w:rFonts w:ascii="Arial" w:cs="Arial" w:eastAsia="Arial" w:hAnsi="Arial"/>
          <w:sz w:val="16"/>
          <w:szCs w:val="16"/>
          <w:color w:val="auto"/>
        </w:rPr>
        <w:t>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341" w:right="239" w:bottom="1440" w:gutter="0" w:footer="0" w:header="0"/>
        </w:sectPr>
      </w:pPr>
    </w:p>
    <w:bookmarkStart w:id="5" w:name="page6"/>
    <w:bookmarkEnd w:id="5"/>
    <w:p>
      <w:pPr>
        <w:ind w:right="80" w:firstLine="1449"/>
        <w:spacing w:after="0" w:line="290" w:lineRule="auto"/>
        <w:tabs>
          <w:tab w:leader="none" w:pos="1879"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Indemnifiable Event</w:t>
      </w:r>
      <w:r>
        <w:rPr>
          <w:rFonts w:ascii="Arial" w:cs="Arial" w:eastAsia="Arial" w:hAnsi="Arial"/>
          <w:sz w:val="16"/>
          <w:szCs w:val="16"/>
          <w:color w:val="auto"/>
        </w:rPr>
        <w:t>: any event or occurrence that takes place either prior to or after the execution of this Agreement, related to the fact that Indemnitee is or was a director of the Company, or while a director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spacing w:after="0" w:line="172" w:lineRule="exact"/>
        <w:rPr>
          <w:rFonts w:ascii="Arial" w:cs="Arial" w:eastAsia="Arial" w:hAnsi="Arial"/>
          <w:sz w:val="16"/>
          <w:szCs w:val="16"/>
          <w:color w:val="auto"/>
        </w:rPr>
      </w:pPr>
    </w:p>
    <w:p>
      <w:pPr>
        <w:ind w:left="1680" w:hanging="231"/>
        <w:spacing w:after="0"/>
        <w:tabs>
          <w:tab w:leader="none" w:pos="168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Independent Counsel</w:t>
      </w:r>
      <w:r>
        <w:rPr>
          <w:rFonts w:ascii="Arial" w:cs="Arial" w:eastAsia="Arial" w:hAnsi="Arial"/>
          <w:sz w:val="18"/>
          <w:szCs w:val="18"/>
          <w:color w:val="auto"/>
        </w:rPr>
        <w:t>: the person or body appointed in connection with Section 3.</w:t>
      </w:r>
    </w:p>
    <w:p>
      <w:pPr>
        <w:spacing w:after="0" w:line="184" w:lineRule="exact"/>
        <w:rPr>
          <w:rFonts w:ascii="Arial" w:cs="Arial" w:eastAsia="Arial" w:hAnsi="Arial"/>
          <w:sz w:val="18"/>
          <w:szCs w:val="18"/>
          <w:color w:val="auto"/>
        </w:rPr>
      </w:pPr>
    </w:p>
    <w:p>
      <w:pPr>
        <w:ind w:firstLine="1449"/>
        <w:spacing w:after="0" w:line="259" w:lineRule="auto"/>
        <w:tabs>
          <w:tab w:leader="none" w:pos="185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Proceeding</w:t>
      </w:r>
      <w:r>
        <w:rPr>
          <w:rFonts w:ascii="Arial" w:cs="Arial" w:eastAsia="Arial" w:hAnsi="Arial"/>
          <w:sz w:val="18"/>
          <w:szCs w:val="18"/>
          <w:color w:val="auto"/>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spacing w:after="0" w:line="194" w:lineRule="exact"/>
        <w:rPr>
          <w:rFonts w:ascii="Arial" w:cs="Arial" w:eastAsia="Arial" w:hAnsi="Arial"/>
          <w:sz w:val="18"/>
          <w:szCs w:val="18"/>
          <w:color w:val="auto"/>
        </w:rPr>
      </w:pPr>
    </w:p>
    <w:p>
      <w:pPr>
        <w:ind w:left="1700" w:hanging="251"/>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the person or body appointed in accordance with Section 3.</w:t>
      </w:r>
    </w:p>
    <w:p>
      <w:pPr>
        <w:spacing w:after="0" w:line="225" w:lineRule="exact"/>
        <w:rPr>
          <w:rFonts w:ascii="Arial" w:cs="Arial" w:eastAsia="Arial" w:hAnsi="Arial"/>
          <w:sz w:val="18"/>
          <w:szCs w:val="18"/>
          <w:color w:val="auto"/>
        </w:rPr>
      </w:pPr>
    </w:p>
    <w:p>
      <w:pPr>
        <w:ind w:left="1700" w:hanging="251"/>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any securities of the Company that vote generally in the election of directors.</w:t>
      </w:r>
    </w:p>
    <w:p>
      <w:pPr>
        <w:spacing w:after="0" w:line="252" w:lineRule="exact"/>
        <w:rPr>
          <w:rFonts w:ascii="Arial" w:cs="Arial" w:eastAsia="Arial" w:hAnsi="Arial"/>
          <w:sz w:val="18"/>
          <w:szCs w:val="18"/>
          <w:color w:val="auto"/>
        </w:rPr>
      </w:pPr>
    </w:p>
    <w:p>
      <w:pPr>
        <w:ind w:left="980" w:hanging="18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Agreement to Indemnify</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160" w:firstLine="1449"/>
        <w:spacing w:after="0" w:line="290" w:lineRule="auto"/>
        <w:tabs>
          <w:tab w:leader="none" w:pos="1869"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General Agreement</w:t>
      </w:r>
      <w:r>
        <w:rPr>
          <w:rFonts w:ascii="Arial" w:cs="Arial" w:eastAsia="Arial" w:hAnsi="Arial"/>
          <w:sz w:val="16"/>
          <w:szCs w:val="16"/>
          <w:color w:val="auto"/>
        </w:rPr>
        <w: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spacing w:after="0" w:line="199" w:lineRule="exact"/>
        <w:rPr>
          <w:rFonts w:ascii="Arial" w:cs="Arial" w:eastAsia="Arial" w:hAnsi="Arial"/>
          <w:sz w:val="16"/>
          <w:szCs w:val="16"/>
          <w:color w:val="auto"/>
        </w:rPr>
      </w:pPr>
    </w:p>
    <w:p>
      <w:pPr>
        <w:ind w:right="20" w:firstLine="1449"/>
        <w:spacing w:after="0" w:line="294" w:lineRule="auto"/>
        <w:tabs>
          <w:tab w:leader="none" w:pos="1879"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Initiation of Proceeding</w:t>
      </w:r>
      <w:r>
        <w:rPr>
          <w:rFonts w:ascii="Arial" w:cs="Arial" w:eastAsia="Arial" w:hAnsi="Arial"/>
          <w:sz w:val="16"/>
          <w:szCs w:val="16"/>
          <w:color w:val="auto"/>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spacing w:after="0" w:line="129" w:lineRule="exact"/>
        <w:rPr>
          <w:rFonts w:ascii="Arial" w:cs="Arial" w:eastAsia="Arial" w:hAnsi="Arial"/>
          <w:sz w:val="16"/>
          <w:szCs w:val="16"/>
          <w:color w:val="auto"/>
        </w:rPr>
      </w:pPr>
    </w:p>
    <w:p>
      <w:pPr>
        <w:ind w:right="20" w:firstLine="1449"/>
        <w:spacing w:after="0" w:line="289" w:lineRule="auto"/>
        <w:tabs>
          <w:tab w:leader="none" w:pos="1869"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Expense Advances</w:t>
      </w:r>
      <w:r>
        <w:rPr>
          <w:rFonts w:ascii="Arial" w:cs="Arial" w:eastAsia="Arial" w:hAnsi="Arial"/>
          <w:sz w:val="16"/>
          <w:szCs w:val="16"/>
          <w:color w:val="auto"/>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spacing w:after="0" w:line="199" w:lineRule="exact"/>
        <w:rPr>
          <w:rFonts w:ascii="Arial" w:cs="Arial" w:eastAsia="Arial" w:hAnsi="Arial"/>
          <w:sz w:val="16"/>
          <w:szCs w:val="16"/>
          <w:color w:val="auto"/>
        </w:rPr>
      </w:pPr>
    </w:p>
    <w:p>
      <w:pPr>
        <w:ind w:right="600" w:firstLine="1449"/>
        <w:spacing w:after="0" w:line="259" w:lineRule="auto"/>
        <w:tabs>
          <w:tab w:leader="none" w:pos="1879"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color w:val="auto"/>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590" w:right="239" w:bottom="1440" w:gutter="0" w:footer="0" w:header="0"/>
        </w:sectPr>
      </w:pPr>
    </w:p>
    <w:bookmarkStart w:id="6" w:name="page7"/>
    <w:bookmarkEnd w:id="6"/>
    <w:p>
      <w:pPr>
        <w:jc w:val="both"/>
        <w:ind w:right="40" w:firstLine="1449"/>
        <w:spacing w:after="0" w:line="259" w:lineRule="auto"/>
        <w:tabs>
          <w:tab w:leader="none" w:pos="1869"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153" w:lineRule="exact"/>
        <w:rPr>
          <w:rFonts w:ascii="Arial" w:cs="Arial" w:eastAsia="Arial" w:hAnsi="Arial"/>
          <w:sz w:val="18"/>
          <w:szCs w:val="18"/>
          <w:color w:val="auto"/>
        </w:rPr>
      </w:pPr>
    </w:p>
    <w:p>
      <w:pPr>
        <w:ind w:right="100" w:firstLine="1449"/>
        <w:spacing w:after="0" w:line="256" w:lineRule="auto"/>
        <w:tabs>
          <w:tab w:leader="none" w:pos="185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Prohibited Indemnification</w:t>
      </w:r>
      <w:r>
        <w:rPr>
          <w:rFonts w:ascii="Arial" w:cs="Arial" w:eastAsia="Arial" w:hAnsi="Arial"/>
          <w:sz w:val="18"/>
          <w:szCs w:val="18"/>
          <w:color w:val="auto"/>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spacing w:after="0" w:line="156" w:lineRule="exact"/>
        <w:rPr>
          <w:rFonts w:ascii="Arial" w:cs="Arial" w:eastAsia="Arial" w:hAnsi="Arial"/>
          <w:sz w:val="18"/>
          <w:szCs w:val="18"/>
          <w:color w:val="auto"/>
        </w:rPr>
      </w:pPr>
    </w:p>
    <w:p>
      <w:pPr>
        <w:ind w:right="40" w:firstLine="800"/>
        <w:spacing w:after="0" w:line="285" w:lineRule="auto"/>
        <w:tabs>
          <w:tab w:leader="none" w:pos="115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Reviewing Party</w:t>
      </w:r>
      <w:r>
        <w:rPr>
          <w:rFonts w:ascii="Arial" w:cs="Arial" w:eastAsia="Arial" w:hAnsi="Arial"/>
          <w:sz w:val="16"/>
          <w:szCs w:val="16"/>
          <w:color w:val="auto"/>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Indemnitee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spacing w:after="0" w:line="182" w:lineRule="exact"/>
        <w:rPr>
          <w:rFonts w:ascii="Arial" w:cs="Arial" w:eastAsia="Arial" w:hAnsi="Arial"/>
          <w:sz w:val="16"/>
          <w:szCs w:val="16"/>
          <w:color w:val="auto"/>
        </w:rPr>
      </w:pPr>
    </w:p>
    <w:p>
      <w:pPr>
        <w:ind w:left="980" w:hanging="180"/>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Indemnification Process and Appeal</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60" w:firstLine="1449"/>
        <w:spacing w:after="0" w:line="306" w:lineRule="auto"/>
        <w:tabs>
          <w:tab w:leader="none" w:pos="1869"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Indemnification Payment</w:t>
      </w:r>
      <w:r>
        <w:rPr>
          <w:rFonts w:ascii="Arial" w:cs="Arial" w:eastAsia="Arial" w:hAnsi="Arial"/>
          <w:sz w:val="16"/>
          <w:szCs w:val="16"/>
          <w:color w:val="auto"/>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spacing w:after="0" w:line="120" w:lineRule="exact"/>
        <w:rPr>
          <w:rFonts w:ascii="Arial" w:cs="Arial" w:eastAsia="Arial" w:hAnsi="Arial"/>
          <w:sz w:val="16"/>
          <w:szCs w:val="16"/>
          <w:color w:val="auto"/>
        </w:rPr>
      </w:pPr>
    </w:p>
    <w:p>
      <w:pPr>
        <w:ind w:right="80" w:firstLine="1449"/>
        <w:spacing w:after="0" w:line="291" w:lineRule="auto"/>
        <w:tabs>
          <w:tab w:leader="none" w:pos="1879"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Suit to Enforce Rights</w:t>
      </w:r>
      <w:r>
        <w:rPr>
          <w:rFonts w:ascii="Arial" w:cs="Arial" w:eastAsia="Arial" w:hAnsi="Arial"/>
          <w:sz w:val="16"/>
          <w:szCs w:val="16"/>
          <w:color w:val="auto"/>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Nevada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spacing w:after="0" w:line="201" w:lineRule="exact"/>
        <w:rPr>
          <w:rFonts w:ascii="Arial" w:cs="Arial" w:eastAsia="Arial" w:hAnsi="Arial"/>
          <w:sz w:val="16"/>
          <w:szCs w:val="16"/>
          <w:color w:val="auto"/>
        </w:rPr>
      </w:pPr>
    </w:p>
    <w:p>
      <w:pPr>
        <w:ind w:right="20" w:firstLine="1449"/>
        <w:spacing w:after="0" w:line="310" w:lineRule="auto"/>
        <w:tabs>
          <w:tab w:leader="none" w:pos="1869" w:val="left"/>
        </w:tabs>
        <w:numPr>
          <w:ilvl w:val="1"/>
          <w:numId w:val="6"/>
        </w:numPr>
        <w:rPr>
          <w:rFonts w:ascii="Arial" w:cs="Arial" w:eastAsia="Arial" w:hAnsi="Arial"/>
          <w:sz w:val="15"/>
          <w:szCs w:val="15"/>
          <w:color w:val="auto"/>
        </w:rPr>
      </w:pPr>
      <w:r>
        <w:rPr>
          <w:rFonts w:ascii="Arial" w:cs="Arial" w:eastAsia="Arial" w:hAnsi="Arial"/>
          <w:sz w:val="15"/>
          <w:szCs w:val="15"/>
          <w:u w:val="single" w:color="auto"/>
          <w:color w:val="auto"/>
        </w:rPr>
        <w:t>Defense to Indemnification, Burden of Proof, and Presumptions</w:t>
      </w:r>
      <w:r>
        <w:rPr>
          <w:rFonts w:ascii="Arial" w:cs="Arial" w:eastAsia="Arial" w:hAnsi="Arial"/>
          <w:sz w:val="15"/>
          <w:szCs w:val="15"/>
          <w:color w:val="auto"/>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w:t>
      </w:r>
    </w:p>
    <w:p>
      <w:pPr>
        <w:spacing w:after="0" w:line="289" w:lineRule="auto"/>
        <w:rPr>
          <w:rFonts w:ascii="Arial" w:cs="Arial" w:eastAsia="Arial" w:hAnsi="Arial"/>
          <w:sz w:val="15"/>
          <w:szCs w:val="15"/>
          <w:color w:val="auto"/>
        </w:rPr>
      </w:pPr>
      <w:r>
        <w:rPr>
          <w:rFonts w:ascii="Arial" w:cs="Arial" w:eastAsia="Arial" w:hAnsi="Arial"/>
          <w:sz w:val="16"/>
          <w:szCs w:val="16"/>
          <w:color w:val="auto"/>
        </w:rPr>
        <w:t>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590" w:right="239" w:bottom="1440" w:gutter="0" w:footer="0" w:header="0"/>
        </w:sectPr>
      </w:pPr>
    </w:p>
    <w:bookmarkStart w:id="7" w:name="page8"/>
    <w:bookmarkEnd w:id="7"/>
    <w:p>
      <w:pPr>
        <w:ind w:right="260" w:firstLine="800"/>
        <w:spacing w:after="0" w:line="268" w:lineRule="auto"/>
        <w:tabs>
          <w:tab w:leader="none" w:pos="115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Incurred in Enforcing Rights</w:t>
      </w:r>
      <w:r>
        <w:rPr>
          <w:rFonts w:ascii="Arial" w:cs="Arial" w:eastAsia="Arial" w:hAnsi="Arial"/>
          <w:sz w:val="18"/>
          <w:szCs w:val="18"/>
          <w:color w:val="auto"/>
        </w:rPr>
        <w:t>. The Company shall indemnify Indemnitee against any and all Expenses that are incurred by Indemnitee in connection with any action brought by Indemnitee for</w:t>
      </w:r>
    </w:p>
    <w:p>
      <w:pPr>
        <w:spacing w:after="0" w:line="145" w:lineRule="exact"/>
        <w:rPr>
          <w:rFonts w:ascii="Arial" w:cs="Arial" w:eastAsia="Arial" w:hAnsi="Arial"/>
          <w:sz w:val="18"/>
          <w:szCs w:val="18"/>
          <w:color w:val="auto"/>
        </w:rPr>
      </w:pPr>
    </w:p>
    <w:p>
      <w:pPr>
        <w:ind w:left="1280" w:right="100" w:firstLine="2113"/>
        <w:spacing w:after="0" w:line="259" w:lineRule="auto"/>
        <w:tabs>
          <w:tab w:leader="none" w:pos="3769" w:val="left"/>
        </w:tabs>
        <w:numPr>
          <w:ilvl w:val="2"/>
          <w:numId w:val="7"/>
        </w:numPr>
        <w:rPr>
          <w:rFonts w:ascii="Arial" w:cs="Arial" w:eastAsia="Arial" w:hAnsi="Arial"/>
          <w:sz w:val="18"/>
          <w:szCs w:val="18"/>
          <w:color w:val="auto"/>
        </w:rPr>
      </w:pPr>
      <w:r>
        <w:rPr>
          <w:rFonts w:ascii="Arial" w:cs="Arial" w:eastAsia="Arial" w:hAnsi="Arial"/>
          <w:sz w:val="18"/>
          <w:szCs w:val="18"/>
          <w:color w:val="auto"/>
        </w:rPr>
        <w:t>indemnification of Expenses by the Company under this Agreement or any other agreement or under applicable law or the Company's Articles of Incorporation or Bylaws now or hereafter in effect relating to indemnification for Indemnifiable Events; and/or</w:t>
      </w:r>
    </w:p>
    <w:p>
      <w:pPr>
        <w:spacing w:after="0" w:line="153" w:lineRule="exact"/>
        <w:rPr>
          <w:rFonts w:ascii="Arial" w:cs="Arial" w:eastAsia="Arial" w:hAnsi="Arial"/>
          <w:sz w:val="18"/>
          <w:szCs w:val="18"/>
          <w:color w:val="auto"/>
        </w:rPr>
      </w:pPr>
    </w:p>
    <w:p>
      <w:pPr>
        <w:ind w:left="1280" w:firstLine="2113"/>
        <w:spacing w:after="0" w:line="256" w:lineRule="auto"/>
        <w:tabs>
          <w:tab w:leader="none" w:pos="3817" w:val="left"/>
        </w:tabs>
        <w:numPr>
          <w:ilvl w:val="2"/>
          <w:numId w:val="7"/>
        </w:numPr>
        <w:rPr>
          <w:rFonts w:ascii="Arial" w:cs="Arial" w:eastAsia="Arial" w:hAnsi="Arial"/>
          <w:sz w:val="18"/>
          <w:szCs w:val="18"/>
          <w:color w:val="auto"/>
        </w:rPr>
      </w:pPr>
      <w:r>
        <w:rPr>
          <w:rFonts w:ascii="Arial" w:cs="Arial" w:eastAsia="Arial" w:hAnsi="Arial"/>
          <w:sz w:val="18"/>
          <w:szCs w:val="18"/>
          <w:color w:val="auto"/>
        </w:rPr>
        <w:t>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spacing w:after="0" w:line="224" w:lineRule="exact"/>
        <w:rPr>
          <w:rFonts w:ascii="Arial" w:cs="Arial" w:eastAsia="Arial" w:hAnsi="Arial"/>
          <w:sz w:val="18"/>
          <w:szCs w:val="18"/>
          <w:color w:val="auto"/>
        </w:rPr>
      </w:pPr>
    </w:p>
    <w:p>
      <w:pPr>
        <w:ind w:left="980" w:hanging="180"/>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Notification and Defense of Proceeding</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160" w:firstLine="1449"/>
        <w:spacing w:after="0" w:line="259" w:lineRule="auto"/>
        <w:tabs>
          <w:tab w:leader="none" w:pos="1869"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spacing w:after="0" w:line="153" w:lineRule="exact"/>
        <w:rPr>
          <w:rFonts w:ascii="Arial" w:cs="Arial" w:eastAsia="Arial" w:hAnsi="Arial"/>
          <w:sz w:val="18"/>
          <w:szCs w:val="18"/>
          <w:color w:val="auto"/>
        </w:rPr>
      </w:pPr>
    </w:p>
    <w:p>
      <w:pPr>
        <w:ind w:firstLine="1449"/>
        <w:spacing w:after="0" w:line="306" w:lineRule="auto"/>
        <w:tabs>
          <w:tab w:leader="none" w:pos="1879" w:val="left"/>
        </w:tabs>
        <w:numPr>
          <w:ilvl w:val="1"/>
          <w:numId w:val="7"/>
        </w:numPr>
        <w:rPr>
          <w:rFonts w:ascii="Arial" w:cs="Arial" w:eastAsia="Arial" w:hAnsi="Arial"/>
          <w:sz w:val="15"/>
          <w:szCs w:val="15"/>
          <w:color w:val="auto"/>
        </w:rPr>
      </w:pPr>
      <w:r>
        <w:rPr>
          <w:rFonts w:ascii="Arial" w:cs="Arial" w:eastAsia="Arial" w:hAnsi="Arial"/>
          <w:sz w:val="15"/>
          <w:szCs w:val="15"/>
          <w:u w:val="single" w:color="auto"/>
          <w:color w:val="auto"/>
        </w:rPr>
        <w:t>Defense</w:t>
      </w:r>
      <w:r>
        <w:rPr>
          <w:rFonts w:ascii="Arial" w:cs="Arial" w:eastAsia="Arial" w:hAnsi="Arial"/>
          <w:sz w:val="15"/>
          <w:szCs w:val="15"/>
          <w:color w:val="auto"/>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(iii)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spacing w:after="0" w:line="197" w:lineRule="exact"/>
        <w:rPr>
          <w:rFonts w:ascii="Arial" w:cs="Arial" w:eastAsia="Arial" w:hAnsi="Arial"/>
          <w:sz w:val="15"/>
          <w:szCs w:val="15"/>
          <w:color w:val="auto"/>
        </w:rPr>
      </w:pPr>
    </w:p>
    <w:p>
      <w:pPr>
        <w:jc w:val="both"/>
        <w:ind w:right="60" w:firstLine="1449"/>
        <w:spacing w:after="0" w:line="290" w:lineRule="auto"/>
        <w:tabs>
          <w:tab w:leader="none" w:pos="1869"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Settlement of Claims</w:t>
      </w:r>
      <w:r>
        <w:rPr>
          <w:rFonts w:ascii="Arial" w:cs="Arial" w:eastAsia="Arial" w:hAnsi="Arial"/>
          <w:sz w:val="16"/>
          <w:szCs w:val="16"/>
          <w:color w:val="auto"/>
        </w:rPr>
        <w:t>. The Company shall not be liable to indemnify Indemnitee under this Agreement or otherwise for any amounts paid in settlement of any Proceeding effected without the Company's written consent, provided, however, that if a Change in Control has occurred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w:t>
      </w:r>
    </w:p>
    <w:p>
      <w:pPr>
        <w:spacing w:after="0" w:line="2" w:lineRule="exact"/>
        <w:rPr>
          <w:rFonts w:ascii="Arial" w:cs="Arial" w:eastAsia="Arial" w:hAnsi="Arial"/>
          <w:sz w:val="16"/>
          <w:szCs w:val="16"/>
          <w:color w:val="auto"/>
        </w:rPr>
      </w:pPr>
    </w:p>
    <w:p>
      <w:pPr>
        <w:spacing w:after="0" w:line="298" w:lineRule="auto"/>
        <w:rPr>
          <w:rFonts w:ascii="Arial" w:cs="Arial" w:eastAsia="Arial" w:hAnsi="Arial"/>
          <w:sz w:val="16"/>
          <w:szCs w:val="16"/>
          <w:color w:val="auto"/>
        </w:rPr>
      </w:pPr>
      <w:r>
        <w:rPr>
          <w:rFonts w:ascii="Arial" w:cs="Arial" w:eastAsia="Arial" w:hAnsi="Arial"/>
          <w:sz w:val="16"/>
          <w:szCs w:val="16"/>
          <w:color w:val="auto"/>
        </w:rPr>
        <w:t>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590" w:right="239" w:bottom="1440" w:gutter="0" w:footer="0" w:header="0"/>
        </w:sectPr>
      </w:pPr>
    </w:p>
    <w:bookmarkStart w:id="8" w:name="page9"/>
    <w:bookmarkEnd w:id="8"/>
    <w:p>
      <w:pPr>
        <w:ind w:right="40" w:firstLine="800"/>
        <w:spacing w:after="0" w:line="285" w:lineRule="auto"/>
        <w:tabs>
          <w:tab w:leader="none" w:pos="1158"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Establishment of Trust</w:t>
      </w:r>
      <w:r>
        <w:rPr>
          <w:rFonts w:ascii="Arial" w:cs="Arial" w:eastAsia="Arial" w:hAnsi="Arial"/>
          <w:sz w:val="16"/>
          <w:szCs w:val="16"/>
          <w:color w:val="auto"/>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spacing w:after="0" w:line="137" w:lineRule="exact"/>
        <w:rPr>
          <w:rFonts w:ascii="Arial" w:cs="Arial" w:eastAsia="Arial" w:hAnsi="Arial"/>
          <w:sz w:val="16"/>
          <w:szCs w:val="16"/>
          <w:color w:val="auto"/>
        </w:rPr>
      </w:pPr>
    </w:p>
    <w:p>
      <w:pPr>
        <w:ind w:right="200" w:firstLine="800"/>
        <w:spacing w:after="0" w:line="298" w:lineRule="auto"/>
        <w:tabs>
          <w:tab w:leader="none" w:pos="1158"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Non-Exclusivity</w:t>
      </w:r>
      <w:r>
        <w:rPr>
          <w:rFonts w:ascii="Arial" w:cs="Arial" w:eastAsia="Arial" w:hAnsi="Arial"/>
          <w:sz w:val="16"/>
          <w:szCs w:val="16"/>
          <w:color w:val="auto"/>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spacing w:after="0" w:line="126" w:lineRule="exact"/>
        <w:rPr>
          <w:rFonts w:ascii="Arial" w:cs="Arial" w:eastAsia="Arial" w:hAnsi="Arial"/>
          <w:sz w:val="16"/>
          <w:szCs w:val="16"/>
          <w:color w:val="auto"/>
        </w:rPr>
      </w:pPr>
    </w:p>
    <w:p>
      <w:pPr>
        <w:ind w:firstLine="800"/>
        <w:spacing w:after="0" w:line="259" w:lineRule="auto"/>
        <w:tabs>
          <w:tab w:leader="none" w:pos="115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Liability Insurance</w:t>
      </w:r>
      <w:r>
        <w:rPr>
          <w:rFonts w:ascii="Arial" w:cs="Arial" w:eastAsia="Arial" w:hAnsi="Arial"/>
          <w:sz w:val="18"/>
          <w:szCs w:val="18"/>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221" w:lineRule="exact"/>
        <w:rPr>
          <w:rFonts w:ascii="Arial" w:cs="Arial" w:eastAsia="Arial" w:hAnsi="Arial"/>
          <w:sz w:val="18"/>
          <w:szCs w:val="18"/>
          <w:color w:val="auto"/>
        </w:rPr>
      </w:pPr>
    </w:p>
    <w:p>
      <w:pPr>
        <w:ind w:right="20" w:firstLine="800"/>
        <w:spacing w:after="0" w:line="294" w:lineRule="auto"/>
        <w:tabs>
          <w:tab w:leader="none" w:pos="1246"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Period of Limitations</w:t>
      </w:r>
      <w:r>
        <w:rPr>
          <w:rFonts w:ascii="Arial" w:cs="Arial" w:eastAsia="Arial" w:hAnsi="Arial"/>
          <w:sz w:val="16"/>
          <w:szCs w:val="16"/>
          <w:color w:val="auto"/>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spacing w:after="0" w:line="129" w:lineRule="exact"/>
        <w:rPr>
          <w:rFonts w:ascii="Arial" w:cs="Arial" w:eastAsia="Arial" w:hAnsi="Arial"/>
          <w:sz w:val="16"/>
          <w:szCs w:val="16"/>
          <w:color w:val="auto"/>
        </w:rPr>
      </w:pPr>
    </w:p>
    <w:p>
      <w:pPr>
        <w:ind w:firstLine="800"/>
        <w:spacing w:after="0" w:line="255" w:lineRule="auto"/>
        <w:tabs>
          <w:tab w:leader="none" w:pos="1239"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223" w:lineRule="exact"/>
        <w:rPr>
          <w:rFonts w:ascii="Arial" w:cs="Arial" w:eastAsia="Arial" w:hAnsi="Arial"/>
          <w:sz w:val="18"/>
          <w:szCs w:val="18"/>
          <w:color w:val="auto"/>
        </w:rPr>
      </w:pPr>
    </w:p>
    <w:p>
      <w:pPr>
        <w:ind w:right="420" w:firstLine="800"/>
        <w:spacing w:after="0" w:line="306" w:lineRule="auto"/>
        <w:tabs>
          <w:tab w:leader="none" w:pos="1246"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Subrogation</w:t>
      </w:r>
      <w:r>
        <w:rPr>
          <w:rFonts w:ascii="Arial" w:cs="Arial" w:eastAsia="Arial" w:hAnsi="Arial"/>
          <w:sz w:val="16"/>
          <w:szCs w:val="16"/>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420" w:top="590" w:right="259" w:bottom="1440" w:gutter="0" w:footer="0" w:header="0"/>
        </w:sectPr>
      </w:pPr>
    </w:p>
    <w:bookmarkStart w:id="9" w:name="page10"/>
    <w:bookmarkEnd w:id="9"/>
    <w:p>
      <w:pPr>
        <w:ind w:firstLine="800"/>
        <w:spacing w:after="0" w:line="259" w:lineRule="auto"/>
        <w:tabs>
          <w:tab w:leader="none" w:pos="124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spacing w:after="0" w:line="153" w:lineRule="exact"/>
        <w:rPr>
          <w:rFonts w:ascii="Arial" w:cs="Arial" w:eastAsia="Arial" w:hAnsi="Arial"/>
          <w:sz w:val="18"/>
          <w:szCs w:val="18"/>
          <w:color w:val="auto"/>
        </w:rPr>
      </w:pPr>
    </w:p>
    <w:p>
      <w:pPr>
        <w:ind w:right="60" w:firstLine="800"/>
        <w:spacing w:after="0" w:line="289" w:lineRule="auto"/>
        <w:tabs>
          <w:tab w:leader="none" w:pos="1246"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spacing w:after="0" w:line="199" w:lineRule="exact"/>
        <w:rPr>
          <w:rFonts w:ascii="Arial" w:cs="Arial" w:eastAsia="Arial" w:hAnsi="Arial"/>
          <w:sz w:val="16"/>
          <w:szCs w:val="16"/>
          <w:color w:val="auto"/>
        </w:rPr>
      </w:pPr>
    </w:p>
    <w:p>
      <w:pPr>
        <w:ind w:right="140" w:firstLine="800"/>
        <w:spacing w:after="0" w:line="255" w:lineRule="auto"/>
        <w:tabs>
          <w:tab w:leader="none" w:pos="124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spacing w:after="0" w:line="223" w:lineRule="exact"/>
        <w:rPr>
          <w:rFonts w:ascii="Arial" w:cs="Arial" w:eastAsia="Arial" w:hAnsi="Arial"/>
          <w:sz w:val="18"/>
          <w:szCs w:val="18"/>
          <w:color w:val="auto"/>
        </w:rPr>
      </w:pPr>
    </w:p>
    <w:p>
      <w:pPr>
        <w:ind w:right="400" w:firstLine="800"/>
        <w:spacing w:after="0" w:line="332" w:lineRule="auto"/>
        <w:tabs>
          <w:tab w:leader="none" w:pos="1246"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enforced in accordance with the laws of the State of California applicable to contracts made and to be performed in such State without giving effect to the principles of conflicts of laws.</w:t>
      </w:r>
    </w:p>
    <w:p>
      <w:pPr>
        <w:spacing w:after="0" w:line="98" w:lineRule="exact"/>
        <w:rPr>
          <w:rFonts w:ascii="Arial" w:cs="Arial" w:eastAsia="Arial" w:hAnsi="Arial"/>
          <w:sz w:val="16"/>
          <w:szCs w:val="16"/>
          <w:color w:val="auto"/>
        </w:rPr>
      </w:pPr>
    </w:p>
    <w:p>
      <w:pPr>
        <w:ind w:right="20" w:firstLine="800"/>
        <w:spacing w:after="0" w:line="259" w:lineRule="auto"/>
        <w:tabs>
          <w:tab w:leader="none" w:pos="124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spacing w:after="0" w:line="12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South San Francisco, CA 94080 Attention: CEO</w:t>
      </w:r>
    </w:p>
    <w:p>
      <w:pPr>
        <w:spacing w:after="0" w:line="36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and to Indemnitee at: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Ann Cunningham.</w:t>
      </w:r>
    </w:p>
    <w:p>
      <w:pPr>
        <w:ind w:left="1940"/>
        <w:spacing w:after="0" w:line="208" w:lineRule="auto"/>
        <w:rPr>
          <w:sz w:val="20"/>
          <w:szCs w:val="20"/>
          <w:color w:val="auto"/>
        </w:rPr>
      </w:pPr>
      <w:r>
        <w:rPr>
          <w:rFonts w:ascii="Arial" w:cs="Arial" w:eastAsia="Arial" w:hAnsi="Arial"/>
          <w:sz w:val="18"/>
          <w:szCs w:val="18"/>
          <w:color w:val="auto"/>
        </w:rPr>
        <w:t>c/o I</w:t>
      </w:r>
      <w:r>
        <w:rPr>
          <w:rFonts w:ascii="Arial" w:cs="Arial" w:eastAsia="Arial" w:hAnsi="Arial"/>
          <w:sz w:val="24"/>
          <w:szCs w:val="24"/>
          <w:color w:val="auto"/>
          <w:vertAlign w:val="superscript"/>
        </w:rPr>
        <w:t>3</w:t>
      </w:r>
      <w:r>
        <w:rPr>
          <w:rFonts w:ascii="Arial" w:cs="Arial" w:eastAsia="Arial" w:hAnsi="Arial"/>
          <w:sz w:val="18"/>
          <w:szCs w:val="18"/>
          <w:color w:val="auto"/>
        </w:rPr>
        <w:t xml:space="preserve"> Strategy Partners, LLC</w:t>
      </w:r>
    </w:p>
    <w:p>
      <w:pPr>
        <w:ind w:left="1940"/>
        <w:spacing w:after="0"/>
        <w:rPr>
          <w:sz w:val="20"/>
          <w:szCs w:val="20"/>
          <w:color w:val="auto"/>
        </w:rPr>
      </w:pPr>
      <w:r>
        <w:rPr>
          <w:rFonts w:ascii="Arial" w:cs="Arial" w:eastAsia="Arial" w:hAnsi="Arial"/>
          <w:sz w:val="18"/>
          <w:szCs w:val="18"/>
          <w:color w:val="auto"/>
        </w:rPr>
        <w:t>255 N. Caldwell Circle</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Downingtown, PA 19335</w:t>
      </w:r>
    </w:p>
    <w:p>
      <w:pPr>
        <w:spacing w:after="0" w:line="200" w:lineRule="exact"/>
        <w:rPr>
          <w:sz w:val="20"/>
          <w:szCs w:val="20"/>
          <w:color w:val="auto"/>
        </w:rPr>
      </w:pPr>
    </w:p>
    <w:p>
      <w:pPr>
        <w:spacing w:after="0" w:line="235" w:lineRule="exact"/>
        <w:rPr>
          <w:sz w:val="20"/>
          <w:szCs w:val="20"/>
          <w:color w:val="auto"/>
        </w:rPr>
      </w:pPr>
    </w:p>
    <w:p>
      <w:pPr>
        <w:ind w:right="540" w:firstLine="648"/>
        <w:spacing w:after="0" w:line="268" w:lineRule="auto"/>
        <w:rPr>
          <w:sz w:val="20"/>
          <w:szCs w:val="20"/>
          <w:color w:val="auto"/>
        </w:rPr>
      </w:pPr>
      <w:r>
        <w:rPr>
          <w:rFonts w:ascii="Arial" w:cs="Arial" w:eastAsia="Arial" w:hAnsi="Arial"/>
          <w:sz w:val="18"/>
          <w:szCs w:val="18"/>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590" w:right="239" w:bottom="144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rPr>
        <w:t>IN WITNESS WHEREOF, the parties hereto have duly executed and delivered this Agreement as of the day specified above.</w:t>
      </w:r>
    </w:p>
    <w:p>
      <w:pPr>
        <w:sectPr>
          <w:pgSz w:w="11900" w:h="16838" w:orient="portrait"/>
          <w:cols w:equalWidth="0" w:num="1">
            <w:col w:w="9399"/>
          </w:cols>
          <w:pgMar w:left="1060" w:top="860" w:right="1440" w:bottom="1440" w:gutter="0" w:footer="0" w:header="0"/>
        </w:sectPr>
      </w:pPr>
    </w:p>
    <w:p>
      <w:pPr>
        <w:spacing w:after="0" w:line="260"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VISTAGEN THERAPEUTICS, INC.</w:t>
      </w:r>
    </w:p>
    <w:p>
      <w:pPr>
        <w:spacing w:after="0" w:line="24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Shawn Singh</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Chief Executive Officer</w:t>
      </w:r>
    </w:p>
    <w:p>
      <w:pPr>
        <w:spacing w:after="0" w:line="36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ANN CUNNINGHAM</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Ann Cunningham</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399"/>
          </w:cols>
          <w:pgMar w:left="1060" w:top="860" w:right="1440"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174750" cy="909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VistaGen Therapeutics Appoints Pharmaceutical Industry Veteran, Ann Cunningham, to its Board of Directors</w:t>
      </w:r>
    </w:p>
    <w:p>
      <w:pPr>
        <w:spacing w:after="0" w:line="231"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 xml:space="preserve">SOUTH SAN FRANCISCO, Calif., Jan. 15, 2018 – </w:t>
      </w:r>
      <w:r>
        <w:rPr>
          <w:rFonts w:ascii="Arial" w:cs="Arial" w:eastAsia="Arial" w:hAnsi="Arial"/>
          <w:sz w:val="16"/>
          <w:szCs w:val="16"/>
          <w:color w:val="auto"/>
        </w:rPr>
        <w:t>VistaGen Therapeutics (NASDAQ: VTGN), a clinical-stage biopharmaceutical company developing new</w:t>
      </w:r>
      <w:r>
        <w:rPr>
          <w:rFonts w:ascii="Arial" w:cs="Arial" w:eastAsia="Arial" w:hAnsi="Arial"/>
          <w:sz w:val="16"/>
          <w:szCs w:val="16"/>
          <w:b w:val="1"/>
          <w:bCs w:val="1"/>
          <w:color w:val="auto"/>
        </w:rPr>
        <w:t xml:space="preserve"> </w:t>
      </w:r>
      <w:r>
        <w:rPr>
          <w:rFonts w:ascii="Arial" w:cs="Arial" w:eastAsia="Arial" w:hAnsi="Arial"/>
          <w:sz w:val="16"/>
          <w:szCs w:val="16"/>
          <w:color w:val="auto"/>
        </w:rPr>
        <w:t>generation me dicines for central nervous system (CNS) diseases and disorders with high unmet need, today announced the appointment of pharmaceutical industry veteran, Ann Cunningham, to the Company’s Board of Directors and its Corporate Governance and Nominating Committee.</w:t>
      </w:r>
    </w:p>
    <w:p>
      <w:pPr>
        <w:spacing w:after="0" w:line="157" w:lineRule="exact"/>
        <w:rPr>
          <w:sz w:val="20"/>
          <w:szCs w:val="20"/>
          <w:color w:val="auto"/>
        </w:rPr>
      </w:pPr>
    </w:p>
    <w:p>
      <w:pPr>
        <w:jc w:val="both"/>
        <w:ind w:right="440"/>
        <w:spacing w:after="0" w:line="335" w:lineRule="auto"/>
        <w:rPr>
          <w:sz w:val="20"/>
          <w:szCs w:val="20"/>
          <w:color w:val="auto"/>
        </w:rPr>
      </w:pPr>
      <w:r>
        <w:rPr>
          <w:rFonts w:ascii="Arial" w:cs="Arial" w:eastAsia="Arial" w:hAnsi="Arial"/>
          <w:sz w:val="15"/>
          <w:szCs w:val="15"/>
          <w:color w:val="auto"/>
        </w:rPr>
        <w:t xml:space="preserve">“We are delighted to welcome Ann to our Board of Directors,” stated </w:t>
      </w:r>
      <w:r>
        <w:rPr>
          <w:rFonts w:ascii="Arial" w:cs="Arial" w:eastAsia="Arial" w:hAnsi="Arial"/>
          <w:sz w:val="15"/>
          <w:szCs w:val="15"/>
          <w:u w:val="single" w:color="auto"/>
          <w:color w:val="0095DA"/>
        </w:rPr>
        <w:t>Shawn Singh, Chief Executive Officer of VistaGen</w:t>
      </w:r>
      <w:r>
        <w:rPr>
          <w:rFonts w:ascii="Arial" w:cs="Arial" w:eastAsia="Arial" w:hAnsi="Arial"/>
          <w:sz w:val="15"/>
          <w:szCs w:val="15"/>
          <w:color w:val="auto"/>
        </w:rPr>
        <w:t>. “With decades of commercial and leadership experience in the pharmaceutical industry, experience that is especially relevant in the depression and other CNS markets we are pursuing, Ann’s expertise expands our Board’s strengths. We look forward to her valuable insights and strategic guidance as we continue to advance our pipeline programs.”</w:t>
      </w:r>
    </w:p>
    <w:p>
      <w:pPr>
        <w:spacing w:after="0" w:line="139"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Ms. Cunningham currently serves as Managing Partner of i</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Strategy Partners where she guides pharmaceutical and biotechnology executives in planning and executing successful portfolio strategies and brand launches by evaluating key business questions and evaluating unique strategies to unlock the full potential of each organization served. Her experience in the pharmaceutical industry includes time served in multiple instrumental roles, including: Vice President, Neurodegenerative Disease and Psychiatry at Teva Pharmaceutical Industries; Senior Director, Global Brand Lead, </w:t>
      </w:r>
      <w:r>
        <w:rPr>
          <w:rFonts w:ascii="Arial" w:cs="Arial" w:eastAsia="Arial" w:hAnsi="Arial"/>
          <w:sz w:val="16"/>
          <w:szCs w:val="16"/>
          <w:i w:val="1"/>
          <w:iCs w:val="1"/>
          <w:color w:val="auto"/>
        </w:rPr>
        <w:t>Rexulti</w:t>
      </w:r>
      <w:r>
        <w:rPr>
          <w:rFonts w:ascii="Arial" w:cs="Arial" w:eastAsia="Arial" w:hAnsi="Arial"/>
          <w:sz w:val="16"/>
          <w:szCs w:val="16"/>
          <w:color w:val="auto"/>
        </w:rPr>
        <w:t>, at Otsuka America Pharmaceutical; and Senior Director, Global Brand Lead and Sales Director in multiple therapeutic areas at Eli Lilly and Company, including Psychiatry. Ms. Cunningham holds a B.A. in Psychology from Yale University and an M.B.A. from University of Michigan, Stephen M. Ross School of Business.</w:t>
      </w:r>
    </w:p>
    <w:p>
      <w:pPr>
        <w:spacing w:after="0" w:line="18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“With three late-stage, fast-acting new generation CNS drug candidates, each focused on a large market where millions of individuals need new safe and effective alternatives to current therapies, VistaGen is poised to make game-changing advances in the near future,” said Ms. Cunningham. “I am eager to begin working with VistaGen’s leadership team at this exciting and potentially transformative time in the Company’s development.”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VistaGen Therapeutics is a clinical-stage biopharmaceutical company developing new generation medicines for multiple CNS diseases and disorders with high unmet need. Each of VistaGen’s CNS pipeline candidates, AV-101, PH10 and PH94B, has fast-acting activity and potential to be safer and better tolerated than current drugs in its target markets. The Company is currently focused on five CNS markets: major depressive disorder (MDD); neuropathic pain (NP); Parkinson’s disease levodopa-induced dyskinesia (PDLID); social anxiety disorder (SAD); and suicidal ideation. Each drug candidate in VistaGen’s CNS pipeline is either currently in, or has completed, Phase 2 POC clinical development. AV-101, an oral NMDA receptor glycine B antagonist, is in Phase 2 clinical development as an adjunctive treatment of MDD and is being prepared for initial Phase 2 clinical studies in NP and PDLID. The FDA has granted Fast Track designation for development of AV-101 as both a potential </w:t>
      </w:r>
      <w:r>
        <w:rPr>
          <w:rFonts w:ascii="Arial" w:cs="Arial" w:eastAsia="Arial" w:hAnsi="Arial"/>
          <w:sz w:val="16"/>
          <w:szCs w:val="16"/>
          <w:u w:val="single" w:color="auto"/>
          <w:color w:val="0095DA"/>
        </w:rPr>
        <w:t>adjunctive treatment of MDD</w:t>
      </w:r>
      <w:r>
        <w:rPr>
          <w:rFonts w:ascii="Arial" w:cs="Arial" w:eastAsia="Arial" w:hAnsi="Arial"/>
          <w:sz w:val="16"/>
          <w:szCs w:val="16"/>
          <w:color w:val="auto"/>
        </w:rPr>
        <w:t xml:space="preserve"> and as a </w:t>
      </w:r>
      <w:r>
        <w:rPr>
          <w:rFonts w:ascii="Arial" w:cs="Arial" w:eastAsia="Arial" w:hAnsi="Arial"/>
          <w:sz w:val="16"/>
          <w:szCs w:val="16"/>
          <w:u w:val="single" w:color="auto"/>
          <w:color w:val="0095DA"/>
        </w:rPr>
        <w:t>non-opioid treatment for neuropathic pain</w:t>
      </w:r>
      <w:r>
        <w:rPr>
          <w:rFonts w:ascii="Arial" w:cs="Arial" w:eastAsia="Arial" w:hAnsi="Arial"/>
          <w:sz w:val="16"/>
          <w:szCs w:val="16"/>
          <w:color w:val="auto"/>
        </w:rPr>
        <w:t>. PH10 intranasal, a first-in-class neuroactive steroid with rapid onset effects, has completed a successful Phase 2 POC clinical study for MDD. PH94B intranasal, also a first-in-class neuroactive steroid with rapid onset effects, has completed Phase 2 clinical development and is now being prepared for pivotal Phase 3 clinical development as an on-demand, as needed (PRN) treatment of SAD.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095DA"/>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095DA"/>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095DA"/>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095DA"/>
        </w:rPr>
        <w:t>Facebook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333333"/>
        </w:rPr>
        <w:t>Forward-Looking Statements</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color w:val="333333"/>
        </w:rPr>
        <w:t xml:space="preserve">This release contains various statements concerning VistaGen's future expectations, plans and prospects, including without limitation, our expectations regarding development and commercialization of our drug candidates, all of which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in ongoing or future studies, and ongoing or future preclinical and clinical results may not support further development of, or be sufficient to gain regulatory approval to market AV-101, PH94B, and/or PH10,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0000FF"/>
        </w:rPr>
        <w:t>www.sec.gov</w:t>
      </w:r>
      <w:r>
        <w:rPr>
          <w:rFonts w:ascii="Arial" w:cs="Arial" w:eastAsia="Arial" w:hAnsi="Arial"/>
          <w:sz w:val="16"/>
          <w:szCs w:val="16"/>
          <w:color w:val="333333"/>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70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1"/>
    </w:lvl>
    <w:lvl w:ilvl="1">
      <w:lvlJc w:val="left"/>
      <w:lvlText w:val="(%2)"/>
      <w:numFmt w:val="lowerLetter"/>
      <w:start w:val="4"/>
    </w:lvl>
  </w:abstractNum>
  <w:abstractNum w:abstractNumId="3">
    <w:nsid w:val="2EB141F2"/>
    <w:multiLevelType w:val="hybridMultilevel"/>
    <w:lvl w:ilvl="0">
      <w:lvlJc w:val="left"/>
      <w:lvlText w:val="%1."/>
      <w:numFmt w:val="decimal"/>
      <w:start w:val="2"/>
    </w:lvl>
    <w:lvl w:ilvl="1">
      <w:lvlJc w:val="left"/>
      <w:lvlText w:val="(%2)"/>
      <w:numFmt w:val="lowerLetter"/>
      <w:start w:val="1"/>
    </w:lvl>
  </w:abstractNum>
  <w:abstractNum w:abstractNumId="4">
    <w:nsid w:val="41B71EFB"/>
    <w:multiLevelType w:val="hybridMultilevel"/>
    <w:lvl w:ilvl="0">
      <w:lvlJc w:val="left"/>
      <w:lvlText w:val="%1"/>
      <w:numFmt w:val="decimal"/>
      <w:start w:val="1"/>
    </w:lvl>
    <w:lvl w:ilvl="1">
      <w:lvlJc w:val="left"/>
      <w:lvlText w:val="(%2)"/>
      <w:numFmt w:val="lowerLetter"/>
      <w:start w:val="5"/>
    </w:lvl>
  </w:abstractNum>
  <w:abstractNum w:abstractNumId="5">
    <w:nsid w:val="79E2A9E3"/>
    <w:multiLevelType w:val="hybridMultilevel"/>
    <w:lvl w:ilvl="0">
      <w:lvlJc w:val="left"/>
      <w:lvlText w:val="%1."/>
      <w:numFmt w:val="decimal"/>
      <w:start w:val="3"/>
    </w:lvl>
    <w:lvl w:ilvl="1">
      <w:lvlJc w:val="left"/>
      <w:lvlText w:val="(%2)"/>
      <w:numFmt w:val="lowerLetter"/>
      <w:start w:val="1"/>
    </w:lvl>
  </w:abstractNum>
  <w:abstractNum w:abstractNumId="6">
    <w:nsid w:val="7545E14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2020-01-10T02:30:59Z</dcterms:created>
  <dcterms:modified xsi:type="dcterms:W3CDTF">2020-01-10T02:30:59Z</dcterms:modified>
</cp:coreProperties>
</file>