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February 2, 2023</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Vistagen Therapeutics,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1680" w:type="dxa"/>
        <w:tblCellMar>
          <w:top w:w="0" w:type="dxa"/>
          <w:left w:w="0" w:type="dxa"/>
          <w:bottom w:w="0" w:type="dxa"/>
          <w:right w:w="0" w:type="dxa"/>
        </w:tblCellMar>
      </w:tblPr>
      <w:tr>
        <w:trPr>
          <w:trHeight w:val="218"/>
        </w:trPr>
        <w:tc>
          <w:tcPr>
            <w:tcW w:w="23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NEVADA</w:t>
            </w:r>
          </w:p>
        </w:tc>
        <w:tc>
          <w:tcPr>
            <w:tcW w:w="34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000-54014</w:t>
            </w:r>
          </w:p>
        </w:tc>
        <w:tc>
          <w:tcPr>
            <w:tcW w:w="194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8"/>
              </w:rPr>
              <w:t>20-5093315</w:t>
            </w:r>
          </w:p>
        </w:tc>
      </w:tr>
      <w:tr>
        <w:trPr>
          <w:trHeight w:val="216"/>
        </w:trPr>
        <w:tc>
          <w:tcPr>
            <w:tcW w:w="2300" w:type="dxa"/>
            <w:vAlign w:val="bottom"/>
          </w:tcPr>
          <w:p>
            <w:pPr>
              <w:jc w:val="center"/>
              <w:ind w:right="90"/>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3400" w:type="dxa"/>
            <w:vAlign w:val="bottom"/>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w w:val="99"/>
              </w:rPr>
              <w:t>(Commission File Number)</w:t>
            </w:r>
          </w:p>
        </w:tc>
        <w:tc>
          <w:tcPr>
            <w:tcW w:w="1940" w:type="dxa"/>
            <w:vAlign w:val="bottom"/>
          </w:tcPr>
          <w:p>
            <w:pPr>
              <w:jc w:val="center"/>
              <w:ind w:left="15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2300" w:type="dxa"/>
            <w:vAlign w:val="bottom"/>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w w:val="99"/>
              </w:rPr>
              <w:t>incorporation)</w:t>
            </w:r>
          </w:p>
        </w:tc>
        <w:tc>
          <w:tcPr>
            <w:tcW w:w="3400" w:type="dxa"/>
            <w:vAlign w:val="bottom"/>
          </w:tcPr>
          <w:p>
            <w:pPr>
              <w:spacing w:after="0"/>
              <w:rPr>
                <w:sz w:val="20"/>
                <w:szCs w:val="20"/>
                <w:color w:val="auto"/>
              </w:rPr>
            </w:pPr>
          </w:p>
        </w:tc>
        <w:tc>
          <w:tcPr>
            <w:tcW w:w="1940" w:type="dxa"/>
            <w:vAlign w:val="bottom"/>
          </w:tcPr>
          <w:p>
            <w:pPr>
              <w:jc w:val="center"/>
              <w:ind w:left="190"/>
              <w:spacing w:after="0"/>
              <w:rPr>
                <w:sz w:val="20"/>
                <w:szCs w:val="20"/>
                <w:color w:val="auto"/>
              </w:rPr>
            </w:pPr>
            <w:r>
              <w:rPr>
                <w:rFonts w:ascii="Times New Roman" w:cs="Times New Roman" w:eastAsia="Times New Roman" w:hAnsi="Times New Roman"/>
                <w:sz w:val="18"/>
                <w:szCs w:val="18"/>
                <w:i w:val="1"/>
                <w:iCs w:val="1"/>
                <w:color w:val="auto"/>
              </w:rPr>
              <w:t>Identification Number)</w:t>
            </w:r>
          </w:p>
        </w:tc>
      </w:tr>
      <w:tr>
        <w:trPr>
          <w:trHeight w:val="410"/>
        </w:trPr>
        <w:tc>
          <w:tcPr>
            <w:tcW w:w="2300" w:type="dxa"/>
            <w:vAlign w:val="bottom"/>
          </w:tcPr>
          <w:p>
            <w:pPr>
              <w:spacing w:after="0"/>
              <w:rPr>
                <w:sz w:val="24"/>
                <w:szCs w:val="24"/>
                <w:color w:val="auto"/>
              </w:rPr>
            </w:pPr>
          </w:p>
        </w:tc>
        <w:tc>
          <w:tcPr>
            <w:tcW w:w="34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343 Allerton Ave.</w:t>
            </w:r>
          </w:p>
        </w:tc>
        <w:tc>
          <w:tcPr>
            <w:tcW w:w="1940" w:type="dxa"/>
            <w:vAlign w:val="bottom"/>
          </w:tcPr>
          <w:p>
            <w:pPr>
              <w:spacing w:after="0"/>
              <w:rPr>
                <w:sz w:val="24"/>
                <w:szCs w:val="24"/>
                <w:color w:val="auto"/>
              </w:rPr>
            </w:pPr>
          </w:p>
        </w:tc>
      </w:tr>
      <w:tr>
        <w:trPr>
          <w:trHeight w:val="218"/>
        </w:trPr>
        <w:tc>
          <w:tcPr>
            <w:tcW w:w="2300" w:type="dxa"/>
            <w:vAlign w:val="bottom"/>
          </w:tcPr>
          <w:p>
            <w:pPr>
              <w:spacing w:after="0"/>
              <w:rPr>
                <w:sz w:val="18"/>
                <w:szCs w:val="18"/>
                <w:color w:val="auto"/>
              </w:rPr>
            </w:pPr>
          </w:p>
        </w:tc>
        <w:tc>
          <w:tcPr>
            <w:tcW w:w="34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South San Francisco, California 94090</w:t>
            </w:r>
          </w:p>
        </w:tc>
        <w:tc>
          <w:tcPr>
            <w:tcW w:w="1940" w:type="dxa"/>
            <w:vAlign w:val="bottom"/>
          </w:tcPr>
          <w:p>
            <w:pPr>
              <w:spacing w:after="0"/>
              <w:rPr>
                <w:sz w:val="18"/>
                <w:szCs w:val="18"/>
                <w:color w:val="auto"/>
              </w:rPr>
            </w:pPr>
          </w:p>
        </w:tc>
      </w:tr>
      <w:tr>
        <w:trPr>
          <w:trHeight w:val="236"/>
        </w:trPr>
        <w:tc>
          <w:tcPr>
            <w:tcW w:w="2300" w:type="dxa"/>
            <w:vAlign w:val="bottom"/>
          </w:tcPr>
          <w:p>
            <w:pPr>
              <w:spacing w:after="0"/>
              <w:rPr>
                <w:sz w:val="20"/>
                <w:szCs w:val="20"/>
                <w:color w:val="auto"/>
              </w:rPr>
            </w:pPr>
          </w:p>
        </w:tc>
        <w:tc>
          <w:tcPr>
            <w:tcW w:w="3400" w:type="dxa"/>
            <w:vAlign w:val="bottom"/>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194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577-3600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4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432"/>
        </w:trPr>
        <w:tc>
          <w:tcPr>
            <w:tcW w:w="42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8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42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1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VTGN</w:t>
            </w:r>
          </w:p>
        </w:tc>
        <w:tc>
          <w:tcPr>
            <w:tcW w:w="48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ind w:left="89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Please see Item 8.01 below with respect to the issuance of the Stock Consideration (defined below) in connection with the consummation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Pherin Acquisition (defined below) (the “</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2, 2023 (the “</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completed its acquisition of Pherin Pharmaceuticals, Inc. (“</w:t>
      </w:r>
      <w:r>
        <w:rPr>
          <w:rFonts w:ascii="Times New Roman" w:cs="Times New Roman" w:eastAsia="Times New Roman" w:hAnsi="Times New Roman"/>
          <w:sz w:val="18"/>
          <w:szCs w:val="18"/>
          <w:i w:val="1"/>
          <w:iCs w:val="1"/>
          <w:color w:val="auto"/>
        </w:rPr>
        <w:t>Pherin</w:t>
      </w:r>
      <w:r>
        <w:rPr>
          <w:rFonts w:ascii="Times New Roman" w:cs="Times New Roman" w:eastAsia="Times New Roman" w:hAnsi="Times New Roman"/>
          <w:sz w:val="18"/>
          <w:szCs w:val="18"/>
          <w:color w:val="auto"/>
        </w:rPr>
        <w:t>”) in accordance with the terms and conditions of the Agreement and Plan of Merger, dated December 20, 2022 (the “</w:t>
      </w:r>
      <w:r>
        <w:rPr>
          <w:rFonts w:ascii="Times New Roman" w:cs="Times New Roman" w:eastAsia="Times New Roman" w:hAnsi="Times New Roman"/>
          <w:sz w:val="18"/>
          <w:szCs w:val="18"/>
          <w:i w:val="1"/>
          <w:iCs w:val="1"/>
          <w:color w:val="auto"/>
        </w:rPr>
        <w:t>Merger Agreement</w:t>
      </w:r>
      <w:r>
        <w:rPr>
          <w:rFonts w:ascii="Times New Roman" w:cs="Times New Roman" w:eastAsia="Times New Roman" w:hAnsi="Times New Roman"/>
          <w:sz w:val="18"/>
          <w:szCs w:val="18"/>
          <w:color w:val="auto"/>
        </w:rPr>
        <w:t>”), by and among the Company, VTGN Merger Sub, Inc., the Company’s wholly-owned subsidiary (“</w:t>
      </w:r>
      <w:r>
        <w:rPr>
          <w:rFonts w:ascii="Times New Roman" w:cs="Times New Roman" w:eastAsia="Times New Roman" w:hAnsi="Times New Roman"/>
          <w:sz w:val="18"/>
          <w:szCs w:val="18"/>
          <w:i w:val="1"/>
          <w:iCs w:val="1"/>
          <w:color w:val="auto"/>
        </w:rPr>
        <w:t>Merger Sub</w:t>
      </w:r>
      <w:r>
        <w:rPr>
          <w:rFonts w:ascii="Times New Roman" w:cs="Times New Roman" w:eastAsia="Times New Roman" w:hAnsi="Times New Roman"/>
          <w:sz w:val="18"/>
          <w:szCs w:val="18"/>
          <w:color w:val="auto"/>
        </w:rPr>
        <w:t>”), Pherin, and Kevin McCarthy in the capacity of Stockholder Representative (the “</w:t>
      </w:r>
      <w:r>
        <w:rPr>
          <w:rFonts w:ascii="Times New Roman" w:cs="Times New Roman" w:eastAsia="Times New Roman" w:hAnsi="Times New Roman"/>
          <w:sz w:val="18"/>
          <w:szCs w:val="18"/>
          <w:i w:val="1"/>
          <w:iCs w:val="1"/>
          <w:color w:val="auto"/>
        </w:rPr>
        <w:t>Pherin Acquisition</w:t>
      </w:r>
      <w:r>
        <w:rPr>
          <w:rFonts w:ascii="Times New Roman" w:cs="Times New Roman" w:eastAsia="Times New Roman" w:hAnsi="Times New Roman"/>
          <w:sz w:val="18"/>
          <w:szCs w:val="18"/>
          <w:color w:val="auto"/>
        </w:rPr>
        <w:t>”). At Closing, Pherin merged with and into Merger Sub, with Pherin continuing as the surviving company and, as such, Pherin is now a wholly-owned subsidiary of the Company. Immediately prior to the consummation of the Pherin Acquisition, each of Pherin’s directors and officers resigned, and no employees or other affiliates of Pherin on the Closing Date are serving or will serve in their previous roles or in any other capacity with Pherin or with the Company.</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At Closing, each outstanding share of Pherin common stock, par value $0.0001 per share (“</w:t>
      </w:r>
      <w:r>
        <w:rPr>
          <w:rFonts w:ascii="Times New Roman" w:cs="Times New Roman" w:eastAsia="Times New Roman" w:hAnsi="Times New Roman"/>
          <w:sz w:val="18"/>
          <w:szCs w:val="18"/>
          <w:i w:val="1"/>
          <w:iCs w:val="1"/>
          <w:color w:val="auto"/>
        </w:rPr>
        <w:t>Pherin Common Stock</w:t>
      </w:r>
      <w:r>
        <w:rPr>
          <w:rFonts w:ascii="Times New Roman" w:cs="Times New Roman" w:eastAsia="Times New Roman" w:hAnsi="Times New Roman"/>
          <w:sz w:val="18"/>
          <w:szCs w:val="18"/>
          <w:color w:val="auto"/>
        </w:rPr>
        <w:t>”) converted into the right to receive 0.325 of one share of the Company’s common stock, par value $0.001 per share (“</w:t>
      </w:r>
      <w:r>
        <w:rPr>
          <w:rFonts w:ascii="Times New Roman" w:cs="Times New Roman" w:eastAsia="Times New Roman" w:hAnsi="Times New Roman"/>
          <w:sz w:val="18"/>
          <w:szCs w:val="18"/>
          <w:i w:val="1"/>
          <w:iCs w:val="1"/>
          <w:color w:val="auto"/>
        </w:rPr>
        <w:t>Company Common Stock</w:t>
      </w:r>
      <w:r>
        <w:rPr>
          <w:rFonts w:ascii="Times New Roman" w:cs="Times New Roman" w:eastAsia="Times New Roman" w:hAnsi="Times New Roman"/>
          <w:sz w:val="18"/>
          <w:szCs w:val="18"/>
          <w:color w:val="auto"/>
        </w:rPr>
        <w:t>”) or, solely for those Pherin stockholders who were not eligible to receive Company Common Stock as consideration for the Pherin Acquisition, an equivalent cash payment, calculated by multiplying the shares of Company Common Stock otherwise issuable to such Pherin stockholders by $0.2479, the most recently reported closing price of the Company Common Stock immediately prior to Closing, as reported on the Nasdaq Stock Market. The Company expects to issue an aggregate total of (i) 12,410,181 unregistered shares of Company Common Stock to approximately 96.07% of the Pherin stockholders (the “</w:t>
      </w:r>
      <w:r>
        <w:rPr>
          <w:rFonts w:ascii="Times New Roman" w:cs="Times New Roman" w:eastAsia="Times New Roman" w:hAnsi="Times New Roman"/>
          <w:sz w:val="18"/>
          <w:szCs w:val="18"/>
          <w:i w:val="1"/>
          <w:iCs w:val="1"/>
          <w:color w:val="auto"/>
        </w:rPr>
        <w:t>Stock Consideration</w:t>
      </w:r>
      <w:r>
        <w:rPr>
          <w:rFonts w:ascii="Times New Roman" w:cs="Times New Roman" w:eastAsia="Times New Roman" w:hAnsi="Times New Roman"/>
          <w:sz w:val="18"/>
          <w:szCs w:val="18"/>
          <w:color w:val="auto"/>
        </w:rPr>
        <w:t>”), and (ii) an aggregate total of approximately $125,800 to the remaining approximately 3.93% of the Pherin stockholders who were not eligible to receive shares of Company Common Stock on the Closing Date.</w:t>
      </w:r>
    </w:p>
    <w:p>
      <w:pPr>
        <w:spacing w:after="0" w:line="187" w:lineRule="exact"/>
        <w:rPr>
          <w:sz w:val="20"/>
          <w:szCs w:val="20"/>
          <w:color w:val="auto"/>
        </w:rPr>
      </w:pPr>
    </w:p>
    <w:p>
      <w:pPr>
        <w:jc w:val="both"/>
        <w:ind w:firstLine="612"/>
        <w:spacing w:after="0" w:line="254" w:lineRule="auto"/>
        <w:rPr>
          <w:sz w:val="20"/>
          <w:szCs w:val="20"/>
          <w:color w:val="auto"/>
        </w:rPr>
      </w:pPr>
      <w:r>
        <w:rPr>
          <w:rFonts w:ascii="Times New Roman" w:cs="Times New Roman" w:eastAsia="Times New Roman" w:hAnsi="Times New Roman"/>
          <w:sz w:val="18"/>
          <w:szCs w:val="18"/>
          <w:color w:val="auto"/>
        </w:rPr>
        <w:t>The shares of Company Common Stock to be issued to Pherin stockholders as Stock Consideration are exempt from the registration requirements of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pursuant to either (i) Section 4(a)(2) of the Securities Act and/or Rule 506(b) of Regulation D promulgated thereunder because, among other things, the transaction did not involve a public offering, the investors are accredited investors, the investors are purchasing the securities for investment and not for resale and the Company took appropriate measures to restrict the transfer of the securities or (ii) Regulation S and/or Section 4(2) of the Securities Act because, among other things, such shares of Company Common Stock will be issued to non-U.S. persons in an offshore transaction. The shares of Company Common Stock issuable as Stock Consideration have not been registered under the Securities Act and may not be sold in the U.S. absent registration or an exemption from registration. This Current Report on Form 8-K shall not constitute an offer to sell or the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188" w:lineRule="exact"/>
        <w:rPr>
          <w:sz w:val="20"/>
          <w:szCs w:val="20"/>
          <w:color w:val="auto"/>
        </w:rPr>
      </w:pPr>
    </w:p>
    <w:p>
      <w:pPr>
        <w:jc w:val="both"/>
        <w:ind w:firstLine="612"/>
        <w:spacing w:after="0" w:line="266" w:lineRule="auto"/>
        <w:rPr>
          <w:sz w:val="20"/>
          <w:szCs w:val="20"/>
          <w:color w:val="auto"/>
        </w:rPr>
      </w:pPr>
      <w:r>
        <w:rPr>
          <w:rFonts w:ascii="Times New Roman" w:cs="Times New Roman" w:eastAsia="Times New Roman" w:hAnsi="Times New Roman"/>
          <w:sz w:val="18"/>
          <w:szCs w:val="18"/>
          <w:color w:val="auto"/>
        </w:rPr>
        <w:t>The material terms of the Pherin Acquisition are contained in the Merger Agreement, as previously disclosed in Item 1.01 and attached as Exhibit 10.1 of the Company’s Current Report on Form 8-K filed with the Securities and Exchange Commission on December 21, 2022. A copy of the press release issued by the Company regarding the Closing of the Pherin Acquisition is attached to this Current Report on Form 8-K as Exhibit 99.1.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0"/>
                <w:szCs w:val="20"/>
                <w:color w:val="auto"/>
              </w:rPr>
            </w:pPr>
          </w:p>
        </w:tc>
        <w:tc>
          <w:tcPr>
            <w:tcW w:w="9780" w:type="dxa"/>
            <w:vAlign w:val="bottom"/>
            <w:tcBorders>
              <w:bottom w:val="single" w:sz="8" w:color="auto"/>
            </w:tcBorders>
          </w:tcPr>
          <w:p>
            <w:pPr>
              <w:ind w:left="44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460" w:type="dxa"/>
            <w:vAlign w:val="bottom"/>
          </w:tcPr>
          <w:p>
            <w:pPr>
              <w:spacing w:after="0"/>
              <w:rPr>
                <w:sz w:val="14"/>
                <w:szCs w:val="14"/>
                <w:color w:val="auto"/>
              </w:rPr>
            </w:pPr>
          </w:p>
        </w:tc>
        <w:tc>
          <w:tcPr>
            <w:tcW w:w="320" w:type="dxa"/>
            <w:vAlign w:val="bottom"/>
            <w:tcBorders>
              <w:bottom w:val="single" w:sz="8" w:color="0000EE"/>
            </w:tcBorders>
          </w:tcPr>
          <w:p>
            <w:pPr>
              <w:jc w:val="center"/>
              <w:spacing w:after="0" w:line="169"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7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Press Release issued by Vistagen Therapeutics, Inc., dated February 2, 2023.</w:t>
            </w:r>
          </w:p>
        </w:tc>
      </w:tr>
      <w:tr>
        <w:trPr>
          <w:trHeight w:val="237"/>
        </w:trPr>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0"/>
                <w:szCs w:val="20"/>
                <w:color w:val="auto"/>
              </w:rPr>
            </w:pPr>
          </w:p>
        </w:tc>
        <w:tc>
          <w:tcPr>
            <w:tcW w:w="10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74"/>
        </w:trPr>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64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Vistagen Therapeutics,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 2023</w:t>
            </w:r>
          </w:p>
        </w:tc>
        <w:tc>
          <w:tcPr>
            <w:tcW w:w="764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Shawn K. Singh</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Shawn K. Singh</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1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b w:val="1"/>
          <w:bCs w:val="1"/>
          <w:color w:val="auto"/>
        </w:rPr>
        <w:t>Vistagen Announces Closing of Pherin Pharmaceuticals Acquisition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eliminates all future royalty payment obligations for PH94B and PH10 and expands Vistagen's pipeline</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SOUTH SAN FRANCISCO, Calif.--(BUSINESS WIRE)—February 2, 2023-- Vistagen (Nasdaq: VTGN), a late clinical-stage biopharmaceutical company aiming to transform the treatment landscape for individuals living with anxiety, depression, and other central nervous system (CNS) disorders, today announced the closing of its acquisition of Pherin Pharmaceuticals, Inc., a privately held drug development company focused on neuropsychiatric and neuroendocrine conditions (Pherin). Vistagen now owns all intellectual property rights to its two most advanced drug candidates, PH94B, currently in Phase 3 development for social anxiety disorder (SAD) and Phase 2 development for adjustment disorder with anxiety (AjDA), and PH10, in clinical development for major depressive disorder (MDD), as well as three additional drug candidates in earlier stages of development: PH15 for cognition improvement; PH80 for migraine and hot flashes; and PH284 for appetite-related disorders. Vistagen’s acquisition of Pherin eliminates all future royalty payment obligations related to its five pherine nasal spray drug candidates.</w:t>
      </w:r>
    </w:p>
    <w:p>
      <w:pPr>
        <w:spacing w:after="0" w:line="1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“This acquisition is another important step in our plan to develop and commercialize PH94B and PH10 as innovative treatments for millions of individuals struggling with anxiety and depression disorders,” stated Shawn Singh, Chief Executive Officer of Vistagen. “By acquiring Pherin, we are eliminating all potential royalty payment obligations related to PH94B and PH10, as well as the three additional earlier stage pherines acquired in the transaction. This acquisition significantly improves the potential future commercial profile of each drug candidate.”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details regarding the closing of Vistagen’ acquisition of Pherin can be found in the Company’s Current Report on Form 8-K, filed with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today and available in the Investors section of Vistagen’s website.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Vistagen</w:t>
      </w:r>
    </w:p>
    <w:p>
      <w:pPr>
        <w:spacing w:after="0" w:line="3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Vistagen (Nasdaq: VTGN) is a late clinical-stage biopharmaceutical company aiming to transform the treatment landscape for individuals living with anxiety, depression and other CNS disorders. The Company is advancing therapeutics with the potential to be faster-acting, and with fewer side effects and safety concerns, than those that are currently available for treatment of anxiety and depression. Vistagen’s product candidates belong to a new class of drugs known as pherines, which are designed with a novel rapid-onset mechanism of action that activates chemosensory neurons in the nasal passages and can impact key neural circuits without systemic uptake or direct activity on CNS neurons in the brain. Vistagen is passionate about transforming mental health care and redefining what is possible in the treatment of anxiety and depression. Connect at www.Vistagen.com.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3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results or developments may differ materially from those projected or implied in these forward-looking statements. Among other things, there can be no guarantee that: any of the Company’s drug candidates, including PH94B, PH10 or any other pherine drug candidate will successfully complete ongoing or future clinical trials, receive regulatory approval or be commercially successful; Vistagen’s ability to realize the anticipated benefits of the acquisition of Pherin, including the possibility that the expected benefits will not be realized or will not be realized within the expected time period; or unknown liabilities that may or may not be within Vistagen’s control. Certain of these risks are more fully discussed in the section entitled "Risk Factors" in the Company’s most recent Annual Report on Form 10-K for the fiscal year ended March 31, 2022 and in the Company’s most recent Quarterly Report on Form 10-Q for the quarter ended September 30, 2022, as well as discussions of potential risks, uncertainties, and other important factors in our other filings with the U.S. Securities and Exchange Commission (SEC). The Company’s SEC filings are available on the SEC’s website at www.sec.gov. You should not place undue reliance on these forward-looking statements, which apply only as of the date of this press release and should not be relied upon as representing the Company’s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Flather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9" w:lineRule="exact"/>
        <w:rPr>
          <w:sz w:val="20"/>
          <w:szCs w:val="20"/>
          <w:color w:val="auto"/>
        </w:rPr>
      </w:pPr>
    </w:p>
    <w:p>
      <w:pPr>
        <w:ind w:right="9500" w:firstLine="8"/>
        <w:spacing w:after="0" w:line="260" w:lineRule="auto"/>
        <w:tabs>
          <w:tab w:leader="none" w:pos="4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577-3617 mflather@vistagen.com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Nate Hitchings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SKDK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nhitchings@skdknick.com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65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2023-02-02T08:12:08Z</dcterms:created>
  <dcterms:modified xsi:type="dcterms:W3CDTF">2023-02-02T08:12:08Z</dcterms:modified>
</cp:coreProperties>
</file>