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color w:val="auto"/>
        </w:rPr>
        <w:t>As filed with the Securities and Exchange Commission on March 17, 2023</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333-270232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0" w:gutter="0" w:footer="0" w:header="0"/>
        </w:sectPr>
      </w:pPr>
    </w:p>
    <w:p>
      <w:pPr>
        <w:spacing w:after="0" w:line="20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2834</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(Primary Standard Industrial</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Classification Code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20-5093315</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3740" w:space="720"/>
            <w:col w:w="3280" w:space="720"/>
            <w:col w:w="2780"/>
          </w:cols>
          <w:pgMar w:left="320" w:top="229" w:right="339" w:bottom="0" w:gutter="0" w:footer="0" w:header="0"/>
          <w:type w:val="continuous"/>
        </w:sectPr>
      </w:pPr>
    </w:p>
    <w:p>
      <w:pPr>
        <w:spacing w:after="0" w:line="3"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343 Allerton Ave.</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7"/>
          <w:szCs w:val="17"/>
          <w:color w:val="auto"/>
        </w:rPr>
        <w:t>including area code, of registrant’s principal executive offices)</w:t>
      </w:r>
    </w:p>
    <w:p>
      <w:pPr>
        <w:spacing w:after="0" w:line="214"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Shawn K. Singh</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(Name, address, including zip code, and telephone number,</w:t>
      </w:r>
    </w:p>
    <w:p>
      <w:pPr>
        <w:spacing w:after="0" w:line="9"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auto"/>
        </w:rPr>
        <w:t>including area code, of agent for service)</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Copies to:</w:t>
      </w:r>
    </w:p>
    <w:p>
      <w:pPr>
        <w:sectPr>
          <w:pgSz w:w="11900" w:h="16838" w:orient="portrait"/>
          <w:cols w:equalWidth="0" w:num="1">
            <w:col w:w="11240"/>
          </w:cols>
          <w:pgMar w:left="320" w:top="229" w:right="339" w:bottom="0" w:gutter="0" w:footer="0" w:header="0"/>
          <w:type w:val="continuous"/>
        </w:sectPr>
      </w:pPr>
    </w:p>
    <w:p>
      <w:pPr>
        <w:spacing w:after="0" w:line="22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Daniel W. Rumsey, Esq.</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Jack P. Kennedy, Esq.</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Disclosure Law Group, a Professional Corporation</w:t>
      </w:r>
    </w:p>
    <w:p>
      <w:pPr>
        <w:spacing w:after="0" w:line="2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655 West Broadway, Suite 870</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San Diego, CA 92101</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(619) 272-7050</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Jessica R. Haskell, Esq.</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Associate General Counsel and Corporate Secretary</w:t>
      </w:r>
    </w:p>
    <w:p>
      <w:pPr>
        <w:spacing w:after="0" w:line="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343 Allerton Avenue</w:t>
      </w:r>
    </w:p>
    <w:p>
      <w:pPr>
        <w:spacing w:after="0" w:line="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200" w:lineRule="exact"/>
        <w:rPr>
          <w:sz w:val="24"/>
          <w:szCs w:val="24"/>
          <w:color w:val="auto"/>
        </w:rPr>
      </w:pPr>
    </w:p>
    <w:p>
      <w:pPr>
        <w:sectPr>
          <w:pgSz w:w="11900" w:h="16838" w:orient="portrait"/>
          <w:cols w:equalWidth="0" w:num="2">
            <w:col w:w="5700" w:space="720"/>
            <w:col w:w="4820"/>
          </w:cols>
          <w:pgMar w:left="320" w:top="229" w:right="339" w:bottom="0" w:gutter="0" w:footer="0" w:header="0"/>
          <w:type w:val="continuous"/>
        </w:sect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Approximate date of commencement of proposed sale to the public</w:t>
      </w:r>
      <w:r>
        <w:rPr>
          <w:rFonts w:ascii="Times New Roman" w:cs="Times New Roman" w:eastAsia="Times New Roman" w:hAnsi="Times New Roman"/>
          <w:sz w:val="18"/>
          <w:szCs w:val="18"/>
          <w:color w:val="auto"/>
        </w:rPr>
        <w:t>: As soon as practicable after this registration statement becomes effective.</w:t>
      </w:r>
    </w:p>
    <w:p>
      <w:pPr>
        <w:spacing w:after="0" w:line="20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Accelerated filer</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48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60" w:type="dxa"/>
            <w:vAlign w:val="bottom"/>
          </w:tcPr>
          <w:p>
            <w:pPr>
              <w:ind w:left="9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229" w:right="339" w:bottom="0" w:gutter="0" w:footer="0" w:header="0"/>
          <w:type w:val="continuous"/>
        </w:sectPr>
      </w:pPr>
    </w:p>
    <w:bookmarkStart w:id="1" w:name="page2"/>
    <w:bookmarkEnd w:id="1"/>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136130" cy="518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81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both"/>
        <w:ind w:left="80" w:right="80"/>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 selling stockholders may not sell these securities until the registration statement filed with the Securities and Exchange Commission is effective. This preliminary prospectus is not an offer to sell these securities, and it is not soliciting an offer to buy these securities in any state where such offer or sale is not permitted.</w:t>
      </w:r>
    </w:p>
    <w:p>
      <w:pPr>
        <w:spacing w:after="0" w:line="252" w:lineRule="exact"/>
        <w:rPr>
          <w:sz w:val="20"/>
          <w:szCs w:val="20"/>
          <w:color w:val="auto"/>
        </w:rPr>
      </w:pPr>
    </w:p>
    <w:p>
      <w:pPr>
        <w:spacing w:after="0"/>
        <w:tabs>
          <w:tab w:leader="none" w:pos="4320" w:val="left"/>
          <w:tab w:leader="none" w:pos="9180" w:val="left"/>
        </w:tabs>
        <w:rPr>
          <w:sz w:val="20"/>
          <w:szCs w:val="20"/>
          <w:color w:val="auto"/>
        </w:rPr>
      </w:pPr>
      <w:r>
        <w:rPr>
          <w:rFonts w:ascii="Times New Roman" w:cs="Times New Roman" w:eastAsia="Times New Roman" w:hAnsi="Times New Roman"/>
          <w:sz w:val="18"/>
          <w:szCs w:val="18"/>
          <w:b w:val="1"/>
          <w:bCs w:val="1"/>
          <w:color w:val="FF0000"/>
        </w:rPr>
        <w:t>PRELIMINARY PROSPECTUS</w:t>
      </w:r>
      <w:r>
        <w:rPr>
          <w:sz w:val="20"/>
          <w:szCs w:val="20"/>
          <w:color w:val="auto"/>
        </w:rPr>
        <w:tab/>
      </w:r>
      <w:r>
        <w:rPr>
          <w:rFonts w:ascii="Times New Roman" w:cs="Times New Roman" w:eastAsia="Times New Roman" w:hAnsi="Times New Roman"/>
          <w:sz w:val="18"/>
          <w:szCs w:val="18"/>
          <w:b w:val="1"/>
          <w:bCs w:val="1"/>
          <w:color w:val="FF0000"/>
        </w:rPr>
        <w:t>SUBJECT TO COMPLETION</w:t>
      </w:r>
      <w:r>
        <w:rPr>
          <w:sz w:val="20"/>
          <w:szCs w:val="20"/>
          <w:color w:val="auto"/>
        </w:rPr>
        <w:tab/>
      </w:r>
      <w:r>
        <w:rPr>
          <w:rFonts w:ascii="Times New Roman" w:cs="Times New Roman" w:eastAsia="Times New Roman" w:hAnsi="Times New Roman"/>
          <w:sz w:val="17"/>
          <w:szCs w:val="17"/>
          <w:b w:val="1"/>
          <w:bCs w:val="1"/>
          <w:color w:val="FF0000"/>
        </w:rPr>
        <w:t>DATED 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431165</wp:posOffset>
            </wp:positionV>
            <wp:extent cx="1482725"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12,193,069 Shares of Common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prospectus relates to the resale from time to time of up to 12,193,069 shares of our common stock, par value $0.001 per share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xml:space="preserve">), by the selling stockholders identified herein (collectively, with any of such stockholders’ transferees, pledgees, assignees, distributees, donees or successors-in-interest, the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xml:space="preserve">). We are registering the Shares on behalf of the Selling Stockholders to satisfy certain registration rights that we granted to the Selling Stockholders in connection with the completion of our acquisition of Pherin Pharmaceuticals, Inc. We will not receive any of the proceeds from the sale of the Shares offered hereby. See the section titled </w:t>
      </w:r>
      <w:r>
        <w:rPr>
          <w:rFonts w:ascii="Times New Roman" w:cs="Times New Roman" w:eastAsia="Times New Roman" w:hAnsi="Times New Roman"/>
          <w:sz w:val="18"/>
          <w:szCs w:val="18"/>
          <w:i w:val="1"/>
          <w:iCs w:val="1"/>
          <w:color w:val="auto"/>
        </w:rPr>
        <w:t>The Pherin Acquisition</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for more information.</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Shares to provide the Selling Stockholders with freely tradable securities and to satisfy the registration rights such stockholders received in connection with the issuance of the Shares held by the Selling Stockholders. This prospectus does not necessarily mean that the Selling Stockholders will offer or sell those shares.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selling and other expenses incurred by the Selling Stockholders will be paid by such stockholders, except for certain legal fees and expenses, which will be paid by us. The Selling Stockholders may sell, transfer or otherwise dispose of any or all of the Shares offered by this prospectus from time to time on The Nasdaq Capital Market or any other stock exchange, market, or trading facility on which the shares are traded, or in private transactions. The Shares may be offered and sold or otherwise disposed of by the Selling Stockholders at fixed prices, market prices prevailing at the time of sale, prices related to prevailing market prices, or privately negotiated prices. Refer to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 regarding how the Selling Stockholders may offer, sell, or dispose of their Shares.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“VTGN.” On March 16, 2023, the closing price of our common stock on the Nasdaq Capital Market was $0.14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in our common stock involves a high degree of risk. You should review carefully the risks and uncertainties described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beginning on page </w:t>
      </w:r>
      <w:r>
        <w:rPr>
          <w:rFonts w:ascii="Times New Roman" w:cs="Times New Roman" w:eastAsia="Times New Roman" w:hAnsi="Times New Roman"/>
          <w:sz w:val="18"/>
          <w:szCs w:val="18"/>
          <w:b w:val="1"/>
          <w:bCs w:val="1"/>
          <w:i w:val="1"/>
          <w:iCs w:val="1"/>
          <w:u w:val="single" w:color="auto"/>
          <w:color w:val="0000EE"/>
        </w:rPr>
        <w:t>9</w:t>
      </w:r>
      <w:r>
        <w:rPr>
          <w:rFonts w:ascii="Times New Roman" w:cs="Times New Roman" w:eastAsia="Times New Roman" w:hAnsi="Times New Roman"/>
          <w:sz w:val="18"/>
          <w:szCs w:val="18"/>
          <w:b w:val="1"/>
          <w:bCs w:val="1"/>
          <w:i w:val="1"/>
          <w:iCs w:val="1"/>
          <w:color w:val="auto"/>
        </w:rPr>
        <w:t xml:space="preserve"> of this prospectus, and under similar headings in any amendments or supplements 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820" w:type="dxa"/>
            <w:vAlign w:val="bottom"/>
          </w:tcPr>
          <w:p>
            <w:pPr>
              <w:jc w:val="right"/>
              <w:ind w:right="3910"/>
              <w:spacing w:after="0"/>
              <w:rPr>
                <w:sz w:val="20"/>
                <w:szCs w:val="20"/>
                <w:color w:val="auto"/>
              </w:rPr>
            </w:pPr>
            <w:r>
              <w:rPr>
                <w:rFonts w:ascii="Times New Roman" w:cs="Times New Roman" w:eastAsia="Times New Roman" w:hAnsi="Times New Roman"/>
                <w:sz w:val="18"/>
                <w:szCs w:val="18"/>
                <w:color w:val="auto"/>
              </w:rPr>
              <w:t>, 2023.</w:t>
            </w:r>
          </w:p>
        </w:tc>
      </w:tr>
      <w:tr>
        <w:trPr>
          <w:trHeight w:val="790"/>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2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ABOUT THIS PROSPECTUS</w:t>
            </w:r>
          </w:p>
        </w:tc>
        <w:tc>
          <w:tcPr>
            <w:tcW w:w="6140" w:type="dxa"/>
            <w:vAlign w:val="bottom"/>
            <w:gridSpan w:val="5"/>
          </w:tcPr>
          <w:p>
            <w:pPr>
              <w:spacing w:after="0"/>
              <w:rPr>
                <w:sz w:val="24"/>
                <w:szCs w:val="24"/>
                <w:color w:val="auto"/>
              </w:rPr>
            </w:pPr>
          </w:p>
        </w:tc>
        <w:tc>
          <w:tcPr>
            <w:tcW w:w="1940" w:type="dxa"/>
            <w:vAlign w:val="bottom"/>
            <w:gridSpan w:val="3"/>
          </w:tcPr>
          <w:p>
            <w:pPr>
              <w:ind w:left="1760"/>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560" w:type="dxa"/>
            <w:vAlign w:val="bottom"/>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8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THE COMPANY</w:t>
            </w:r>
          </w:p>
        </w:tc>
        <w:tc>
          <w:tcPr>
            <w:tcW w:w="2560" w:type="dxa"/>
            <w:vAlign w:val="bottom"/>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RISK FACTORS</w:t>
            </w:r>
          </w:p>
        </w:tc>
        <w:tc>
          <w:tcPr>
            <w:tcW w:w="7100" w:type="dxa"/>
            <w:vAlign w:val="bottom"/>
            <w:gridSpan w:val="9"/>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w w:val="88"/>
              </w:rPr>
              <w:t>10</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5480" w:type="dxa"/>
            <w:vAlign w:val="bottom"/>
            <w:gridSpan w:val="4"/>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w w:val="88"/>
              </w:rPr>
              <w:t>11</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THE PHERIN ACQUISITION</w:t>
            </w:r>
          </w:p>
        </w:tc>
        <w:tc>
          <w:tcPr>
            <w:tcW w:w="660" w:type="dxa"/>
            <w:vAlign w:val="bottom"/>
          </w:tcPr>
          <w:p>
            <w:pPr>
              <w:spacing w:after="0"/>
              <w:rPr>
                <w:sz w:val="17"/>
                <w:szCs w:val="17"/>
                <w:color w:val="auto"/>
              </w:rPr>
            </w:pPr>
          </w:p>
        </w:tc>
        <w:tc>
          <w:tcPr>
            <w:tcW w:w="5480" w:type="dxa"/>
            <w:vAlign w:val="bottom"/>
            <w:gridSpan w:val="4"/>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w w:val="88"/>
              </w:rPr>
              <w:t>13</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140" w:type="dxa"/>
            <w:vAlign w:val="bottom"/>
            <w:tcBorders>
              <w:left w:val="single" w:sz="8" w:color="0000EE"/>
            </w:tcBorders>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2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STOCKHOLDERS</w:t>
            </w:r>
          </w:p>
        </w:tc>
        <w:tc>
          <w:tcPr>
            <w:tcW w:w="6140" w:type="dxa"/>
            <w:vAlign w:val="bottom"/>
            <w:gridSpan w:val="5"/>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w w:val="88"/>
              </w:rPr>
              <w:t>14</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160" w:type="dxa"/>
            <w:vAlign w:val="bottom"/>
          </w:tcPr>
          <w:p>
            <w:pPr>
              <w:spacing w:after="0"/>
              <w:rPr>
                <w:sz w:val="17"/>
                <w:szCs w:val="17"/>
                <w:color w:val="auto"/>
              </w:rPr>
            </w:pPr>
          </w:p>
        </w:tc>
        <w:tc>
          <w:tcPr>
            <w:tcW w:w="6140" w:type="dxa"/>
            <w:vAlign w:val="bottom"/>
            <w:gridSpan w:val="5"/>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w w:val="88"/>
              </w:rPr>
              <w:t>15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6300" w:type="dxa"/>
            <w:vAlign w:val="bottom"/>
            <w:gridSpan w:val="6"/>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w w:val="88"/>
              </w:rPr>
              <w:t>17</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900" w:type="dxa"/>
            <w:vAlign w:val="bottom"/>
            <w:gridSpan w:val="8"/>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680" w:type="dxa"/>
            <w:vAlign w:val="bottom"/>
            <w:gridSpan w:val="2"/>
          </w:tcPr>
          <w:p>
            <w:pPr>
              <w:spacing w:after="0"/>
              <w:rPr>
                <w:sz w:val="17"/>
                <w:szCs w:val="17"/>
                <w:color w:val="auto"/>
              </w:rPr>
            </w:pPr>
          </w:p>
        </w:tc>
        <w:tc>
          <w:tcPr>
            <w:tcW w:w="6900" w:type="dxa"/>
            <w:vAlign w:val="bottom"/>
            <w:gridSpan w:val="8"/>
          </w:tcPr>
          <w:p>
            <w:pPr>
              <w:spacing w:after="0"/>
              <w:rPr>
                <w:sz w:val="17"/>
                <w:szCs w:val="17"/>
                <w:color w:val="auto"/>
              </w:rPr>
            </w:pPr>
          </w:p>
        </w:tc>
        <w:tc>
          <w:tcPr>
            <w:tcW w:w="1940" w:type="dxa"/>
            <w:vAlign w:val="bottom"/>
            <w:gridSpan w:val="3"/>
          </w:tcPr>
          <w:p>
            <w:pPr>
              <w:ind w:left="1760"/>
              <w:spacing w:after="0" w:line="196" w:lineRule="exact"/>
              <w:rPr>
                <w:sz w:val="20"/>
                <w:szCs w:val="20"/>
                <w:color w:val="auto"/>
              </w:rPr>
            </w:pPr>
            <w:r>
              <w:rPr>
                <w:rFonts w:ascii="Times New Roman" w:cs="Times New Roman" w:eastAsia="Times New Roman" w:hAnsi="Times New Roman"/>
                <w:sz w:val="18"/>
                <w:szCs w:val="18"/>
                <w:color w:val="0000EE"/>
                <w:w w:val="88"/>
              </w:rPr>
              <w:t>17</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00"/>
          </w:cols>
          <w:pgMar w:left="320" w:top="576" w:right="1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that we filed with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using a “shelf” registration process. By using a shelf registration statement, the Selling Stockholders named herein may, from time to time, sell shares of common stock as described in this prospectus. To the extent necessary, we may provide a supplement to this prospectus that contains specific information about the offering and the Selling Stockholders, as well as the amounts, prices and terms of the securities hereby.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provide you with any information or to make any representations other than those contained in this prospectus, any applicable prospectus supplement or any free writing prospectuses prepared by or on behalf of us or to which we have referred you. We and the Selling Stockholders take no responsibility for, and can provide no assurance as to the reliability of, any other information that others may give you. We and the Selling Stockholders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we refer to “Vistagen,” “we,” “our,” “us” and the “Company” in this prospectus, we mean Vistagen Therapeutics, Inc., a Nevada corporation, and its consolidated subsidiaries, unless otherwise specified. When we refer to “you,” we mean the potential holders of the applicable series of securities.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common stock is registered with the SEC under Section 12 of the Exchange Act and, accordingly, we are subject to the information and periodic reporting requirements of the Exchange Act and file periodic reports, proxy statements and other information with the SEC. These periodic reports, proxy statements and other information are available at the website of the SEC at www.sec.gov.</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 website at http://www.vistagen.com. You may access our Annual Reports on Form 10-K, Quarterly Reports on Form 10-Q, Current Reports on Form 8-K and amendments to those reports, proxy statements and other information filed or furnished pursuant to Section 13(a) or 15(d) of the Exchange Act with the SEC free of charge at our website as soon as reasonably practicable after such material is electronically filed with, or furnished to, the SEC. We have not incorporated by reference into this prospectus the information on our website, and you should not consider it to be a part of this prospectus.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the website of the SEC referenced above.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documents filed by us with the SEC are incorporated by reference in this prospectus:</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March 31, 2022, filed on </w:t>
      </w:r>
      <w:hyperlink r:id="rId18">
        <w:r>
          <w:rPr>
            <w:rFonts w:ascii="Times New Roman" w:cs="Times New Roman" w:eastAsia="Times New Roman" w:hAnsi="Times New Roman"/>
            <w:sz w:val="18"/>
            <w:szCs w:val="18"/>
            <w:u w:val="single" w:color="auto"/>
            <w:color w:val="0000EE"/>
          </w:rPr>
          <w:t>June 23,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period ended June 30, 2022, filed on </w:t>
      </w:r>
      <w:hyperlink r:id="rId19">
        <w:r>
          <w:rPr>
            <w:rFonts w:ascii="Times New Roman" w:cs="Times New Roman" w:eastAsia="Times New Roman" w:hAnsi="Times New Roman"/>
            <w:sz w:val="18"/>
            <w:szCs w:val="18"/>
            <w:u w:val="single" w:color="auto"/>
            <w:color w:val="0000EE"/>
          </w:rPr>
          <w:t>August 11,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period ended September 30, 2022, filed on </w:t>
      </w:r>
      <w:hyperlink r:id="rId20">
        <w:r>
          <w:rPr>
            <w:rFonts w:ascii="Times New Roman" w:cs="Times New Roman" w:eastAsia="Times New Roman" w:hAnsi="Times New Roman"/>
            <w:sz w:val="18"/>
            <w:szCs w:val="18"/>
            <w:u w:val="single" w:color="auto"/>
            <w:color w:val="0000EE"/>
          </w:rPr>
          <w:t>November 10,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period ended December 31, 2022, filed on </w:t>
      </w:r>
      <w:hyperlink r:id="rId21">
        <w:r>
          <w:rPr>
            <w:rFonts w:ascii="Times New Roman" w:cs="Times New Roman" w:eastAsia="Times New Roman" w:hAnsi="Times New Roman"/>
            <w:sz w:val="18"/>
            <w:szCs w:val="18"/>
            <w:u w:val="single" w:color="auto"/>
            <w:color w:val="0000EE"/>
          </w:rPr>
          <w:t>February 7,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22">
        <w:r>
          <w:rPr>
            <w:rFonts w:ascii="Times New Roman" w:cs="Times New Roman" w:eastAsia="Times New Roman" w:hAnsi="Times New Roman"/>
            <w:sz w:val="18"/>
            <w:szCs w:val="18"/>
            <w:u w:val="single" w:color="auto"/>
            <w:color w:val="0000EE"/>
          </w:rPr>
          <w:t>April 13,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23">
        <w:r>
          <w:rPr>
            <w:rFonts w:ascii="Times New Roman" w:cs="Times New Roman" w:eastAsia="Times New Roman" w:hAnsi="Times New Roman"/>
            <w:sz w:val="18"/>
            <w:szCs w:val="18"/>
            <w:u w:val="single" w:color="auto"/>
            <w:color w:val="0000EE"/>
          </w:rPr>
          <w:t>April 22,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24">
        <w:r>
          <w:rPr>
            <w:rFonts w:ascii="Times New Roman" w:cs="Times New Roman" w:eastAsia="Times New Roman" w:hAnsi="Times New Roman"/>
            <w:sz w:val="18"/>
            <w:szCs w:val="18"/>
            <w:u w:val="single" w:color="auto"/>
            <w:color w:val="0000EE"/>
          </w:rPr>
          <w:t>May 3,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25">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26">
        <w:r>
          <w:rPr>
            <w:rFonts w:ascii="Times New Roman" w:cs="Times New Roman" w:eastAsia="Times New Roman" w:hAnsi="Times New Roman"/>
            <w:sz w:val="18"/>
            <w:szCs w:val="18"/>
            <w:u w:val="single" w:color="auto"/>
            <w:color w:val="0000EE"/>
          </w:rPr>
          <w:t>June 22,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27">
        <w:r>
          <w:rPr>
            <w:rFonts w:ascii="Times New Roman" w:cs="Times New Roman" w:eastAsia="Times New Roman" w:hAnsi="Times New Roman"/>
            <w:sz w:val="18"/>
            <w:szCs w:val="18"/>
            <w:u w:val="single" w:color="auto"/>
            <w:color w:val="0000EE"/>
          </w:rPr>
          <w:t>July 22,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28">
        <w:r>
          <w:rPr>
            <w:rFonts w:ascii="Times New Roman" w:cs="Times New Roman" w:eastAsia="Times New Roman" w:hAnsi="Times New Roman"/>
            <w:sz w:val="18"/>
            <w:szCs w:val="18"/>
            <w:u w:val="single" w:color="auto"/>
            <w:color w:val="0000EE"/>
          </w:rPr>
          <w:t>August 31,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29">
        <w:r>
          <w:rPr>
            <w:rFonts w:ascii="Times New Roman" w:cs="Times New Roman" w:eastAsia="Times New Roman" w:hAnsi="Times New Roman"/>
            <w:sz w:val="18"/>
            <w:szCs w:val="18"/>
            <w:u w:val="single" w:color="auto"/>
            <w:color w:val="0000EE"/>
          </w:rPr>
          <w:t>September 7,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0">
        <w:r>
          <w:rPr>
            <w:rFonts w:ascii="Times New Roman" w:cs="Times New Roman" w:eastAsia="Times New Roman" w:hAnsi="Times New Roman"/>
            <w:sz w:val="18"/>
            <w:szCs w:val="18"/>
            <w:u w:val="single" w:color="auto"/>
            <w:color w:val="0000EE"/>
          </w:rPr>
          <w:t>September 8,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(solely with respect to Item 8.01);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1">
        <w:r>
          <w:rPr>
            <w:rFonts w:ascii="Times New Roman" w:cs="Times New Roman" w:eastAsia="Times New Roman" w:hAnsi="Times New Roman"/>
            <w:sz w:val="18"/>
            <w:szCs w:val="18"/>
            <w:u w:val="single" w:color="auto"/>
            <w:color w:val="0000EE"/>
          </w:rPr>
          <w:t>October 6,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2">
        <w:r>
          <w:rPr>
            <w:rFonts w:ascii="Times New Roman" w:cs="Times New Roman" w:eastAsia="Times New Roman" w:hAnsi="Times New Roman"/>
            <w:sz w:val="18"/>
            <w:szCs w:val="18"/>
            <w:u w:val="single" w:color="auto"/>
            <w:color w:val="0000EE"/>
          </w:rPr>
          <w:t>October 19,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(solely with respect to Item 5.07);</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2">
        <w:r>
          <w:rPr>
            <w:rFonts w:ascii="Times New Roman" w:cs="Times New Roman" w:eastAsia="Times New Roman" w:hAnsi="Times New Roman"/>
            <w:sz w:val="18"/>
            <w:szCs w:val="18"/>
            <w:u w:val="single" w:color="auto"/>
            <w:color w:val="0000EE"/>
          </w:rPr>
          <w:t>October 28,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3">
        <w:r>
          <w:rPr>
            <w:rFonts w:ascii="Times New Roman" w:cs="Times New Roman" w:eastAsia="Times New Roman" w:hAnsi="Times New Roman"/>
            <w:sz w:val="18"/>
            <w:szCs w:val="18"/>
            <w:u w:val="single" w:color="auto"/>
            <w:color w:val="0000EE"/>
          </w:rPr>
          <w:t>November 22,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4">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5">
        <w:r>
          <w:rPr>
            <w:rFonts w:ascii="Times New Roman" w:cs="Times New Roman" w:eastAsia="Times New Roman" w:hAnsi="Times New Roman"/>
            <w:sz w:val="18"/>
            <w:szCs w:val="18"/>
            <w:u w:val="single" w:color="auto"/>
            <w:color w:val="0000EE"/>
          </w:rPr>
          <w:t>December 6, 2022</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6">
        <w:r>
          <w:rPr>
            <w:rFonts w:ascii="Times New Roman" w:cs="Times New Roman" w:eastAsia="Times New Roman" w:hAnsi="Times New Roman"/>
            <w:sz w:val="18"/>
            <w:szCs w:val="18"/>
            <w:u w:val="single" w:color="auto"/>
            <w:color w:val="0000EE"/>
          </w:rPr>
          <w:t>December 21,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(solely with respect to Item 1.01);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7">
        <w:r>
          <w:rPr>
            <w:rFonts w:ascii="Times New Roman" w:cs="Times New Roman" w:eastAsia="Times New Roman" w:hAnsi="Times New Roman"/>
            <w:sz w:val="18"/>
            <w:szCs w:val="18"/>
            <w:u w:val="single" w:color="auto"/>
            <w:color w:val="0000EE"/>
          </w:rPr>
          <w:t>January 12,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8">
        <w:r>
          <w:rPr>
            <w:rFonts w:ascii="Times New Roman" w:cs="Times New Roman" w:eastAsia="Times New Roman" w:hAnsi="Times New Roman"/>
            <w:sz w:val="18"/>
            <w:szCs w:val="18"/>
            <w:u w:val="single" w:color="auto"/>
            <w:color w:val="0000EE"/>
          </w:rPr>
          <w:t>January 25,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on </w:t>
      </w:r>
      <w:hyperlink r:id="rId39">
        <w:r>
          <w:rPr>
            <w:rFonts w:ascii="Times New Roman" w:cs="Times New Roman" w:eastAsia="Times New Roman" w:hAnsi="Times New Roman"/>
            <w:sz w:val="18"/>
            <w:szCs w:val="18"/>
            <w:u w:val="single" w:color="auto"/>
            <w:color w:val="0000EE"/>
          </w:rPr>
          <w:t>February 2,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t>
      </w:r>
      <w:hyperlink r:id="rId40">
        <w:r>
          <w:rPr>
            <w:rFonts w:ascii="Times New Roman" w:cs="Times New Roman" w:eastAsia="Times New Roman" w:hAnsi="Times New Roman"/>
            <w:sz w:val="18"/>
            <w:szCs w:val="18"/>
            <w:u w:val="single" w:color="auto"/>
            <w:color w:val="0000EE"/>
          </w:rPr>
          <w:t>March 2,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t>
      </w:r>
      <w:hyperlink r:id="rId41">
        <w:r>
          <w:rPr>
            <w:rFonts w:ascii="Times New Roman" w:cs="Times New Roman" w:eastAsia="Times New Roman" w:hAnsi="Times New Roman"/>
            <w:sz w:val="18"/>
            <w:szCs w:val="18"/>
            <w:u w:val="single" w:color="auto"/>
            <w:color w:val="0000EE"/>
          </w:rPr>
          <w:t>March 7, 2023</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filed </w:t>
      </w:r>
      <w:hyperlink r:id="rId42">
        <w:r>
          <w:rPr>
            <w:rFonts w:ascii="Times New Roman" w:cs="Times New Roman" w:eastAsia="Times New Roman" w:hAnsi="Times New Roman"/>
            <w:sz w:val="18"/>
            <w:szCs w:val="18"/>
            <w:u w:val="single" w:color="auto"/>
            <w:color w:val="0000EE"/>
          </w:rPr>
          <w:t>March 8,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the Registration Statement on Form 8-A filed pursuant to Section 12(b) of the Securities Exchange Act of 1934,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on May 3, 2016, including any amendment or report filed with the Commission for the purpose of updating this description.</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herein by reference and are an important part of this prospectus.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upon request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(650) 577-3600</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You should only rely on the information or representations contained in this prospectus supplement and the accompanying prospectus. We have not authorized anyone to provide information other than that provided in this prospectus. We are not making an offer of the securities in any state where the offer is not permitted. You should not assume that the information in this prospectus supplement and the accompanying prospectus is accurate as of any date other than the date on the front of the document.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NOTES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any prospectus supplement and the documents incorporated by reference herein contain forward-looking statements that involve substantial risks and uncertainties. All statements, other than statements of historical facts, contained in this prospectus, any prospectus supplement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to satisfy our working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and capital requirements;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 including, among other things, PH94B as a potential as-needed treatment of anxiety in adults with social anxiety disorder (</w:t>
      </w:r>
      <w:r>
        <w:rPr>
          <w:rFonts w:ascii="Times New Roman" w:cs="Times New Roman" w:eastAsia="Times New Roman" w:hAnsi="Times New Roman"/>
          <w:sz w:val="18"/>
          <w:szCs w:val="18"/>
          <w:i w:val="1"/>
          <w:iCs w:val="1"/>
          <w:color w:val="auto"/>
        </w:rPr>
        <w:t>SAD</w:t>
      </w:r>
      <w:r>
        <w:rPr>
          <w:rFonts w:ascii="Times New Roman" w:cs="Times New Roman" w:eastAsia="Times New Roman" w:hAnsi="Times New Roman"/>
          <w:sz w:val="18"/>
          <w:szCs w:val="18"/>
          <w:color w:val="auto"/>
        </w:rPr>
        <w:t>), PH10 as a potential treatment for major depressive disorder (</w:t>
      </w:r>
      <w:r>
        <w:rPr>
          <w:rFonts w:ascii="Times New Roman" w:cs="Times New Roman" w:eastAsia="Times New Roman" w:hAnsi="Times New Roman"/>
          <w:sz w:val="18"/>
          <w:szCs w:val="18"/>
          <w:i w:val="1"/>
          <w:iCs w:val="1"/>
          <w:color w:val="auto"/>
        </w:rPr>
        <w:t>MDD</w:t>
      </w:r>
      <w:r>
        <w:rPr>
          <w:rFonts w:ascii="Times New Roman" w:cs="Times New Roman" w:eastAsia="Times New Roman" w:hAnsi="Times New Roman"/>
          <w:sz w:val="18"/>
          <w:szCs w:val="18"/>
          <w:color w:val="auto"/>
        </w:rPr>
        <w:t>) and other depression-related disorders, AV-101 in combination with probenecid as a potential treatment of MDD and depression-related disorders or neurological diseases and disorders involving the Central Nervous System (</w:t>
      </w:r>
      <w:r>
        <w:rPr>
          <w:rFonts w:ascii="Times New Roman" w:cs="Times New Roman" w:eastAsia="Times New Roman" w:hAnsi="Times New Roman"/>
          <w:sz w:val="18"/>
          <w:szCs w:val="18"/>
          <w:i w:val="1"/>
          <w:iCs w:val="1"/>
          <w:color w:val="auto"/>
        </w:rPr>
        <w:t>CNS</w:t>
      </w:r>
      <w:r>
        <w:rPr>
          <w:rFonts w:ascii="Times New Roman" w:cs="Times New Roman" w:eastAsia="Times New Roman" w:hAnsi="Times New Roman"/>
          <w:sz w:val="18"/>
          <w:szCs w:val="18"/>
          <w:color w:val="auto"/>
        </w:rPr>
        <w:t>), and three early clinical-stage pherine product candidates acquired in connection with the Pherin Acquisition (defined below): PH15 for cognition improvement, PH80 for migraine and hot flashes, and PH284 for appetite-related disorders;</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our clinical trials and to advance our product candidates into additional clinical trials, including pivotal clinical trials, and successfully complete such clinical trials;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third-party contractors involved with the manufacture and production of our drug candidates for nonclinical and clinical development activities, contract research organizations and other third-party nonclinical and clinical development collaborators and regulatory service providers;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core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potential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for any indication once approved;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products and product candidates in development by others that are or become available for the indications that we are pursuing;</w:t>
      </w:r>
    </w:p>
    <w:p>
      <w:pPr>
        <w:spacing w:after="0" w:line="161"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scientific, clinical and nonclinical development, and/or management personnel, internally or from one of our third-party collaborators;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Nasdaq continued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 and</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fiscal year ended March 31, 2022, and those described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Quarterly Reports on Form 10-Q for the quarters ended June 30, 2022, September 30, 2022 and December 31, 2022, which risk factors are incorporated herein by reference.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sections in this prospectus, any accompanying prospectus supplement and the documents incorporated by reference herein, that we believe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any prospectus supplement and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advancing the development of therapeutics for CNS certain disorders with the potential to be faster-acting, and with fewer side effects and safety concerns than treatments currently available for those conditions. Our most advanced clinical-stage candidates, PH94B and PH10, may provide relief from multiple forms of anxiety and depression. They belong to a new class of drugs known as pherines. These investigational neuroactive steroids are formulated as nasal sprays at very low concentrations and are designed to achieve rapid-onset anti-anxiety (PH94B) or antidepressant (PH10) effects. We believe these drug candidates directly activate chemosensory neurons located in the nasal passages, which neurons then impact olfactory amygdala “fear off” (anti-anxiety) and “fear on” (antidepressant) neural circuits in the brain, without requiring systemic uptake or direct activity on CNS neurons in the brain. Our goal is to become a biopharmaceutical company that develops and commercializes innovative therapies for anxiety, depression, and other CNS indications where current treatment options are inadequate to meet the needs of millions of patients in the United States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and worldwide.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PH94B Nasal Spray</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PH94B is a synthetic investigational neuroactive steroid from the androstane family of pherines. When administered intranasally in microgram doses, PH94B activates receptors in the membrane of peripheral nasal chemosensory neurons connected to subsets of neurons in the olfactory bulbs that in turn connect to neurons in the limbic amygdala involved in the pathophysiology of SAD and potentially other anxiety and mood disorders. PH94B does not exert effects on receptor targets with known abuse potential (e.g., dopamine, nicotinic, and opiate receptors) and has neither agonistic nor antagonistic effects on GABA</w:t>
      </w:r>
      <w:r>
        <w:rPr>
          <w:rFonts w:ascii="Times New Roman" w:cs="Times New Roman" w:eastAsia="Times New Roman" w:hAnsi="Times New Roman"/>
          <w:sz w:val="29"/>
          <w:szCs w:val="29"/>
          <w:color w:val="auto"/>
          <w:vertAlign w:val="subscript"/>
        </w:rPr>
        <w:t>A</w:t>
      </w:r>
      <w:r>
        <w:rPr>
          <w:rFonts w:ascii="Times New Roman" w:cs="Times New Roman" w:eastAsia="Times New Roman" w:hAnsi="Times New Roman"/>
          <w:sz w:val="18"/>
          <w:szCs w:val="18"/>
          <w:color w:val="auto"/>
        </w:rPr>
        <w:t xml:space="preserve"> α1/β2/γ2 ion channels. PH94B is pharmacologically active without requiring apparent systemic uptake and distribution to achieve its rapid-onset and short duration of anxiolytic effects. The FDA has designated PH94B as a Fast Track product candidate, and we are currently developing PH94B for the treatment of anxiety symptoms in adult subjects with SAD and for anxiety symptoms in adult subjects with adjustment disorder (</w:t>
      </w:r>
      <w:r>
        <w:rPr>
          <w:rFonts w:ascii="Times New Roman" w:cs="Times New Roman" w:eastAsia="Times New Roman" w:hAnsi="Times New Roman"/>
          <w:sz w:val="18"/>
          <w:szCs w:val="18"/>
          <w:i w:val="1"/>
          <w:iCs w:val="1"/>
          <w:color w:val="auto"/>
        </w:rPr>
        <w:t>AjDA</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proposed MOA of PH94B is fundamentally differentiated from all currently approved anti-anxiety medications, including the three antidepressants approved by the FDA for the treatment of SAD, as well as all benzodiazepines and beta blockers, which, although not FDA-approved for treatment of SAD, are prescribed for treatment of SAD on an off-label basis. Pre-clinical and Phase 2 clinical data to date suggest that PH94B has the potential to achieve rapid-onset anti-anxiety effects without systemic uptake or transport into the brain, significantly reducing the risk of side effects and other safety concerns such as potential abuse, misuse and addiction associated with certain other pharmaceuticals that act directly on the CNS and are sometimes prescribed for anxiety disorders.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PH10</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PH10 is an investigational pherine nasal spray for the treatment of MDD with a potential rapid-onset MOA that is fundamentally differentiated from the MOA of all currently approved treatments for MDD and other depression disorders. PH10, which is administered at microgram-level doses, engages and activates chemosensory neurons in the nasal passages, connected to neural circuits in the brain that produce antidepressant effects. Specifically, PH10’s proposed MOA involves binding to receptors for chemosensory neurons in the nasal passages to regulate the olfactory amygdala “fear on” neural circuits believed to increase activity of the limbic-hypothalamic sympathetic nervous system and increase the release of catecholamines. Importantly, unlike all currently approved oral antidepressants and rapid-onset ketamine-based therapy (</w:t>
      </w:r>
      <w:r>
        <w:rPr>
          <w:rFonts w:ascii="Times New Roman" w:cs="Times New Roman" w:eastAsia="Times New Roman" w:hAnsi="Times New Roman"/>
          <w:sz w:val="18"/>
          <w:szCs w:val="18"/>
          <w:i w:val="1"/>
          <w:iCs w:val="1"/>
          <w:color w:val="auto"/>
        </w:rPr>
        <w:t>KBT</w:t>
      </w:r>
      <w:r>
        <w:rPr>
          <w:rFonts w:ascii="Times New Roman" w:cs="Times New Roman" w:eastAsia="Times New Roman" w:hAnsi="Times New Roman"/>
          <w:sz w:val="18"/>
          <w:szCs w:val="18"/>
          <w:color w:val="auto"/>
        </w:rPr>
        <w:t>), including both intravenous ketamine and intranasal ketamine (esketamine), we believe PH10 does not require systemic uptake to produce rapid-onset of antidepressant effects and does not cause the side effects and safety concerns potentially associated with KBT.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December 2022, we announced that the FDA granted Fast Track designation for PH10 as a potential treatment for MDD.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AV-101</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AV-101 (4-chlorokynurenine) is an oral prodrug of 7-chloro-kynurenic acid (7-Cl-KYNA), which is a potent and selective antagonist of the glycine co-agonist site of the NMDA receptor (NMDAR) that inhibits the function of the NMDAR. Unlike ketamine and other NMDAR antagonists, 7-Cl-KYNA is not an ion channel blocker. At doses administered in the Company’s studies completed to date, AV-101 has been observed to be well tolerated and has not exhibited dissociative or hallucinogenic psychological side effects or safety concerns, unlike several other modulators of the NMDAR. Based on observations and findings from preclinical studies, we believe that AV-101, in combination with FDA-approved oral probenecid, has the potential to become a new oral treatment alternative for certain CNS indications involving the NMDAR. We are presently conducting an exploratory Phase 1B drug-drug interaction clinical study of AV-101 in combination with probenecid and expect to complete dosing of the final cohort in the study in the first half of 2023.</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has granted Fast Track designation for development of AV-101 as a potential adjunctive treatment for MDD and as a non-opioid treatment for neuropathic pain.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Acquired Pherines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completion of the Pherin Acquisition (defined below), we now have full ownership of intellectual property rights to PH94B and PH10. In addition, we also have three new early clinical-stage pherine product candidates: PH15, a potential treatment for cognition improvement; PH80, a potential treatment for migraine and hot flashes; and PH284, a potential treatment for appetite-related disorders, each of which is further summarized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PH15</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PH15 is an early-stage investigational neuroactive steroid pherine with potential for the acute treatment of cognitive impairment. Early functional MRI studies in human volunteers at Stanford University revealed that intranasal administration of PH15 induced rapid activation of brain areas related to cognition (Sobel et al, Brain, 1999). In a double blind, placebo-controlled study in human subjects, intranasal PH15 showed rapid and significant improvement in cognitive and psychomotor performance and improvement of reaction time that was better than the effect of a placebo and 2 mg of oral caffeine.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PH80</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PH80 is an early-stage investigational synthetic neuroactive steroid with potential to engage nasal chemosensory receptor cells which in turn modulate neural circuits in the basal forebrain associated with the control of body temperature, as well as premonitory and aura symptoms of migraines.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 small exploratory double blind, placebo-controlled exploratory Phase 2A study in women diagnosed with menopausal hot flashes, PH80 showed clinically significant improvement in the number and severity of hot flashes and other symptoms of menopause in the subjects treated with PH80. With respect to migraine headaches, in a small exploratory Phase 2A clinical study, PH80 showed a profile compatible with the relief of the premonitory and aura symptoms of migraines.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PH284</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PH284 is an early-stage investigational neuroactive steroid pherine with potential for the acute treatment of appetite-related disorders. Synthetic pherine PH284 was tested in a small exploratory Phase 2A double blind, placebo controlled clinical study lasting 12 days, in patients diagnosed with cachexia due to terminal cancer lasted 12 days. Upon completion of a 7-day treatment period with intranasal PH284 or placebo, all patients started treatment for their underlying condition. At the end of the 7-day treatment period, PH284-treated patients showed a significant increase in the subjective feeling of hunger (appetite), increased body weight and an improved quality of life, as compared with the placebo-treated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Times New Roman" w:cs="Times New Roman" w:eastAsia="Times New Roman" w:hAnsi="Times New Roman"/>
          <w:sz w:val="18"/>
          <w:szCs w:val="18"/>
          <w:i w:val="1"/>
          <w:iCs w:val="1"/>
          <w:color w:val="auto"/>
        </w:rPr>
        <w:t>www.vistagen.com</w:t>
      </w:r>
      <w:r>
        <w:rPr>
          <w:rFonts w:ascii="Times New Roman" w:cs="Times New Roman" w:eastAsia="Times New Roman" w:hAnsi="Times New Roman"/>
          <w:sz w:val="18"/>
          <w:szCs w:val="18"/>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purchase any of our securities, you should carefully consider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fiscal year ended March 31, 2022, our Quarterly Reports on Form 10-Q for the periods ended June 30, 2022, September 30, 2022 and December 31, 2022,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common stock to be offered and sold using this prospectus will be offered and sold by the Selling Stockholders named in this prospectus. Accordingly, we will not receive any proceeds from any sale of shares of our common stock in this offering. We will pay all of the fees and expenses incurred by us in connection with this registration. We will not be responsible for fees and expenses incurred by the Selling Stockholders or any underwriting discounts or agent’s commissions.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rights of our capital stock is not complete and is subject to and qualified in its entirety by reference to our certificate of incorporation and bylaws, copies of which are filed as exhibits to our Annual Report on Form 10-K for the year ended March 31, 2022, filed with the SEC on June 23, 2022, which is incorporated by reference herein.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325.0 million shares of common stock, $0.001 par value per share, and 10.0 million shares of preferred stock, $0.001 par value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section describes the general terms of our common stock that we may offer from time to time. For more detailed information, a holder of our common stock should refer to our Restated and Amended Article of Incorporation, as amended (our Articles) and our Amended and Restated Bylaws (our Bylaws), copies of which are filed with the SEC as exhibits to the registration statement of which this prospectus is a part.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16, 2023, there were issued and outstanding, or reserved for issuance:</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219,326,445 shares of common stock held by approximately 267 stockholders of record;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1,370,544 shares of common stock that have been reserved for issuance upon exercise of outstanding warrants, with a weighted average exercise price of $0.56 per share;</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22,398,539 registered shares of common stock reserved for issuance upon exercise of outstanding stock options under our Amended and Restated 2016 Stock Incentive Plan our 2019 Omnibus Equity Incentive Plan, with a weighted average exercise price of $1.26 per share;</w:t>
      </w:r>
    </w:p>
    <w:p>
      <w:pPr>
        <w:spacing w:after="0" w:line="16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4,055,617 registered shares of common stock reserved for future issuance in connection with future grants under our 2019 Omnibus Equity Incentive Plan;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729,664 shares of common stock reserved for future issuance in connection with future sales under our 2019 Employee Stock Purchase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outstanding shares of our common stock are entitled to receive dividends out of funds legally available, if our Board, in its discretion, determines to issue a dividend, and only at the times and in the amounts that our Board may determine. Our Board is not obligated to declare a dividend. We have not paid any dividends in the past and we do not intend to pay dividends in the foreseeable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subject to conversion, redemption, sinking fund or similar provisions.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 and Registrar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“VTGN”.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have any shares of preferred stock outstanding.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PHERIN ACQUISITION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December 20, 2022, we entered into an Agreement and Plan of Merger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along with VTGN Merger Sub, Inc., our wholly-owned subsidiary (</w:t>
      </w:r>
      <w:r>
        <w:rPr>
          <w:rFonts w:ascii="Times New Roman" w:cs="Times New Roman" w:eastAsia="Times New Roman" w:hAnsi="Times New Roman"/>
          <w:sz w:val="18"/>
          <w:szCs w:val="18"/>
          <w:i w:val="1"/>
          <w:iCs w:val="1"/>
          <w:color w:val="auto"/>
        </w:rPr>
        <w:t>Merger Sub</w:t>
      </w:r>
      <w:r>
        <w:rPr>
          <w:rFonts w:ascii="Times New Roman" w:cs="Times New Roman" w:eastAsia="Times New Roman" w:hAnsi="Times New Roman"/>
          <w:sz w:val="18"/>
          <w:szCs w:val="18"/>
          <w:color w:val="auto"/>
        </w:rPr>
        <w:t>), Pherin Pharmaceuticals, Inc. (</w:t>
      </w:r>
      <w:r>
        <w:rPr>
          <w:rFonts w:ascii="Times New Roman" w:cs="Times New Roman" w:eastAsia="Times New Roman" w:hAnsi="Times New Roman"/>
          <w:sz w:val="18"/>
          <w:szCs w:val="18"/>
          <w:i w:val="1"/>
          <w:iCs w:val="1"/>
          <w:color w:val="auto"/>
        </w:rPr>
        <w:t>Pherin</w:t>
      </w:r>
      <w:r>
        <w:rPr>
          <w:rFonts w:ascii="Times New Roman" w:cs="Times New Roman" w:eastAsia="Times New Roman" w:hAnsi="Times New Roman"/>
          <w:sz w:val="18"/>
          <w:szCs w:val="18"/>
          <w:color w:val="auto"/>
        </w:rPr>
        <w:t xml:space="preserve">), and Kevin McCarthy in his capacity of Stockholder Representative (the </w:t>
      </w:r>
      <w:r>
        <w:rPr>
          <w:rFonts w:ascii="Times New Roman" w:cs="Times New Roman" w:eastAsia="Times New Roman" w:hAnsi="Times New Roman"/>
          <w:sz w:val="18"/>
          <w:szCs w:val="18"/>
          <w:i w:val="1"/>
          <w:iCs w:val="1"/>
          <w:color w:val="auto"/>
        </w:rPr>
        <w:t>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Representative</w:t>
      </w:r>
      <w:r>
        <w:rPr>
          <w:rFonts w:ascii="Times New Roman" w:cs="Times New Roman" w:eastAsia="Times New Roman" w:hAnsi="Times New Roman"/>
          <w:sz w:val="18"/>
          <w:szCs w:val="18"/>
          <w:color w:val="auto"/>
        </w:rPr>
        <w:t>), in order to acquire Pherin (the</w:t>
      </w:r>
      <w:r>
        <w:rPr>
          <w:rFonts w:ascii="Times New Roman" w:cs="Times New Roman" w:eastAsia="Times New Roman" w:hAnsi="Times New Roman"/>
          <w:sz w:val="18"/>
          <w:szCs w:val="18"/>
          <w:i w:val="1"/>
          <w:iCs w:val="1"/>
          <w:color w:val="auto"/>
        </w:rPr>
        <w:t xml:space="preserve"> Pherin Acquisition</w:t>
      </w:r>
      <w:r>
        <w:rPr>
          <w:rFonts w:ascii="Times New Roman" w:cs="Times New Roman" w:eastAsia="Times New Roman" w:hAnsi="Times New Roman"/>
          <w:sz w:val="18"/>
          <w:szCs w:val="18"/>
          <w:color w:val="auto"/>
        </w:rPr>
        <w:t>). The Merger Agreement provided for the Company’s acquisition of Pherin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merger of Merger Sub with and into Pherin, with Pherin as the surviving corporation. On February 2, 2023 (the </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we completed the Pherin Acquisition and Pherin is now a wholly-owned subsidiary of the Company. Immediately prior to the consummation of the Pherin Acquisition, each of Pherin’s directors and officers resigned, and no employees or other affiliates of Pherin on the Closing Date are serving or will serve in their previous roles or in any other capacity with Pherin or with the Company.</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completion of the Pherin Acquisition, we now have full ownership of intellectual property rights to PH94B and PH10. In addition, we also have three new early clinical-stage pherine product candidates: PH15, a potential treatment for cognition improvement; PH80, a potential treatment for migraine and hot flashes; and PH284, a potential treatment for appetite-related disorders.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consideration for the Pherin Acquisition, we (i) issued an aggregate of 12,410,100 unregistered shares of our common stock to the exchange agent for the Pherin Acquisition, of which 12,193,069 Shares were issued to the Selling Stockholders, consisting of approximately 96.07% of Pherin stockholders eligible to receive common stock in exchange for their outstanding shares of Pherin common stock (the </w:t>
      </w:r>
      <w:r>
        <w:rPr>
          <w:rFonts w:ascii="Times New Roman" w:cs="Times New Roman" w:eastAsia="Times New Roman" w:hAnsi="Times New Roman"/>
          <w:sz w:val="18"/>
          <w:szCs w:val="18"/>
          <w:i w:val="1"/>
          <w:iCs w:val="1"/>
          <w:color w:val="auto"/>
        </w:rPr>
        <w:t>Stock Consideration</w:t>
      </w:r>
      <w:r>
        <w:rPr>
          <w:rFonts w:ascii="Times New Roman" w:cs="Times New Roman" w:eastAsia="Times New Roman" w:hAnsi="Times New Roman"/>
          <w:sz w:val="18"/>
          <w:szCs w:val="18"/>
          <w:color w:val="auto"/>
        </w:rPr>
        <w:t xml:space="preserve">), and (ii) paid to the exchange agent for the Pherin Acquisition, an aggregate of approximately $126,100 to be paid to the approximately 3.93% remaining Pherin stockholders who were not eligible to receive Stock Consideration in exchange for their outstanding shares of Pherin common stock (the </w:t>
      </w:r>
      <w:r>
        <w:rPr>
          <w:rFonts w:ascii="Times New Roman" w:cs="Times New Roman" w:eastAsia="Times New Roman" w:hAnsi="Times New Roman"/>
          <w:sz w:val="18"/>
          <w:szCs w:val="18"/>
          <w:i w:val="1"/>
          <w:iCs w:val="1"/>
          <w:color w:val="auto"/>
        </w:rPr>
        <w:t>Cash Consideration</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the Closing Date, we entered into a registration rights agreement (the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with the Stockholder Representative pursuant to which, among other matters, the Selling Stockholders were granted certain mandatory, demand and “piggy-back” registration rights with respect to the Shares received as consideration for the Pherin Acquisition. In addition, non-independent directors of Pherin and holders of 10% or more of the issued and outstanding shares of Pherin common stock prior to the Effective Time delivered to the Company executed lock-up agreements which prohibit the sale or other disposition of their respective Shares for a period of 180 days.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this prospectus, we are registering, on behalf of the Selling Stockholders, the shares of common stock issued as Stock Consideration.</w:t>
      </w:r>
    </w:p>
    <w:p>
      <w:pPr>
        <w:spacing w:after="0" w:line="225" w:lineRule="exact"/>
        <w:rPr>
          <w:sz w:val="20"/>
          <w:szCs w:val="20"/>
          <w:color w:val="auto"/>
        </w:rPr>
      </w:pPr>
    </w:p>
    <w:p>
      <w:pPr>
        <w:jc w:val="both"/>
        <w:ind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information about the Pherin Acquisition and the Merger Agreement are contained in the Company’s Current Reports on Form 8-K filed with the SEC on </w:t>
      </w:r>
      <w:hyperlink r:id="rId36">
        <w:r>
          <w:rPr>
            <w:rFonts w:ascii="Times New Roman" w:cs="Times New Roman" w:eastAsia="Times New Roman" w:hAnsi="Times New Roman"/>
            <w:sz w:val="18"/>
            <w:szCs w:val="18"/>
            <w:u w:val="single" w:color="auto"/>
            <w:color w:val="0000EE"/>
          </w:rPr>
          <w:t>December 21,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on </w:t>
      </w:r>
      <w:hyperlink r:id="rId39">
        <w:r>
          <w:rPr>
            <w:rFonts w:ascii="Times New Roman" w:cs="Times New Roman" w:eastAsia="Times New Roman" w:hAnsi="Times New Roman"/>
            <w:sz w:val="18"/>
            <w:szCs w:val="18"/>
            <w:u w:val="single" w:color="auto"/>
            <w:color w:val="0000EE"/>
          </w:rPr>
          <w:t>February 2, 2023</w:t>
        </w:r>
      </w:hyperlink>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prospectus relates to the resale of the Shares by the Selling Stockholders identified in the table below. We are registering the Shares in order to permit the Selling Stockholders to offer the shares for resale from time to time. The Selling Stockholders may sell some, all or none of the shares registered by the registration statement of which this prospectus forms a part. We do not know how long the Selling Stockholders will hold the Shares before selling them, and we currently have no agreements, arrangements or understandings with the Selling Stockholders regarding the sale of any of the Shares. For more information about the transactions pursuant to which the selling stockholders acquired the Shares, please see the section titled </w:t>
      </w:r>
      <w:r>
        <w:rPr>
          <w:rFonts w:ascii="Times New Roman" w:cs="Times New Roman" w:eastAsia="Times New Roman" w:hAnsi="Times New Roman"/>
          <w:sz w:val="18"/>
          <w:szCs w:val="18"/>
          <w:i w:val="1"/>
          <w:iCs w:val="1"/>
          <w:color w:val="auto"/>
        </w:rPr>
        <w:t>The Pherin Acquisition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presents information regarding the Selling Stockholders and the Shares that they may offer and sell from time to time under this prospectus. The table is prepared based on information supplied to us by the Selling Stockholders, and reflects their holdings as of March 16, 2023. Unless otherwise indicated below, none of the Selling Stockholders nor any of their affiliates has held a position or office, or had any other material relationship, with us or any of our predecessors or affiliates. Beneficial ownership is determined in accordance with Section 13(d) of the Exchange Act and Rule 13d-3 thereunder.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27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Shares Beneficially Owned</w:t>
            </w: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27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2760" w:type="dxa"/>
            <w:vAlign w:val="bottom"/>
            <w:gridSpan w:val="4"/>
          </w:tcPr>
          <w:p>
            <w:pPr>
              <w:ind w:left="680"/>
              <w:spacing w:after="0" w:line="239" w:lineRule="exact"/>
              <w:rPr>
                <w:sz w:val="20"/>
                <w:szCs w:val="20"/>
                <w:color w:val="auto"/>
              </w:rPr>
            </w:pPr>
            <w:r>
              <w:rPr>
                <w:rFonts w:ascii="Times New Roman" w:cs="Times New Roman" w:eastAsia="Times New Roman" w:hAnsi="Times New Roman"/>
                <w:sz w:val="18"/>
                <w:szCs w:val="18"/>
                <w:b w:val="1"/>
                <w:bCs w:val="1"/>
                <w:color w:val="auto"/>
              </w:rPr>
              <w:t>After Offering</w:t>
            </w:r>
            <w:r>
              <w:rPr>
                <w:rFonts w:ascii="Times New Roman" w:cs="Times New Roman" w:eastAsia="Times New Roman" w:hAnsi="Times New Roman"/>
                <w:sz w:val="23"/>
                <w:szCs w:val="23"/>
                <w:b w:val="1"/>
                <w:bCs w:val="1"/>
                <w:color w:val="auto"/>
                <w:vertAlign w:val="superscript"/>
              </w:rPr>
              <w:t>(3)(4)</w:t>
            </w:r>
          </w:p>
        </w:tc>
        <w:tc>
          <w:tcPr>
            <w:tcW w:w="0" w:type="dxa"/>
            <w:vAlign w:val="bottom"/>
          </w:tcPr>
          <w:p>
            <w:pPr>
              <w:spacing w:after="0"/>
              <w:rPr>
                <w:sz w:val="1"/>
                <w:szCs w:val="1"/>
                <w:color w:val="auto"/>
              </w:rPr>
            </w:pPr>
          </w:p>
        </w:tc>
      </w:tr>
      <w:tr>
        <w:trPr>
          <w:trHeight w:val="209"/>
        </w:trPr>
        <w:tc>
          <w:tcPr>
            <w:tcW w:w="5700" w:type="dxa"/>
            <w:vAlign w:val="bottom"/>
          </w:tcPr>
          <w:p>
            <w:pPr>
              <w:spacing w:after="0" w:line="210" w:lineRule="exact"/>
              <w:rPr>
                <w:sz w:val="20"/>
                <w:szCs w:val="20"/>
                <w:color w:val="auto"/>
              </w:rPr>
            </w:pPr>
            <w:r>
              <w:rPr>
                <w:rFonts w:ascii="Times New Roman" w:cs="Times New Roman" w:eastAsia="Times New Roman" w:hAnsi="Times New Roman"/>
                <w:sz w:val="18"/>
                <w:szCs w:val="18"/>
                <w:b w:val="1"/>
                <w:bCs w:val="1"/>
                <w:color w:val="auto"/>
              </w:rPr>
              <w:t xml:space="preserve">Name of Selling Stockholder </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line="210" w:lineRule="exact"/>
              <w:rPr>
                <w:sz w:val="20"/>
                <w:szCs w:val="20"/>
                <w:color w:val="auto"/>
              </w:rPr>
            </w:pPr>
            <w:r>
              <w:rPr>
                <w:rFonts w:ascii="Times New Roman" w:cs="Times New Roman" w:eastAsia="Times New Roman" w:hAnsi="Times New Roman"/>
                <w:sz w:val="18"/>
                <w:szCs w:val="18"/>
                <w:b w:val="1"/>
                <w:bCs w:val="1"/>
                <w:color w:val="auto"/>
                <w:w w:val="95"/>
              </w:rPr>
              <w:t xml:space="preserve">Offering </w:t>
            </w:r>
            <w:r>
              <w:rPr>
                <w:rFonts w:ascii="Times New Roman" w:cs="Times New Roman" w:eastAsia="Times New Roman" w:hAnsi="Times New Roman"/>
                <w:sz w:val="23"/>
                <w:szCs w:val="23"/>
                <w:b w:val="1"/>
                <w:bCs w:val="1"/>
                <w:color w:val="auto"/>
                <w:w w:val="95"/>
                <w:vertAlign w:val="superscript"/>
              </w:rPr>
              <w:t>(2)</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Hereby</w:t>
            </w:r>
          </w:p>
        </w:tc>
        <w:tc>
          <w:tcPr>
            <w:tcW w:w="14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A. Abrams</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Alex Dorfsman Acosta</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5,649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Jacqueline Dorfsman Acosta</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5,649</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Ruth Altman</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846</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Amato</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2,548</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Anne Miller</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138,208</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138,208</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Sergio Becker</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4,305</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Richard Berliner</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157,287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157,287</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L. Bluford</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Jon E. Blum</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3,365</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3,365</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Augusto Bondani</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25,381</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25,381</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George A. Bonomo</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Boschetto</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28,655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28,655</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Paul Boschetto</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14,327</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14,327</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Bradley Katz</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16,921</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16,921</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Gabriel Brener</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16,201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16,201</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Brewer</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3,135</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Caramia LLC</w:t>
            </w:r>
            <w:r>
              <w:rPr>
                <w:rFonts w:ascii="Times New Roman" w:cs="Times New Roman" w:eastAsia="Times New Roman" w:hAnsi="Times New Roman"/>
                <w:sz w:val="23"/>
                <w:szCs w:val="23"/>
                <w:color w:val="auto"/>
                <w:vertAlign w:val="superscript"/>
              </w:rPr>
              <w:t>(5)</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75,952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75,952</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Carla Washington</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33,842</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33,842</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Honora Carson</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15,679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Stanley N. Cohen</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57,982</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57,982</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Constance C. Cox Price</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21,210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21,210</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Debra Cox</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7,065</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Stonington Cox</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3,535</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3,535</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Herbert L. Damner</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Jeanne Davis</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Fiona de Kerchove</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3,535</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Alex Delly</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15,364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15,364</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Vicente Diaz-Sanchez</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3,384</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3,384</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David Dolberg</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6,126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6,126</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 Dorfsman</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6,197</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Marco Luis Dorfsman</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5,649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Tanya Esperanza Dorfsman</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5,649</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Steven A. Dressner</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Karl Egge</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Julie Elion</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EOP Partners</w:t>
            </w:r>
            <w:r>
              <w:rPr>
                <w:rFonts w:ascii="Times New Roman" w:cs="Times New Roman" w:eastAsia="Times New Roman" w:hAnsi="Times New Roman"/>
                <w:sz w:val="23"/>
                <w:szCs w:val="23"/>
                <w:color w:val="auto"/>
                <w:vertAlign w:val="superscript"/>
              </w:rPr>
              <w:t>(6)</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101,527</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101,527</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ET Brutus LLC</w:t>
            </w:r>
            <w:r>
              <w:rPr>
                <w:rFonts w:ascii="Times New Roman" w:cs="Times New Roman" w:eastAsia="Times New Roman" w:hAnsi="Times New Roman"/>
                <w:sz w:val="23"/>
                <w:szCs w:val="23"/>
                <w:color w:val="auto"/>
                <w:vertAlign w:val="superscript"/>
              </w:rPr>
              <w:t>(7)</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3,384</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 Harvey and Amalia M. Popell</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10,452</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10,452</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Alessandro Falzoni</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13,461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13,461</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Founders Investments Ltd.</w:t>
            </w:r>
            <w:r>
              <w:rPr>
                <w:rFonts w:ascii="Times New Roman" w:cs="Times New Roman" w:eastAsia="Times New Roman" w:hAnsi="Times New Roman"/>
                <w:sz w:val="23"/>
                <w:szCs w:val="23"/>
                <w:color w:val="auto"/>
                <w:vertAlign w:val="superscript"/>
              </w:rPr>
              <w:t>(8)</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22,410</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22,410</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Jacobo Fraind</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4,703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4,703</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Pablo Garcia-Velasco</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3,384</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3,384</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Bernard I. Grosser</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27,074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27,074</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J. Guggenhime</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12,699</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Claude Guilbaud</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70,393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70,393</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Louise Guilbaud</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7,839</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Martin Guilbaud</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7,839</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Mathilde Guilbaud</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7,839</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David S. Hamburger</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1,204,962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1,204,962</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Hayes</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219,804</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219,804</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Robert Hoffman</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7,581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7,581</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Erik J. Horvitz</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Robert Huret</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8,225</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8,225</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Hurwick</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1,699</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Clarisa Isaac M.</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18,376</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18,376</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Annice Jacoby</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169</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169</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Sonia Jinich</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19,401</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19,401</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Johnson &amp; Johnson Development Corp</w:t>
            </w:r>
            <w:r>
              <w:rPr>
                <w:rFonts w:ascii="Times New Roman" w:cs="Times New Roman" w:eastAsia="Times New Roman" w:hAnsi="Times New Roman"/>
                <w:sz w:val="23"/>
                <w:szCs w:val="23"/>
                <w:color w:val="auto"/>
                <w:vertAlign w:val="superscript"/>
              </w:rPr>
              <w:t>(9)</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190,494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190,494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Aaron Jones</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676</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676</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Kane</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12,181</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12,181</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Rhoda Kaplan</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15,364</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15,364</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Kaufman</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21,789</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21,789</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Kibridge Limited co Concorde Bank Ltd.</w:t>
            </w:r>
            <w:r>
              <w:rPr>
                <w:rFonts w:ascii="Times New Roman" w:cs="Times New Roman" w:eastAsia="Times New Roman" w:hAnsi="Times New Roman"/>
                <w:sz w:val="23"/>
                <w:szCs w:val="23"/>
                <w:color w:val="auto"/>
                <w:vertAlign w:val="superscript"/>
              </w:rPr>
              <w:t>(10)</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196,046</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196,046</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Kirk</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12,252</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12,252</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Charles R. + Susan C. Kokesh</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196,046</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196,046</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Kuba</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5,649</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5,649</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Manuel Kuba</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4,230</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4,230</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Lavker</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3,384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3,384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Nathalie Lemesle</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3,384</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3,384</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Helen C. Leong</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43,995</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43,995</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Michael Liebowitz</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309,675</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33,842</w:t>
            </w:r>
          </w:p>
        </w:tc>
        <w:tc>
          <w:tcPr>
            <w:tcW w:w="1760" w:type="dxa"/>
            <w:vAlign w:val="bottom"/>
          </w:tcPr>
          <w:p>
            <w:pPr>
              <w:jc w:val="right"/>
              <w:ind w:right="510"/>
              <w:spacing w:after="0" w:line="216" w:lineRule="exact"/>
              <w:rPr>
                <w:sz w:val="20"/>
                <w:szCs w:val="20"/>
                <w:color w:val="auto"/>
              </w:rPr>
            </w:pPr>
            <w:r>
              <w:rPr>
                <w:rFonts w:ascii="Times New Roman" w:cs="Times New Roman" w:eastAsia="Times New Roman" w:hAnsi="Times New Roman"/>
                <w:sz w:val="18"/>
                <w:szCs w:val="18"/>
                <w:color w:val="auto"/>
              </w:rPr>
              <w:t>275,833</w:t>
            </w:r>
            <w:r>
              <w:rPr>
                <w:rFonts w:ascii="Times New Roman" w:cs="Times New Roman" w:eastAsia="Times New Roman" w:hAnsi="Times New Roman"/>
                <w:sz w:val="23"/>
                <w:szCs w:val="23"/>
                <w:color w:val="auto"/>
                <w:vertAlign w:val="superscript"/>
              </w:rPr>
              <w:t>(11)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Linder</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7,614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7,614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Feige Linder</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6,768</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6,768</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Ruben Linder</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6,768</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6,768</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Gustavo Lonngi</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2,863</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2,863</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Lonngi</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4,555</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4,555</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Pablo Lonngi</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2,863</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2,863</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Sergio Lonngi</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4,893</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4,893</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Bradley C. Lyman</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849</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849</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Victoria Marina</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MARMEN LLC</w:t>
            </w:r>
            <w:r>
              <w:rPr>
                <w:rFonts w:ascii="Times New Roman" w:cs="Times New Roman" w:eastAsia="Times New Roman" w:hAnsi="Times New Roman"/>
                <w:sz w:val="23"/>
                <w:szCs w:val="23"/>
                <w:color w:val="auto"/>
                <w:vertAlign w:val="superscript"/>
              </w:rPr>
              <w:t>(12)</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24,505</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24,505</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S. Marx</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116,123</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116,123</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MBK Investments</w:t>
            </w:r>
            <w:r>
              <w:rPr>
                <w:rFonts w:ascii="Times New Roman" w:cs="Times New Roman" w:eastAsia="Times New Roman" w:hAnsi="Times New Roman"/>
                <w:sz w:val="23"/>
                <w:szCs w:val="23"/>
                <w:color w:val="auto"/>
                <w:vertAlign w:val="superscript"/>
              </w:rPr>
              <w:t>(13)</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2,548</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2,548</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J. McCarthy Jr.</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2,707</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2,707</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Declan McCarthy</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64,451</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64,451</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McCarthy</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12,194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12,194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Josie McCarthy</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64,451</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64,451</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McCarthy</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799,577</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799,577</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Lida McCarthy</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251,022</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251,022</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Hector Medina</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27,524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27,524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Gregory Menzel</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1,353</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1,353</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D. Modell</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810</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810</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Stephen Modell</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653</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653</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Louis Monti</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323,576</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98,993</w:t>
            </w:r>
          </w:p>
        </w:tc>
        <w:tc>
          <w:tcPr>
            <w:tcW w:w="1760" w:type="dxa"/>
            <w:vAlign w:val="bottom"/>
            <w:shd w:val="clear" w:color="auto" w:fill="CCEEFF"/>
          </w:tcPr>
          <w:p>
            <w:pPr>
              <w:jc w:val="right"/>
              <w:ind w:right="510"/>
              <w:spacing w:after="0" w:line="216" w:lineRule="exact"/>
              <w:rPr>
                <w:sz w:val="20"/>
                <w:szCs w:val="20"/>
                <w:color w:val="auto"/>
              </w:rPr>
            </w:pPr>
            <w:r>
              <w:rPr>
                <w:rFonts w:ascii="Times New Roman" w:cs="Times New Roman" w:eastAsia="Times New Roman" w:hAnsi="Times New Roman"/>
                <w:sz w:val="18"/>
                <w:szCs w:val="18"/>
                <w:color w:val="auto"/>
              </w:rPr>
              <w:t>224,583</w:t>
            </w:r>
            <w:r>
              <w:rPr>
                <w:rFonts w:ascii="Times New Roman" w:cs="Times New Roman" w:eastAsia="Times New Roman" w:hAnsi="Times New Roman"/>
                <w:sz w:val="23"/>
                <w:szCs w:val="23"/>
                <w:color w:val="auto"/>
                <w:vertAlign w:val="superscript"/>
              </w:rPr>
              <w:t>(14)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Francisco Martin Moreno</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55,558</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55,558</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M. Moss</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752</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752</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Sergio Nacht</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1,184</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1,184</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Beatriz Rivas Ochoa</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Orion Properties Ltd. S.A.</w:t>
            </w:r>
            <w:r>
              <w:rPr>
                <w:rFonts w:ascii="Times New Roman" w:cs="Times New Roman" w:eastAsia="Times New Roman" w:hAnsi="Times New Roman"/>
                <w:sz w:val="23"/>
                <w:szCs w:val="23"/>
                <w:color w:val="auto"/>
                <w:vertAlign w:val="superscript"/>
              </w:rPr>
              <w:t>(15)</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17,404</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17,404</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I. Ostrow</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20,445</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20,445</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Paul Capital Acquistion Fund L.P.</w:t>
            </w:r>
            <w:r>
              <w:rPr>
                <w:rFonts w:ascii="Times New Roman" w:cs="Times New Roman" w:eastAsia="Times New Roman" w:hAnsi="Times New Roman"/>
                <w:sz w:val="23"/>
                <w:szCs w:val="23"/>
                <w:color w:val="auto"/>
                <w:vertAlign w:val="superscript"/>
              </w:rPr>
              <w:t>(16)</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25,784</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25,784</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Michael Paull</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338</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338</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Joyce R. Pease</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849</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849</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L. Pease</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45,334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45,334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Jane T. Perelman</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676</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676</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Perelman</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676</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676</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Emmanuelle Perret</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13,537</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13,537</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Thierry Perret</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16,921</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16,921</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Jonathan Pevsner</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2,707</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2,707</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Jeffers W. Pickard</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391</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391</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Daniella Pinto</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8,460</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8,460</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Jorge M. Pinto</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5,047</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5,047</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Andrew F. Popell</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27,374</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27,374</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Eliane Popell</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27,374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27,374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Enrique Portilla I.</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88,369</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88,369</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Quiroga I.</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1,184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1,184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David Quiroga I.</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1,184</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1,184</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Beatriz Rabasa Gamboa</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8,460</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8,460</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Donald S. Robinson</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846</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846</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Adam Rosenblatt</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4,752</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4,752</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James N. Rosenblatt</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4,752</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4,752</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Toby Rosenblatt</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694,274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694,274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Lauren Rosenkranz</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8,761</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8,761</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Roberto P. Rosenkranz</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8,460</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8,460</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Alan E. Rothenberg</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8,225</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8,225</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Carter J. Rowley</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16,921</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16,921</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Susan Sangiacomo</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3,777</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3,777</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Rocco A. Sapienza</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849</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849</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Anne Savage</w:t>
            </w:r>
          </w:p>
        </w:tc>
        <w:tc>
          <w:tcPr>
            <w:tcW w:w="26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5,076</w:t>
            </w:r>
          </w:p>
        </w:tc>
        <w:tc>
          <w:tcPr>
            <w:tcW w:w="13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5,076</w:t>
            </w: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Savage</w:t>
            </w:r>
          </w:p>
        </w:tc>
        <w:tc>
          <w:tcPr>
            <w:tcW w:w="26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3,384</w:t>
            </w:r>
          </w:p>
        </w:tc>
        <w:tc>
          <w:tcPr>
            <w:tcW w:w="13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3,384</w:t>
            </w:r>
          </w:p>
        </w:tc>
        <w:tc>
          <w:tcPr>
            <w:tcW w:w="17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121" w:right="3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Anne Savage</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1,015</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1,015</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Anne Schneider</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783</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Seely</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507</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Sega Corporation</w:t>
            </w:r>
            <w:r>
              <w:rPr>
                <w:rFonts w:ascii="Times New Roman" w:cs="Times New Roman" w:eastAsia="Times New Roman" w:hAnsi="Times New Roman"/>
                <w:sz w:val="23"/>
                <w:szCs w:val="23"/>
                <w:color w:val="auto"/>
                <w:vertAlign w:val="superscript"/>
              </w:rPr>
              <w:t>(17)</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86,117</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86,117</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Selby Sunset York Partners</w:t>
            </w:r>
            <w:r>
              <w:rPr>
                <w:rFonts w:ascii="Times New Roman" w:cs="Times New Roman" w:eastAsia="Times New Roman" w:hAnsi="Times New Roman"/>
                <w:sz w:val="23"/>
                <w:szCs w:val="23"/>
                <w:color w:val="auto"/>
                <w:vertAlign w:val="superscript"/>
              </w:rPr>
              <w:t>(18)</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309,095</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309,095</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J.F. Shea</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280,947</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280,947</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Shepard</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5,279</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5,279</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Board of Trustees of the Leland Stanford Junior University (Daper I)</w:t>
            </w:r>
          </w:p>
        </w:tc>
        <w:tc>
          <w:tcPr>
            <w:tcW w:w="13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16,384</w:t>
            </w:r>
          </w:p>
        </w:tc>
        <w:tc>
          <w:tcPr>
            <w:tcW w:w="1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800" w:type="dxa"/>
            <w:vAlign w:val="bottom"/>
            <w:gridSpan w:val="2"/>
            <w:vMerge w:val="restart"/>
            <w:shd w:val="clear" w:color="auto" w:fill="CCEEFF"/>
          </w:tcPr>
          <w:p>
            <w:pPr>
              <w:spacing w:after="0" w:line="234" w:lineRule="exact"/>
              <w:rPr>
                <w:sz w:val="20"/>
                <w:szCs w:val="20"/>
                <w:color w:val="auto"/>
              </w:rPr>
            </w:pPr>
            <w:r>
              <w:rPr>
                <w:rFonts w:ascii="Times New Roman" w:cs="Times New Roman" w:eastAsia="Times New Roman" w:hAnsi="Times New Roman"/>
                <w:sz w:val="18"/>
                <w:szCs w:val="18"/>
                <w:color w:val="auto"/>
              </w:rPr>
              <w:t>Stanford</w:t>
            </w:r>
            <w:r>
              <w:rPr>
                <w:rFonts w:ascii="Times New Roman" w:cs="Times New Roman" w:eastAsia="Times New Roman" w:hAnsi="Times New Roman"/>
                <w:sz w:val="23"/>
                <w:szCs w:val="23"/>
                <w:color w:val="auto"/>
                <w:vertAlign w:val="superscript"/>
              </w:rPr>
              <w:t>(19)</w:t>
            </w:r>
          </w:p>
        </w:tc>
        <w:tc>
          <w:tcPr>
            <w:tcW w:w="1340" w:type="dxa"/>
            <w:vAlign w:val="bottom"/>
            <w:vMerge w:val="continue"/>
            <w:shd w:val="clear" w:color="auto" w:fill="CCEEFF"/>
          </w:tcPr>
          <w:p>
            <w:pPr>
              <w:spacing w:after="0"/>
              <w:rPr>
                <w:sz w:val="10"/>
                <w:szCs w:val="10"/>
                <w:color w:val="auto"/>
              </w:rPr>
            </w:pPr>
          </w:p>
        </w:tc>
        <w:tc>
          <w:tcPr>
            <w:tcW w:w="1900" w:type="dxa"/>
            <w:vAlign w:val="bottom"/>
            <w:gridSpan w:val="2"/>
            <w:vMerge w:val="restart"/>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16,384</w:t>
            </w:r>
          </w:p>
        </w:tc>
        <w:tc>
          <w:tcPr>
            <w:tcW w:w="1400" w:type="dxa"/>
            <w:vAlign w:val="bottom"/>
            <w:vMerge w:val="restart"/>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5800" w:type="dxa"/>
            <w:vAlign w:val="bottom"/>
            <w:gridSpan w:val="2"/>
            <w:vMerge w:val="continue"/>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900" w:type="dxa"/>
            <w:vAlign w:val="bottom"/>
            <w:gridSpan w:val="2"/>
            <w:vMerge w:val="continue"/>
            <w:shd w:val="clear" w:color="auto" w:fill="CCEEFF"/>
          </w:tcPr>
          <w:p>
            <w:pPr>
              <w:spacing w:after="0"/>
              <w:rPr>
                <w:sz w:val="9"/>
                <w:szCs w:val="9"/>
                <w:color w:val="auto"/>
              </w:rPr>
            </w:pPr>
          </w:p>
        </w:tc>
        <w:tc>
          <w:tcPr>
            <w:tcW w:w="140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Erik Stensaas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16,921</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16,921</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Dorothy B. Stern</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4,805,332</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4,805,332</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Hiram Stern</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84</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Stern</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169</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Taisho Pharmaceutical Co. Ltd.</w:t>
            </w:r>
            <w:r>
              <w:rPr>
                <w:rFonts w:ascii="Times New Roman" w:cs="Times New Roman" w:eastAsia="Times New Roman" w:hAnsi="Times New Roman"/>
                <w:sz w:val="23"/>
                <w:szCs w:val="23"/>
                <w:color w:val="auto"/>
                <w:vertAlign w:val="superscript"/>
              </w:rPr>
              <w:t>(20)</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216,084</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216,084</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The Gould Family 1994 Trust</w:t>
            </w:r>
            <w:r>
              <w:rPr>
                <w:rFonts w:ascii="Times New Roman" w:cs="Times New Roman" w:eastAsia="Times New Roman" w:hAnsi="Times New Roman"/>
                <w:sz w:val="23"/>
                <w:szCs w:val="23"/>
                <w:color w:val="auto"/>
                <w:vertAlign w:val="superscript"/>
              </w:rPr>
              <w:t>(21)</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3,174</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3,174</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Julie Wagoner</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15,884</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15,884</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 Wartian</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1,345</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1,345</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Vermut Weinberger</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15,679</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15,679</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 Weissglas</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2,870</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2,870</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Sofie Weissglas</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2,870</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2,870</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L. White</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6,768</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6,768</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Lewis Whiting</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3,365</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3,365</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L. Ackerman</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74,860</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74,860</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Franz A. Wirtz</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33,654</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33,654</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Wo</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27,729</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27,729</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 Yue</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156</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Zaffaroni Revocable Trust</w:t>
            </w:r>
            <w:r>
              <w:rPr>
                <w:rFonts w:ascii="Times New Roman" w:cs="Times New Roman" w:eastAsia="Times New Roman" w:hAnsi="Times New Roman"/>
                <w:sz w:val="23"/>
                <w:szCs w:val="23"/>
                <w:color w:val="auto"/>
                <w:vertAlign w:val="superscript"/>
              </w:rPr>
              <w:t>(22)</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174,442</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174,442</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Zaidenweber</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62,903</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62,903</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Leslie Zaidenweber</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59,519</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59,519</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Monica Zaidenweber</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62,903</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62,903</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Natan Zaidenweber</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4,390</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4,390</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Stefan Zaidenweber</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62,903</w:t>
            </w: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62,903</w:t>
            </w: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Esteban Zuno</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w:t>
            </w:r>
          </w:p>
        </w:tc>
        <w:tc>
          <w:tcPr>
            <w:tcW w:w="19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1,431</w:t>
            </w:r>
          </w:p>
        </w:tc>
        <w:tc>
          <w:tcPr>
            <w:tcW w:w="14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Secundino Zuno</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640" w:type="dxa"/>
            <w:vAlign w:val="bottom"/>
          </w:tcPr>
          <w:p>
            <w:pPr>
              <w:spacing w:after="0"/>
              <w:rPr>
                <w:sz w:val="18"/>
                <w:szCs w:val="18"/>
                <w:color w:val="auto"/>
              </w:rPr>
            </w:pPr>
          </w:p>
        </w:tc>
        <w:tc>
          <w:tcPr>
            <w:tcW w:w="14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12,193,069</w:t>
            </w:r>
          </w:p>
        </w:tc>
        <w:tc>
          <w:tcPr>
            <w:tcW w:w="1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___________________</w:t>
            </w: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than 1%</w:t>
            </w: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2"/>
        <w:spacing w:after="0" w:line="255"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named selling stockholders, future transferees, pledgees, assignees, distributees, donees or successors of or from any such stockholder or others who later hold any selling stockholder’s interests will be set forth in supplements to this prospectus, absent circumstances indicating that the change is material. In addition, post-effective amendments to the registration statement of which this prospectus forms a part will be filed to disclose any material changes to the plan of distribution from the description in the final prospectus.</w:t>
      </w:r>
    </w:p>
    <w:p>
      <w:pPr>
        <w:spacing w:after="0" w:line="2"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held by the selling stockholders, other than the Shares being offered pursuant to this prospectus, and all Shares being registered by the registration statement of which this prospectus forms a part.</w:t>
      </w:r>
    </w:p>
    <w:p>
      <w:pPr>
        <w:jc w:val="both"/>
        <w:ind w:left="660" w:hanging="652"/>
        <w:spacing w:after="0" w:line="25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securities that are currently convertible or exercisable into shares of our common stock, or convertible or exercisable into shares of our common stock within 60 days of March 16, 2023 are deemed outstanding. Such shares, however, are not deemed outstanding for the purposes of computing the percentage ownership of any other person.</w:t>
      </w:r>
    </w:p>
    <w:p>
      <w:pPr>
        <w:spacing w:after="0" w:line="188" w:lineRule="exact"/>
        <w:rPr>
          <w:rFonts w:ascii="Times New Roman" w:cs="Times New Roman" w:eastAsia="Times New Roman" w:hAnsi="Times New Roman"/>
          <w:sz w:val="18"/>
          <w:szCs w:val="18"/>
          <w:color w:val="auto"/>
        </w:rPr>
      </w:pPr>
    </w:p>
    <w:p>
      <w:pPr>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assumes that each selling stockholder will sell all of the shares of common stock offered pursuant to this prospectus.</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219,326,445 shares of common stock outstanding as of March 16, 2023.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President of Caramia LLC, Roberto Rosenkranz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Senior Vice President of EOP Partners, Joe Valane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Managing Menber of ET Brutus LLC, Leif Langensand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President of Founders Investments Ltd.,Toby Rosenblatt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right="3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Assistant Treasurer of Johnson &amp; Johnson Development Corp, Jill McManus may be deemed to be the beneficial owner over the securities reported herein.</w:t>
      </w:r>
    </w:p>
    <w:p>
      <w:pPr>
        <w:ind w:left="660" w:right="20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Director of Kibridge Limited co Concorde Bank Ltd, Marina Corbin may be deemed to be the beneficial owner over the securities reported herein.</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80,000 shares of common stock and options to purchase 195,833 shares of common stock exercisable within 60 days of March 16, 2023.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Administrator of MARMEN LLC, Alejandro Martinez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Susan Kaufman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 shares of common stock and options to purchase 214,583 shares of common stock exercisable within 60 days of March 16, 2023.</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Owner of Orion Properties Ltd. S.A., Matilde Zeidenweber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S. Paul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right="52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President and Chief Operating Officer of Sega Corporation, Shohei Suzuki may be deemed to be the beneficial owner over the securities reported herein.</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Partner of Selby Sunset York Partners, Michael V. Stern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authorized signatory of The Board of Trustees of the Leland Stanford Junior University (Daper I) Stanford, Brian Talbott may be deemed to be the beneficial owner over the securities reported herein.</w:t>
      </w:r>
    </w:p>
    <w:p>
      <w:pPr>
        <w:ind w:left="660" w:right="140" w:hanging="652"/>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corporate officer of Taisho Pharmaceutical Co. Ltd, Jinsei Maruyama may be deemed to be the beneficial owner over the securities reported herein.</w:t>
      </w: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trustee of The Gould Family 1994 Trust, Russell Gould may be deemed to be the beneficial owner over the securities reported herein.</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trustee of Zaffaroni Revocable Trust, Lida Zaffaroni may be deemed to be the beneficial owner over the securities reported herein.</w:t>
      </w:r>
    </w:p>
    <w:p>
      <w:pPr>
        <w:sectPr>
          <w:pgSz w:w="11900" w:h="16838" w:orient="portrait"/>
          <w:cols w:equalWidth="0" w:num="1">
            <w:col w:w="11240"/>
          </w:cols>
          <w:pgMar w:left="320" w:top="121" w:right="339" w:bottom="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registering the Shares held by the Selling Stockholders identified herein to permit the resale of the Shares from time to time after the date of this prospectus. We will not receive any of the proceeds from the sale by the Selling Stockholders of the Shares, if any. We will bear all fees and expenses incident to our obligation to register the Shares of our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may be sold or distributed from time to time by the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The sale of the Shares offered by this prospectus could be affected in one or more of the following methods:</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the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Selling Stockholders effect such transactions by selling the Shares to or through underwriters, broker-dealers or agents, such underwriters, broker-dealers or agents may receive commissions in the form of discounts, concessions or commissions from the Selling Stockholders or commissions from purchasers of the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or otherwise, the Selling Stockholders may enter into hedging transactions with broker-dealers, which may in turn engage in short sales of the Shares in the course of hedging in positions they assume. The Selling Stockholders may also sell shares of common stock short and deliver Shares covered by this prospectus to close out short positions and to return borrowed shares in connection with such short sales. The selling stockholders may also loan or pledge Shares to broker-dealers that in turn may sell such Shares.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Shares owned by them, and, if they default in the performance of their secured obligations, the pledgees or secured parties may offer and sell such Shares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their respective Shares in other circumstances in which case the transferees, donees, pledgees or other successors in interest will be the selling beneficial owners for purposes of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broker-dealer participating in the distribution of the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is made, a prospectus supplement, if required, will be distributed which will set forth the aggregate amount of the Shares being offered and the terms of the offering, including the name or names of any broker-dealers or agents, any discounts, commissions and other terms constituting compensation from the Selling Stockholders and any discounts, commissions or concessions allowed or reallowed or paid to broker-dealers.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registered pursuant to the registration statement, of which this prospectus forms a part.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Selling Stockholders and any other person participating in such distribution will be subject to applicable provisions of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the rules and regulations thereunder, including, without limitation, Regulation M of the Exchange Act, which may limit the timing of purchases and sales of any of the shares of common stock by the Selling Stockholders and any other participating person.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will pay all expenses of the registration of the Shares pursuant to the Registration Rights Agreement, including, without limitation, SEC filing fees and expenses of compliance with state securities or “blue sky” laws;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Selling Stockholder will pay all underwriting discounts and selling commissions, if any. We will indemnify the Selling Stockholders against liabilities, including some liabilities under the Securities Act, in accordance with the Registration Rights Agreements, or the Selling Stockholders will be entitled to contribution. We may be indemnified by the Selling Stockholders against civil liabilities, including liabilities under the Securities Act, that may arise from any written information furnished to us by the Selling Stockholder specifically for use in this prospectus, in accordance with the related Registration Rights Agreement, or we may be entitled to contribution.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of which this prospectus forms a part, the Shares will be freely tradable in the hands of persons other than our affiliates.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Disclosure Law Group, a Professional Corporation, San Diego, California (</w:t>
      </w:r>
      <w:r>
        <w:rPr>
          <w:rFonts w:ascii="Times New Roman" w:cs="Times New Roman" w:eastAsia="Times New Roman" w:hAnsi="Times New Roman"/>
          <w:sz w:val="18"/>
          <w:szCs w:val="18"/>
          <w:i w:val="1"/>
          <w:iCs w:val="1"/>
          <w:color w:val="auto"/>
        </w:rPr>
        <w:t>DLG</w:t>
      </w:r>
      <w:r>
        <w:rPr>
          <w:rFonts w:ascii="Times New Roman" w:cs="Times New Roman" w:eastAsia="Times New Roman" w:hAnsi="Times New Roman"/>
          <w:sz w:val="18"/>
          <w:szCs w:val="18"/>
          <w:color w:val="auto"/>
        </w:rPr>
        <w:t>). A partner of DLG beneficially owns an aggregate of 150,583 shares of our common stock, which amount includes 140,625 shares of common stock issuable upon exercise of stock options within 60 days of March 15, 2023.</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audited annual consolidated financial statements incorporated by reference in this prospectus and elsewhere in the registration statement have been incorporated by reference in reliance upon the reports of WithumSmith+Brown, PC, independent registered public accounting firm, and OUM &amp; CO. LLP, an independent registered public accounting firm, who joined WithumSmith+Brown, PC on July 15, 2021, upon the authority of said firm as experts in accounting and auditing. The 2022 audited annual consolidated financial statements of Vistagen Therapeutics, Inc., as of and for the year ended March 31, 2022, have been audited by WithumSmith+Brown, PC, independent registered public accounting firm. The 2021 audited annual consolidated financial statements of Vistagen Therapeutics, Inc., as of and for the year ended March 31, 2021, have been audited by OUM &amp; Co. LLP, independent registered public accounting firm. The audit report dated June 23, 2022 for the 2022 audited annual consolidated financial statements includes an explanatory paragraph which states that certain circumstances raise substantial doubt about our ability to continue as a going concern.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12,193,069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294005</wp:posOffset>
            </wp:positionV>
            <wp:extent cx="1482725" cy="52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14827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authorized any dealer, salesperson or other person to give any information or to make any representations not contained in this prospectus. You must not rely on any unauthorized information. This prospectus is not an offer to sell these securities in any jurisdiction where an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Amount</w:t>
            </w:r>
          </w:p>
        </w:tc>
      </w:tr>
      <w:tr>
        <w:trPr>
          <w:trHeight w:val="209"/>
        </w:trPr>
        <w:tc>
          <w:tcPr>
            <w:tcW w:w="59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18,000</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9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48,243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78.7502 of the NRS permits a corporation to indemnify any person who was, is or is threatened to be made a party in a completed, pending or threatened proceeding, whether civil, criminal, administrative or investigative (except an action by or in the right of the corporation), by reason of being or having been an officer, director, employee or agent of the corporation or serving in certain capacities at the request of the corporation. Indemnification may include attorneys' fees, judgments, fines and amounts paid in settlement. The person to be indemnified must have acted in good faith and in a manner he or she reasonably believed to be in or not opposed to the best interests of the corporation and, with respect to any criminal action, such person must have had no reasonable cause to believe his conduct was unlawful.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actions by or in the right of the corporation,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was brought or other court of competent jurisdiction determines upon application that in view of all circumstances the person is fairly and reasonably entitled to indemnity for such expenses as the court deems proper.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indemnification is ordered by a court, the determination to pay indemnification must be made by the stockholders, by a majority vote of a quorum of the Board of Directors who were not parties to the action, suit or proceeding, or in certain circumstances by independent legal counsel in a written opinion. Section 78.751 of the NRS permits the articles of incorporation or bylaws to provide for payment to an indemnified person of the expenses of defending an action as incurred upon receipt of an undertaking to repay the amount if it is ultimately determined by a court of competent jurisdiction that the person is not entitled to indemnification.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78.7502 also provides that to the extent a director, officer, employee or agent has been successful on the merits or otherwise in the defense of any such action, he must be indemnified by the corporation against expenses, including attorneys' fees, actually and reasonably incurred in connection with the defense.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Article X of our Charter, entitled “Indemnification,” provides that we shall indemnify, and shall advance or reimburse the reasonable expenses incurred in advance of final disposition of the proceeding of, any individual made a party to a proceeding because that individual is or was a director of the corporation to the full extent and under all circumstances permitted by applicable law. Article X of our Bylaws, entitled “Indemnification,” provides that we shall indemnify our directors and officers to the fullest extent not prohibited by the NRS, except in the case of proceedings initiated by such officers or directors unless certain other factors are present.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2"/>
          </w:tcPr>
          <w:p>
            <w:pPr>
              <w:spacing w:after="0"/>
              <w:rPr>
                <w:rFonts w:ascii="Times New Roman" w:cs="Times New Roman" w:eastAsia="Times New Roman" w:hAnsi="Times New Roman"/>
                <w:sz w:val="18"/>
                <w:szCs w:val="18"/>
                <w:color w:val="0000EE"/>
                <w:w w:val="95"/>
              </w:rPr>
            </w:pPr>
            <w:hyperlink r:id="rId61">
              <w:r>
                <w:rPr>
                  <w:rFonts w:ascii="Times New Roman" w:cs="Times New Roman" w:eastAsia="Times New Roman" w:hAnsi="Times New Roman"/>
                  <w:sz w:val="18"/>
                  <w:szCs w:val="18"/>
                  <w:color w:val="0000EE"/>
                  <w:w w:val="95"/>
                </w:rPr>
                <w:t>2.</w:t>
              </w:r>
              <w:r>
                <w:rPr>
                  <w:rFonts w:ascii="Times New Roman" w:cs="Times New Roman" w:eastAsia="Times New Roman" w:hAnsi="Times New Roman"/>
                  <w:sz w:val="18"/>
                  <w:szCs w:val="18"/>
                  <w:u w:val="single" w:color="auto"/>
                  <w:color w:val="0000EE"/>
                  <w:w w:val="95"/>
                </w:rPr>
                <w:t>1</w:t>
              </w:r>
            </w:hyperlink>
            <w:r>
              <w:rPr>
                <w:rFonts w:ascii="Times New Roman" w:cs="Times New Roman" w:eastAsia="Times New Roman" w:hAnsi="Times New Roman"/>
                <w:sz w:val="18"/>
                <w:szCs w:val="18"/>
                <w:color w:val="000000"/>
                <w:w w:val="95"/>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Agreement and Plan of Merger, by and among Vistagen Therapeutics, Inc., VTGN Merger Sub, Inc., Pherin Pharmaceuticals, Inc., and Kevin</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McCarthy, dated December 20, 2022, incorporated by reference from Exhibit 2.1 to the Company’s Current Report on Form 8-K, filed on</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21, 2022.</w:t>
            </w: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Restated Articles of Incorporation of VistaGen Therapeutics, Inc., dated August 16, 2016, incorporated by reference from Exhibit 3.1 to the</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Company’s Current Report on Form 8-K, filed on August 17, 2016.</w:t>
            </w: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 Incorporation of VistaGen Therapeutics, Inc., dated September 15, 2017;</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incorporated by reference from Exhibit 3.1 to the Company’s Current Report on Form 8-K, filed on September 20, 2017.</w:t>
            </w: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 Incorporation, as amended, of VistaGen Therapeutics, Inc., dated</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September 6 ,2019; incorporated by reference from Exhibit 3.1 to the Company’s Current Report on Form 8-K, filed on September 6, 2019.</w:t>
            </w:r>
          </w:p>
        </w:tc>
      </w:tr>
      <w:tr>
        <w:trPr>
          <w:trHeight w:val="194"/>
        </w:trPr>
        <w:tc>
          <w:tcPr>
            <w:tcW w:w="320" w:type="dxa"/>
            <w:vAlign w:val="bottom"/>
            <w:gridSpan w:val="2"/>
          </w:tcPr>
          <w:p>
            <w:pPr>
              <w:spacing w:after="0" w:line="194"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Certificate of Amendment to the Restated and Amended Articles of Incorporation, as amended, of VistaGen Therapeutics, Inc., dated March</w:t>
            </w:r>
          </w:p>
        </w:tc>
      </w:tr>
      <w:tr>
        <w:trPr>
          <w:trHeight w:val="218"/>
        </w:trPr>
        <w:tc>
          <w:tcPr>
            <w:tcW w:w="24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 2021, incorporated by reference from Exhibit 3.1 to the Company’s Current Report on Form 8-K, filed on March 5, 2021.</w:t>
            </w:r>
          </w:p>
        </w:tc>
      </w:tr>
      <w:tr>
        <w:trPr>
          <w:trHeight w:val="194"/>
        </w:trPr>
        <w:tc>
          <w:tcPr>
            <w:tcW w:w="24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color w:val="auto"/>
              </w:rPr>
              <w:t>Opinion of Disclosure Law Group, a Professional Corporation (filed herewith).</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Consent of Disclosure Law Group, a Professional Corporation (included in Exhibit 5.1).</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Consent of Independent Registered Public Accounting Firm – WithumSmith+Brown PC. (filed herewith)</w:t>
            </w:r>
          </w:p>
        </w:tc>
      </w:tr>
      <w:tr>
        <w:trPr>
          <w:trHeight w:val="196"/>
        </w:trPr>
        <w:tc>
          <w:tcPr>
            <w:tcW w:w="3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3</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Consent of Independent Registered Public Accounting Firm – OUM &amp; Co. LLP (filed herewith)</w:t>
            </w:r>
          </w:p>
        </w:tc>
      </w:tr>
      <w:tr>
        <w:trPr>
          <w:trHeight w:val="196"/>
        </w:trPr>
        <w:tc>
          <w:tcPr>
            <w:tcW w:w="760" w:type="dxa"/>
            <w:vAlign w:val="bottom"/>
            <w:gridSpan w:val="5"/>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104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Power of Attorney</w:t>
            </w:r>
          </w:p>
        </w:tc>
      </w:tr>
      <w:tr>
        <w:trPr>
          <w:trHeight w:val="196"/>
        </w:trPr>
        <w:tc>
          <w:tcPr>
            <w:tcW w:w="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67">
              <w:r>
                <w:rPr>
                  <w:rFonts w:ascii="Times New Roman" w:cs="Times New Roman" w:eastAsia="Times New Roman" w:hAnsi="Times New Roman"/>
                  <w:sz w:val="18"/>
                  <w:szCs w:val="18"/>
                  <w:color w:val="0000EE"/>
                  <w:w w:val="97"/>
                </w:rPr>
                <w:t>107**</w:t>
              </w:r>
            </w:hyperlink>
          </w:p>
        </w:tc>
        <w:tc>
          <w:tcPr>
            <w:tcW w:w="4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480" w:type="dxa"/>
            <w:vAlign w:val="bottom"/>
          </w:tcPr>
          <w:p>
            <w:pPr>
              <w:ind w:left="260"/>
              <w:spacing w:after="0" w:line="196" w:lineRule="exact"/>
              <w:rPr>
                <w:sz w:val="20"/>
                <w:szCs w:val="20"/>
                <w:color w:val="auto"/>
              </w:rPr>
            </w:pPr>
            <w:r>
              <w:rPr>
                <w:rFonts w:ascii="Times New Roman" w:cs="Times New Roman" w:eastAsia="Times New Roman" w:hAnsi="Times New Roman"/>
                <w:sz w:val="18"/>
                <w:szCs w:val="18"/>
                <w:color w:val="auto"/>
              </w:rPr>
              <w:t>Filing Fee Table</w:t>
            </w:r>
          </w:p>
        </w:tc>
      </w:tr>
    </w:tbl>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Certain exhibits and schedules have been omitted pursuant to Item 601(b)(2) of Regulation S-K. The Company agrees to furnish supplementally to</w:t>
      </w:r>
    </w:p>
    <w:p>
      <w:pPr>
        <w:spacing w:after="0" w:line="27" w:lineRule="exact"/>
        <w:rPr>
          <w:sz w:val="20"/>
          <w:szCs w:val="20"/>
          <w:color w:val="auto"/>
        </w:rPr>
      </w:pPr>
    </w:p>
    <w:p>
      <w:pPr>
        <w:ind w:left="560" w:hanging="552"/>
        <w:spacing w:after="0"/>
        <w:tabs>
          <w:tab w:leader="none" w:pos="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a copy of any omitted exhibits or schedules upon request.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585"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any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660" w:firstLine="644"/>
        <w:spacing w:after="0" w:line="282" w:lineRule="auto"/>
        <w:tabs>
          <w:tab w:leader="none" w:pos="163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periodic reports filed with or furnished to the SEC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82" w:lineRule="exact"/>
        <w:rPr>
          <w:sz w:val="20"/>
          <w:szCs w:val="20"/>
          <w:color w:val="auto"/>
        </w:rPr>
      </w:pPr>
    </w:p>
    <w:p>
      <w:pPr>
        <w:jc w:val="both"/>
        <w:ind w:firstLine="656"/>
        <w:spacing w:after="0" w:line="266" w:lineRule="auto"/>
        <w:tabs>
          <w:tab w:leader="none" w:pos="90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56"/>
        <w:spacing w:after="0" w:line="282" w:lineRule="auto"/>
        <w:tabs>
          <w:tab w:leader="none" w:pos="9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740" w:firstLine="654"/>
        <w:spacing w:after="0" w:line="282" w:lineRule="auto"/>
        <w:tabs>
          <w:tab w:leader="none" w:pos="161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740" w:firstLine="654"/>
        <w:spacing w:after="0" w:line="253" w:lineRule="auto"/>
        <w:tabs>
          <w:tab w:leader="none" w:pos="16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the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statement made in a registration statement or prospectus that is part of the registration statement or made in a document incorporated or deemed incorporated by reference into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90" w:lineRule="exact"/>
        <w:rPr>
          <w:sz w:val="20"/>
          <w:szCs w:val="20"/>
          <w:color w:val="auto"/>
        </w:rPr>
      </w:pPr>
    </w:p>
    <w:p>
      <w:pPr>
        <w:jc w:val="both"/>
        <w:ind w:firstLine="656"/>
        <w:spacing w:after="0" w:line="258" w:lineRule="auto"/>
        <w:tabs>
          <w:tab w:leader="none" w:pos="9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656"/>
        <w:spacing w:after="0" w:line="255" w:lineRule="auto"/>
        <w:tabs>
          <w:tab w:leader="none" w:pos="8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March 17, 2023.</w:t>
      </w:r>
    </w:p>
    <w:p>
      <w:pPr>
        <w:spacing w:after="0" w:line="17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Vistagen Therapeutics, Inc.</w:t>
      </w:r>
    </w:p>
    <w:p>
      <w:pPr>
        <w:spacing w:after="0" w:line="3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Shawn K. Singh</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Shawn K. Singh, J.D.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37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Signature</w:t>
            </w:r>
          </w:p>
        </w:tc>
        <w:tc>
          <w:tcPr>
            <w:tcW w:w="48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2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432"/>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Shawn K. Singh</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K. Singh, JD</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80" w:type="dxa"/>
            <w:vAlign w:val="bottom"/>
          </w:tcPr>
          <w:p>
            <w:pPr>
              <w:spacing w:after="0"/>
              <w:rPr>
                <w:sz w:val="19"/>
                <w:szCs w:val="19"/>
                <w:color w:val="auto"/>
              </w:rPr>
            </w:pPr>
          </w:p>
        </w:tc>
      </w:tr>
      <w:tr>
        <w:trPr>
          <w:trHeight w:val="41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Vice President and Chief Financial Officer</w:t>
            </w:r>
          </w:p>
        </w:tc>
        <w:tc>
          <w:tcPr>
            <w:tcW w:w="2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Jerrold D. Dotson</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180" w:type="dxa"/>
            <w:vAlign w:val="bottom"/>
          </w:tcPr>
          <w:p>
            <w:pPr>
              <w:spacing w:after="0"/>
              <w:rPr>
                <w:sz w:val="19"/>
                <w:szCs w:val="19"/>
                <w:color w:val="auto"/>
              </w:rPr>
            </w:pPr>
          </w:p>
        </w:tc>
      </w:tr>
      <w:tr>
        <w:trPr>
          <w:trHeight w:val="41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 S. Saxe</w:t>
            </w:r>
          </w:p>
        </w:tc>
        <w:tc>
          <w:tcPr>
            <w:tcW w:w="48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 M. Cunningham</w:t>
            </w:r>
          </w:p>
        </w:tc>
        <w:tc>
          <w:tcPr>
            <w:tcW w:w="48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Joanne Curley, Ph.D.</w:t>
            </w:r>
          </w:p>
        </w:tc>
        <w:tc>
          <w:tcPr>
            <w:tcW w:w="48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Margaret M. FitzPatrick</w:t>
            </w:r>
          </w:p>
        </w:tc>
        <w:tc>
          <w:tcPr>
            <w:tcW w:w="48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Jerry B. Gin, Ph.D.</w:t>
            </w:r>
          </w:p>
        </w:tc>
        <w:tc>
          <w:tcPr>
            <w:tcW w:w="4840" w:type="dxa"/>
            <w:vAlign w:val="bottom"/>
          </w:tcPr>
          <w:p>
            <w:pPr>
              <w:spacing w:after="0"/>
              <w:rPr>
                <w:sz w:val="19"/>
                <w:szCs w:val="19"/>
                <w:color w:val="auto"/>
              </w:rPr>
            </w:pPr>
          </w:p>
        </w:tc>
        <w:tc>
          <w:tcPr>
            <w:tcW w:w="2180" w:type="dxa"/>
            <w:vAlign w:val="bottom"/>
          </w:tcPr>
          <w:p>
            <w:pPr>
              <w:spacing w:after="0"/>
              <w:rPr>
                <w:sz w:val="19"/>
                <w:szCs w:val="19"/>
                <w:color w:val="auto"/>
              </w:rPr>
            </w:pPr>
          </w:p>
        </w:tc>
      </w:tr>
      <w:tr>
        <w:trPr>
          <w:trHeight w:val="414"/>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3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Director</w:t>
            </w:r>
          </w:p>
        </w:tc>
        <w:tc>
          <w:tcPr>
            <w:tcW w:w="21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March 17, 2023</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 L. Rotunno, J.D.</w:t>
            </w:r>
          </w:p>
        </w:tc>
        <w:tc>
          <w:tcPr>
            <w:tcW w:w="4840" w:type="dxa"/>
            <w:vAlign w:val="bottom"/>
          </w:tcPr>
          <w:p>
            <w:pPr>
              <w:spacing w:after="0"/>
              <w:rPr>
                <w:sz w:val="19"/>
                <w:szCs w:val="19"/>
                <w:color w:val="auto"/>
              </w:rPr>
            </w:pPr>
          </w:p>
        </w:tc>
        <w:tc>
          <w:tcPr>
            <w:tcW w:w="2180" w:type="dxa"/>
            <w:vAlign w:val="bottom"/>
          </w:tcPr>
          <w:p>
            <w:pPr>
              <w:spacing w:after="0"/>
              <w:rPr>
                <w:sz w:val="19"/>
                <w:szCs w:val="19"/>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Shawn K. Singh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156845</wp:posOffset>
            </wp:positionV>
            <wp:extent cx="1637030" cy="1371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1637030"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Vistagen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acted as legal counsel to Vistagen Therapeutics, Inc., a Nevada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in connection with its registration statement on Form S-3 (the “</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 first filed on March 2, 2023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relating to the proposed resale of up to 12,193,069 shares (the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the Company’s common stock, par value $0.001 per share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by the selling stockholders identified in the Registration Statement (the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This opinion letter is furnished to you at your request to enable you to fulfill the requirements of Item 601(b)(5) of Regulation S-K, 17 C.F.R. § 229.601(b)(5), in connection with the Registration Statement.</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the basis for the opinion hereinafter expressed, we have examined such statutes, Company corporate records and documents, certificates of Company and public officials, and other instruments and documents as we deemed relevant or necessary for the purposes of the opinion set forth below.</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making our examination, we have assumed the legal capacity of all natural persons, that all signatures on documents examined by us are genuine, the authenticity of all documents submitted to us as originals and the conformity with the original documents of all documents submitted to us as certified, conformed or photostatic copies. We have also assumed the accuracy and completeness of all information provided to us by the Company during the course of our investigations, on which we have relied in issuing the opinion expressed below. We have relied upon a certificate and other assurances of officers of the Company and others as to factual matters without having independently verified such factual matters. In connection with the opinion hereinafter expressed, we have assumed that all of the Shares will be resold in the manner stated in the prospectus forming a part of the Registration Statement.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foregoing and on such legal considerations as we deem relevant, and subject to the qualifications, assumptions and limitations stated herein and in reliance on the statements of fact contained in the documents we have examined, we are of the opinion that the Shares will be duly authorized, validly issued, fully paid and nonassessable.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opinions expressed herein are with respect to, and limited to, the corporate laws of the State of Nevada and the federal laws of the United States, in each case as currently in effect, and we express no opinion as to the effect of the laws of any other jurisdiction.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to us under the caption “Legal Matters” in the prospectus forming a part of the Registration Statement and to the filing of this opinion letter as an exhibit to the Registration Statement, and any amendments thereto. In giving this consent, we do not admit that we are included in the category of persons whose consent is required under Section 7 of the Securities Act of 1933, as amended, or the rules and regulations of the Commission promulgated thereunder.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Disclosure Law Group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Disclosure Law Group, a Professional Corporation</w:t>
      </w:r>
    </w:p>
    <w:p>
      <w:pPr>
        <w:sectPr>
          <w:pgSz w:w="11900" w:h="16838" w:orient="portrait"/>
          <w:cols w:equalWidth="0" w:num="1">
            <w:col w:w="11240"/>
          </w:cols>
          <w:pgMar w:left="320" w:top="33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on Amendment No. 1 to Form S-3 of our report dated June 23, 2022, which includes an explanatory paragraph relating to Vistagen Therapeutics, Inc.’s ability to continue as a going concern, relating to the consolidated financial statements of Vistagen Therapeutics, Inc. appearing in the entity’s Annual Report on Form 10-K for the year ended March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Prospectus constituting a part of this Registration Statement on Amendment No. 1 to Form S-3 of our report dated June 29, 2021, relating to the consolidated financial statements of Vistagen Therapeutics, Inc. appearing in the entity’s Annual Report on Form 10-K for the year ended March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3"/>
    </w:lvl>
    <w:lvl w:ilvl="1">
      <w:lvlJc w:val="left"/>
      <w:lvlText w:val="(%2)"/>
      <w:numFmt w:val="lowerRoman"/>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43" Type="http://schemas.openxmlformats.org/officeDocument/2006/relationships/image" Target="media/image11.png"/><Relationship Id="rId44" Type="http://schemas.openxmlformats.org/officeDocument/2006/relationships/image" Target="media/image12.png"/><Relationship Id="rId45" Type="http://schemas.openxmlformats.org/officeDocument/2006/relationships/image" Target="media/image13.png"/><Relationship Id="rId46" Type="http://schemas.openxmlformats.org/officeDocument/2006/relationships/image" Target="media/image14.png"/><Relationship Id="rId47" Type="http://schemas.openxmlformats.org/officeDocument/2006/relationships/image" Target="media/image15.png"/><Relationship Id="rId48" Type="http://schemas.openxmlformats.org/officeDocument/2006/relationships/image" Target="media/image16.png"/><Relationship Id="rId49" Type="http://schemas.openxmlformats.org/officeDocument/2006/relationships/image" Target="media/image17.png"/><Relationship Id="rId50" Type="http://schemas.openxmlformats.org/officeDocument/2006/relationships/image" Target="media/image18.png"/><Relationship Id="rId51" Type="http://schemas.openxmlformats.org/officeDocument/2006/relationships/image" Target="media/image19.png"/><Relationship Id="rId52" Type="http://schemas.openxmlformats.org/officeDocument/2006/relationships/image" Target="media/image20.png"/><Relationship Id="rId53" Type="http://schemas.openxmlformats.org/officeDocument/2006/relationships/image" Target="media/image21.png"/><Relationship Id="rId54" Type="http://schemas.openxmlformats.org/officeDocument/2006/relationships/image" Target="media/image22.png"/><Relationship Id="rId55" Type="http://schemas.openxmlformats.org/officeDocument/2006/relationships/image" Target="media/image23.png"/><Relationship Id="rId56" Type="http://schemas.openxmlformats.org/officeDocument/2006/relationships/image" Target="media/image24.png"/><Relationship Id="rId57" Type="http://schemas.openxmlformats.org/officeDocument/2006/relationships/image" Target="media/image25.png"/><Relationship Id="rId58" Type="http://schemas.openxmlformats.org/officeDocument/2006/relationships/image" Target="media/image26.jpeg"/><Relationship Id="rId59" Type="http://schemas.openxmlformats.org/officeDocument/2006/relationships/image" Target="media/image27.png"/><Relationship Id="rId60"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jpeg"/><Relationship Id="rId18" Type="http://schemas.openxmlformats.org/officeDocument/2006/relationships/hyperlink" Target="http://www.sec.gov/ix?doc=/Archives/edgar/data/1411685/000185173422000349/vtgn20220331_10k.htm" TargetMode="External"/><Relationship Id="rId19" Type="http://schemas.openxmlformats.org/officeDocument/2006/relationships/hyperlink" Target="http://www.sec.gov/ix?doc=/Archives/edgar/data/1411685/000185173422000432/vtgn20220630_10q.htm" TargetMode="External"/><Relationship Id="rId20" Type="http://schemas.openxmlformats.org/officeDocument/2006/relationships/hyperlink" Target="http://www.sec.gov/ix?doc=/Archives/edgar/data/1411685/000185173422000662/vtgn20220930_10q.htm" TargetMode="External"/><Relationship Id="rId21" Type="http://schemas.openxmlformats.org/officeDocument/2006/relationships/hyperlink" Target="http://www.sec.gov/ix?doc=/Archives/edgar/data/1411685/000185173423000035/vtgn20221231_10q.htm" TargetMode="External"/><Relationship Id="rId22" Type="http://schemas.openxmlformats.org/officeDocument/2006/relationships/hyperlink" Target="http://www.sec.gov/ix?doc=/Archives/edgar/data/1411685/000143774922008855/vtgn20220412_8k.htm" TargetMode="External"/><Relationship Id="rId23" Type="http://schemas.openxmlformats.org/officeDocument/2006/relationships/hyperlink" Target="http://www.sec.gov/ix?doc=/Archives/edgar/data/1411685/000143774922009449/vtgn20220421_8k.htm" TargetMode="External"/><Relationship Id="rId24" Type="http://schemas.openxmlformats.org/officeDocument/2006/relationships/hyperlink" Target="http://www.sec.gov/ix?doc=/Archives/edgar/data/1411685/000143774922010697/vtgn20220502_8k.htm" TargetMode="External"/><Relationship Id="rId25" Type="http://schemas.openxmlformats.org/officeDocument/2006/relationships/hyperlink" Target="http://www.sec.gov/ix?doc=/Archives/edgar/data/1411685/000143774922011170/vtgn20220505_8k.htm" TargetMode="External"/><Relationship Id="rId26" Type="http://schemas.openxmlformats.org/officeDocument/2006/relationships/hyperlink" Target="http://www.sec.gov/ix?doc=/Archives/edgar/data/1411685/000185173422000341/vtgn20220622_8k.htm" TargetMode="External"/><Relationship Id="rId27" Type="http://schemas.openxmlformats.org/officeDocument/2006/relationships/hyperlink" Target="http://www.sec.gov/ix?doc=/Archives/edgar/data/1411685/000185173422000390/vtgn20220721_8k.htm" TargetMode="External"/><Relationship Id="rId28" Type="http://schemas.openxmlformats.org/officeDocument/2006/relationships/hyperlink" Target="http://www.sec.gov/ix?doc=/Archives/edgar/data/1411685/000185173422000516/vtgn20220831_8k.htm" TargetMode="External"/><Relationship Id="rId29" Type="http://schemas.openxmlformats.org/officeDocument/2006/relationships/hyperlink" Target="http://www.sec.gov/ix?doc=/Archives/edgar/data/1411685/000185173422000545/vtgn20220906_8k.htm" TargetMode="External"/><Relationship Id="rId30" Type="http://schemas.openxmlformats.org/officeDocument/2006/relationships/hyperlink" Target="http://www.sec.gov/ix?doc=/Archives/edgar/data/1411685/000185173422000549/vtgn20220907_8k.htm" TargetMode="External"/><Relationship Id="rId31" Type="http://schemas.openxmlformats.org/officeDocument/2006/relationships/hyperlink" Target="http://www.sec.gov/ix?doc=/Archives/edgar/data/1411685/000185173422000591/vtgn20221006_8k.htm" TargetMode="External"/><Relationship Id="rId32" Type="http://schemas.openxmlformats.org/officeDocument/2006/relationships/hyperlink" Target="http://www.sec.gov/ix?doc=/Archives/edgar/data/1411685/000185173422000643/vtgn20221028_8k.htm" TargetMode="External"/><Relationship Id="rId33" Type="http://schemas.openxmlformats.org/officeDocument/2006/relationships/hyperlink" Target="http://www.sec.gov/ix?doc=/Archives/edgar/data/1411685/000185173422000697/vtgn20221121_8k.htm" TargetMode="External"/><Relationship Id="rId34" Type="http://schemas.openxmlformats.org/officeDocument/2006/relationships/hyperlink" Target="http://www.sec.gov/ix?doc=/Archives/edgar/data/1411685/000185173422000709/vtgn20221130_8k.htm" TargetMode="External"/><Relationship Id="rId35" Type="http://schemas.openxmlformats.org/officeDocument/2006/relationships/hyperlink" Target="http://www.sec.gov/ix?doc=/Archives/edgar/data/1411685/000185173422000719/vtgn20221206_8k.htm" TargetMode="External"/><Relationship Id="rId36" Type="http://schemas.openxmlformats.org/officeDocument/2006/relationships/hyperlink" Target="http://www.sec.gov/ix?doc=/Archives/edgar/data/1411685/000185173422000740/vtgn20221220_8k.htm" TargetMode="External"/><Relationship Id="rId37" Type="http://schemas.openxmlformats.org/officeDocument/2006/relationships/hyperlink" Target="http://www.sec.gov/ix?doc=/Archives/edgar/data/1411685/000185173423000003/vtgn20230111_8k.htm" TargetMode="External"/><Relationship Id="rId38" Type="http://schemas.openxmlformats.org/officeDocument/2006/relationships/hyperlink" Target="http://www.sec.gov/ix?doc=/Archives/edgar/data/1411685/000185173423000021/vtgn20230124_8k.htm" TargetMode="External"/><Relationship Id="rId39" Type="http://schemas.openxmlformats.org/officeDocument/2006/relationships/hyperlink" Target="http://www.sec.gov/ix?doc=/Archives/edgar/data/1411685/000185173423000029/vtgn20230201_8k.htm" TargetMode="External"/><Relationship Id="rId40" Type="http://schemas.openxmlformats.org/officeDocument/2006/relationships/hyperlink" Target="http://www.sec.gov/ix?doc=/Archives/edgar/data/1411685/000143774923005131/vtgn20230301_8k.htm" TargetMode="External"/><Relationship Id="rId41" Type="http://schemas.openxmlformats.org/officeDocument/2006/relationships/hyperlink" Target="http://www.sec.gov/ix?doc=/Archives/edgar/data/1411685/000143774923005679/vtgn20230307_8k.htm" TargetMode="External"/><Relationship Id="rId42" Type="http://schemas.openxmlformats.org/officeDocument/2006/relationships/hyperlink" Target="http://www.sec.gov/ix?doc=/Archives/edgar/data/1411685/000143774923005818/vtgn20230308_8k.htm" TargetMode="External"/><Relationship Id="rId61" Type="http://schemas.openxmlformats.org/officeDocument/2006/relationships/hyperlink" Target="http://www.sec.gov/Archives/edgar/data/1411685/000185173422000740/ex_458079.htm" TargetMode="External"/><Relationship Id="rId62" Type="http://schemas.openxmlformats.org/officeDocument/2006/relationships/hyperlink" Target="http://www.sec.gov/Archives/edgar/data/1411685/000141588916006879/ex3-1.htm" TargetMode="External"/><Relationship Id="rId63" Type="http://schemas.openxmlformats.org/officeDocument/2006/relationships/hyperlink" Target="http://www.sec.gov/Archives/edgar/data/1411685/000165495417008632/ex3-1.htm" TargetMode="External"/><Relationship Id="rId64" Type="http://schemas.openxmlformats.org/officeDocument/2006/relationships/hyperlink" Target="http://www.sec.gov/Archives/edgar/data/1411685/000165495419010432/ex3-1.htm" TargetMode="External"/><Relationship Id="rId65" Type="http://schemas.openxmlformats.org/officeDocument/2006/relationships/hyperlink" Target="http://www.sec.gov/Archives/edgar/data/1411685/000165495421002420/ex3-1.htm" TargetMode="External"/><Relationship Id="rId66" Type="http://schemas.openxmlformats.org/officeDocument/2006/relationships/hyperlink" Target="http://www.sec.gov/Archives/edgar/data/1411685/000143774923005232/vtgn20230228_s3.htm#poa" TargetMode="External"/><Relationship Id="rId67" Type="http://schemas.openxmlformats.org/officeDocument/2006/relationships/hyperlink" Target="http://www.sec.gov/Archives/edgar/data/1411685/000143774923005232/ex_482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2023-03-17T16:53:19Z</dcterms:created>
  <dcterms:modified xsi:type="dcterms:W3CDTF">2023-03-17T16:53:19Z</dcterms:modified>
</cp:coreProperties>
</file>