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40"/>
          </w:cols>
          <w:pgMar w:left="320" w:top="706" w:right="3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SEC Only (as permitted by Rule 14a-6(e)(2))</w:t>
      </w:r>
    </w:p>
    <w:p>
      <w:pPr>
        <w:spacing w:after="0" w:line="31" w:lineRule="exact"/>
        <w:rPr>
          <w:sz w:val="24"/>
          <w:szCs w:val="24"/>
          <w:color w:val="auto"/>
        </w:rPr>
      </w:pPr>
    </w:p>
    <w:p>
      <w:pPr>
        <w:sectPr>
          <w:pgSz w:w="11900" w:h="16838" w:orient="portrait"/>
          <w:cols w:equalWidth="0" w:num="2">
            <w:col w:w="260" w:space="540"/>
            <w:col w:w="10440"/>
          </w:cols>
          <w:pgMar w:left="320" w:top="706" w:right="339" w:bottom="1440" w:gutter="0" w:footer="0" w:header="0"/>
          <w:type w:val="continuous"/>
        </w:sectPr>
      </w:pPr>
    </w:p>
    <w:p>
      <w:pPr>
        <w:ind w:left="800" w:hanging="792"/>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1240"/>
          </w:cols>
          <w:pgMar w:left="320" w:top="706"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14a-12</w:t>
      </w:r>
    </w:p>
    <w:p>
      <w:pPr>
        <w:spacing w:after="0" w:line="222" w:lineRule="exact"/>
        <w:rPr>
          <w:sz w:val="24"/>
          <w:szCs w:val="24"/>
          <w:color w:val="auto"/>
        </w:rPr>
      </w:pPr>
    </w:p>
    <w:p>
      <w:pPr>
        <w:sectPr>
          <w:pgSz w:w="11900" w:h="16838" w:orient="portrait"/>
          <w:cols w:equalWidth="0" w:num="2">
            <w:col w:w="260" w:space="540"/>
            <w:col w:w="10440"/>
          </w:cols>
          <w:pgMar w:left="320" w:top="706" w:right="339" w:bottom="1440" w:gutter="0" w:footer="0" w:header="0"/>
          <w:type w:val="continuous"/>
        </w:sectPr>
      </w:pP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460" w:hanging="450"/>
        <w:spacing w:after="0" w:line="250" w:lineRule="auto"/>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0" w:lineRule="auto"/>
        <w:tabs>
          <w:tab w:leader="none" w:pos="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3" w:lineRule="exact"/>
        <w:rPr>
          <w:rFonts w:ascii="Arial" w:cs="Arial" w:eastAsia="Arial" w:hAnsi="Arial"/>
          <w:sz w:val="18"/>
          <w:szCs w:val="18"/>
          <w:color w:val="auto"/>
        </w:rPr>
      </w:pPr>
    </w:p>
    <w:p>
      <w:pPr>
        <w:ind w:left="1580" w:hanging="1300"/>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580" w:hanging="1300"/>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580" w:hanging="1300"/>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580" w:hanging="1300"/>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4646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29, 2020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You are cordially invited to attend the 2020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Meeting</w:t>
      </w:r>
      <w:r>
        <w:rPr>
          <w:rFonts w:ascii="Arial" w:cs="Arial" w:eastAsia="Arial" w:hAnsi="Arial"/>
          <w:sz w:val="16"/>
          <w:szCs w:val="16"/>
          <w:color w:val="auto"/>
        </w:rPr>
        <w:t xml:space="preserve">) of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to be held at 10:00 a.m., Pacific Time, on Thursday, September 17, 2020. To ensure the health and well-being of our stockholders, employees, Board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members and advisors during the ongoing COVID-19 pandemic, the Annual Meeting will be a virtual meeting of stockholders and will be conducted exclusively via the Internet. There will not be a physical meeting location, and thus you will not be able to attend the Meeting in person. Instead, you may attend the Annual Meeting online and submit questions during the Meeting by visiting </w:t>
      </w:r>
      <w:r>
        <w:rPr>
          <w:rFonts w:ascii="Arial" w:cs="Arial" w:eastAsia="Arial" w:hAnsi="Arial"/>
          <w:sz w:val="16"/>
          <w:szCs w:val="16"/>
          <w:u w:val="single" w:color="auto"/>
          <w:color w:val="0563C1"/>
        </w:rPr>
        <w:t>http://www.meetingcenter.io/280599481</w:t>
      </w:r>
      <w:r>
        <w:rPr>
          <w:rFonts w:ascii="Arial" w:cs="Arial" w:eastAsia="Arial" w:hAnsi="Arial"/>
          <w:sz w:val="16"/>
          <w:szCs w:val="16"/>
          <w:color w:val="auto"/>
        </w:rPr>
        <w:t>. In addition, prior to the Meeting, we encourage you to vote online by following the instructions provided on the Notice of Internet Availability of Proxy Materials described below.</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response to the COVID-19 pandemic and as part of our efforts to conserve environmental resources and prevent unnecessary corporate expense, we are once again using the “Notice and Access” method of providing proxy materials to you via the Internet pursuant to the regulations promulgated by the U.S.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We believe that this process should provide you with a safe, convenient and efficient way to access your proxy materials and vote your shares, while also allowing us to conserve natural resources and reduce the costs of printing and distributing the proxy materials and take prudent precautionary measures during the COVID-19 pandemic. On or about August 3, 2020, we are mailing to our stockholders a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containing instructions on how to access our Proxy Statement and vote electronically via the Internet or by telephone. The Notice also will contain instructions on how to receive a paper copy of your proxy materials.</w:t>
      </w:r>
    </w:p>
    <w:p>
      <w:pPr>
        <w:spacing w:after="0" w:line="17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Details of the business to be conducted at the Annual Meeting are described in both the Notice, and in the accompanying Proxy Statement. We have also made a copy of our Annual Report on Form 10-K for the year ended March 31, 2020 (</w:t>
      </w:r>
      <w:r>
        <w:rPr>
          <w:rFonts w:ascii="Arial" w:cs="Arial" w:eastAsia="Arial" w:hAnsi="Arial"/>
          <w:sz w:val="16"/>
          <w:szCs w:val="16"/>
          <w:i w:val="1"/>
          <w:iCs w:val="1"/>
          <w:color w:val="auto"/>
        </w:rPr>
        <w:t>Annual Report</w:t>
      </w:r>
      <w:r>
        <w:rPr>
          <w:rFonts w:ascii="Arial" w:cs="Arial" w:eastAsia="Arial" w:hAnsi="Arial"/>
          <w:sz w:val="16"/>
          <w:szCs w:val="16"/>
          <w:color w:val="auto"/>
        </w:rPr>
        <w:t>) available with this proxy statement. We encourage you to read our Annual Report. It includes our audited financial statements and provides information about our business.</w:t>
      </w:r>
    </w:p>
    <w:p>
      <w:pPr>
        <w:spacing w:after="0" w:line="154" w:lineRule="exact"/>
        <w:rPr>
          <w:sz w:val="20"/>
          <w:szCs w:val="20"/>
          <w:color w:val="auto"/>
        </w:rPr>
      </w:pPr>
    </w:p>
    <w:p>
      <w:pPr>
        <w:jc w:val="both"/>
        <w:ind w:right="40" w:firstLine="648"/>
        <w:spacing w:after="0" w:line="310" w:lineRule="auto"/>
        <w:rPr>
          <w:sz w:val="20"/>
          <w:szCs w:val="20"/>
          <w:color w:val="auto"/>
        </w:rPr>
      </w:pPr>
      <w:r>
        <w:rPr>
          <w:rFonts w:ascii="Arial" w:cs="Arial" w:eastAsia="Arial" w:hAnsi="Arial"/>
          <w:sz w:val="16"/>
          <w:szCs w:val="16"/>
          <w:color w:val="auto"/>
        </w:rPr>
        <w:t xml:space="preserve">Regardless of whether you plan to attend our Annual Meeting virtually, </w:t>
      </w:r>
      <w:r>
        <w:rPr>
          <w:rFonts w:ascii="Arial" w:cs="Arial" w:eastAsia="Arial" w:hAnsi="Arial"/>
          <w:sz w:val="16"/>
          <w:szCs w:val="16"/>
          <w:b w:val="1"/>
          <w:bCs w:val="1"/>
          <w:color w:val="auto"/>
        </w:rPr>
        <w:t>please read the accompanying Proxy Statement and then vote via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Internet, by telephone or by postal mail as promptly as possible. </w:t>
      </w:r>
      <w:r>
        <w:rPr>
          <w:rFonts w:ascii="Arial" w:cs="Arial" w:eastAsia="Arial" w:hAnsi="Arial"/>
          <w:sz w:val="16"/>
          <w:szCs w:val="16"/>
          <w:color w:val="auto"/>
        </w:rPr>
        <w:t>Please refer to the Notice for instructions on submitting your votes. Voting promptly will</w:t>
      </w:r>
      <w:r>
        <w:rPr>
          <w:rFonts w:ascii="Arial" w:cs="Arial" w:eastAsia="Arial" w:hAnsi="Arial"/>
          <w:sz w:val="16"/>
          <w:szCs w:val="16"/>
          <w:b w:val="1"/>
          <w:bCs w:val="1"/>
          <w:color w:val="auto"/>
        </w:rPr>
        <w:t xml:space="preserve"> </w:t>
      </w:r>
      <w:r>
        <w:rPr>
          <w:rFonts w:ascii="Arial" w:cs="Arial" w:eastAsia="Arial" w:hAnsi="Arial"/>
          <w:sz w:val="16"/>
          <w:szCs w:val="16"/>
          <w:color w:val="auto"/>
        </w:rPr>
        <w:t>save us additional expense in further soliciting proxies and will ensure that your shares are represented at the Meeting.</w:t>
      </w:r>
    </w:p>
    <w:p>
      <w:pPr>
        <w:spacing w:after="0" w:line="157" w:lineRule="exact"/>
        <w:rPr>
          <w:sz w:val="20"/>
          <w:szCs w:val="20"/>
          <w:color w:val="auto"/>
        </w:rPr>
      </w:pPr>
    </w:p>
    <w:p>
      <w:pPr>
        <w:ind w:left="180" w:right="60" w:firstLine="648"/>
        <w:spacing w:after="0" w:line="268" w:lineRule="auto"/>
        <w:rPr>
          <w:sz w:val="20"/>
          <w:szCs w:val="20"/>
          <w:color w:val="auto"/>
        </w:rPr>
      </w:pPr>
      <w:r>
        <w:rPr>
          <w:rFonts w:ascii="Arial" w:cs="Arial" w:eastAsia="Arial" w:hAnsi="Arial"/>
          <w:sz w:val="18"/>
          <w:szCs w:val="18"/>
          <w:color w:val="auto"/>
        </w:rPr>
        <w:t>Our Board of Directors has unanimously approved the proposals set forth in the accompanying Proxy Statement and we recommend that you vote in favor of each such proposal.</w:t>
      </w:r>
    </w:p>
    <w:p>
      <w:pPr>
        <w:spacing w:after="0" w:line="18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240"/>
          </w:cols>
          <w:pgMar w:left="320" w:top="1440" w:right="339" w:bottom="0" w:gutter="0" w:footer="0" w:header="0"/>
        </w:sectPr>
      </w:pPr>
    </w:p>
    <w:bookmarkStart w:id="2" w:name="page3"/>
    <w:bookmarkEnd w:id="2"/>
    <w:p>
      <w:pPr>
        <w:ind w:left="4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4537075</wp:posOffset>
            </wp:positionH>
            <wp:positionV relativeFrom="page">
              <wp:posOffset>88900</wp:posOffset>
            </wp:positionV>
            <wp:extent cx="1688465"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88465" cy="608330"/>
                    </a:xfrm>
                    <a:prstGeom prst="rect">
                      <a:avLst/>
                    </a:prstGeom>
                    <a:noFill/>
                  </pic:spPr>
                </pic:pic>
              </a:graphicData>
            </a:graphic>
          </wp:anchor>
        </w:drawing>
        <w:t>Jon S. Saxe</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6"/>
          <w:szCs w:val="16"/>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570230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4646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Conducted Exclusively via the Internet on September 17,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We are pleased to invite you to attend the 2020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or </w:t>
      </w:r>
      <w:r>
        <w:rPr>
          <w:rFonts w:ascii="Arial" w:cs="Arial" w:eastAsia="Arial" w:hAnsi="Arial"/>
          <w:sz w:val="16"/>
          <w:szCs w:val="16"/>
          <w:i w:val="1"/>
          <w:iCs w:val="1"/>
          <w:color w:val="auto"/>
        </w:rPr>
        <w:t>Meeting</w:t>
      </w:r>
      <w:r>
        <w:rPr>
          <w:rFonts w:ascii="Arial" w:cs="Arial" w:eastAsia="Arial" w:hAnsi="Arial"/>
          <w:sz w:val="16"/>
          <w:szCs w:val="16"/>
          <w:color w:val="auto"/>
        </w:rPr>
        <w:t xml:space="preserve">) of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or </w:t>
      </w:r>
      <w:r>
        <w:rPr>
          <w:rFonts w:ascii="Arial" w:cs="Arial" w:eastAsia="Arial" w:hAnsi="Arial"/>
          <w:sz w:val="16"/>
          <w:szCs w:val="16"/>
          <w:i w:val="1"/>
          <w:iCs w:val="1"/>
          <w:color w:val="auto"/>
        </w:rPr>
        <w:t>our</w:t>
      </w:r>
      <w:r>
        <w:rPr>
          <w:rFonts w:ascii="Arial" w:cs="Arial" w:eastAsia="Arial" w:hAnsi="Arial"/>
          <w:sz w:val="16"/>
          <w:szCs w:val="16"/>
          <w:color w:val="auto"/>
        </w:rPr>
        <w:t xml:space="preserve">), which takes place on Thursday, September 17, 2020 at 10:00 a.m., Pacific Time. The Annual Meeting will be a virtual-format meeting, held exclusively via the internet at </w:t>
      </w:r>
      <w:r>
        <w:rPr>
          <w:rFonts w:ascii="Arial" w:cs="Arial" w:eastAsia="Arial" w:hAnsi="Arial"/>
          <w:sz w:val="16"/>
          <w:szCs w:val="16"/>
          <w:u w:val="single" w:color="auto"/>
          <w:color w:val="0563C1"/>
        </w:rPr>
        <w:t>http://www.meetingcenter.io/280599481</w:t>
      </w:r>
      <w:r>
        <w:rPr>
          <w:rFonts w:ascii="Arial" w:cs="Arial" w:eastAsia="Arial" w:hAnsi="Arial"/>
          <w:sz w:val="16"/>
          <w:szCs w:val="16"/>
          <w:color w:val="auto"/>
        </w:rPr>
        <w:t>, for the following purposes:</w:t>
      </w:r>
    </w:p>
    <w:p>
      <w:pPr>
        <w:spacing w:after="0" w:line="160" w:lineRule="exact"/>
        <w:rPr>
          <w:sz w:val="20"/>
          <w:szCs w:val="20"/>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six directors to our Board of Directors, each to serve until our 2021 Annual Meeting of Stockholders, or until her or his respective successor is elected and qualified;</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OUM &amp; Co. LLP as our independent registered public accounting firm for our fiscal year ending March 31, 2021; and</w:t>
      </w:r>
    </w:p>
    <w:p>
      <w:pPr>
        <w:spacing w:after="0" w:line="248" w:lineRule="exact"/>
        <w:rPr>
          <w:rFonts w:ascii="Arial" w:cs="Arial" w:eastAsia="Arial" w:hAnsi="Arial"/>
          <w:sz w:val="16"/>
          <w:szCs w:val="16"/>
          <w:color w:val="auto"/>
        </w:rPr>
      </w:pPr>
    </w:p>
    <w:p>
      <w:pPr>
        <w:ind w:left="660" w:right="200" w:hanging="652"/>
        <w:spacing w:after="0" w:line="500" w:lineRule="auto"/>
        <w:tabs>
          <w:tab w:leader="none" w:pos="47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upon such other matters, if any, as may properly come before the Annual Meeting or any adjournment or postponement of the Annual Meeting. These matters are more fully discussed in the attached Proxy Statement.</w:t>
      </w:r>
    </w:p>
    <w:p>
      <w:pPr>
        <w:spacing w:after="0" w:line="2"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6"/>
          <w:szCs w:val="16"/>
          <w:color w:val="auto"/>
        </w:rPr>
        <w:t>We have elected to provide access to our proxy materials primarily electronically via the Internet, pursuant to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xml:space="preserve">) “notice and access” rules. We believe this process expedites our stockholders’ safe receipt of proxy materials during the COVID-19 pandemic, conserves natural resources and significantly reduces the costs of the Annual Meeting. On or about August 3, 2020, we will mail a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xml:space="preserve">) to each of our stockholders entitled to notice of and to vote at the Annual Meeting, which contains instructions for accessing the attached Proxy Statement, our Annual Report on Form 10-K for our fiscal year ended March 31, 2020 (the </w:t>
      </w:r>
      <w:r>
        <w:rPr>
          <w:rFonts w:ascii="Arial" w:cs="Arial" w:eastAsia="Arial" w:hAnsi="Arial"/>
          <w:sz w:val="16"/>
          <w:szCs w:val="16"/>
          <w:i w:val="1"/>
          <w:iCs w:val="1"/>
          <w:color w:val="auto"/>
        </w:rPr>
        <w:t>Annual Report</w:t>
      </w:r>
      <w:r>
        <w:rPr>
          <w:rFonts w:ascii="Arial" w:cs="Arial" w:eastAsia="Arial" w:hAnsi="Arial"/>
          <w:sz w:val="16"/>
          <w:szCs w:val="16"/>
          <w:color w:val="auto"/>
        </w:rPr>
        <w:t>) and</w:t>
      </w:r>
    </w:p>
    <w:p>
      <w:pPr>
        <w:sectPr>
          <w:pgSz w:w="11900" w:h="16838" w:orient="portrait"/>
          <w:cols w:equalWidth="0" w:num="1">
            <w:col w:w="11240"/>
          </w:cols>
          <w:pgMar w:left="320" w:top="1440" w:right="339" w:bottom="0" w:gutter="0" w:footer="0" w:header="0"/>
        </w:sectPr>
      </w:pPr>
    </w:p>
    <w:bookmarkStart w:id="4" w:name="page5"/>
    <w:bookmarkEnd w:id="4"/>
    <w:p>
      <w:pPr>
        <w:ind w:right="20"/>
        <w:spacing w:after="0" w:line="275" w:lineRule="auto"/>
        <w:rPr>
          <w:sz w:val="20"/>
          <w:szCs w:val="20"/>
          <w:color w:val="auto"/>
        </w:rPr>
      </w:pPr>
      <w:r>
        <w:rPr>
          <w:rFonts w:ascii="Arial" w:cs="Arial" w:eastAsia="Arial" w:hAnsi="Arial"/>
          <w:sz w:val="18"/>
          <w:szCs w:val="18"/>
          <w:color w:val="auto"/>
        </w:rPr>
        <w:t xml:space="preserve">voting instructions. The Notice also includes instructions on how you can receive a paper copy of your proxy materials. </w:t>
      </w:r>
      <w:r>
        <w:rPr>
          <w:rFonts w:ascii="Arial" w:cs="Arial" w:eastAsia="Arial" w:hAnsi="Arial"/>
          <w:sz w:val="18"/>
          <w:szCs w:val="18"/>
          <w:b w:val="1"/>
          <w:bCs w:val="1"/>
          <w:color w:val="auto"/>
        </w:rPr>
        <w:t>The Proxy Statement and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Annual Report are both available on the Internet at: </w:t>
      </w:r>
      <w:r>
        <w:rPr>
          <w:rFonts w:ascii="Arial" w:cs="Arial" w:eastAsia="Arial" w:hAnsi="Arial"/>
          <w:sz w:val="18"/>
          <w:szCs w:val="18"/>
          <w:b w:val="1"/>
          <w:bCs w:val="1"/>
          <w:u w:val="single" w:color="auto"/>
          <w:color w:val="0563C1"/>
        </w:rPr>
        <w:t>http://www.edocumentview.com/VTGN</w:t>
      </w:r>
      <w:r>
        <w:rPr>
          <w:rFonts w:ascii="Arial" w:cs="Arial" w:eastAsia="Arial" w:hAnsi="Arial"/>
          <w:sz w:val="18"/>
          <w:szCs w:val="18"/>
          <w:b w:val="1"/>
          <w:bCs w:val="1"/>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close of business on July 24, 2020 (the </w:t>
      </w:r>
      <w:r>
        <w:rPr>
          <w:rFonts w:ascii="Arial" w:cs="Arial" w:eastAsia="Arial" w:hAnsi="Arial"/>
          <w:sz w:val="18"/>
          <w:szCs w:val="18"/>
          <w:i w:val="1"/>
          <w:iCs w:val="1"/>
          <w:color w:val="auto"/>
        </w:rPr>
        <w:t>Record Date</w:t>
      </w:r>
      <w:r>
        <w:rPr>
          <w:rFonts w:ascii="Arial" w:cs="Arial" w:eastAsia="Arial" w:hAnsi="Arial"/>
          <w:sz w:val="18"/>
          <w:szCs w:val="18"/>
          <w:color w:val="auto"/>
        </w:rPr>
        <w:t xml:space="preserve">),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by sending an email to </w:t>
      </w:r>
      <w:r>
        <w:rPr>
          <w:rFonts w:ascii="Arial" w:cs="Arial" w:eastAsia="Arial" w:hAnsi="Arial"/>
          <w:sz w:val="18"/>
          <w:szCs w:val="18"/>
          <w:u w:val="single" w:color="auto"/>
          <w:color w:val="0563C1"/>
        </w:rPr>
        <w:t>Corp.Secretary@vistagen.com</w:t>
      </w:r>
      <w:r>
        <w:rPr>
          <w:rFonts w:ascii="Arial" w:cs="Arial" w:eastAsia="Arial" w:hAnsi="Arial"/>
          <w:sz w:val="18"/>
          <w:szCs w:val="18"/>
          <w:color w:val="auto"/>
        </w:rPr>
        <w:t xml:space="preserve"> stating the purpose of the request and providing proof of ownership of our common stock. This list will also be available for examination by stockholders of record during the virtual Annual Meeting webcast at </w:t>
      </w:r>
      <w:r>
        <w:rPr>
          <w:rFonts w:ascii="Arial" w:cs="Arial" w:eastAsia="Arial" w:hAnsi="Arial"/>
          <w:sz w:val="18"/>
          <w:szCs w:val="18"/>
          <w:u w:val="single" w:color="auto"/>
          <w:color w:val="0563C1"/>
        </w:rPr>
        <w:t>http://www.meetingcenter.io/280599481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jc w:val="both"/>
        <w:ind w:right="40" w:firstLine="648"/>
        <w:spacing w:after="0" w:line="253" w:lineRule="auto"/>
        <w:rPr>
          <w:sz w:val="20"/>
          <w:szCs w:val="20"/>
          <w:color w:val="auto"/>
        </w:rPr>
      </w:pPr>
      <w:r>
        <w:rPr>
          <w:rFonts w:ascii="Arial" w:cs="Arial" w:eastAsia="Arial" w:hAnsi="Arial"/>
          <w:sz w:val="18"/>
          <w:szCs w:val="18"/>
          <w:color w:val="auto"/>
        </w:rPr>
        <w:t>You are entitled to attend the Annual Meeting virtually only if you were a stockholder as of the close of business on the Record Date or hold a valid proxy for the Annual Meeting. If you are a stockholder of record, your ownership as of the Record Date will be verified prior to admittance into the virtual Annual Meeting. If you are not a stockholder of record but hold shares through a broker, trustee or nominee, you must provide proof of beneficial ownership as of the Record Date, such as an account statement or similar evidence of ownership, to attend the Annual Meeting. Further information about how to attend the Annual Meeting online, vote your shares online during the Meeting and submit questions online during the Meeting is included in the accompanying Proxy Statement. For instructions on how to vote your shares, please refer to the instructions on the Notice of Internet Availability of Proxy Materials you received in the mail, the section titled “Voting” beginning on page 2 of the attached Proxy Statement or, if you requested to receive printed proxy materials, your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397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9763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YOUR VOTES ARE IMPORTANT</w:t>
      </w:r>
    </w:p>
    <w:p>
      <w:pPr>
        <w:spacing w:after="0" w:line="225" w:lineRule="exact"/>
        <w:rPr>
          <w:sz w:val="20"/>
          <w:szCs w:val="20"/>
          <w:color w:val="auto"/>
        </w:rPr>
      </w:pPr>
    </w:p>
    <w:p>
      <w:pPr>
        <w:jc w:val="both"/>
        <w:ind w:left="120" w:right="220"/>
        <w:spacing w:after="0" w:line="293" w:lineRule="auto"/>
        <w:rPr>
          <w:sz w:val="20"/>
          <w:szCs w:val="20"/>
          <w:color w:val="auto"/>
        </w:rPr>
      </w:pPr>
      <w:r>
        <w:rPr>
          <w:rFonts w:ascii="Arial" w:cs="Arial" w:eastAsia="Arial" w:hAnsi="Arial"/>
          <w:sz w:val="16"/>
          <w:szCs w:val="16"/>
          <w:b w:val="1"/>
          <w:bCs w:val="1"/>
          <w:color w:val="auto"/>
        </w:rPr>
        <w:t>All stockholders are cordially invited to attend the Annual Meeting. However, to ensure your representation at the Annual Meeting, you are urged to vote online via the Internet, by telephone or by postal mail in advance of the Annual Meeting, as promptly as possible. Submitting your votes in advance of the Annual Meeting assures that a quorum will be present at the Annual Meeting and will avoid the Company incurring additional expense for duplicate proxy solicitations. By following the procedures described in the section entitled “Voting” beginning on page 2 of the attached Proxy Statement, any stockholder attending the Annual Meeting virtually may vote at the Meeting, even if he or she has returned a proxy prior to the Annual Meeting.</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Whether or not you expect to attend the Annual Meeting virtually, we urge you to vote your shares in advance of the Annual Meeting, as promptly as possible, online via the Internet, by telephone or by postal mail so that your shares may be represented and voted at the Annual Meeting. </w:t>
      </w:r>
      <w:r>
        <w:rPr>
          <w:rFonts w:ascii="Arial" w:cs="Arial" w:eastAsia="Arial" w:hAnsi="Arial"/>
          <w:sz w:val="18"/>
          <w:szCs w:val="18"/>
          <w:color w:val="auto"/>
        </w:rPr>
        <w:t>If your shares are held in the name of a bank, broker, brokerage firm or other fiduciary, please follow the instructions on the voting instruction card furnished by such institution.</w:t>
      </w:r>
    </w:p>
    <w:p>
      <w:pPr>
        <w:spacing w:after="0" w:line="19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Our Board of Directors has recommended unanimously that you vote “FOR” each of the Director nominees identified in Proposal No. 1 and “FOR” Proposal No. 2, both of which are described in detail in the accompanying Proxy Statement.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b w:val="1"/>
          <w:bCs w:val="1"/>
          <w:color w:val="auto"/>
        </w:rPr>
        <w:t xml:space="preserve">THE ANNUAL REPORT AND PROXY STATEMENT ARE AVAILABLE ONLINE VIA THE INTERNET AT </w:t>
      </w:r>
      <w:r>
        <w:rPr>
          <w:rFonts w:ascii="Arial" w:cs="Arial" w:eastAsia="Arial" w:hAnsi="Arial"/>
          <w:sz w:val="18"/>
          <w:szCs w:val="18"/>
          <w:b w:val="1"/>
          <w:bCs w:val="1"/>
          <w:u w:val="single" w:color="auto"/>
          <w:color w:val="0563C1"/>
        </w:rPr>
        <w:t>http://www.edocumentview.com/VTGN</w:t>
      </w:r>
      <w:r>
        <w:rPr>
          <w:rFonts w:ascii="Arial" w:cs="Arial" w:eastAsia="Arial" w:hAnsi="Arial"/>
          <w:sz w:val="18"/>
          <w:szCs w:val="18"/>
          <w:b w:val="1"/>
          <w:bCs w:val="1"/>
          <w:color w:val="000000"/>
        </w:rPr>
        <w:t>.</w:t>
      </w:r>
    </w:p>
    <w:p>
      <w:pPr>
        <w:spacing w:after="0" w:line="39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10795</wp:posOffset>
            </wp:positionV>
            <wp:extent cx="150876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Jerrold D. Dotson</w:t>
      </w:r>
    </w:p>
    <w:p>
      <w:pPr>
        <w:spacing w:after="0" w:line="15"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4646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enclosed proxy is solicited on behalf of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xml:space="preserve">)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we </w:t>
      </w:r>
      <w:r>
        <w:rPr>
          <w:rFonts w:ascii="Arial" w:cs="Arial" w:eastAsia="Arial" w:hAnsi="Arial"/>
          <w:sz w:val="18"/>
          <w:szCs w:val="18"/>
          <w:color w:val="auto"/>
        </w:rPr>
        <w:t>or</w:t>
      </w:r>
      <w:r>
        <w:rPr>
          <w:rFonts w:ascii="Arial" w:cs="Arial" w:eastAsia="Arial" w:hAnsi="Arial"/>
          <w:sz w:val="18"/>
          <w:szCs w:val="18"/>
          <w:i w:val="1"/>
          <w:iCs w:val="1"/>
          <w:color w:val="auto"/>
        </w:rPr>
        <w:t xml:space="preserve"> our</w:t>
      </w:r>
      <w:r>
        <w:rPr>
          <w:rFonts w:ascii="Arial" w:cs="Arial" w:eastAsia="Arial" w:hAnsi="Arial"/>
          <w:sz w:val="18"/>
          <w:szCs w:val="18"/>
          <w:color w:val="auto"/>
        </w:rPr>
        <w:t>), for use at the Company’s 2020 Annual Meeting of Stockholders (the</w:t>
      </w:r>
      <w:r>
        <w:rPr>
          <w:rFonts w:ascii="Arial" w:cs="Arial" w:eastAsia="Arial" w:hAnsi="Arial"/>
          <w:sz w:val="18"/>
          <w:szCs w:val="18"/>
          <w:i w:val="1"/>
          <w:iCs w:val="1"/>
          <w:color w:val="auto"/>
        </w:rPr>
        <w:t xml:space="preserve"> Annual Meeting </w:t>
      </w:r>
      <w:r>
        <w:rPr>
          <w:rFonts w:ascii="Arial" w:cs="Arial" w:eastAsia="Arial" w:hAnsi="Arial"/>
          <w:sz w:val="18"/>
          <w:szCs w:val="18"/>
          <w:color w:val="auto"/>
        </w:rPr>
        <w:t>or the</w:t>
      </w:r>
      <w:r>
        <w:rPr>
          <w:rFonts w:ascii="Arial" w:cs="Arial" w:eastAsia="Arial" w:hAnsi="Arial"/>
          <w:sz w:val="18"/>
          <w:szCs w:val="18"/>
          <w:i w:val="1"/>
          <w:iCs w:val="1"/>
          <w:color w:val="auto"/>
        </w:rPr>
        <w:t xml:space="preserve"> Meeting</w:t>
      </w:r>
      <w:r>
        <w:rPr>
          <w:rFonts w:ascii="Arial" w:cs="Arial" w:eastAsia="Arial" w:hAnsi="Arial"/>
          <w:sz w:val="18"/>
          <w:szCs w:val="18"/>
          <w:color w:val="auto"/>
        </w:rPr>
        <w:t>). The Annual Meeting will take place in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virtual meeting format on Thursday September 17, 2020, 10:00 a.m., Pacific Time, and will be held exclusively via the Internet at </w:t>
      </w:r>
      <w:r>
        <w:rPr>
          <w:rFonts w:ascii="Arial" w:cs="Arial" w:eastAsia="Arial" w:hAnsi="Arial"/>
          <w:sz w:val="18"/>
          <w:szCs w:val="18"/>
          <w:u w:val="single" w:color="auto"/>
          <w:color w:val="0563C1"/>
        </w:rPr>
        <w:t>http://www.meetingcenter.io/280599481</w:t>
      </w:r>
      <w:r>
        <w:rPr>
          <w:rFonts w:ascii="Arial" w:cs="Arial" w:eastAsia="Arial" w:hAnsi="Arial"/>
          <w:sz w:val="18"/>
          <w:szCs w:val="18"/>
          <w:color w:val="0563C1"/>
        </w:rPr>
        <w:t xml:space="preserve"> </w:t>
      </w:r>
      <w:r>
        <w:rPr>
          <w:rFonts w:ascii="Arial" w:cs="Arial" w:eastAsia="Arial" w:hAnsi="Arial"/>
          <w:sz w:val="18"/>
          <w:szCs w:val="18"/>
          <w:color w:val="000000"/>
        </w:rPr>
        <w:t>..</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provide access to the proxy materials for the Annual Meeting primarily over the Internet in accordance with the U.S. Securities and Exchange Commission’s (</w:t>
      </w:r>
      <w:r>
        <w:rPr>
          <w:rFonts w:ascii="Arial" w:cs="Arial" w:eastAsia="Arial" w:hAnsi="Arial"/>
          <w:sz w:val="18"/>
          <w:szCs w:val="18"/>
          <w:i w:val="1"/>
          <w:iCs w:val="1"/>
          <w:color w:val="auto"/>
        </w:rPr>
        <w:t>SEC</w:t>
      </w:r>
      <w:r>
        <w:rPr>
          <w:rFonts w:ascii="Arial" w:cs="Arial" w:eastAsia="Arial" w:hAnsi="Arial"/>
          <w:sz w:val="18"/>
          <w:szCs w:val="18"/>
          <w:color w:val="auto"/>
        </w:rPr>
        <w:t xml:space="preserve">) “notice and access” rules. On or about August 3, 2020, we will mail a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to each of our stockholders entitled to notice of and to vote at the Annual Meeting. The Notice contains instructions for accessing this Proxy Statement, our Annual Report on Form 10-K for our fiscal year ended March 31, 2020 (</w:t>
      </w:r>
      <w:r>
        <w:rPr>
          <w:rFonts w:ascii="Arial" w:cs="Arial" w:eastAsia="Arial" w:hAnsi="Arial"/>
          <w:sz w:val="18"/>
          <w:szCs w:val="18"/>
          <w:i w:val="1"/>
          <w:iCs w:val="1"/>
          <w:color w:val="auto"/>
        </w:rPr>
        <w:t>Annual Report</w:t>
      </w:r>
      <w:r>
        <w:rPr>
          <w:rFonts w:ascii="Arial" w:cs="Arial" w:eastAsia="Arial" w:hAnsi="Arial"/>
          <w:sz w:val="18"/>
          <w:szCs w:val="18"/>
          <w:color w:val="auto"/>
        </w:rPr>
        <w:t xml:space="preserve">) and Annual Meeting voting instructions. The Notice also includes instructions on how you can receive a paper copy of your proxy materials. </w:t>
      </w:r>
      <w:r>
        <w:rPr>
          <w:rFonts w:ascii="Arial" w:cs="Arial" w:eastAsia="Arial" w:hAnsi="Arial"/>
          <w:sz w:val="18"/>
          <w:szCs w:val="18"/>
          <w:b w:val="1"/>
          <w:bCs w:val="1"/>
          <w:color w:val="auto"/>
        </w:rPr>
        <w:t>This Proxy Statement and the Annual Report are available on the</w:t>
      </w:r>
      <w:r>
        <w:rPr>
          <w:rFonts w:ascii="Arial" w:cs="Arial" w:eastAsia="Arial" w:hAnsi="Arial"/>
          <w:sz w:val="18"/>
          <w:szCs w:val="18"/>
          <w:color w:val="auto"/>
        </w:rPr>
        <w:t xml:space="preserve"> </w:t>
      </w:r>
      <w:r>
        <w:rPr>
          <w:rFonts w:ascii="Arial" w:cs="Arial" w:eastAsia="Arial" w:hAnsi="Arial"/>
          <w:sz w:val="18"/>
          <w:szCs w:val="18"/>
          <w:b w:val="1"/>
          <w:bCs w:val="1"/>
          <w:color w:val="auto"/>
        </w:rPr>
        <w:t>Internet at: http://www.edocumentview.com/VTGN.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Shares Outstanding</w:t>
      </w:r>
    </w:p>
    <w:p>
      <w:pPr>
        <w:spacing w:after="0" w:line="231" w:lineRule="exact"/>
        <w:rPr>
          <w:sz w:val="20"/>
          <w:szCs w:val="20"/>
          <w:color w:val="auto"/>
        </w:rPr>
      </w:pPr>
    </w:p>
    <w:p>
      <w:pPr>
        <w:jc w:val="both"/>
        <w:ind w:firstLine="709"/>
        <w:spacing w:after="0" w:line="256" w:lineRule="auto"/>
        <w:rPr>
          <w:sz w:val="20"/>
          <w:szCs w:val="20"/>
          <w:color w:val="auto"/>
        </w:rPr>
      </w:pPr>
      <w:r>
        <w:rPr>
          <w:rFonts w:ascii="Arial" w:cs="Arial" w:eastAsia="Arial" w:hAnsi="Arial"/>
          <w:sz w:val="18"/>
          <w:szCs w:val="18"/>
          <w:color w:val="auto"/>
        </w:rPr>
        <w:t xml:space="preserve">The specific proposals to be considered and acted upon at the Annual Meeting are each described in this Proxy Statement. Only holders of our common stock as of the close of business on July 24, 2020 (the </w:t>
      </w:r>
      <w:r>
        <w:rPr>
          <w:rFonts w:ascii="Arial" w:cs="Arial" w:eastAsia="Arial" w:hAnsi="Arial"/>
          <w:sz w:val="18"/>
          <w:szCs w:val="18"/>
          <w:i w:val="1"/>
          <w:iCs w:val="1"/>
          <w:color w:val="auto"/>
        </w:rPr>
        <w:t>Record Date</w:t>
      </w:r>
      <w:r>
        <w:rPr>
          <w:rFonts w:ascii="Arial" w:cs="Arial" w:eastAsia="Arial" w:hAnsi="Arial"/>
          <w:sz w:val="18"/>
          <w:szCs w:val="18"/>
          <w:color w:val="auto"/>
        </w:rPr>
        <w:t>) are entitled to notice of and to vote at the Annual Meeting. On the Record Date, there were 56,029,807 shares of our common stock issued and outstanding. Each holder of common stock is entitled to one vote for each share held as of the Record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ectPr>
          <w:pgSz w:w="11900" w:h="16838" w:orient="portrait"/>
          <w:cols w:equalWidth="0" w:num="1">
            <w:col w:w="11240"/>
          </w:cols>
          <w:pgMar w:left="320" w:top="1440" w:right="339" w:bottom="146" w:gutter="0" w:footer="0" w:header="0"/>
        </w:sectPr>
      </w:pPr>
    </w:p>
    <w:bookmarkStart w:id="7" w:name="page8"/>
    <w:bookmarkEnd w:id="7"/>
    <w:p>
      <w:pPr>
        <w:jc w:val="both"/>
        <w:ind w:firstLine="486"/>
        <w:spacing w:after="0" w:line="298" w:lineRule="auto"/>
        <w:rPr>
          <w:sz w:val="20"/>
          <w:szCs w:val="20"/>
          <w:color w:val="auto"/>
        </w:rPr>
      </w:pPr>
      <w:r>
        <w:rPr>
          <w:rFonts w:ascii="Arial" w:cs="Arial" w:eastAsia="Arial" w:hAnsi="Arial"/>
          <w:sz w:val="16"/>
          <w:szCs w:val="16"/>
          <w:color w:val="auto"/>
        </w:rPr>
        <w:t>In order for any business to be conducted at the Annual Meeting, the holders of more than 50% of the shares entitled to vote must be represented at the Annual Meeting, either in person or by properly executed proxy. If a quorum is not present at the scheduled time of the Annual Meeting, the stockholders who are present may adjourn the Annual Meeting until a quorum is present. The time and place of the adjourned Annual Meeting will be announced at the time the adjournment is taken, and no other notice will be given. An adjournment will have no effect on the business that may be conducted at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 list of registered stockholders as of the close of business on the Record Date will be open for examination by any stockholder for a period of ten days prior to the Annual Meeting for a purpose pertaining to the Meeting by sending an email to </w:t>
      </w:r>
      <w:r>
        <w:rPr>
          <w:rFonts w:ascii="Arial" w:cs="Arial" w:eastAsia="Arial" w:hAnsi="Arial"/>
          <w:sz w:val="18"/>
          <w:szCs w:val="18"/>
          <w:u w:val="single" w:color="auto"/>
          <w:color w:val="0563C1"/>
        </w:rPr>
        <w:t>Corp.Secretary@vistagen.com</w:t>
      </w:r>
      <w:r>
        <w:rPr>
          <w:rFonts w:ascii="Arial" w:cs="Arial" w:eastAsia="Arial" w:hAnsi="Arial"/>
          <w:sz w:val="18"/>
          <w:szCs w:val="18"/>
          <w:color w:val="auto"/>
        </w:rPr>
        <w:t xml:space="preserve">, stating the purpose of the request and providing proof of ownership of our common stock. This list will also be available for examination to stockholders of record during the virtual Annual Meeting webcast at </w:t>
      </w:r>
      <w:r>
        <w:rPr>
          <w:rFonts w:ascii="Arial" w:cs="Arial" w:eastAsia="Arial" w:hAnsi="Arial"/>
          <w:sz w:val="18"/>
          <w:szCs w:val="18"/>
          <w:u w:val="single" w:color="auto"/>
          <w:color w:val="0563C1"/>
        </w:rPr>
        <w:t>http://www.meetingcenter.io/280599481</w:t>
      </w:r>
      <w:r>
        <w:rPr>
          <w:rFonts w:ascii="Arial" w:cs="Arial" w:eastAsia="Arial" w:hAnsi="Arial"/>
          <w:sz w:val="18"/>
          <w:szCs w:val="18"/>
          <w:color w:val="auto"/>
        </w:rPr>
        <w: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Attendance at Virtual Annual Meeting</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We will host the Annual Meeting live online, via Internet webcast. You may attend the Annual Meeting virtually by visiting </w:t>
      </w:r>
      <w:r>
        <w:rPr>
          <w:rFonts w:ascii="Arial" w:cs="Arial" w:eastAsia="Arial" w:hAnsi="Arial"/>
          <w:sz w:val="18"/>
          <w:szCs w:val="18"/>
          <w:u w:val="single" w:color="auto"/>
          <w:color w:val="4A2CE2"/>
        </w:rPr>
        <w:t>http://www.meetingcenter.io/280599481</w:t>
      </w:r>
      <w:r>
        <w:rPr>
          <w:rFonts w:ascii="Arial" w:cs="Arial" w:eastAsia="Arial" w:hAnsi="Arial"/>
          <w:sz w:val="18"/>
          <w:szCs w:val="18"/>
          <w:color w:val="000000"/>
        </w:rPr>
        <w:t>. The webcast will start at 10:00 a.m., Pacific Time, on Thursday, September 17, 2020.</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To access the virtual Meeting please go to </w:t>
      </w:r>
      <w:r>
        <w:rPr>
          <w:rFonts w:ascii="Arial" w:cs="Arial" w:eastAsia="Arial" w:hAnsi="Arial"/>
          <w:sz w:val="16"/>
          <w:szCs w:val="16"/>
          <w:u w:val="single" w:color="auto"/>
          <w:color w:val="0070C0"/>
        </w:rPr>
        <w:t>http://www.meetingcenter.io/280599481</w:t>
      </w:r>
      <w:r>
        <w:rPr>
          <w:rFonts w:ascii="Arial" w:cs="Arial" w:eastAsia="Arial" w:hAnsi="Arial"/>
          <w:sz w:val="16"/>
          <w:szCs w:val="16"/>
          <w:color w:val="auto"/>
        </w:rPr>
        <w:t xml:space="preserve">. You have the option to log in to the virtual Meeting as a “Stockholder” with a control number” or as a “Guest.” If you are a stockholder of record (i.e., if you hold your shares through Computershare, our registrar and transfer agent) (a </w:t>
      </w:r>
      <w:r>
        <w:rPr>
          <w:rFonts w:ascii="Arial" w:cs="Arial" w:eastAsia="Arial" w:hAnsi="Arial"/>
          <w:sz w:val="16"/>
          <w:szCs w:val="16"/>
          <w:i w:val="1"/>
          <w:iCs w:val="1"/>
          <w:color w:val="auto"/>
        </w:rPr>
        <w:t>Stockholder</w:t>
      </w:r>
      <w:r>
        <w:rPr>
          <w:rFonts w:ascii="Arial" w:cs="Arial" w:eastAsia="Arial" w:hAnsi="Arial"/>
          <w:sz w:val="16"/>
          <w:szCs w:val="16"/>
          <w:color w:val="auto"/>
        </w:rPr>
        <w:t>), you may log in as a Stockholder using the control number which can be found on your Notice and proxy card, and Annual Meeting password. The password for the meeting is VTGN2020. If you are not a stockholder of record (i.e., if you do not hold your shares through Computershare), but hold shares through an intermediary, such as a bank or broker, trustee or nominee (sometimes referred to as holding in “street name”), you may attend the Meeting as “Guest” by entering your name and email address. As a Guest, you will have access to the Meeting materials and will be able to ask questions during the Meeting, but you will not be able to vote during the Annual Meeting.</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If you hold your shares through an intermediary, such as a bank or broker, and you desire to vote during the Annual Meeting, you must register in advance to attend the Annual Meeting as a Stockholder. To register to attend the virtual Annual Meeting as a Stockholder, you must provide proof of beneficial ownership as of the Record Date, such as an account statement, legal proxy from your broker, or similar evidence of ownership along with your name and email address to Computershare. Requests for Annual Meeting registration of beneficial owners must be labeled as “Legal Proxy” and be received no later than 5:00 p.m., Eastern Time, on September 11, 2020. You will receive a confirmation of your Annual Meeting registration by email after Computershare receives your registration materials. Requests for registration should be directed by email to </w:t>
      </w:r>
      <w:r>
        <w:rPr>
          <w:rFonts w:ascii="Arial" w:cs="Arial" w:eastAsia="Arial" w:hAnsi="Arial"/>
          <w:sz w:val="16"/>
          <w:szCs w:val="16"/>
          <w:u w:val="single" w:color="auto"/>
          <w:color w:val="4A2CE2"/>
        </w:rPr>
        <w:t>legalproxy@computershare.com</w:t>
      </w:r>
      <w:r>
        <w:rPr>
          <w:rFonts w:ascii="Arial" w:cs="Arial" w:eastAsia="Arial" w:hAnsi="Arial"/>
          <w:sz w:val="16"/>
          <w:szCs w:val="16"/>
          <w:color w:val="auto"/>
        </w:rPr>
        <w:t xml:space="preserve"> or by mail to Computershare, VistaGen Therapeutics, Inc. Legal Proxy, P.O. Box 43001, Providence, RI 02940-3001. You will receive a confirmation email from Computershare of your Annual Meeting registration and will receive a control number to enter the Meeting as a Stockholder.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Whether you attend the virtual Annual Meeting as a Stockholder or as a Guest, please allow yourself ample time for the online check-in procedures.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at the Annual Meeting</w:t>
      </w:r>
    </w:p>
    <w:p>
      <w:pPr>
        <w:spacing w:after="0" w:line="231"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color w:val="auto"/>
        </w:rPr>
        <w:t xml:space="preserve">If you wish to submit a question during the virtual Annual Meeting, you may log in online, and ask a question on our virtual Annual Meeting platform at </w:t>
      </w:r>
      <w:r>
        <w:rPr>
          <w:rFonts w:ascii="Arial" w:cs="Arial" w:eastAsia="Arial" w:hAnsi="Arial"/>
          <w:sz w:val="16"/>
          <w:szCs w:val="16"/>
          <w:u w:val="single" w:color="auto"/>
          <w:color w:val="4A2CE2"/>
        </w:rPr>
        <w:t>http://www.meetingcenter.io/280599481</w:t>
      </w:r>
      <w:r>
        <w:rPr>
          <w:rFonts w:ascii="Arial" w:cs="Arial" w:eastAsia="Arial" w:hAnsi="Arial"/>
          <w:sz w:val="16"/>
          <w:szCs w:val="16"/>
          <w:color w:val="auto"/>
        </w:rPr>
        <w:t>. Our virtual Annual Meeting will be governed by our Rules of Conduct which will be available on the virtual Meeting platform during the Annual Meeting. The Rules of Conduct will address the ability of stockholders to ask questions during the Meeting, including rules on permissible topics, and rules for how questions and comments will be recognized and disclosed to Meeting participants.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(4) ways a stockholder of record can vote:</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By Internet</w:t>
      </w:r>
      <w:r>
        <w:rPr>
          <w:rFonts w:ascii="Arial" w:cs="Arial" w:eastAsia="Arial" w:hAnsi="Arial"/>
          <w:sz w:val="16"/>
          <w:szCs w:val="16"/>
          <w:color w:val="auto"/>
        </w:rPr>
        <w:t>:  If you are a stockholder as of the Record Date, you may vote over the Internet by following the instructions provided in the Notice.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By Telephone</w:t>
      </w:r>
      <w:r>
        <w:rPr>
          <w:rFonts w:ascii="Arial" w:cs="Arial" w:eastAsia="Arial" w:hAnsi="Arial"/>
          <w:sz w:val="18"/>
          <w:szCs w:val="18"/>
          <w:color w:val="auto"/>
        </w:rPr>
        <w:t>:  If you are a stockholder as of the Record Date, you may vote by telephone by following the instructions in the Notice.</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By Mail</w:t>
      </w:r>
      <w:r>
        <w:rPr>
          <w:rFonts w:ascii="Arial" w:cs="Arial" w:eastAsia="Arial" w:hAnsi="Arial"/>
          <w:sz w:val="18"/>
          <w:szCs w:val="18"/>
          <w:color w:val="auto"/>
        </w:rPr>
        <w:t>: If you requested printed copies of proxy materials and are a stockholder as of the Record Date, you may vote by mailing your proxy as described in the proxy materials.</w:t>
      </w:r>
    </w:p>
    <w:p>
      <w:pPr>
        <w:spacing w:after="0" w:line="185" w:lineRule="exact"/>
        <w:rPr>
          <w:rFonts w:ascii="Arial" w:cs="Arial" w:eastAsia="Arial" w:hAnsi="Arial"/>
          <w:sz w:val="18"/>
          <w:szCs w:val="18"/>
          <w:color w:val="auto"/>
        </w:rPr>
      </w:pPr>
    </w:p>
    <w:p>
      <w:pPr>
        <w:jc w:val="both"/>
        <w:ind w:left="660" w:hanging="328"/>
        <w:spacing w:after="0" w:line="29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During the Annual Meeting</w:t>
      </w:r>
      <w:r>
        <w:rPr>
          <w:rFonts w:ascii="Arial" w:cs="Arial" w:eastAsia="Arial" w:hAnsi="Arial"/>
          <w:sz w:val="16"/>
          <w:szCs w:val="16"/>
          <w:color w:val="auto"/>
        </w:rPr>
        <w:t xml:space="preserve">: The Annual Meeting will be held exclusively via the Internet, and can only be accessed at </w:t>
      </w:r>
      <w:r>
        <w:rPr>
          <w:rFonts w:ascii="Arial" w:cs="Arial" w:eastAsia="Arial" w:hAnsi="Arial"/>
          <w:sz w:val="16"/>
          <w:szCs w:val="16"/>
          <w:u w:val="single" w:color="auto"/>
          <w:color w:val="4A2CE2"/>
        </w:rPr>
        <w:t>http://www.meetingcenter.io/280599481</w:t>
      </w:r>
      <w:r>
        <w:rPr>
          <w:rFonts w:ascii="Arial" w:cs="Arial" w:eastAsia="Arial" w:hAnsi="Arial"/>
          <w:sz w:val="16"/>
          <w:szCs w:val="16"/>
          <w:color w:val="000000"/>
        </w:rPr>
        <w:t>. Subject to the provisions applicable to other than holders of record as outlined above in the section entitled</w:t>
      </w:r>
      <w:r>
        <w:rPr>
          <w:rFonts w:ascii="Arial" w:cs="Arial" w:eastAsia="Arial" w:hAnsi="Arial"/>
          <w:sz w:val="16"/>
          <w:szCs w:val="16"/>
          <w:color w:val="4A2CE2"/>
        </w:rPr>
        <w:t xml:space="preserve"> </w:t>
      </w:r>
      <w:r>
        <w:rPr>
          <w:rFonts w:ascii="Arial" w:cs="Arial" w:eastAsia="Arial" w:hAnsi="Arial"/>
          <w:sz w:val="16"/>
          <w:szCs w:val="16"/>
          <w:color w:val="000000"/>
        </w:rPr>
        <w:t>“Attendance at Virtual Annual Meeting,” if you are a stockholder as of the Record Date, you will have the ability to attend the virtual Meeting and vote online during the Meeting. Submitting a proxy will not prevent a stockholder from attending the Annual Meeting virtually, revoking an earlier-submitted proxy in accordance with the process outlined below and voting online during the virtual Meeting.</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order to be counted, proxies submitted by </w:t>
      </w:r>
      <w:r>
        <w:rPr>
          <w:rFonts w:ascii="Arial" w:cs="Arial" w:eastAsia="Arial" w:hAnsi="Arial"/>
          <w:sz w:val="18"/>
          <w:szCs w:val="18"/>
          <w:u w:val="single" w:color="auto"/>
          <w:color w:val="auto"/>
        </w:rPr>
        <w:t>telephone</w:t>
      </w:r>
      <w:r>
        <w:rPr>
          <w:rFonts w:ascii="Arial" w:cs="Arial" w:eastAsia="Arial" w:hAnsi="Arial"/>
          <w:sz w:val="18"/>
          <w:szCs w:val="18"/>
          <w:color w:val="auto"/>
        </w:rPr>
        <w:t xml:space="preserve"> or via the </w:t>
      </w:r>
      <w:r>
        <w:rPr>
          <w:rFonts w:ascii="Arial" w:cs="Arial" w:eastAsia="Arial" w:hAnsi="Arial"/>
          <w:sz w:val="18"/>
          <w:szCs w:val="18"/>
          <w:u w:val="single" w:color="auto"/>
          <w:color w:val="auto"/>
        </w:rPr>
        <w:t>Internet</w:t>
      </w:r>
      <w:r>
        <w:rPr>
          <w:rFonts w:ascii="Arial" w:cs="Arial" w:eastAsia="Arial" w:hAnsi="Arial"/>
          <w:sz w:val="18"/>
          <w:szCs w:val="18"/>
          <w:color w:val="auto"/>
        </w:rPr>
        <w:t xml:space="preserve"> must be received by 11:59 p.m., Eastern Time, on September 16, 2020. Proxies submitted by </w:t>
      </w:r>
      <w:r>
        <w:rPr>
          <w:rFonts w:ascii="Arial" w:cs="Arial" w:eastAsia="Arial" w:hAnsi="Arial"/>
          <w:sz w:val="18"/>
          <w:szCs w:val="18"/>
          <w:u w:val="single" w:color="auto"/>
          <w:color w:val="auto"/>
        </w:rPr>
        <w:t>U.S. mail</w:t>
      </w:r>
      <w:r>
        <w:rPr>
          <w:rFonts w:ascii="Arial" w:cs="Arial" w:eastAsia="Arial" w:hAnsi="Arial"/>
          <w:sz w:val="18"/>
          <w:szCs w:val="18"/>
          <w:color w:val="auto"/>
        </w:rPr>
        <w:t xml:space="preserve"> must be received before the start of the virtual Annual Meeting. If you hold your shares through a bank or broker, please follow their voting instructions.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Required Vote for Approval</w:t>
      </w:r>
    </w:p>
    <w:p>
      <w:pPr>
        <w:spacing w:after="0" w:line="231"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six nominees who receive the greatest number of votes cast at the Annual Meeting by the shares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person or by proxy, and entitled to vote will be elected to serve on our Board of Directors until our 2021 Annual Meeting of Stockholders, or until her or his successor is duly elected and qualified.</w:t>
      </w:r>
    </w:p>
    <w:p>
      <w:pPr>
        <w:spacing w:after="0" w:line="19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Proposal No. 2: Ratification of Appointment of our Independent Registered Public Accounting Firm. </w:t>
      </w:r>
      <w:r>
        <w:rPr>
          <w:rFonts w:ascii="Arial" w:cs="Arial" w:eastAsia="Arial" w:hAnsi="Arial"/>
          <w:sz w:val="18"/>
          <w:szCs w:val="18"/>
          <w:color w:val="auto"/>
        </w:rPr>
        <w:t>The affirmative “FOR”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Annual Meeting and entitled to vote is required for the ratification of the selection of OUM &amp; Co. LLP as our independent registered public accounting firm for our current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votes will be tabulated by the inspector of election appointed for the Annual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brokerage firm or other nominee, your broker, brokerage firm or nominee may not be permitted to exercise voting discretion with respect to some of the matters to be acted upon. If you do not give your broker, brokerage firm or nominee specific instructions regarding such matters, your proxy will be deemed a “broker non-vote.”</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noted above, the six director nominees identified under Proposal No. 1 who receive the most votes at the Annual Meeting will be elected to serve on our Board of Directors until our 2021 Annual Meeting of Stockholders, or until her or his successor is duly elected and qualified, thus abstentions and broker non-votes will have no effect on the outcome of Proposal No. 1.</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Nevada law and our Amended and Restated Bylaws, each other matter will be determined by the vote of the holders of a majority of the voting power present or represented by proxy at the Annual Meeting. For this matter, abstentions and any broker non-votes cast will not be counted as votes in favor of such proposal, and will also not be counted as shares voting on such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six nominees receiving the highest number of affirmative votes will be elected to serve on our Board of Directors until our 2021 Annual Meeting of Stockholders, or until her or his successor is duly elected and qualified. Unless otherwise instructed or unless authority to vote is withheld, shares represented by executed proxies will be voted “FOR” the election of the nominees.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You may revoke or change your proxy at any time before the Annual Meeting by filing, with our Corporate Secretary at our principal executive offices, located at 343 Allerton Avenue, South San Francisco, California 94080, a notice of revocation or another signed proxy with a later date. You may also revoke your proxy by virtually attending the Annual Meeting and voting in person. Your attendance at the virtual Annual Meeting will not, by itself, revoke your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the Notice, as well as the preparation and posting on the Internet of this Proxy Statement and any additional solicitation materials furnished to the stockholders. Copies of any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services. Except as described above, we do not presently intend to solicit proxies other than by the Internet, telephone, email and postal mail.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Bylaws provide that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shall consist of not less than one, nor more than seven directors, and that upon any change in the number of directors, any newly created directorships or eliminated directorships shall be apportioned by the remaining members of the Board or by stockholders. Our Board currently consists of six directors, and these six directors are nominated for election at the Annual Meeting to serve until our next annual meeting of stockholders, or until her or his successor is duly elected and qualified. Each nominee has confirmed that he or she is able and willing to continue serving as a director if elected. If any of the nominees becomes unable or unwilling to serve, your proxy will be voted for the election of a substitute nominee recommended by the current Board.</w:t>
      </w:r>
    </w:p>
    <w:p>
      <w:pPr>
        <w:spacing w:after="0" w:line="198" w:lineRule="exact"/>
        <w:rPr>
          <w:sz w:val="20"/>
          <w:szCs w:val="20"/>
          <w:color w:val="auto"/>
        </w:rPr>
      </w:pPr>
    </w:p>
    <w:p>
      <w:pPr>
        <w:jc w:val="both"/>
        <w:ind w:left="180" w:right="60" w:firstLine="648"/>
        <w:spacing w:after="0" w:line="259" w:lineRule="auto"/>
        <w:rPr>
          <w:sz w:val="20"/>
          <w:szCs w:val="20"/>
          <w:color w:val="auto"/>
        </w:rPr>
      </w:pPr>
      <w:r>
        <w:rPr>
          <w:rFonts w:ascii="Arial" w:cs="Arial" w:eastAsia="Arial" w:hAnsi="Arial"/>
          <w:sz w:val="18"/>
          <w:szCs w:val="18"/>
          <w:color w:val="auto"/>
        </w:rPr>
        <w:t>Upon recommendation of the members of its Corporate Governance and Nominating Committee, the Board has nominated for election as directors at our Annual Meeting Mr. Jon S. Saxe, Ms. Ann M. Cunningham, Dr. Jerry B. Gin, Mr. Shawn K. Singh, Dr. H. Ralph Snodgrass and Dr. Brian J. Underdown.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six nominees receiving the highest number of affirmative votes will be elected to serve on our Board of Directors until our 2021 Annual Meeting of Stockholders, or until her or his successor is duly elected and qualified. Unless otherwise instructed or unless authority to vote is withheld, shares represented by executed proxies will be voted “FOR” the election of the nominees.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recommends that the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the election of Mr. Jon S. Saxe, Ms. Ann M. Cunningham, Dr. Jerry B. Gin, Mr.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K. Singh, Dr. H. Ralph Snodgrass and Dr. Brian J. Underdown.</w:t>
      </w:r>
    </w:p>
    <w:p>
      <w:pPr>
        <w:spacing w:after="0" w:line="21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following sections sets forth certain information regarding the nominees for election as directors of the Company. There are no family relationships between any of the directors and the Company’s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82"/>
              </w:rPr>
              <w:t>Age</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(1)</w:t>
            </w:r>
          </w:p>
        </w:tc>
        <w:tc>
          <w:tcPr>
            <w:tcW w:w="10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79"/>
              </w:rPr>
              <w:t>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380" w:type="dxa"/>
            <w:vAlign w:val="bottom"/>
          </w:tcPr>
          <w:p>
            <w:pPr>
              <w:spacing w:after="0" w:line="216" w:lineRule="exact"/>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(2)</w:t>
            </w:r>
          </w:p>
        </w:tc>
        <w:tc>
          <w:tcPr>
            <w:tcW w:w="1060" w:type="dxa"/>
            <w:vAlign w:val="bottom"/>
            <w:gridSpan w:val="2"/>
          </w:tcPr>
          <w:p>
            <w:pPr>
              <w:jc w:val="center"/>
              <w:ind w:left="332"/>
              <w:spacing w:after="0"/>
              <w:rPr>
                <w:sz w:val="20"/>
                <w:szCs w:val="20"/>
                <w:color w:val="auto"/>
              </w:rPr>
            </w:pPr>
            <w:r>
              <w:rPr>
                <w:rFonts w:ascii="Arial" w:cs="Arial" w:eastAsia="Arial" w:hAnsi="Arial"/>
                <w:sz w:val="18"/>
                <w:szCs w:val="18"/>
                <w:color w:val="auto"/>
                <w:w w:val="79"/>
              </w:rPr>
              <w:t>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10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79"/>
              </w:rPr>
              <w:t>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Shawn K. Singh, J.D.</w:t>
            </w:r>
          </w:p>
        </w:tc>
        <w:tc>
          <w:tcPr>
            <w:tcW w:w="1060" w:type="dxa"/>
            <w:vAlign w:val="bottom"/>
            <w:gridSpan w:val="2"/>
          </w:tcPr>
          <w:p>
            <w:pPr>
              <w:jc w:val="center"/>
              <w:ind w:left="332"/>
              <w:spacing w:after="0"/>
              <w:rPr>
                <w:sz w:val="20"/>
                <w:szCs w:val="20"/>
                <w:color w:val="auto"/>
              </w:rPr>
            </w:pPr>
            <w:r>
              <w:rPr>
                <w:rFonts w:ascii="Arial" w:cs="Arial" w:eastAsia="Arial" w:hAnsi="Arial"/>
                <w:sz w:val="18"/>
                <w:szCs w:val="18"/>
                <w:color w:val="auto"/>
                <w:w w:val="79"/>
              </w:rPr>
              <w:t>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0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79"/>
              </w:rPr>
              <w:t>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Scientific Officer and Director</w:t>
            </w:r>
          </w:p>
        </w:tc>
      </w:tr>
      <w:tr>
        <w:trPr>
          <w:trHeight w:val="320"/>
        </w:trPr>
        <w:tc>
          <w:tcPr>
            <w:tcW w:w="3380" w:type="dxa"/>
            <w:vAlign w:val="bottom"/>
          </w:tcPr>
          <w:p>
            <w:pPr>
              <w:spacing w:after="0"/>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1060" w:type="dxa"/>
            <w:vAlign w:val="bottom"/>
            <w:gridSpan w:val="2"/>
          </w:tcPr>
          <w:p>
            <w:pPr>
              <w:jc w:val="center"/>
              <w:ind w:left="332"/>
              <w:spacing w:after="0"/>
              <w:rPr>
                <w:sz w:val="20"/>
                <w:szCs w:val="20"/>
                <w:color w:val="auto"/>
              </w:rPr>
            </w:pPr>
            <w:r>
              <w:rPr>
                <w:rFonts w:ascii="Arial" w:cs="Arial" w:eastAsia="Arial" w:hAnsi="Arial"/>
                <w:sz w:val="18"/>
                <w:szCs w:val="18"/>
                <w:color w:val="auto"/>
                <w:w w:val="79"/>
              </w:rPr>
              <w:t>79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04" w:lineRule="exact"/>
        <w:rPr>
          <w:sz w:val="20"/>
          <w:szCs w:val="20"/>
          <w:color w:val="auto"/>
        </w:rPr>
      </w:pPr>
    </w:p>
    <w:p>
      <w:pPr>
        <w:ind w:left="680" w:hanging="672"/>
        <w:spacing w:after="0" w:line="25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Chairman of the Board; Chairman of the Audit Committee and member of the Compensation Committee and Corporate Governance and Nominating Committee.</w:t>
      </w: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the Corporate Governance and Nominating Committee.</w:t>
      </w:r>
    </w:p>
    <w:p>
      <w:pPr>
        <w:spacing w:after="0" w:line="9" w:lineRule="exact"/>
        <w:rPr>
          <w:rFonts w:ascii="Arial" w:cs="Arial" w:eastAsia="Arial" w:hAnsi="Arial"/>
          <w:sz w:val="18"/>
          <w:szCs w:val="18"/>
          <w:color w:val="auto"/>
        </w:rPr>
      </w:pPr>
    </w:p>
    <w:p>
      <w:pPr>
        <w:ind w:left="680" w:hanging="672"/>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Chairman of the Corporate Governance and Nominating Committee and member of the Audit Committee and Compensation Committee.</w:t>
      </w:r>
    </w:p>
    <w:p>
      <w:pPr>
        <w:spacing w:after="0" w:line="32" w:lineRule="exact"/>
        <w:rPr>
          <w:rFonts w:ascii="Arial" w:cs="Arial" w:eastAsia="Arial" w:hAnsi="Arial"/>
          <w:sz w:val="16"/>
          <w:szCs w:val="16"/>
          <w:color w:val="auto"/>
        </w:rPr>
      </w:pPr>
    </w:p>
    <w:p>
      <w:pPr>
        <w:ind w:left="680" w:hanging="672"/>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Chairman of the Compensation Committee and member of the Audit Committee and Corporate Governance and Nominating Committee.</w:t>
      </w:r>
    </w:p>
    <w:p>
      <w:pPr>
        <w:spacing w:after="0" w:line="200" w:lineRule="exact"/>
        <w:rPr>
          <w:rFonts w:ascii="Arial" w:cs="Arial" w:eastAsia="Arial" w:hAnsi="Arial"/>
          <w:sz w:val="16"/>
          <w:szCs w:val="16"/>
          <w:color w:val="auto"/>
        </w:rPr>
      </w:pPr>
    </w:p>
    <w:p>
      <w:pPr>
        <w:spacing w:after="0" w:line="257" w:lineRule="exact"/>
        <w:rPr>
          <w:rFonts w:ascii="Arial" w:cs="Arial" w:eastAsia="Arial" w:hAnsi="Arial"/>
          <w:sz w:val="16"/>
          <w:szCs w:val="16"/>
          <w:color w:val="auto"/>
        </w:rPr>
      </w:pPr>
    </w:p>
    <w:p>
      <w:pPr>
        <w:ind w:left="5580" w:hanging="102"/>
        <w:spacing w:after="0"/>
        <w:tabs>
          <w:tab w:leader="none" w:pos="5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Achelios, Arbor Vita Corporation, Aether, Inc., Arcuo Medical, LLC, Cancer Prevention Pharmaceuticals,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was appointed to serve on our Board on January 10, 2019. Ms. Cunningham is the Founder and Managing Partner of i3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Partners, a consulting firm founded in 2018 that specializes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2" w:name="page13"/>
    <w:bookmarkEnd w:id="12"/>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Shawn K. Singh, J.D. </w:t>
      </w:r>
      <w:r>
        <w:rPr>
          <w:rFonts w:ascii="Arial" w:cs="Arial" w:eastAsia="Arial" w:hAnsi="Arial"/>
          <w:sz w:val="16"/>
          <w:szCs w:val="16"/>
          <w:color w:val="auto"/>
        </w:rPr>
        <w:t>has served as our Chief Executive Officer since August 2009, first as the Chief Executive Officer of VistaGen Therapeutics,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then as Chief Executive Officer of the Company after the Merger.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nearly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Greater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18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28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of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18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which allow him to bring to us and the Board of Directors a unique understanding of the challenges and opportunities associated with pluripotent stem cell biology, as well as credibility in the markets in which we operate.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3" w:name="page14"/>
    <w:bookmarkEnd w:id="13"/>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member of our Board after the completion of the Merger. Dr. Underdown retired as a Venture Partner with Lumira Capital Corp.in December 2016, after having served as a Managing Director with Lumira from September 1997 through December 2015. During his time at Lumira, Dr. Underdown’s investment focus was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8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the rules of the Nasdaq Stock Market rules, which policy became effective for our fiscal year beginning April 1, 2014. Under our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service on our Audit Committee and Compensation Committee, and $5,000 for service on our Corporate Governance and Nominating Committee. In lieu of the annual cash retainer for committee participation, each independent director serving as a chair of a Board committee shall receive an annual cash retainer of $15,000 for the Audit Committee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one-year period from the date of grant. Prorated grants are made for partial years of service.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2020.</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May 2019, we granted to each of our four independent directors options to purchase 50,000 shares of our common stock at an exercise price of $1.00 per share under the terms of our Amended and Restated 2016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xml:space="preserve">). In October 2019, following the approval by our stockholders of our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we granted to each of our four independent directors options to purchase 75,000 shares of our common stock at an exercise price of $1.41 per share under the terms of our 2019 Plan. Each grant awarded to our independent directors during the year ended March 31, 2020 expires ten years after the date of grant.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Fees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Option</w:t>
            </w:r>
          </w:p>
        </w:tc>
        <w:tc>
          <w:tcPr>
            <w:tcW w:w="260" w:type="dxa"/>
            <w:vAlign w:val="bottom"/>
          </w:tcPr>
          <w:p>
            <w:pPr>
              <w:spacing w:after="0"/>
              <w:rPr>
                <w:sz w:val="18"/>
                <w:szCs w:val="18"/>
                <w:color w:val="auto"/>
              </w:rPr>
            </w:pPr>
          </w:p>
        </w:tc>
        <w:tc>
          <w:tcPr>
            <w:tcW w:w="122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38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6"/>
              </w:rPr>
              <w:t>Paid in Cash</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8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restart"/>
          </w:tcPr>
          <w:p>
            <w:pPr>
              <w:jc w:val="center"/>
              <w:ind w:right="17"/>
              <w:spacing w:after="0" w:line="243" w:lineRule="exact"/>
              <w:rPr>
                <w:sz w:val="20"/>
                <w:szCs w:val="20"/>
                <w:color w:val="auto"/>
              </w:rPr>
            </w:pPr>
            <w:r>
              <w:rPr>
                <w:rFonts w:ascii="Arial" w:cs="Arial" w:eastAsia="Arial" w:hAnsi="Arial"/>
                <w:sz w:val="28"/>
                <w:szCs w:val="28"/>
                <w:b w:val="1"/>
                <w:bCs w:val="1"/>
                <w:color w:val="auto"/>
                <w:w w:val="92"/>
                <w:vertAlign w:val="subscript"/>
              </w:rPr>
              <w:t>Awards</w:t>
            </w:r>
            <w:r>
              <w:rPr>
                <w:rFonts w:ascii="Arial" w:cs="Arial" w:eastAsia="Arial" w:hAnsi="Arial"/>
                <w:sz w:val="11"/>
                <w:szCs w:val="11"/>
                <w:b w:val="1"/>
                <w:bCs w:val="1"/>
                <w:color w:val="auto"/>
                <w:w w:val="92"/>
              </w:rPr>
              <w:t xml:space="preserve"> (2)(7)</w:t>
            </w:r>
          </w:p>
        </w:tc>
        <w:tc>
          <w:tcPr>
            <w:tcW w:w="14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w w:val="95"/>
              </w:rPr>
              <w:t>Compensation</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3"/>
        </w:trPr>
        <w:tc>
          <w:tcPr>
            <w:tcW w:w="3800" w:type="dxa"/>
            <w:vAlign w:val="bottom"/>
          </w:tcPr>
          <w:p>
            <w:pPr>
              <w:spacing w:after="0"/>
              <w:rPr>
                <w:sz w:val="14"/>
                <w:szCs w:val="14"/>
                <w:color w:val="auto"/>
              </w:rPr>
            </w:pPr>
          </w:p>
        </w:tc>
        <w:tc>
          <w:tcPr>
            <w:tcW w:w="3260" w:type="dxa"/>
            <w:vAlign w:val="bottom"/>
            <w:gridSpan w:val="3"/>
          </w:tcPr>
          <w:p>
            <w:pPr>
              <w:jc w:val="center"/>
              <w:ind w:left="2116"/>
              <w:spacing w:after="0"/>
              <w:rPr>
                <w:sz w:val="20"/>
                <w:szCs w:val="20"/>
                <w:color w:val="auto"/>
              </w:rPr>
            </w:pPr>
            <w:r>
              <w:rPr>
                <w:rFonts w:ascii="Arial" w:cs="Arial" w:eastAsia="Arial" w:hAnsi="Arial"/>
                <w:sz w:val="12"/>
                <w:szCs w:val="12"/>
                <w:b w:val="1"/>
                <w:bCs w:val="1"/>
                <w:color w:val="auto"/>
                <w:w w:val="95"/>
              </w:rPr>
              <w:t>(1)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33"/>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Jon S. Saxe</w:t>
            </w:r>
            <w:r>
              <w:rPr>
                <w:rFonts w:ascii="Arial" w:cs="Arial" w:eastAsia="Arial" w:hAnsi="Arial"/>
                <w:sz w:val="24"/>
                <w:szCs w:val="24"/>
                <w:color w:val="auto"/>
                <w:vertAlign w:val="superscript"/>
              </w:rPr>
              <w:t>(3)</w:t>
            </w:r>
          </w:p>
        </w:tc>
        <w:tc>
          <w:tcPr>
            <w:tcW w:w="27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16"/>
        </w:trPr>
        <w:tc>
          <w:tcPr>
            <w:tcW w:w="3800" w:type="dxa"/>
            <w:vAlign w:val="bottom"/>
          </w:tcPr>
          <w:p>
            <w:pPr>
              <w:spacing w:after="0" w:line="216" w:lineRule="exact"/>
              <w:rPr>
                <w:sz w:val="20"/>
                <w:szCs w:val="20"/>
                <w:color w:val="auto"/>
              </w:rPr>
            </w:pPr>
            <w:r>
              <w:rPr>
                <w:rFonts w:ascii="Arial" w:cs="Arial" w:eastAsia="Arial" w:hAnsi="Arial"/>
                <w:sz w:val="18"/>
                <w:szCs w:val="18"/>
                <w:color w:val="auto"/>
              </w:rPr>
              <w:t>Brian J. Underdown, Ph.D.</w:t>
            </w:r>
            <w:r>
              <w:rPr>
                <w:rFonts w:ascii="Arial" w:cs="Arial" w:eastAsia="Arial" w:hAnsi="Arial"/>
                <w:sz w:val="24"/>
                <w:szCs w:val="24"/>
                <w:color w:val="auto"/>
                <w:vertAlign w:val="superscript"/>
              </w:rPr>
              <w:t>(4)</w:t>
            </w:r>
          </w:p>
        </w:tc>
        <w:tc>
          <w:tcPr>
            <w:tcW w:w="27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27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151,347</w:t>
            </w:r>
          </w:p>
        </w:tc>
        <w:tc>
          <w:tcPr>
            <w:tcW w:w="0" w:type="dxa"/>
            <w:vAlign w:val="bottom"/>
          </w:tcPr>
          <w:p>
            <w:pPr>
              <w:spacing w:after="0"/>
              <w:rPr>
                <w:sz w:val="1"/>
                <w:szCs w:val="1"/>
                <w:color w:val="auto"/>
              </w:rPr>
            </w:pPr>
          </w:p>
        </w:tc>
      </w:tr>
      <w:tr>
        <w:trPr>
          <w:trHeight w:val="320"/>
        </w:trPr>
        <w:tc>
          <w:tcPr>
            <w:tcW w:w="3800" w:type="dxa"/>
            <w:vAlign w:val="bottom"/>
          </w:tcPr>
          <w:p>
            <w:pPr>
              <w:spacing w:after="0"/>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(6)</w:t>
            </w:r>
          </w:p>
        </w:tc>
        <w:tc>
          <w:tcPr>
            <w:tcW w:w="27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131,347</w:t>
            </w:r>
          </w:p>
        </w:tc>
        <w:tc>
          <w:tcPr>
            <w:tcW w:w="0" w:type="dxa"/>
            <w:vAlign w:val="bottom"/>
          </w:tcPr>
          <w:p>
            <w:pPr>
              <w:spacing w:after="0"/>
              <w:rPr>
                <w:sz w:val="1"/>
                <w:szCs w:val="1"/>
                <w:color w:val="auto"/>
              </w:rPr>
            </w:pPr>
          </w:p>
        </w:tc>
      </w:tr>
      <w:tr>
        <w:trPr>
          <w:trHeight w:val="767"/>
        </w:trPr>
        <w:tc>
          <w:tcPr>
            <w:tcW w:w="3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- 7 -</w:t>
            </w: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9" w:right="339" w:bottom="1440" w:gutter="0" w:footer="0" w:header="0"/>
        </w:sectPr>
      </w:pPr>
    </w:p>
    <w:bookmarkStart w:id="14" w:name="page15"/>
    <w:bookmarkEnd w:id="14"/>
    <w:p>
      <w:pPr>
        <w:ind w:left="540" w:right="60" w:hanging="532"/>
        <w:spacing w:after="0" w:line="331"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fiscal year ended March 31, 2020, which amounts were paid in full during the fiscal year then ended.</w:t>
      </w:r>
    </w:p>
    <w:p>
      <w:pPr>
        <w:spacing w:after="0" w:line="140" w:lineRule="exact"/>
        <w:rPr>
          <w:rFonts w:ascii="Arial" w:cs="Arial" w:eastAsia="Arial" w:hAnsi="Arial"/>
          <w:sz w:val="16"/>
          <w:szCs w:val="16"/>
          <w:color w:val="auto"/>
        </w:rPr>
      </w:pPr>
    </w:p>
    <w:p>
      <w:pPr>
        <w:jc w:val="both"/>
        <w:ind w:left="540" w:right="60" w:hanging="532"/>
        <w:spacing w:after="0" w:line="290"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Mr. Saxe, Dr. Underdown, Dr. Gin or Ms. Cunningham with respect to any of such stock options awarded to them during the fiscal year ended March 31, 2020 Rather, the amounts represent (i) the aggregate grant date fair value of options to purchase shares of our common stock awarded to Mr. Saxe, Dr. Underdown, Dr. Gin and Ms. Cunningham during our fiscal year ended March 31, 2020,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To date, Mr. Saxe, Dr. Underdown, Dr. Gin and Ms. Cunningham have not exercised any of the options granted during our fiscal year ended March 31, 2020, and there can be no assurance that any of them will ever realize any of the ASC 718 grant date fair value amounts presented in the “Option Awards” column.</w:t>
      </w:r>
    </w:p>
    <w:p>
      <w:pPr>
        <w:spacing w:after="0" w:line="171" w:lineRule="exact"/>
        <w:rPr>
          <w:rFonts w:ascii="Arial" w:cs="Arial" w:eastAsia="Arial" w:hAnsi="Arial"/>
          <w:sz w:val="16"/>
          <w:szCs w:val="16"/>
          <w:color w:val="auto"/>
        </w:rPr>
      </w:pPr>
    </w:p>
    <w:p>
      <w:pPr>
        <w:jc w:val="both"/>
        <w:ind w:left="540" w:right="60" w:hanging="532"/>
        <w:spacing w:after="0" w:line="29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Saxe has served as the Chairman of our Board, the Chairman of our Audit Committee and a member of our Compensation Committee and Corporate Governance and Nominating Committee throughout our fiscal year ended March 31, 2020. At March 31, 2020, Mr. Saxe held: (i) 23,251 shares of our common stock; (ii) options to purchase 437,500 registered shares of our common stock, of which options to purchase 351,631 shares were exercisable; and (iii) warrants to purchase 57,500 restricted shares of our common stock, all of which are exercisable.</w:t>
      </w:r>
    </w:p>
    <w:p>
      <w:pPr>
        <w:spacing w:after="0" w:line="166" w:lineRule="exact"/>
        <w:rPr>
          <w:rFonts w:ascii="Arial" w:cs="Arial" w:eastAsia="Arial" w:hAnsi="Arial"/>
          <w:sz w:val="16"/>
          <w:szCs w:val="16"/>
          <w:color w:val="auto"/>
        </w:rPr>
      </w:pPr>
    </w:p>
    <w:p>
      <w:pPr>
        <w:jc w:val="both"/>
        <w:ind w:left="540" w:right="60" w:hanging="532"/>
        <w:spacing w:after="0" w:line="29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Dr. Underdown has served as a member of our Board, as the Chairman of our Compensation Committee and as a member of our Audit Committee and Corporate Governance and Nominating Committee throughout the fiscal year ended March 31, 2020. At March 31, 2020, Dr. Underdown held: (i) options to purchase 437,500 registered shares of our common stock, of which options to purchase 351,631 shares were exercisable; and (ii) warrants to purchase 57,500 restricted shares of our common stock, all of which are exercisable.</w:t>
      </w:r>
    </w:p>
    <w:p>
      <w:pPr>
        <w:spacing w:after="0" w:line="166" w:lineRule="exact"/>
        <w:rPr>
          <w:rFonts w:ascii="Arial" w:cs="Arial" w:eastAsia="Arial" w:hAnsi="Arial"/>
          <w:sz w:val="16"/>
          <w:szCs w:val="16"/>
          <w:color w:val="auto"/>
        </w:rPr>
      </w:pPr>
    </w:p>
    <w:p>
      <w:pPr>
        <w:jc w:val="both"/>
        <w:ind w:left="540" w:right="60" w:hanging="532"/>
        <w:spacing w:after="0" w:line="29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Dr. Gin has served as a member of our Board, as the Chairman of our Corporate Governance and Nominating Committee and as a member of our Audit Committee and Compensation Committee throughout the fiscal year ended March 31, 2020. At March 31, 2020, Dr. Gin held: (i) 50,000 shares of our unregistered common stock, (ii) options to purchase 460,000 registered shares of our common stock of which 374,131 were exercisable; and (ii) warrants to purchase 50,000 restricted shares of our common stock, all of which are exercisable.</w:t>
      </w:r>
    </w:p>
    <w:p>
      <w:pPr>
        <w:spacing w:after="0" w:line="166" w:lineRule="exact"/>
        <w:rPr>
          <w:rFonts w:ascii="Arial" w:cs="Arial" w:eastAsia="Arial" w:hAnsi="Arial"/>
          <w:sz w:val="16"/>
          <w:szCs w:val="16"/>
          <w:color w:val="auto"/>
        </w:rPr>
      </w:pPr>
    </w:p>
    <w:p>
      <w:pPr>
        <w:jc w:val="both"/>
        <w:ind w:left="540" w:right="60" w:hanging="532"/>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Ms. Cunningham has served as a member of our Board and as a member of Corporate Governance and Nominating Committee since her appointment to both on January 10, 2019. At March 31, 2020, Ms. Cunningham held options to purchase 150,000 registered shares of our common stock, of which 78,386 were exercisable.</w:t>
      </w:r>
    </w:p>
    <w:p>
      <w:pPr>
        <w:spacing w:after="0" w:line="193" w:lineRule="exact"/>
        <w:rPr>
          <w:rFonts w:ascii="Arial" w:cs="Arial" w:eastAsia="Arial" w:hAnsi="Arial"/>
          <w:sz w:val="18"/>
          <w:szCs w:val="18"/>
          <w:color w:val="auto"/>
        </w:rPr>
      </w:pPr>
    </w:p>
    <w:p>
      <w:pPr>
        <w:ind w:left="540" w:right="80" w:hanging="532"/>
        <w:spacing w:after="0" w:line="331"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Dr. Gin and Ms. Cunningham during fiscal 2020 and the assumptions used in the Black Scholes Option Pricing Model to determine the grant date fair values of the respective awards.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Option</w:t>
            </w:r>
          </w:p>
        </w:tc>
        <w:tc>
          <w:tcPr>
            <w:tcW w:w="12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4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Grant</w:t>
            </w:r>
          </w:p>
        </w:tc>
        <w:tc>
          <w:tcPr>
            <w:tcW w:w="12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Grant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2"/>
        </w:trPr>
        <w:tc>
          <w:tcPr>
            <w:tcW w:w="4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5/23/2019</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8"/>
              </w:rPr>
              <w:t>10/21/2019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Mr. Saxe</w:t>
            </w:r>
          </w:p>
        </w:tc>
        <w:tc>
          <w:tcPr>
            <w:tcW w:w="2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101,347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Dr. Underdown</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101,347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Dr. Gin</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101,347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Ms. Cunningham</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101,347</w:t>
            </w:r>
          </w:p>
        </w:tc>
      </w:tr>
      <w:tr>
        <w:trPr>
          <w:trHeight w:val="27"/>
        </w:trPr>
        <w:tc>
          <w:tcPr>
            <w:tcW w:w="4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452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107,662</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297,725</w:t>
            </w:r>
          </w:p>
        </w:tc>
        <w:tc>
          <w:tcPr>
            <w:tcW w:w="2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405,388</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Exercise Price</w:t>
            </w:r>
          </w:p>
        </w:tc>
        <w:tc>
          <w:tcPr>
            <w:tcW w:w="2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2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Volatility</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85.85%</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87.53%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Fair value per share</w:t>
            </w:r>
          </w:p>
        </w:tc>
        <w:tc>
          <w:tcPr>
            <w:tcW w:w="2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Aggregate option shares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Saxe, Dr. Underdown, Dr. Gin and Ms. Cunningham were each granted an option to purchase 50,000 shares of our common stock on May 23, 2019. Each was also granted an option to purchase 75,000 shares of our common stock on October 21, 2019.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5" w:name="page16"/>
    <w:bookmarkEnd w:id="15"/>
    <w:p>
      <w:pPr>
        <w:jc w:val="both"/>
        <w:ind w:right="20" w:firstLine="648"/>
        <w:spacing w:after="0" w:line="256" w:lineRule="auto"/>
        <w:rPr>
          <w:sz w:val="20"/>
          <w:szCs w:val="20"/>
          <w:color w:val="auto"/>
        </w:rPr>
      </w:pPr>
      <w:r>
        <w:rPr>
          <w:rFonts w:ascii="Arial" w:cs="Arial" w:eastAsia="Arial" w:hAnsi="Arial"/>
          <w:sz w:val="18"/>
          <w:szCs w:val="18"/>
          <w:color w:val="auto"/>
        </w:rPr>
        <w:t>On April 23, 2020, when the closing price of our common stock, as reported on the Nasdaq Capital Market was $0.398 per share, the Compensation Committee of the Board granted options from our 2019 Omnibus Equity Incentive Plan to each of Mr. Saxe, Dr. Underdown, Dr. Gin and Ms. Cunningham to purchase 75,000 shares of our common stock at an exercise price of $0.398 per share. Such options were vested 25% upon grant with the remaining shares vesting ratably over two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Our Board met five times and acted by unanimous written consent five times during our fiscal year ended March 31, 2020. Our Audit Committee met four times. Our Compensation Committee met once, acted by unanimous written consent three times with respect to executive compensation matters and grants of equity securities, and requested action by the entire Board with respect to the adoption of our 2019 Omnibus Equity Incentive Plan and 2019 Employee Stock Purchase Plan and the modification of certain outstanding warrants. Our Corporate Governance and Nominating Committee requested action by the entire Board with respect to re-election of members of our Board and other resolutions presented to our stockholders at our September 2019 annual meeting of stockholders and Board committee assignments. With the exception of Dr. Snodgrass, who was unable to attend one Board meeting due to international travel, each director serving during our fiscal year ended March 31, 2020 attended all of the meetings of the Board and the committees of the Board upon which such director served that were held during the fiscal year.</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With the exception of Dr. Underdown and Ms. Cunningham, each of whom was unavailable, each of our directors attended our September 2019 Annual Meeting of Stockholders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86"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 (c) 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Ms. Cunningham, Dr. Gin and Dr. Underdown are each “independent” as that term is defined by the rules of the Nasdaq Stock Market. Our Board has also determined that Mr. Saxe, Dr. Underdown and Dr. Gin, who together comprise our Audit Committee and Compensation Committee, and, together with Ms. Cunningham comprise our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Since April 1, 2017, only our independent directors, Mr. Saxe, Dr. Gin and Dr. Underdown, and, since January 10, 2019, Ms. Cunningham, serve as members of these committees.</w:t>
      </w:r>
    </w:p>
    <w:p>
      <w:pPr>
        <w:spacing w:after="0" w:line="197"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color w:val="auto"/>
        </w:rPr>
        <w:t xml:space="preserve">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our Audit Committee is primarily responsible for, among other things, the following:</w:t>
      </w:r>
    </w:p>
    <w:p>
      <w:pPr>
        <w:spacing w:after="0" w:line="166" w:lineRule="exact"/>
        <w:rPr>
          <w:sz w:val="20"/>
          <w:szCs w:val="20"/>
          <w:color w:val="auto"/>
        </w:rPr>
      </w:pPr>
    </w:p>
    <w:p>
      <w:pPr>
        <w:ind w:left="560" w:hanging="16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560" w:hanging="16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560" w:hanging="16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560" w:hanging="16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560" w:hanging="16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560" w:hanging="16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560" w:hanging="16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560" w:hanging="16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560" w:hanging="16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The Compensation Committee of our Board is comprised of Dr. Underdown, who serves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560" w:right="20" w:hanging="166"/>
        <w:spacing w:after="0" w:line="256"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540" w:hanging="106"/>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7" w:name="page18"/>
    <w:bookmarkEnd w:id="17"/>
    <w:p>
      <w:pPr>
        <w:ind w:left="660" w:hanging="21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660" w:hanging="219"/>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660" w:hanging="219"/>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85" w:lineRule="exact"/>
        <w:rPr>
          <w:rFonts w:ascii="Arial" w:cs="Arial" w:eastAsia="Arial" w:hAnsi="Arial"/>
          <w:sz w:val="18"/>
          <w:szCs w:val="18"/>
          <w:color w:val="auto"/>
        </w:rPr>
      </w:pPr>
    </w:p>
    <w:p>
      <w:pPr>
        <w:jc w:val="both"/>
        <w:ind w:left="660" w:hanging="219"/>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3" w:lineRule="exact"/>
        <w:rPr>
          <w:rFonts w:ascii="Arial" w:cs="Arial" w:eastAsia="Arial" w:hAnsi="Arial"/>
          <w:sz w:val="18"/>
          <w:szCs w:val="18"/>
          <w:color w:val="auto"/>
        </w:rPr>
      </w:pPr>
    </w:p>
    <w:p>
      <w:pPr>
        <w:ind w:left="660" w:hanging="21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660" w:hanging="219"/>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Corporate Governance and Nominating Committee of our Board is comprised of Dr. Gin, who serves as the committee chairman, Mr. Saxe, Dr. Underdown and Ms. Cunningham.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60" w:lineRule="exact"/>
        <w:rPr>
          <w:sz w:val="20"/>
          <w:szCs w:val="20"/>
          <w:color w:val="auto"/>
        </w:rPr>
      </w:pPr>
    </w:p>
    <w:p>
      <w:pPr>
        <w:ind w:left="660" w:hanging="21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660" w:hanging="21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660" w:hanging="219"/>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660" w:hanging="219"/>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has reviewed and discussed with management and OUM &amp; Co. LLP (</w:t>
      </w:r>
      <w:r>
        <w:rPr>
          <w:rFonts w:ascii="Arial" w:cs="Arial" w:eastAsia="Arial" w:hAnsi="Arial"/>
          <w:sz w:val="18"/>
          <w:szCs w:val="18"/>
          <w:i w:val="1"/>
          <w:iCs w:val="1"/>
          <w:color w:val="auto"/>
        </w:rPr>
        <w:t>OUM</w:t>
      </w:r>
      <w:r>
        <w:rPr>
          <w:rFonts w:ascii="Arial" w:cs="Arial" w:eastAsia="Arial" w:hAnsi="Arial"/>
          <w:sz w:val="18"/>
          <w:szCs w:val="18"/>
          <w:color w:val="auto"/>
        </w:rPr>
        <w:t>), our independent registered public accounting firm, the audited consolidated financial statements in the VistaGen Therapeutics, Inc. Annual Report on Form 10-K for the year ended March 31, 2020. The Audit Committee has also discussed with OUM those matters required to be discussed by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Auditing Standard No. 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2020.</w:t>
      </w:r>
    </w:p>
    <w:p>
      <w:pPr>
        <w:spacing w:after="0" w:line="16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Jon S. Saxe, Audit Committee Chairman</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Brian J. Underdown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2020</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information contained above under the caption “</w:t>
      </w:r>
      <w:r>
        <w:rPr>
          <w:rFonts w:ascii="Arial" w:cs="Arial" w:eastAsia="Arial" w:hAnsi="Arial"/>
          <w:sz w:val="18"/>
          <w:szCs w:val="18"/>
          <w:i w:val="1"/>
          <w:iCs w:val="1"/>
          <w:color w:val="auto"/>
        </w:rPr>
        <w:t>Report of the Audit Committee of the Board of Directors</w:t>
      </w:r>
      <w:r>
        <w:rPr>
          <w:rFonts w:ascii="Arial" w:cs="Arial" w:eastAsia="Arial" w:hAnsi="Arial"/>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executive officers are appointed by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100" w:type="dxa"/>
            <w:vAlign w:val="bottom"/>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57</w:t>
            </w: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70</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64</w:t>
            </w: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Medical Officer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Jerrold D. Dotson, CPA</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67</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54</w:t>
            </w: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Vice President, Corporate Development</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J.D. </w:t>
      </w:r>
      <w:r>
        <w:rPr>
          <w:rFonts w:ascii="Arial" w:cs="Arial" w:eastAsia="Arial" w:hAnsi="Arial"/>
          <w:sz w:val="18"/>
          <w:szCs w:val="18"/>
          <w:color w:val="auto"/>
        </w:rPr>
        <w:t>Please see Mr. Singh’s biography on page 6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6 of this Proxy Statement, under the section titled “</w:t>
      </w:r>
      <w:r>
        <w:rPr>
          <w:rFonts w:ascii="Arial" w:cs="Arial" w:eastAsia="Arial" w:hAnsi="Arial"/>
          <w:sz w:val="16"/>
          <w:szCs w:val="16"/>
          <w:i w:val="1"/>
          <w:iCs w:val="1"/>
          <w:color w:val="auto"/>
        </w:rPr>
        <w:t>Directors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has served as our Chief Medical Officer since June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auto"/>
        </w:rPr>
        <w:t>has served as our Vice-President, Corporate Development since October 2016. Mr. McPartland previously served as the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and Communications at Stellar Biotechnologies, Inc. (now Edesa Biotech, Inc. (NASDAQ: EDSA)),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North America, a subsidiary of MZ Group, a global leader in investor relations and corporate communications,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5"/>
          <w:szCs w:val="15"/>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For the year ended March 31, 2019, each Named Executive Officer (</w:t>
      </w:r>
      <w:r>
        <w:rPr>
          <w:rFonts w:ascii="Arial" w:cs="Arial" w:eastAsia="Arial" w:hAnsi="Arial"/>
          <w:sz w:val="15"/>
          <w:szCs w:val="15"/>
          <w:i w:val="1"/>
          <w:iCs w:val="1"/>
          <w:color w:val="auto"/>
        </w:rPr>
        <w:t>NEO</w:t>
      </w:r>
      <w:r>
        <w:rPr>
          <w:rFonts w:ascii="Arial" w:cs="Arial" w:eastAsia="Arial" w:hAnsi="Arial"/>
          <w:sz w:val="15"/>
          <w:szCs w:val="15"/>
          <w:color w:val="auto"/>
        </w:rPr>
        <w:t>) serving during that period was awarded a bonus by the Compensation Committee in the amount set forth in the Summary Compensation Table below. At the time of this Proxy Statement, the Compensation Committee has not determined or awarded a bonus to any NEO for our fiscal year ended March 31, 2020. Payment of a bonus to a NEO for our fiscal year ended March 31, 2020, if any, is at the discretion of the Compensation Committee which may consider factors other than attainment of individual or corporate goals in its determination of bonus amounts to be granted.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March 31, 2020,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 In addition, the exercise price of the options granted during our 2020 fiscal year remains above the market price of our common stock as of March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2020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24"/>
                <w:szCs w:val="24"/>
                <w:b w:val="1"/>
                <w:bCs w:val="1"/>
                <w:color w:val="auto"/>
                <w:vertAlign w:val="superscript"/>
              </w:rPr>
              <w:t>(9)</w:t>
            </w:r>
          </w:p>
        </w:tc>
        <w:tc>
          <w:tcPr>
            <w:tcW w:w="15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w w:val="93"/>
              </w:rPr>
              <w:t xml:space="preserve">Option Awards </w:t>
            </w:r>
            <w:r>
              <w:rPr>
                <w:rFonts w:ascii="Arial" w:cs="Arial" w:eastAsia="Arial" w:hAnsi="Arial"/>
                <w:sz w:val="24"/>
                <w:szCs w:val="24"/>
                <w:b w:val="1"/>
                <w:bCs w:val="1"/>
                <w:color w:val="auto"/>
                <w:w w:val="93"/>
                <w:vertAlign w:val="superscript"/>
              </w:rPr>
              <w:t>(6)</w:t>
            </w:r>
          </w:p>
        </w:tc>
        <w:tc>
          <w:tcPr>
            <w:tcW w:w="560" w:type="dxa"/>
            <w:vAlign w:val="bottom"/>
          </w:tcPr>
          <w:p>
            <w:pPr>
              <w:spacing w:after="0"/>
              <w:rPr>
                <w:sz w:val="18"/>
                <w:szCs w:val="18"/>
                <w:color w:val="auto"/>
              </w:rPr>
            </w:pPr>
          </w:p>
        </w:tc>
        <w:tc>
          <w:tcPr>
            <w:tcW w:w="1780" w:type="dxa"/>
            <w:vAlign w:val="bottom"/>
          </w:tcPr>
          <w:p>
            <w:pPr>
              <w:jc w:val="center"/>
              <w:ind w:right="52"/>
              <w:spacing w:after="0"/>
              <w:rPr>
                <w:sz w:val="20"/>
                <w:szCs w:val="20"/>
                <w:color w:val="auto"/>
              </w:rPr>
            </w:pPr>
            <w:r>
              <w:rPr>
                <w:rFonts w:ascii="Arial" w:cs="Arial" w:eastAsia="Arial" w:hAnsi="Arial"/>
                <w:sz w:val="18"/>
                <w:szCs w:val="18"/>
                <w:b w:val="1"/>
                <w:bCs w:val="1"/>
                <w:color w:val="auto"/>
                <w:w w:val="94"/>
              </w:rPr>
              <w:t>All Other</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440" w:type="dxa"/>
            <w:vAlign w:val="bottom"/>
          </w:tcPr>
          <w:p>
            <w:pPr>
              <w:jc w:val="right"/>
              <w:ind w:right="532"/>
              <w:spacing w:after="0"/>
              <w:rPr>
                <w:sz w:val="20"/>
                <w:szCs w:val="20"/>
                <w:color w:val="auto"/>
              </w:rPr>
            </w:pPr>
            <w:r>
              <w:rPr>
                <w:rFonts w:ascii="Arial" w:cs="Arial" w:eastAsia="Arial" w:hAnsi="Arial"/>
                <w:sz w:val="18"/>
                <w:szCs w:val="18"/>
                <w:b w:val="1"/>
                <w:bCs w:val="1"/>
                <w:color w:val="auto"/>
              </w:rPr>
              <w:t>Salary</w:t>
            </w:r>
          </w:p>
        </w:tc>
        <w:tc>
          <w:tcPr>
            <w:tcW w:w="130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Compensation</w:t>
            </w:r>
          </w:p>
        </w:tc>
        <w:tc>
          <w:tcPr>
            <w:tcW w:w="840" w:type="dxa"/>
            <w:vAlign w:val="bottom"/>
          </w:tcPr>
          <w:p>
            <w:pPr>
              <w:jc w:val="center"/>
              <w:ind w:left="52"/>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w:t>
            </w: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J.D. </w:t>
            </w:r>
            <w:r>
              <w:rPr>
                <w:rFonts w:ascii="Arial" w:cs="Arial" w:eastAsia="Arial" w:hAnsi="Arial"/>
                <w:sz w:val="24"/>
                <w:szCs w:val="24"/>
                <w:color w:val="auto"/>
                <w:vertAlign w:val="superscript"/>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498,000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435,667</w:t>
            </w:r>
          </w:p>
        </w:tc>
        <w:tc>
          <w:tcPr>
            <w:tcW w:w="56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(7)</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6"/>
              </w:rPr>
              <w:t>933,667</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466,365</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110,305</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374,445</w:t>
            </w:r>
          </w:p>
        </w:tc>
        <w:tc>
          <w:tcPr>
            <w:tcW w:w="560" w:type="dxa"/>
            <w:vAlign w:val="bottom"/>
          </w:tcPr>
          <w:p>
            <w:pPr>
              <w:jc w:val="right"/>
              <w:ind w:right="239"/>
              <w:spacing w:after="0"/>
              <w:rPr>
                <w:sz w:val="20"/>
                <w:szCs w:val="20"/>
                <w:color w:val="auto"/>
              </w:rPr>
            </w:pPr>
            <w:r>
              <w:rPr>
                <w:rFonts w:ascii="Arial" w:cs="Arial" w:eastAsia="Arial" w:hAnsi="Arial"/>
                <w:sz w:val="12"/>
                <w:szCs w:val="12"/>
                <w:color w:val="auto"/>
              </w:rPr>
              <w:t>(8)</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72"/>
              <w:spacing w:after="0"/>
              <w:rPr>
                <w:sz w:val="20"/>
                <w:szCs w:val="20"/>
                <w:color w:val="auto"/>
              </w:rPr>
            </w:pPr>
            <w:r>
              <w:rPr>
                <w:rFonts w:ascii="Arial" w:cs="Arial" w:eastAsia="Arial" w:hAnsi="Arial"/>
                <w:sz w:val="18"/>
                <w:szCs w:val="18"/>
                <w:color w:val="auto"/>
                <w:w w:val="86"/>
              </w:rPr>
              <w:t>951,115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416,850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254,405</w:t>
            </w:r>
          </w:p>
        </w:tc>
        <w:tc>
          <w:tcPr>
            <w:tcW w:w="560" w:type="dxa"/>
            <w:vAlign w:val="bottom"/>
          </w:tcPr>
          <w:p>
            <w:pPr>
              <w:jc w:val="right"/>
              <w:ind w:right="239"/>
              <w:spacing w:after="0"/>
              <w:rPr>
                <w:sz w:val="20"/>
                <w:szCs w:val="20"/>
                <w:color w:val="auto"/>
              </w:rPr>
            </w:pPr>
            <w:r>
              <w:rPr>
                <w:rFonts w:ascii="Arial" w:cs="Arial" w:eastAsia="Arial" w:hAnsi="Arial"/>
                <w:sz w:val="12"/>
                <w:szCs w:val="12"/>
                <w:color w:val="auto"/>
              </w:rPr>
              <w:t>(7)</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72"/>
              <w:spacing w:after="0"/>
              <w:rPr>
                <w:sz w:val="20"/>
                <w:szCs w:val="20"/>
                <w:color w:val="auto"/>
              </w:rPr>
            </w:pPr>
            <w:r>
              <w:rPr>
                <w:rFonts w:ascii="Arial" w:cs="Arial" w:eastAsia="Arial" w:hAnsi="Arial"/>
                <w:sz w:val="18"/>
                <w:szCs w:val="18"/>
                <w:color w:val="auto"/>
                <w:w w:val="86"/>
              </w:rPr>
              <w:t>671,255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393,991</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73,444</w:t>
            </w: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174,823</w:t>
            </w:r>
          </w:p>
        </w:tc>
        <w:tc>
          <w:tcPr>
            <w:tcW w:w="56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(8)</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6"/>
              </w:rPr>
              <w:t>642,258</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416,850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179,988</w:t>
            </w:r>
          </w:p>
        </w:tc>
        <w:tc>
          <w:tcPr>
            <w:tcW w:w="56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(7)</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6"/>
              </w:rPr>
              <w:t>596,838</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393,991</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73,444</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154,922</w:t>
            </w:r>
          </w:p>
        </w:tc>
        <w:tc>
          <w:tcPr>
            <w:tcW w:w="560" w:type="dxa"/>
            <w:vAlign w:val="bottom"/>
          </w:tcPr>
          <w:p>
            <w:pPr>
              <w:jc w:val="right"/>
              <w:ind w:right="239"/>
              <w:spacing w:after="0"/>
              <w:rPr>
                <w:sz w:val="20"/>
                <w:szCs w:val="20"/>
                <w:color w:val="auto"/>
              </w:rPr>
            </w:pPr>
            <w:r>
              <w:rPr>
                <w:rFonts w:ascii="Arial" w:cs="Arial" w:eastAsia="Arial" w:hAnsi="Arial"/>
                <w:sz w:val="12"/>
                <w:szCs w:val="12"/>
                <w:color w:val="auto"/>
              </w:rPr>
              <w:t>(8)</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72"/>
              <w:spacing w:after="0"/>
              <w:rPr>
                <w:sz w:val="20"/>
                <w:szCs w:val="20"/>
                <w:color w:val="auto"/>
              </w:rPr>
            </w:pPr>
            <w:r>
              <w:rPr>
                <w:rFonts w:ascii="Arial" w:cs="Arial" w:eastAsia="Arial" w:hAnsi="Arial"/>
                <w:sz w:val="18"/>
                <w:szCs w:val="18"/>
                <w:color w:val="auto"/>
                <w:w w:val="86"/>
              </w:rPr>
              <w:t>622,357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367,500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229,571</w:t>
            </w:r>
          </w:p>
        </w:tc>
        <w:tc>
          <w:tcPr>
            <w:tcW w:w="560" w:type="dxa"/>
            <w:vAlign w:val="bottom"/>
          </w:tcPr>
          <w:p>
            <w:pPr>
              <w:jc w:val="right"/>
              <w:ind w:right="239"/>
              <w:spacing w:after="0"/>
              <w:rPr>
                <w:sz w:val="20"/>
                <w:szCs w:val="20"/>
                <w:color w:val="auto"/>
              </w:rPr>
            </w:pPr>
            <w:r>
              <w:rPr>
                <w:rFonts w:ascii="Arial" w:cs="Arial" w:eastAsia="Arial" w:hAnsi="Arial"/>
                <w:sz w:val="12"/>
                <w:szCs w:val="12"/>
                <w:color w:val="auto"/>
              </w:rPr>
              <w:t>(7)</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72"/>
              <w:spacing w:after="0"/>
              <w:rPr>
                <w:sz w:val="20"/>
                <w:szCs w:val="20"/>
                <w:color w:val="auto"/>
              </w:rPr>
            </w:pPr>
            <w:r>
              <w:rPr>
                <w:rFonts w:ascii="Arial" w:cs="Arial" w:eastAsia="Arial" w:hAnsi="Arial"/>
                <w:sz w:val="18"/>
                <w:szCs w:val="18"/>
                <w:color w:val="auto"/>
                <w:w w:val="86"/>
              </w:rPr>
              <w:t>597,071</w:t>
            </w:r>
          </w:p>
        </w:tc>
        <w:tc>
          <w:tcPr>
            <w:tcW w:w="0" w:type="dxa"/>
            <w:vAlign w:val="bottom"/>
          </w:tcPr>
          <w:p>
            <w:pPr>
              <w:spacing w:after="0"/>
              <w:rPr>
                <w:sz w:val="1"/>
                <w:szCs w:val="1"/>
                <w:color w:val="auto"/>
              </w:rPr>
            </w:pPr>
          </w:p>
        </w:tc>
      </w:tr>
      <w:tr>
        <w:trPr>
          <w:trHeight w:val="208"/>
        </w:trPr>
        <w:tc>
          <w:tcPr>
            <w:tcW w:w="2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w:t>
            </w:r>
          </w:p>
        </w:tc>
        <w:tc>
          <w:tcPr>
            <w:tcW w:w="10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 and Secretary</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344,992</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64,749</w:t>
            </w: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131,326</w:t>
            </w:r>
          </w:p>
        </w:tc>
        <w:tc>
          <w:tcPr>
            <w:tcW w:w="56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(8)</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6"/>
              </w:rPr>
              <w:t>541,067</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McPartland </w:t>
            </w:r>
            <w:r>
              <w:rPr>
                <w:rFonts w:ascii="Arial" w:cs="Arial" w:eastAsia="Arial" w:hAnsi="Arial"/>
                <w:sz w:val="24"/>
                <w:szCs w:val="24"/>
                <w:color w:val="auto"/>
                <w:vertAlign w:val="superscript"/>
              </w:rPr>
              <w:t>(5)</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179,988</w:t>
            </w:r>
          </w:p>
        </w:tc>
        <w:tc>
          <w:tcPr>
            <w:tcW w:w="56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(7)</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6"/>
              </w:rPr>
              <w:t>479,988</w:t>
            </w:r>
          </w:p>
        </w:tc>
        <w:tc>
          <w:tcPr>
            <w:tcW w:w="0" w:type="dxa"/>
            <w:vAlign w:val="bottom"/>
          </w:tcPr>
          <w:p>
            <w:pPr>
              <w:spacing w:after="0"/>
              <w:rPr>
                <w:sz w:val="1"/>
                <w:szCs w:val="1"/>
                <w:color w:val="auto"/>
              </w:rPr>
            </w:pPr>
          </w:p>
        </w:tc>
      </w:tr>
      <w:tr>
        <w:trPr>
          <w:trHeight w:val="208"/>
        </w:trPr>
        <w:tc>
          <w:tcPr>
            <w:tcW w:w="2700" w:type="dxa"/>
            <w:vAlign w:val="bottom"/>
          </w:tcPr>
          <w:p>
            <w:pPr>
              <w:spacing w:after="0"/>
              <w:rPr>
                <w:sz w:val="20"/>
                <w:szCs w:val="20"/>
                <w:color w:val="auto"/>
              </w:rPr>
            </w:pPr>
            <w:r>
              <w:rPr>
                <w:rFonts w:ascii="Arial" w:cs="Arial" w:eastAsia="Arial" w:hAnsi="Arial"/>
                <w:sz w:val="18"/>
                <w:szCs w:val="18"/>
                <w:i w:val="1"/>
                <w:iCs w:val="1"/>
                <w:color w:val="auto"/>
              </w:rPr>
              <w:t>Vice President, Corporate</w:t>
            </w: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700" w:type="dxa"/>
            <w:vAlign w:val="bottom"/>
          </w:tcPr>
          <w:p>
            <w:pPr>
              <w:spacing w:after="0"/>
              <w:rPr>
                <w:sz w:val="20"/>
                <w:szCs w:val="20"/>
                <w:color w:val="auto"/>
              </w:rPr>
            </w:pPr>
            <w:r>
              <w:rPr>
                <w:rFonts w:ascii="Arial" w:cs="Arial" w:eastAsia="Arial" w:hAnsi="Arial"/>
                <w:sz w:val="18"/>
                <w:szCs w:val="18"/>
                <w:i w:val="1"/>
                <w:iCs w:val="1"/>
                <w:color w:val="auto"/>
              </w:rPr>
              <w:t>Development</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268,750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50,874</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187,017</w:t>
            </w:r>
          </w:p>
        </w:tc>
        <w:tc>
          <w:tcPr>
            <w:tcW w:w="560" w:type="dxa"/>
            <w:vAlign w:val="bottom"/>
          </w:tcPr>
          <w:p>
            <w:pPr>
              <w:jc w:val="right"/>
              <w:ind w:right="239"/>
              <w:spacing w:after="0"/>
              <w:rPr>
                <w:sz w:val="20"/>
                <w:szCs w:val="20"/>
                <w:color w:val="auto"/>
              </w:rPr>
            </w:pPr>
            <w:r>
              <w:rPr>
                <w:rFonts w:ascii="Arial" w:cs="Arial" w:eastAsia="Arial" w:hAnsi="Arial"/>
                <w:sz w:val="12"/>
                <w:szCs w:val="12"/>
                <w:color w:val="auto"/>
              </w:rPr>
              <w:t>(8)</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72"/>
              <w:spacing w:after="0"/>
              <w:rPr>
                <w:sz w:val="20"/>
                <w:szCs w:val="20"/>
                <w:color w:val="auto"/>
              </w:rPr>
            </w:pPr>
            <w:r>
              <w:rPr>
                <w:rFonts w:ascii="Arial" w:cs="Arial" w:eastAsia="Arial" w:hAnsi="Arial"/>
                <w:sz w:val="18"/>
                <w:szCs w:val="18"/>
                <w:color w:val="auto"/>
                <w:w w:val="86"/>
              </w:rPr>
              <w:t>506,641</w:t>
            </w:r>
          </w:p>
        </w:tc>
        <w:tc>
          <w:tcPr>
            <w:tcW w:w="0" w:type="dxa"/>
            <w:vAlign w:val="bottom"/>
          </w:tcPr>
          <w:p>
            <w:pPr>
              <w:spacing w:after="0"/>
              <w:rPr>
                <w:sz w:val="1"/>
                <w:szCs w:val="1"/>
                <w:color w:val="auto"/>
              </w:rPr>
            </w:pPr>
          </w:p>
        </w:tc>
      </w:tr>
      <w:tr>
        <w:trPr>
          <w:trHeight w:val="862"/>
        </w:trPr>
        <w:tc>
          <w:tcPr>
            <w:tcW w:w="2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-15-</w:t>
            </w:r>
          </w:p>
        </w:tc>
        <w:tc>
          <w:tcPr>
            <w:tcW w:w="1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9" w:right="339" w:bottom="1440" w:gutter="0" w:footer="0" w:header="0"/>
        </w:sectPr>
      </w:pPr>
    </w:p>
    <w:bookmarkStart w:id="22" w:name="page23"/>
    <w:bookmarkEnd w:id="22"/>
    <w:p>
      <w:pPr>
        <w:jc w:val="both"/>
        <w:ind w:left="672" w:hanging="672"/>
        <w:spacing w:after="0" w:line="294" w:lineRule="auto"/>
        <w:tabs>
          <w:tab w:leader="none" w:pos="6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Singh became Chief Executive Officer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on August 20, 2009 and our Chief Executive Officer in May 2011, in connection with the Merger. Pursuant to his January 2010 employment agreement, as amended in June 2016, Mr. Singh’s annual base cash salary, was contractually set at $395,000. The Compensation Committee has since adjusted Mr. Singh’s base annual salary to $477,000 effective in July 2018 and to $498,000 effective in April 2019. Pursuant to his employment agreement, Mr. Singh is eligible to receive an annual cash incentive bonus of up to fifty percent (50%) of his base cash salary.</w:t>
      </w:r>
    </w:p>
    <w:p>
      <w:pPr>
        <w:spacing w:after="0" w:line="169" w:lineRule="exact"/>
        <w:rPr>
          <w:rFonts w:ascii="Arial" w:cs="Arial" w:eastAsia="Arial" w:hAnsi="Arial"/>
          <w:sz w:val="16"/>
          <w:szCs w:val="16"/>
          <w:color w:val="auto"/>
        </w:rPr>
      </w:pPr>
    </w:p>
    <w:p>
      <w:pPr>
        <w:jc w:val="both"/>
        <w:ind w:left="672" w:hanging="672"/>
        <w:spacing w:after="0" w:line="254" w:lineRule="auto"/>
        <w:tabs>
          <w:tab w:leader="none" w:pos="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Pursuant to his January 2010 employment agreement, as amended in June 2016, Dr. Snodgrass’ annual base cash salary, was contractually set at $350,000. The Compensation Committee has since adjusted Dr. Snodgrass’ base annual salary to $397,000 effective in July 2018 and to $416,850 effective in April 2019. Pursuant to his employment agreement, Dr. Snodgrass is eligible to receive an annual cash incentive bonus of up to fifty percent (50%) of his base cash salary.</w:t>
      </w:r>
    </w:p>
    <w:p>
      <w:pPr>
        <w:spacing w:after="0" w:line="197" w:lineRule="exact"/>
        <w:rPr>
          <w:rFonts w:ascii="Arial" w:cs="Arial" w:eastAsia="Arial" w:hAnsi="Arial"/>
          <w:sz w:val="18"/>
          <w:szCs w:val="18"/>
          <w:color w:val="auto"/>
        </w:rPr>
      </w:pPr>
    </w:p>
    <w:p>
      <w:pPr>
        <w:ind w:left="672" w:hanging="672"/>
        <w:spacing w:after="0" w:line="331" w:lineRule="auto"/>
        <w:tabs>
          <w:tab w:leader="none" w:pos="6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Dr. Smith became our Chief Medical Officer upon his employment effective June 18, 2016. During our fiscal year ended March 31, 2019, Dr. Smith’s annual base cash salary was $397,000. The Compensation Committee adjusted Dr. Smith’s base annual salary to $416,850 effective in April 2019.</w:t>
      </w:r>
    </w:p>
    <w:p>
      <w:pPr>
        <w:spacing w:after="0" w:line="140" w:lineRule="exact"/>
        <w:rPr>
          <w:rFonts w:ascii="Arial" w:cs="Arial" w:eastAsia="Arial" w:hAnsi="Arial"/>
          <w:sz w:val="16"/>
          <w:szCs w:val="16"/>
          <w:color w:val="auto"/>
        </w:rPr>
      </w:pPr>
    </w:p>
    <w:p>
      <w:pPr>
        <w:jc w:val="both"/>
        <w:ind w:left="672" w:hanging="672"/>
        <w:spacing w:after="0" w:line="259" w:lineRule="auto"/>
        <w:tabs>
          <w:tab w:leader="none" w:pos="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Dotson served as Chief Financial Officer on a contract basis from September 19, 2011 through August 2012, at which time he became our full-time employee. During our fiscal year ended March 31, 2019, Mr. Dotson’s annual base cash salary was $350,000. The Compensation Committee adjusted Mr. Dotson’s base annual salary to $367,500 effective in April 2019.</w:t>
      </w:r>
    </w:p>
    <w:p>
      <w:pPr>
        <w:spacing w:after="0" w:line="193" w:lineRule="exact"/>
        <w:rPr>
          <w:rFonts w:ascii="Arial" w:cs="Arial" w:eastAsia="Arial" w:hAnsi="Arial"/>
          <w:sz w:val="18"/>
          <w:szCs w:val="18"/>
          <w:color w:val="auto"/>
        </w:rPr>
      </w:pPr>
    </w:p>
    <w:p>
      <w:pPr>
        <w:jc w:val="both"/>
        <w:ind w:left="672" w:hanging="672"/>
        <w:spacing w:after="0" w:line="259" w:lineRule="auto"/>
        <w:tabs>
          <w:tab w:leader="none" w:pos="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McPartland has served as our Vice-President, Corporate Development since October 2016 and was designated a NEO in September 2017. During our fiscal year ended March 31, 2019, Mr. McPartland’s annual base cash salary was $275,000. The Compensation Committee adjusted Mr. McPartland’s base annual salary to $300,000 effective in April 2019.</w:t>
      </w:r>
    </w:p>
    <w:p>
      <w:pPr>
        <w:spacing w:after="0" w:line="193" w:lineRule="exact"/>
        <w:rPr>
          <w:rFonts w:ascii="Arial" w:cs="Arial" w:eastAsia="Arial" w:hAnsi="Arial"/>
          <w:sz w:val="18"/>
          <w:szCs w:val="18"/>
          <w:color w:val="auto"/>
        </w:rPr>
      </w:pPr>
    </w:p>
    <w:p>
      <w:pPr>
        <w:jc w:val="both"/>
        <w:ind w:left="672" w:hanging="672"/>
        <w:spacing w:after="0" w:line="287" w:lineRule="auto"/>
        <w:tabs>
          <w:tab w:leader="none" w:pos="6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the NEOs with respect to any of such options to purchase shares of our common stock awarded to them or modified during the periods presented. Rather, the amounts in this column represent only (i) the aggregate grant date fair value of options to purchase shares of our common stock awarded to Mr. Singh, Dr. Snodgrass, Dr. Smith, Mr. Dotson and Mr. McPartland during the fiscal year presented, and (ii) in Fiscal 2019, the modification date incremental fair value resulting from the reduction of exercise prices in excess of $1.56 per share to $1.50 per share for options previously granted to Mr. Singh, Dr. Snodgrass, Dr. Smith, Mr. Dotson and Mr. McPartland, both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such modified options to purchase 25,375 and 2,500 shares of our common stock at $1.50 per share by Mr. Singh and Dr. Snodgrass, respectively, during our fiscal year ended March 31, 2019, to date, none of the NEOs have exercised any of such options to purchase common stock, and there can be no assurance that any of them will ever realize any of the ASC 718 grant date fair value amounts presented in the Option Awards column.</w:t>
      </w:r>
    </w:p>
    <w:p>
      <w:pPr>
        <w:spacing w:after="0" w:line="175" w:lineRule="exact"/>
        <w:rPr>
          <w:rFonts w:ascii="Arial" w:cs="Arial" w:eastAsia="Arial" w:hAnsi="Arial"/>
          <w:sz w:val="16"/>
          <w:szCs w:val="16"/>
          <w:color w:val="auto"/>
        </w:rPr>
      </w:pPr>
    </w:p>
    <w:p>
      <w:pPr>
        <w:jc w:val="both"/>
        <w:ind w:left="672" w:hanging="672"/>
        <w:spacing w:after="0" w:line="256" w:lineRule="auto"/>
        <w:tabs>
          <w:tab w:leader="none" w:pos="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the table below do not represent any cash payments actually received by the NEOs with respect to any of such options to purchase shares of our common stock awarded to them or modified during the periods presented. Rather, the table below provides information regarding the option awards we granted to the NEO’s during Fiscal 2020 and the assumptions used in the Black Scholes Option Pricing Model to determine the grant date fair values of the respective awards.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532" w:hanging="106"/>
        <w:spacing w:after="0"/>
        <w:tabs>
          <w:tab w:leader="none" w:pos="55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7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5980" w:type="dxa"/>
            <w:vAlign w:val="bottom"/>
          </w:tcPr>
          <w:p>
            <w:pPr>
              <w:spacing w:after="0"/>
              <w:rPr>
                <w:sz w:val="20"/>
                <w:szCs w:val="20"/>
                <w:color w:val="auto"/>
              </w:rPr>
            </w:pPr>
            <w:r>
              <w:rPr>
                <w:rFonts w:ascii="Arial" w:cs="Arial" w:eastAsia="Arial" w:hAnsi="Arial"/>
                <w:sz w:val="18"/>
                <w:szCs w:val="18"/>
                <w:b w:val="1"/>
                <w:bCs w:val="1"/>
                <w:color w:val="auto"/>
              </w:rPr>
              <w:t>Option Award Compensation –</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Option Grant</w:t>
            </w:r>
          </w:p>
        </w:tc>
        <w:tc>
          <w:tcPr>
            <w:tcW w:w="2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 Grant</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Option Grant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5980" w:type="dxa"/>
            <w:vAlign w:val="bottom"/>
          </w:tcPr>
          <w:p>
            <w:pPr>
              <w:spacing w:after="0"/>
              <w:rPr>
                <w:sz w:val="20"/>
                <w:szCs w:val="20"/>
                <w:color w:val="auto"/>
              </w:rPr>
            </w:pPr>
            <w:r>
              <w:rPr>
                <w:rFonts w:ascii="Arial" w:cs="Arial" w:eastAsia="Arial" w:hAnsi="Arial"/>
                <w:sz w:val="18"/>
                <w:szCs w:val="18"/>
                <w:b w:val="1"/>
                <w:bCs w:val="1"/>
                <w:color w:val="auto"/>
              </w:rPr>
              <w:t>Fiscal Year Ended March 31, 2020</w:t>
            </w:r>
          </w:p>
        </w:tc>
        <w:tc>
          <w:tcPr>
            <w:tcW w:w="1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w w:val="92"/>
              </w:rPr>
              <w:t>5/23/2019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9/5/2019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w w:val="88"/>
              </w:rPr>
              <w:t>10/21/2019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43"/>
        </w:trPr>
        <w:tc>
          <w:tcPr>
            <w:tcW w:w="59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435,667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Dr. Snodgrass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173,658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254,405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Dr. Smith</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Mr. Dotson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229,571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Mr. McPartland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42"/>
        </w:trPr>
        <w:tc>
          <w:tcPr>
            <w:tcW w:w="59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365,170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95,803</w:t>
            </w:r>
          </w:p>
        </w:tc>
        <w:tc>
          <w:tcPr>
            <w:tcW w:w="1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818,646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1,279,619</w:t>
            </w:r>
          </w:p>
        </w:tc>
      </w:tr>
      <w:tr>
        <w:trPr>
          <w:trHeight w:val="22"/>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Pr>
          <w:p>
            <w:pPr>
              <w:spacing w:after="0"/>
              <w:rPr>
                <w:sz w:val="20"/>
                <w:szCs w:val="20"/>
                <w:color w:val="auto"/>
              </w:rPr>
            </w:pPr>
            <w:r>
              <w:rPr>
                <w:rFonts w:ascii="Arial" w:cs="Arial" w:eastAsia="Arial" w:hAnsi="Arial"/>
                <w:sz w:val="18"/>
                <w:szCs w:val="18"/>
                <w:b w:val="1"/>
                <w:bCs w:val="1"/>
                <w:color w:val="auto"/>
              </w:rPr>
              <w:t>Option Shares Granted -</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3"/>
              </w:rPr>
              <w:t>Option Grant</w:t>
            </w:r>
          </w:p>
        </w:tc>
        <w:tc>
          <w:tcPr>
            <w:tcW w:w="2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 Grant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3"/>
              </w:rPr>
              <w:t>Option Grant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5980" w:type="dxa"/>
            <w:vAlign w:val="bottom"/>
          </w:tcPr>
          <w:p>
            <w:pPr>
              <w:spacing w:after="0"/>
              <w:rPr>
                <w:sz w:val="20"/>
                <w:szCs w:val="20"/>
                <w:color w:val="auto"/>
              </w:rPr>
            </w:pPr>
            <w:r>
              <w:rPr>
                <w:rFonts w:ascii="Arial" w:cs="Arial" w:eastAsia="Arial" w:hAnsi="Arial"/>
                <w:sz w:val="18"/>
                <w:szCs w:val="18"/>
                <w:b w:val="1"/>
                <w:bCs w:val="1"/>
                <w:color w:val="auto"/>
              </w:rPr>
              <w:t>Fiscal Year Ended March 31, 2020</w:t>
            </w: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5/23/2019</w:t>
            </w:r>
          </w:p>
        </w:tc>
        <w:tc>
          <w:tcPr>
            <w:tcW w:w="13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9/5/2019</w:t>
            </w:r>
          </w:p>
        </w:tc>
        <w:tc>
          <w:tcPr>
            <w:tcW w:w="2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10/21/2019</w:t>
            </w:r>
          </w:p>
        </w:tc>
        <w:tc>
          <w:tcPr>
            <w:tcW w:w="28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43"/>
        </w:trPr>
        <w:tc>
          <w:tcPr>
            <w:tcW w:w="59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550,000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Dr. Snodgrass</w:t>
            </w: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175,000</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325,000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Dr. Smith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Mr. Dotson</w:t>
            </w: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300,000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Mr. McPartland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r>
      <w:tr>
        <w:trPr>
          <w:trHeight w:val="27"/>
        </w:trPr>
        <w:tc>
          <w:tcPr>
            <w:tcW w:w="59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680,000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1,675,000</w:t>
            </w:r>
          </w:p>
        </w:tc>
      </w:tr>
      <w:tr>
        <w:trPr>
          <w:trHeight w:val="21"/>
        </w:trPr>
        <w:tc>
          <w:tcPr>
            <w:tcW w:w="5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20"/>
                <w:szCs w:val="20"/>
                <w:color w:val="auto"/>
              </w:rPr>
            </w:pPr>
            <w:r>
              <w:rPr>
                <w:rFonts w:ascii="Arial" w:cs="Arial" w:eastAsia="Arial" w:hAnsi="Arial"/>
                <w:sz w:val="18"/>
                <w:szCs w:val="18"/>
                <w:b w:val="1"/>
                <w:bCs w:val="1"/>
                <w:color w:val="auto"/>
              </w:rPr>
              <w:t>Option Award Assumptions –</w:t>
            </w:r>
          </w:p>
        </w:tc>
        <w:tc>
          <w:tcPr>
            <w:tcW w:w="238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Option Grant</w:t>
            </w: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 Grant</w:t>
            </w:r>
          </w:p>
        </w:tc>
        <w:tc>
          <w:tcPr>
            <w:tcW w:w="6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Option Grant</w:t>
            </w:r>
          </w:p>
        </w:tc>
      </w:tr>
      <w:tr>
        <w:trPr>
          <w:trHeight w:val="252"/>
        </w:trPr>
        <w:tc>
          <w:tcPr>
            <w:tcW w:w="4960" w:type="dxa"/>
            <w:vAlign w:val="bottom"/>
          </w:tcPr>
          <w:p>
            <w:pPr>
              <w:spacing w:after="0"/>
              <w:rPr>
                <w:sz w:val="20"/>
                <w:szCs w:val="20"/>
                <w:color w:val="auto"/>
              </w:rPr>
            </w:pPr>
            <w:r>
              <w:rPr>
                <w:rFonts w:ascii="Arial" w:cs="Arial" w:eastAsia="Arial" w:hAnsi="Arial"/>
                <w:sz w:val="18"/>
                <w:szCs w:val="18"/>
                <w:b w:val="1"/>
                <w:bCs w:val="1"/>
                <w:color w:val="auto"/>
              </w:rPr>
              <w:t>Fiscal Year Ended March 31, 2020</w:t>
            </w:r>
          </w:p>
        </w:tc>
        <w:tc>
          <w:tcPr>
            <w:tcW w:w="2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2"/>
              </w:rPr>
              <w:t>5/23/2019</w:t>
            </w:r>
          </w:p>
        </w:tc>
        <w:tc>
          <w:tcPr>
            <w:tcW w:w="260" w:type="dxa"/>
            <w:vAlign w:val="bottom"/>
          </w:tcPr>
          <w:p>
            <w:pPr>
              <w:spacing w:after="0"/>
              <w:rPr>
                <w:sz w:val="21"/>
                <w:szCs w:val="21"/>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9/5/2019</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0"/>
              </w:rPr>
              <w:t>10/21/2019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0.84</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w w:val="79"/>
              </w:rPr>
              <w:t>1.00</w:t>
            </w:r>
          </w:p>
        </w:tc>
        <w:tc>
          <w:tcPr>
            <w:tcW w:w="2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7"/>
              </w:rPr>
              <w:t>1.45%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Volatility</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85.9%</w:t>
            </w: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w w:val="97"/>
              </w:rPr>
              <w:t>86.0%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5.58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Dividend rate</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Fair value per share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w w:val="79"/>
              </w:rPr>
              <w:t>0.56</w:t>
            </w:r>
          </w:p>
        </w:tc>
        <w:tc>
          <w:tcPr>
            <w:tcW w:w="2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0.99</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2"/>
              </w:rPr>
              <w:t>170,000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825,000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left="680" w:right="20" w:hanging="672"/>
        <w:spacing w:after="0" w:line="256"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in the table below do not represent any cash payments actually received by the NEOs with respect to any of such options to purchase shares of our common stock awarded to them or modified during the periods presented. Rather, the table below provides information regarding the option awards we granted to the NEO’s during Fiscal 2019 and the assumptions used in the Black Scholes Option Pricing Model to determine the grant date fair values of the respective awards and modifications: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Option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0" w:type="dxa"/>
            <w:vAlign w:val="bottom"/>
          </w:tcPr>
          <w:p>
            <w:pPr>
              <w:spacing w:after="0"/>
              <w:rPr>
                <w:sz w:val="20"/>
                <w:szCs w:val="20"/>
                <w:color w:val="auto"/>
              </w:rPr>
            </w:pPr>
            <w:r>
              <w:rPr>
                <w:rFonts w:ascii="Arial" w:cs="Arial" w:eastAsia="Arial" w:hAnsi="Arial"/>
                <w:sz w:val="18"/>
                <w:szCs w:val="18"/>
                <w:b w:val="1"/>
                <w:bCs w:val="1"/>
                <w:color w:val="auto"/>
              </w:rPr>
              <w:t>Option Award Compensation –</w:t>
            </w:r>
          </w:p>
        </w:tc>
        <w:tc>
          <w:tcPr>
            <w:tcW w:w="19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Option Grant</w:t>
            </w:r>
          </w:p>
        </w:tc>
        <w:tc>
          <w:tcPr>
            <w:tcW w:w="1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Modifications</w:t>
            </w:r>
          </w:p>
        </w:tc>
        <w:tc>
          <w:tcPr>
            <w:tcW w:w="26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Option Grant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0"/>
                <w:szCs w:val="20"/>
                <w:color w:val="auto"/>
              </w:rPr>
            </w:pPr>
            <w:r>
              <w:rPr>
                <w:rFonts w:ascii="Arial" w:cs="Arial" w:eastAsia="Arial" w:hAnsi="Arial"/>
                <w:sz w:val="18"/>
                <w:szCs w:val="18"/>
                <w:b w:val="1"/>
                <w:bCs w:val="1"/>
                <w:color w:val="auto"/>
              </w:rPr>
              <w:t>Fiscal Year Ended March 31, 2019</w:t>
            </w:r>
          </w:p>
        </w:tc>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8/5/2018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8/29/2018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w w:val="92"/>
              </w:rPr>
              <w:t>1/14/2019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279,009</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374,445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Dr. Snodgrass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122,913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174,823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Dr. Smith</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154,922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Mr. Dotson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98,330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131,326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Mr. McPartland</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187,017</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467,068</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276,456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279,009</w:t>
            </w:r>
          </w:p>
        </w:tc>
        <w:tc>
          <w:tcPr>
            <w:tcW w:w="1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1,022,533</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980" w:type="dxa"/>
            <w:vAlign w:val="bottom"/>
            <w:vMerge w:val="restart"/>
          </w:tcPr>
          <w:p>
            <w:pPr>
              <w:jc w:val="right"/>
              <w:ind w:right="72"/>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40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84" w:right="31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Option</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8"/>
                <w:szCs w:val="18"/>
                <w:b w:val="1"/>
                <w:bCs w:val="1"/>
                <w:color w:val="auto"/>
              </w:rPr>
              <w:t>Option Shares Granted -</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Modifications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5980" w:type="dxa"/>
            <w:vAlign w:val="bottom"/>
          </w:tcPr>
          <w:p>
            <w:pPr>
              <w:spacing w:after="0"/>
              <w:rPr>
                <w:sz w:val="20"/>
                <w:szCs w:val="20"/>
                <w:color w:val="auto"/>
              </w:rPr>
            </w:pPr>
            <w:r>
              <w:rPr>
                <w:rFonts w:ascii="Arial" w:cs="Arial" w:eastAsia="Arial" w:hAnsi="Arial"/>
                <w:sz w:val="18"/>
                <w:szCs w:val="18"/>
                <w:b w:val="1"/>
                <w:bCs w:val="1"/>
                <w:color w:val="auto"/>
              </w:rPr>
              <w:t>Fiscal Year Ended March 31, 2019</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8/5/2018</w:t>
            </w:r>
          </w:p>
        </w:tc>
        <w:tc>
          <w:tcPr>
            <w:tcW w:w="2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8/29/2018</w:t>
            </w:r>
          </w:p>
        </w:tc>
        <w:tc>
          <w:tcPr>
            <w:tcW w:w="2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1/14/2019</w:t>
            </w:r>
          </w:p>
        </w:tc>
        <w:tc>
          <w:tcPr>
            <w:tcW w:w="28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43"/>
        </w:trPr>
        <w:tc>
          <w:tcPr>
            <w:tcW w:w="59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Dr. Snodgrass</w:t>
            </w:r>
          </w:p>
        </w:tc>
        <w:tc>
          <w:tcPr>
            <w:tcW w:w="1080" w:type="dxa"/>
            <w:vAlign w:val="bottom"/>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125,000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Sr. Smith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Mr. Dotson</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Mr. McPartland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r>
      <w:tr>
        <w:trPr>
          <w:trHeight w:val="27"/>
        </w:trPr>
        <w:tc>
          <w:tcPr>
            <w:tcW w:w="59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475,000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695,000</w:t>
            </w:r>
          </w:p>
        </w:tc>
      </w:tr>
      <w:tr>
        <w:trPr>
          <w:trHeight w:val="20"/>
        </w:trPr>
        <w:tc>
          <w:tcPr>
            <w:tcW w:w="5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Option Grant</w:t>
            </w: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93"/>
              </w:rPr>
              <w:t>Option</w:t>
            </w:r>
          </w:p>
        </w:tc>
        <w:tc>
          <w:tcPr>
            <w:tcW w:w="28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Option Grant</w:t>
            </w:r>
          </w:p>
        </w:tc>
      </w:tr>
      <w:tr>
        <w:trPr>
          <w:trHeight w:val="228"/>
        </w:trPr>
        <w:tc>
          <w:tcPr>
            <w:tcW w:w="4960" w:type="dxa"/>
            <w:vAlign w:val="bottom"/>
          </w:tcPr>
          <w:p>
            <w:pPr>
              <w:spacing w:after="0"/>
              <w:rPr>
                <w:sz w:val="20"/>
                <w:szCs w:val="20"/>
                <w:color w:val="auto"/>
              </w:rPr>
            </w:pPr>
            <w:r>
              <w:rPr>
                <w:rFonts w:ascii="Arial" w:cs="Arial" w:eastAsia="Arial" w:hAnsi="Arial"/>
                <w:sz w:val="18"/>
                <w:szCs w:val="18"/>
                <w:b w:val="1"/>
                <w:bCs w:val="1"/>
                <w:color w:val="auto"/>
              </w:rPr>
              <w:t>Option Award Assumptions -</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w w:val="87"/>
              </w:rPr>
              <w:t>Modifications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4960" w:type="dxa"/>
            <w:vAlign w:val="bottom"/>
          </w:tcPr>
          <w:p>
            <w:pPr>
              <w:spacing w:after="0"/>
              <w:rPr>
                <w:sz w:val="20"/>
                <w:szCs w:val="20"/>
                <w:color w:val="auto"/>
              </w:rPr>
            </w:pPr>
            <w:r>
              <w:rPr>
                <w:rFonts w:ascii="Arial" w:cs="Arial" w:eastAsia="Arial" w:hAnsi="Arial"/>
                <w:sz w:val="18"/>
                <w:szCs w:val="18"/>
                <w:b w:val="1"/>
                <w:bCs w:val="1"/>
                <w:color w:val="auto"/>
              </w:rPr>
              <w:t>Fiscal Year Ended March 31, 2019</w:t>
            </w:r>
          </w:p>
        </w:tc>
        <w:tc>
          <w:tcPr>
            <w:tcW w:w="2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8/5/2018</w:t>
            </w:r>
          </w:p>
        </w:tc>
        <w:tc>
          <w:tcPr>
            <w:tcW w:w="260" w:type="dxa"/>
            <w:vAlign w:val="bottom"/>
          </w:tcPr>
          <w:p>
            <w:pPr>
              <w:spacing w:after="0"/>
              <w:rPr>
                <w:sz w:val="21"/>
                <w:szCs w:val="21"/>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8/29/2018</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1/14/2019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Volatility</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99.29%</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93.56%</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Dividend rate</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Fair value per share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0.988</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220,000</w:t>
            </w:r>
          </w:p>
        </w:tc>
        <w:tc>
          <w:tcPr>
            <w:tcW w:w="20" w:type="dxa"/>
            <w:vAlign w:val="bottom"/>
          </w:tcPr>
          <w:p>
            <w:pPr>
              <w:spacing w:after="0"/>
              <w:rPr>
                <w:sz w:val="18"/>
                <w:szCs w:val="18"/>
                <w:color w:val="auto"/>
              </w:rPr>
            </w:pPr>
          </w:p>
        </w:tc>
      </w:tr>
    </w:tbl>
    <w:p>
      <w:pPr>
        <w:spacing w:after="0" w:line="235"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Amounts shown for option modification compensation reflect the modification date incremental fair value resulting from the reduction of exercise prices in excess of $1.56 per share to $1.50 per share for options previously granted to the NEOs, as permitted by the 2016 Plan. Options to purchase 555,375 shares, 346,250 shares and 231,001 shares of our common stock and having pre-modification exercise prices from $1.96 per share to $10.00 per share were modified to reduce the exercise price to $1.50 per share for Mr. Singh, Dr. Snodgrass and Mr. Dotson, respectively. Options to purchase 385,000 shares of our common stock and having pre-modification exercise prices from $1.96 per share to $3.80 per share were modified to reduce the exercise price to $1.50 per share for Dr. Smith. Options to purchase 265,000 shares of our common stock and having pre-modification exercise prices from $1.96 per share to $4.27 per share were modified to reduce the exercise price to $1.50 per share for Mr. McPartland.</w:t>
      </w:r>
    </w:p>
    <w:p>
      <w:pPr>
        <w:spacing w:after="0" w:line="172" w:lineRule="exact"/>
        <w:rPr>
          <w:sz w:val="20"/>
          <w:szCs w:val="20"/>
          <w:color w:val="auto"/>
        </w:rPr>
      </w:pPr>
    </w:p>
    <w:p>
      <w:pPr>
        <w:jc w:val="both"/>
        <w:ind w:left="820" w:right="20" w:hanging="812"/>
        <w:spacing w:after="0" w:line="25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reported in the Bonus column reflect bonuses awarded by the Compensation Committee and earned and accrued during the year ended March 31, 2019 by each NEO for attainment of performance-based objectives during that period. Bonus amounts awarded by the Compensation Committee and earned by each NEO during the year ended March 31, 2019 were paid to each NEO during the subsequent fiscal year. The Compensation Committee has not yet determined or awarded a bonus to any NEO for our fiscal year ended March 31, 2020, nor have any bonus amounts been accrued as of the Record Date.</w:t>
      </w:r>
    </w:p>
    <w:p>
      <w:pPr>
        <w:spacing w:after="0" w:line="201" w:lineRule="exact"/>
        <w:rPr>
          <w:sz w:val="20"/>
          <w:szCs w:val="20"/>
          <w:color w:val="auto"/>
        </w:rPr>
      </w:pPr>
    </w:p>
    <w:p>
      <w:pPr>
        <w:jc w:val="both"/>
        <w:ind w:right="20" w:firstLine="810"/>
        <w:spacing w:after="0" w:line="268" w:lineRule="auto"/>
        <w:rPr>
          <w:sz w:val="20"/>
          <w:szCs w:val="20"/>
          <w:color w:val="auto"/>
        </w:rPr>
      </w:pPr>
      <w:r>
        <w:rPr>
          <w:rFonts w:ascii="Arial" w:cs="Arial" w:eastAsia="Arial" w:hAnsi="Arial"/>
          <w:sz w:val="18"/>
          <w:szCs w:val="18"/>
          <w:color w:val="auto"/>
        </w:rPr>
        <w:t>No NEO is entitled to receive, nor has any NEO received, any perquisites or other personal benefits that, in the aggregate, are worth over $50,000 or over 10% of their base salary.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Following the approval of our 2019 Employee Stock Purchase Plan (the </w:t>
      </w:r>
      <w:r>
        <w:rPr>
          <w:rFonts w:ascii="Arial" w:cs="Arial" w:eastAsia="Arial" w:hAnsi="Arial"/>
          <w:sz w:val="16"/>
          <w:szCs w:val="16"/>
          <w:i w:val="1"/>
          <w:iCs w:val="1"/>
          <w:color w:val="auto"/>
        </w:rPr>
        <w:t>2019 ESPP</w:t>
      </w:r>
      <w:r>
        <w:rPr>
          <w:rFonts w:ascii="Arial" w:cs="Arial" w:eastAsia="Arial" w:hAnsi="Arial"/>
          <w:sz w:val="16"/>
          <w:szCs w:val="16"/>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2020, no option period had been completed under the 2019 ESPP. The initial option period under the 2019 ESPP was completed on June 30, 2020 and Mr. Singh, Dr. Snodgrass, Dr. Smith and Mr. Dotson each purchased 5,000 shares of our common stock, the maximum number of shares each such NEO is permitted to purchase during any option period pursuant to the 2019 ESPP, at a price of $0.448 per share in accordance with the provisions of the 2019 ESPP.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 and Options at March 31, 2020</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NEOs as of March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Stock Options and Warrants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02"/>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40"/>
              <w:spacing w:after="0" w:line="201" w:lineRule="exact"/>
              <w:rPr>
                <w:sz w:val="20"/>
                <w:szCs w:val="20"/>
                <w:color w:val="auto"/>
              </w:rPr>
            </w:pPr>
            <w:r>
              <w:rPr>
                <w:rFonts w:ascii="Arial" w:cs="Arial" w:eastAsia="Arial" w:hAnsi="Arial"/>
                <w:sz w:val="18"/>
                <w:szCs w:val="18"/>
                <w:b w:val="1"/>
                <w:bCs w:val="1"/>
                <w:color w:val="auto"/>
                <w:w w:val="91"/>
              </w:rPr>
              <w:t>Number of</w:t>
            </w: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Securities</w:t>
            </w:r>
          </w:p>
        </w:tc>
        <w:tc>
          <w:tcPr>
            <w:tcW w:w="38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Number of</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Underlying</w:t>
            </w:r>
          </w:p>
        </w:tc>
        <w:tc>
          <w:tcPr>
            <w:tcW w:w="38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Securities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Unexercised Options</w:t>
            </w:r>
          </w:p>
        </w:tc>
        <w:tc>
          <w:tcPr>
            <w:tcW w:w="38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Underlying</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and Warrants</w:t>
            </w:r>
          </w:p>
        </w:tc>
        <w:tc>
          <w:tcPr>
            <w:tcW w:w="38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Unexercised Options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and Warrants</w:t>
            </w:r>
          </w:p>
        </w:tc>
        <w:tc>
          <w:tcPr>
            <w:tcW w:w="500" w:type="dxa"/>
            <w:vAlign w:val="bottom"/>
          </w:tcPr>
          <w:p>
            <w:pPr>
              <w:spacing w:after="0"/>
              <w:rPr>
                <w:sz w:val="18"/>
                <w:szCs w:val="18"/>
                <w:color w:val="auto"/>
              </w:rPr>
            </w:pPr>
          </w:p>
        </w:tc>
        <w:tc>
          <w:tcPr>
            <w:tcW w:w="1000" w:type="dxa"/>
            <w:vAlign w:val="bottom"/>
          </w:tcPr>
          <w:p>
            <w:pPr>
              <w:ind w:left="340"/>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b w:val="1"/>
                <w:bCs w:val="1"/>
                <w:color w:val="auto"/>
              </w:rPr>
              <w:t>Expiration</w:t>
            </w:r>
          </w:p>
        </w:tc>
      </w:tr>
      <w:tr>
        <w:trPr>
          <w:trHeight w:val="237"/>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Exercisable</w:t>
            </w:r>
          </w:p>
        </w:tc>
        <w:tc>
          <w:tcPr>
            <w:tcW w:w="380" w:type="dxa"/>
            <w:vAlign w:val="bottom"/>
          </w:tcPr>
          <w:p>
            <w:pPr>
              <w:spacing w:after="0"/>
              <w:rPr>
                <w:sz w:val="20"/>
                <w:szCs w:val="20"/>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 Unexercisable</w:t>
            </w:r>
          </w:p>
        </w:tc>
        <w:tc>
          <w:tcPr>
            <w:tcW w:w="500" w:type="dxa"/>
            <w:vAlign w:val="bottom"/>
          </w:tcPr>
          <w:p>
            <w:pPr>
              <w:spacing w:after="0"/>
              <w:rPr>
                <w:sz w:val="20"/>
                <w:szCs w:val="20"/>
                <w:color w:val="auto"/>
              </w:rPr>
            </w:pPr>
          </w:p>
        </w:tc>
        <w:tc>
          <w:tcPr>
            <w:tcW w:w="1000" w:type="dxa"/>
            <w:vAlign w:val="bottom"/>
          </w:tcPr>
          <w:p>
            <w:pPr>
              <w:ind w:left="340"/>
              <w:spacing w:after="0"/>
              <w:rPr>
                <w:sz w:val="20"/>
                <w:szCs w:val="20"/>
                <w:color w:val="auto"/>
              </w:rPr>
            </w:pPr>
            <w:r>
              <w:rPr>
                <w:rFonts w:ascii="Arial" w:cs="Arial" w:eastAsia="Arial" w:hAnsi="Arial"/>
                <w:sz w:val="18"/>
                <w:szCs w:val="18"/>
                <w:b w:val="1"/>
                <w:bCs w:val="1"/>
                <w:color w:val="auto"/>
                <w:w w:val="90"/>
              </w:rPr>
              <w:t>Price ($)</w:t>
            </w:r>
          </w:p>
        </w:tc>
        <w:tc>
          <w:tcPr>
            <w:tcW w:w="320" w:type="dxa"/>
            <w:vAlign w:val="bottom"/>
          </w:tcPr>
          <w:p>
            <w:pPr>
              <w:spacing w:after="0"/>
              <w:rPr>
                <w:sz w:val="20"/>
                <w:szCs w:val="20"/>
                <w:color w:val="auto"/>
              </w:rPr>
            </w:pPr>
          </w:p>
        </w:tc>
        <w:tc>
          <w:tcPr>
            <w:tcW w:w="1400" w:type="dxa"/>
            <w:vAlign w:val="bottom"/>
            <w:gridSpan w:val="2"/>
          </w:tcPr>
          <w:p>
            <w:pPr>
              <w:ind w:left="620"/>
              <w:spacing w:after="0"/>
              <w:rPr>
                <w:sz w:val="20"/>
                <w:szCs w:val="20"/>
                <w:color w:val="auto"/>
              </w:rPr>
            </w:pPr>
            <w:r>
              <w:rPr>
                <w:rFonts w:ascii="Arial" w:cs="Arial" w:eastAsia="Arial" w:hAnsi="Arial"/>
                <w:sz w:val="18"/>
                <w:szCs w:val="18"/>
                <w:b w:val="1"/>
                <w:bCs w:val="1"/>
                <w:color w:val="auto"/>
              </w:rPr>
              <w:t>Date</w:t>
            </w:r>
          </w:p>
        </w:tc>
      </w:tr>
      <w:tr>
        <w:trPr>
          <w:trHeight w:val="216"/>
        </w:trPr>
        <w:tc>
          <w:tcPr>
            <w:tcW w:w="4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4/26/2021</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72,000</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7.00</w:t>
            </w:r>
          </w:p>
        </w:tc>
        <w:tc>
          <w:tcPr>
            <w:tcW w:w="1340" w:type="dxa"/>
            <w:vAlign w:val="bottom"/>
          </w:tcPr>
          <w:p>
            <w:pPr>
              <w:jc w:val="center"/>
              <w:ind w:left="152"/>
              <w:spacing w:after="0"/>
              <w:rPr>
                <w:sz w:val="20"/>
                <w:szCs w:val="20"/>
                <w:color w:val="auto"/>
              </w:rPr>
            </w:pPr>
            <w:r>
              <w:rPr>
                <w:rFonts w:ascii="Arial" w:cs="Arial" w:eastAsia="Arial" w:hAnsi="Arial"/>
                <w:sz w:val="18"/>
                <w:szCs w:val="18"/>
                <w:color w:val="auto"/>
                <w:w w:val="88"/>
              </w:rPr>
              <w:t>3/3/2023</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7.00</w:t>
            </w:r>
          </w:p>
        </w:tc>
        <w:tc>
          <w:tcPr>
            <w:tcW w:w="13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9/2/2020</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187,500</w:t>
            </w:r>
          </w:p>
        </w:tc>
        <w:tc>
          <w:tcPr>
            <w:tcW w:w="380" w:type="dxa"/>
            <w:vAlign w:val="bottom"/>
          </w:tcPr>
          <w:p>
            <w:pPr>
              <w:ind w:left="60"/>
              <w:spacing w:after="0"/>
              <w:rPr>
                <w:sz w:val="20"/>
                <w:szCs w:val="20"/>
                <w:color w:val="auto"/>
              </w:rPr>
            </w:pPr>
            <w:r>
              <w:rPr>
                <w:rFonts w:ascii="Arial" w:cs="Arial" w:eastAsia="Arial" w:hAnsi="Arial"/>
                <w:sz w:val="12"/>
                <w:szCs w:val="12"/>
                <w:color w:val="auto"/>
              </w:rPr>
              <w:t>(1)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12,500</w:t>
            </w:r>
          </w:p>
        </w:tc>
        <w:tc>
          <w:tcPr>
            <w:tcW w:w="500" w:type="dxa"/>
            <w:vAlign w:val="bottom"/>
          </w:tcPr>
          <w:p>
            <w:pPr>
              <w:ind w:left="60"/>
              <w:spacing w:after="0"/>
              <w:rPr>
                <w:sz w:val="20"/>
                <w:szCs w:val="20"/>
                <w:color w:val="auto"/>
              </w:rPr>
            </w:pPr>
            <w:r>
              <w:rPr>
                <w:rFonts w:ascii="Arial" w:cs="Arial" w:eastAsia="Arial" w:hAnsi="Arial"/>
                <w:sz w:val="12"/>
                <w:szCs w:val="12"/>
                <w:color w:val="auto"/>
              </w:rPr>
              <w:t>(1)</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6/19/2026</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(2)</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7"/>
              </w:rPr>
              <w:t>11/9/2026</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170,138</w:t>
            </w:r>
          </w:p>
        </w:tc>
        <w:tc>
          <w:tcPr>
            <w:tcW w:w="380" w:type="dxa"/>
            <w:vAlign w:val="bottom"/>
          </w:tcPr>
          <w:p>
            <w:pPr>
              <w:ind w:left="60"/>
              <w:spacing w:after="0"/>
              <w:rPr>
                <w:sz w:val="20"/>
                <w:szCs w:val="20"/>
                <w:color w:val="auto"/>
              </w:rPr>
            </w:pPr>
            <w:r>
              <w:rPr>
                <w:rFonts w:ascii="Arial" w:cs="Arial" w:eastAsia="Arial" w:hAnsi="Arial"/>
                <w:sz w:val="12"/>
                <w:szCs w:val="12"/>
                <w:color w:val="auto"/>
              </w:rPr>
              <w:t>(3)</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4,862</w:t>
            </w:r>
          </w:p>
        </w:tc>
        <w:tc>
          <w:tcPr>
            <w:tcW w:w="500" w:type="dxa"/>
            <w:vAlign w:val="bottom"/>
          </w:tcPr>
          <w:p>
            <w:pPr>
              <w:ind w:left="60"/>
              <w:spacing w:after="0"/>
              <w:rPr>
                <w:sz w:val="20"/>
                <w:szCs w:val="20"/>
                <w:color w:val="auto"/>
              </w:rPr>
            </w:pPr>
            <w:r>
              <w:rPr>
                <w:rFonts w:ascii="Arial" w:cs="Arial" w:eastAsia="Arial" w:hAnsi="Arial"/>
                <w:sz w:val="12"/>
                <w:szCs w:val="12"/>
                <w:color w:val="auto"/>
              </w:rPr>
              <w:t>(3)</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4/26/2027</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w:t>
            </w:r>
          </w:p>
        </w:tc>
        <w:tc>
          <w:tcPr>
            <w:tcW w:w="13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9/19/2027</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1.16</w:t>
            </w:r>
          </w:p>
        </w:tc>
        <w:tc>
          <w:tcPr>
            <w:tcW w:w="1340" w:type="dxa"/>
            <w:vAlign w:val="bottom"/>
          </w:tcPr>
          <w:p>
            <w:pPr>
              <w:jc w:val="center"/>
              <w:ind w:left="152"/>
              <w:spacing w:after="0"/>
              <w:rPr>
                <w:sz w:val="20"/>
                <w:szCs w:val="20"/>
                <w:color w:val="auto"/>
              </w:rPr>
            </w:pPr>
            <w:r>
              <w:rPr>
                <w:rFonts w:ascii="Arial" w:cs="Arial" w:eastAsia="Arial" w:hAnsi="Arial"/>
                <w:sz w:val="18"/>
                <w:szCs w:val="18"/>
                <w:color w:val="auto"/>
                <w:w w:val="88"/>
              </w:rPr>
              <w:t>2/2/2028</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151,250</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(4)</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68,750</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(4)</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1.70</w:t>
            </w:r>
          </w:p>
        </w:tc>
        <w:tc>
          <w:tcPr>
            <w:tcW w:w="13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1/14/2029</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58,335</w:t>
            </w:r>
          </w:p>
        </w:tc>
        <w:tc>
          <w:tcPr>
            <w:tcW w:w="380" w:type="dxa"/>
            <w:vAlign w:val="bottom"/>
          </w:tcPr>
          <w:p>
            <w:pPr>
              <w:ind w:left="60"/>
              <w:spacing w:after="0"/>
              <w:rPr>
                <w:sz w:val="20"/>
                <w:szCs w:val="20"/>
                <w:color w:val="auto"/>
              </w:rPr>
            </w:pPr>
            <w:r>
              <w:rPr>
                <w:rFonts w:ascii="Arial" w:cs="Arial" w:eastAsia="Arial" w:hAnsi="Arial"/>
                <w:sz w:val="12"/>
                <w:szCs w:val="12"/>
                <w:color w:val="auto"/>
              </w:rPr>
              <w:t>(7)</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21,665</w:t>
            </w:r>
          </w:p>
        </w:tc>
        <w:tc>
          <w:tcPr>
            <w:tcW w:w="500" w:type="dxa"/>
            <w:vAlign w:val="bottom"/>
          </w:tcPr>
          <w:p>
            <w:pPr>
              <w:ind w:left="60"/>
              <w:spacing w:after="0"/>
              <w:rPr>
                <w:sz w:val="20"/>
                <w:szCs w:val="20"/>
                <w:color w:val="auto"/>
              </w:rPr>
            </w:pPr>
            <w:r>
              <w:rPr>
                <w:rFonts w:ascii="Arial" w:cs="Arial" w:eastAsia="Arial" w:hAnsi="Arial"/>
                <w:sz w:val="12"/>
                <w:szCs w:val="12"/>
                <w:color w:val="auto"/>
              </w:rPr>
              <w:t>(7)</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5/23/2029</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63,750</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(9)</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106,250</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(9)</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c>
          <w:tcPr>
            <w:tcW w:w="13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9/5/2029</w:t>
            </w:r>
          </w:p>
        </w:tc>
        <w:tc>
          <w:tcPr>
            <w:tcW w:w="6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121,875</w:t>
            </w:r>
          </w:p>
        </w:tc>
        <w:tc>
          <w:tcPr>
            <w:tcW w:w="4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2"/>
                <w:szCs w:val="12"/>
                <w:color w:val="auto"/>
              </w:rPr>
              <w:t>(10)</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178,125</w:t>
            </w:r>
          </w:p>
        </w:tc>
        <w:tc>
          <w:tcPr>
            <w:tcW w:w="4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(10)</w:t>
            </w: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1.41</w:t>
            </w:r>
          </w:p>
        </w:tc>
        <w:tc>
          <w:tcPr>
            <w:tcW w:w="1340" w:type="dxa"/>
            <w:vAlign w:val="bottom"/>
          </w:tcPr>
          <w:p>
            <w:pPr>
              <w:jc w:val="center"/>
              <w:ind w:left="132"/>
              <w:spacing w:after="0" w:line="196" w:lineRule="exact"/>
              <w:rPr>
                <w:sz w:val="20"/>
                <w:szCs w:val="20"/>
                <w:color w:val="auto"/>
              </w:rPr>
            </w:pPr>
            <w:r>
              <w:rPr>
                <w:rFonts w:ascii="Arial" w:cs="Arial" w:eastAsia="Arial" w:hAnsi="Arial"/>
                <w:sz w:val="18"/>
                <w:szCs w:val="18"/>
                <w:color w:val="auto"/>
                <w:w w:val="88"/>
              </w:rPr>
              <w:t>10/21/2029</w:t>
            </w:r>
          </w:p>
        </w:tc>
        <w:tc>
          <w:tcPr>
            <w:tcW w:w="60" w:type="dxa"/>
            <w:vAlign w:val="bottom"/>
          </w:tcPr>
          <w:p>
            <w:pPr>
              <w:spacing w:after="0"/>
              <w:rPr>
                <w:sz w:val="19"/>
                <w:szCs w:val="19"/>
                <w:color w:val="auto"/>
              </w:rPr>
            </w:pPr>
          </w:p>
        </w:tc>
      </w:tr>
      <w:tr>
        <w:trPr>
          <w:trHeight w:val="216"/>
        </w:trPr>
        <w:tc>
          <w:tcPr>
            <w:tcW w:w="4400" w:type="dxa"/>
            <w:vAlign w:val="bottom"/>
            <w:gridSpan w:val="2"/>
            <w:shd w:val="clear" w:color="auto" w:fill="CCEEFF"/>
          </w:tcPr>
          <w:p>
            <w:pPr>
              <w:ind w:left="3760"/>
              <w:spacing w:after="0"/>
              <w:rPr>
                <w:sz w:val="20"/>
                <w:szCs w:val="20"/>
                <w:color w:val="auto"/>
              </w:rPr>
            </w:pPr>
            <w:r>
              <w:rPr>
                <w:rFonts w:ascii="Arial" w:cs="Arial" w:eastAsia="Arial" w:hAnsi="Arial"/>
                <w:sz w:val="18"/>
                <w:szCs w:val="18"/>
                <w:i w:val="1"/>
                <w:iCs w:val="1"/>
                <w:color w:val="auto"/>
              </w:rPr>
              <w:t>Total:</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1,604,848</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392,152</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H. Ralph Snodgrass, Ph.D.</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7.00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9/20/2020</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7.00</w:t>
            </w:r>
          </w:p>
        </w:tc>
        <w:tc>
          <w:tcPr>
            <w:tcW w:w="13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3/3/2023</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117,187</w:t>
            </w:r>
          </w:p>
        </w:tc>
        <w:tc>
          <w:tcPr>
            <w:tcW w:w="380" w:type="dxa"/>
            <w:vAlign w:val="bottom"/>
          </w:tcPr>
          <w:p>
            <w:pPr>
              <w:ind w:left="60"/>
              <w:spacing w:after="0"/>
              <w:rPr>
                <w:sz w:val="20"/>
                <w:szCs w:val="20"/>
                <w:color w:val="auto"/>
              </w:rPr>
            </w:pPr>
            <w:r>
              <w:rPr>
                <w:rFonts w:ascii="Arial" w:cs="Arial" w:eastAsia="Arial" w:hAnsi="Arial"/>
                <w:sz w:val="12"/>
                <w:szCs w:val="12"/>
                <w:color w:val="auto"/>
              </w:rPr>
              <w:t>(1)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7,813</w:t>
            </w:r>
          </w:p>
        </w:tc>
        <w:tc>
          <w:tcPr>
            <w:tcW w:w="500" w:type="dxa"/>
            <w:vAlign w:val="bottom"/>
          </w:tcPr>
          <w:p>
            <w:pPr>
              <w:ind w:left="60"/>
              <w:spacing w:after="0"/>
              <w:rPr>
                <w:sz w:val="20"/>
                <w:szCs w:val="20"/>
                <w:color w:val="auto"/>
              </w:rPr>
            </w:pPr>
            <w:r>
              <w:rPr>
                <w:rFonts w:ascii="Arial" w:cs="Arial" w:eastAsia="Arial" w:hAnsi="Arial"/>
                <w:sz w:val="12"/>
                <w:szCs w:val="12"/>
                <w:color w:val="auto"/>
              </w:rPr>
              <w:t>(1)</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6/19/2026</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(2)</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7"/>
              </w:rPr>
              <w:t>11/9/2026</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121,527</w:t>
            </w:r>
          </w:p>
        </w:tc>
        <w:tc>
          <w:tcPr>
            <w:tcW w:w="380" w:type="dxa"/>
            <w:vAlign w:val="bottom"/>
          </w:tcPr>
          <w:p>
            <w:pPr>
              <w:ind w:left="60"/>
              <w:spacing w:after="0"/>
              <w:rPr>
                <w:sz w:val="20"/>
                <w:szCs w:val="20"/>
                <w:color w:val="auto"/>
              </w:rPr>
            </w:pPr>
            <w:r>
              <w:rPr>
                <w:rFonts w:ascii="Arial" w:cs="Arial" w:eastAsia="Arial" w:hAnsi="Arial"/>
                <w:sz w:val="12"/>
                <w:szCs w:val="12"/>
                <w:color w:val="auto"/>
              </w:rPr>
              <w:t>(3)</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3,473</w:t>
            </w:r>
          </w:p>
        </w:tc>
        <w:tc>
          <w:tcPr>
            <w:tcW w:w="500" w:type="dxa"/>
            <w:vAlign w:val="bottom"/>
          </w:tcPr>
          <w:p>
            <w:pPr>
              <w:ind w:left="60"/>
              <w:spacing w:after="0"/>
              <w:rPr>
                <w:sz w:val="20"/>
                <w:szCs w:val="20"/>
                <w:color w:val="auto"/>
              </w:rPr>
            </w:pPr>
            <w:r>
              <w:rPr>
                <w:rFonts w:ascii="Arial" w:cs="Arial" w:eastAsia="Arial" w:hAnsi="Arial"/>
                <w:sz w:val="12"/>
                <w:szCs w:val="12"/>
                <w:color w:val="auto"/>
              </w:rPr>
              <w:t>(3)</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4/26/2027</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w:t>
            </w:r>
          </w:p>
        </w:tc>
        <w:tc>
          <w:tcPr>
            <w:tcW w:w="13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9/19/2027</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175,000</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1.16</w:t>
            </w:r>
          </w:p>
        </w:tc>
        <w:tc>
          <w:tcPr>
            <w:tcW w:w="1340" w:type="dxa"/>
            <w:vAlign w:val="bottom"/>
          </w:tcPr>
          <w:p>
            <w:pPr>
              <w:jc w:val="center"/>
              <w:ind w:left="152"/>
              <w:spacing w:after="0"/>
              <w:rPr>
                <w:sz w:val="20"/>
                <w:szCs w:val="20"/>
                <w:color w:val="auto"/>
              </w:rPr>
            </w:pPr>
            <w:r>
              <w:rPr>
                <w:rFonts w:ascii="Arial" w:cs="Arial" w:eastAsia="Arial" w:hAnsi="Arial"/>
                <w:sz w:val="18"/>
                <w:szCs w:val="18"/>
                <w:color w:val="auto"/>
                <w:w w:val="88"/>
              </w:rPr>
              <w:t>2/2/2028</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105,468</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(5)</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19,532</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(4)</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1.27</w:t>
            </w:r>
          </w:p>
        </w:tc>
        <w:tc>
          <w:tcPr>
            <w:tcW w:w="13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8/5/2028</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68,750</w:t>
            </w:r>
          </w:p>
        </w:tc>
        <w:tc>
          <w:tcPr>
            <w:tcW w:w="380" w:type="dxa"/>
            <w:vAlign w:val="bottom"/>
          </w:tcPr>
          <w:p>
            <w:pPr>
              <w:ind w:left="60"/>
              <w:spacing w:after="0"/>
              <w:rPr>
                <w:sz w:val="20"/>
                <w:szCs w:val="20"/>
                <w:color w:val="auto"/>
              </w:rPr>
            </w:pPr>
            <w:r>
              <w:rPr>
                <w:rFonts w:ascii="Arial" w:cs="Arial" w:eastAsia="Arial" w:hAnsi="Arial"/>
                <w:sz w:val="12"/>
                <w:szCs w:val="12"/>
                <w:color w:val="auto"/>
              </w:rPr>
              <w:t>(8)</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81,250</w:t>
            </w:r>
          </w:p>
        </w:tc>
        <w:tc>
          <w:tcPr>
            <w:tcW w:w="500" w:type="dxa"/>
            <w:vAlign w:val="bottom"/>
          </w:tcPr>
          <w:p>
            <w:pPr>
              <w:ind w:left="60"/>
              <w:spacing w:after="0"/>
              <w:rPr>
                <w:sz w:val="20"/>
                <w:szCs w:val="20"/>
                <w:color w:val="auto"/>
              </w:rPr>
            </w:pPr>
            <w:r>
              <w:rPr>
                <w:rFonts w:ascii="Arial" w:cs="Arial" w:eastAsia="Arial" w:hAnsi="Arial"/>
                <w:sz w:val="12"/>
                <w:szCs w:val="12"/>
                <w:color w:val="auto"/>
              </w:rPr>
              <w:t>(8)</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5/23/2029</w:t>
            </w:r>
          </w:p>
        </w:tc>
        <w:tc>
          <w:tcPr>
            <w:tcW w:w="60" w:type="dxa"/>
            <w:vAlign w:val="bottom"/>
          </w:tcPr>
          <w:p>
            <w:pPr>
              <w:spacing w:after="0"/>
              <w:rPr>
                <w:sz w:val="18"/>
                <w:szCs w:val="18"/>
                <w:color w:val="auto"/>
              </w:rPr>
            </w:pPr>
          </w:p>
        </w:tc>
      </w:tr>
      <w:tr>
        <w:trPr>
          <w:trHeight w:val="223"/>
        </w:trPr>
        <w:tc>
          <w:tcPr>
            <w:tcW w:w="4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71,094</w:t>
            </w:r>
          </w:p>
        </w:tc>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(10)</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103,906</w:t>
            </w:r>
          </w:p>
        </w:tc>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(10)</w:t>
            </w:r>
          </w:p>
        </w:tc>
        <w:tc>
          <w:tcPr>
            <w:tcW w:w="1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1.41</w:t>
            </w:r>
          </w:p>
        </w:tc>
        <w:tc>
          <w:tcPr>
            <w:tcW w:w="1340" w:type="dxa"/>
            <w:vAlign w:val="bottom"/>
            <w:tcBorders>
              <w:bottom w:val="single" w:sz="8" w:color="CCEEFF"/>
            </w:tcBorders>
            <w:shd w:val="clear" w:color="auto" w:fill="CCEEFF"/>
          </w:tcPr>
          <w:p>
            <w:pPr>
              <w:jc w:val="center"/>
              <w:ind w:left="132"/>
              <w:spacing w:after="0" w:line="196" w:lineRule="exact"/>
              <w:rPr>
                <w:sz w:val="20"/>
                <w:szCs w:val="20"/>
                <w:color w:val="auto"/>
              </w:rPr>
            </w:pPr>
            <w:r>
              <w:rPr>
                <w:rFonts w:ascii="Arial" w:cs="Arial" w:eastAsia="Arial" w:hAnsi="Arial"/>
                <w:sz w:val="18"/>
                <w:szCs w:val="18"/>
                <w:color w:val="auto"/>
                <w:w w:val="88"/>
              </w:rPr>
              <w:t>10/21/2029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4400" w:type="dxa"/>
            <w:vAlign w:val="bottom"/>
            <w:gridSpan w:val="2"/>
          </w:tcPr>
          <w:p>
            <w:pPr>
              <w:ind w:left="3700"/>
              <w:spacing w:after="0"/>
              <w:rPr>
                <w:sz w:val="20"/>
                <w:szCs w:val="20"/>
                <w:color w:val="auto"/>
              </w:rPr>
            </w:pPr>
            <w:r>
              <w:rPr>
                <w:rFonts w:ascii="Arial" w:cs="Arial" w:eastAsia="Arial" w:hAnsi="Arial"/>
                <w:sz w:val="18"/>
                <w:szCs w:val="18"/>
                <w:i w:val="1"/>
                <w:iCs w:val="1"/>
                <w:color w:val="auto"/>
              </w:rPr>
              <w:t>Total:</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1,039,026</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215,974</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Mark A. Smith, M.D. Ph.D.</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168,750</w:t>
            </w:r>
          </w:p>
        </w:tc>
        <w:tc>
          <w:tcPr>
            <w:tcW w:w="380" w:type="dxa"/>
            <w:vAlign w:val="bottom"/>
          </w:tcPr>
          <w:p>
            <w:pPr>
              <w:ind w:left="60"/>
              <w:spacing w:after="0"/>
              <w:rPr>
                <w:sz w:val="20"/>
                <w:szCs w:val="20"/>
                <w:color w:val="auto"/>
              </w:rPr>
            </w:pPr>
            <w:r>
              <w:rPr>
                <w:rFonts w:ascii="Arial" w:cs="Arial" w:eastAsia="Arial" w:hAnsi="Arial"/>
                <w:sz w:val="12"/>
                <w:szCs w:val="12"/>
                <w:color w:val="auto"/>
              </w:rPr>
              <w:t>(1)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11,250</w:t>
            </w:r>
          </w:p>
        </w:tc>
        <w:tc>
          <w:tcPr>
            <w:tcW w:w="500" w:type="dxa"/>
            <w:vAlign w:val="bottom"/>
          </w:tcPr>
          <w:p>
            <w:pPr>
              <w:ind w:left="60"/>
              <w:spacing w:after="0"/>
              <w:rPr>
                <w:sz w:val="20"/>
                <w:szCs w:val="20"/>
                <w:color w:val="auto"/>
              </w:rPr>
            </w:pPr>
            <w:r>
              <w:rPr>
                <w:rFonts w:ascii="Arial" w:cs="Arial" w:eastAsia="Arial" w:hAnsi="Arial"/>
                <w:sz w:val="12"/>
                <w:szCs w:val="12"/>
                <w:color w:val="auto"/>
              </w:rPr>
              <w:t>(1)</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6/19/2026</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(2)</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7"/>
              </w:rPr>
              <w:t>11/9/2026</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121,527</w:t>
            </w:r>
          </w:p>
        </w:tc>
        <w:tc>
          <w:tcPr>
            <w:tcW w:w="380" w:type="dxa"/>
            <w:vAlign w:val="bottom"/>
          </w:tcPr>
          <w:p>
            <w:pPr>
              <w:ind w:left="60"/>
              <w:spacing w:after="0"/>
              <w:rPr>
                <w:sz w:val="20"/>
                <w:szCs w:val="20"/>
                <w:color w:val="auto"/>
              </w:rPr>
            </w:pPr>
            <w:r>
              <w:rPr>
                <w:rFonts w:ascii="Arial" w:cs="Arial" w:eastAsia="Arial" w:hAnsi="Arial"/>
                <w:sz w:val="12"/>
                <w:szCs w:val="12"/>
                <w:color w:val="auto"/>
              </w:rPr>
              <w:t>(3)</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3,473</w:t>
            </w:r>
          </w:p>
        </w:tc>
        <w:tc>
          <w:tcPr>
            <w:tcW w:w="500" w:type="dxa"/>
            <w:vAlign w:val="bottom"/>
          </w:tcPr>
          <w:p>
            <w:pPr>
              <w:ind w:left="60"/>
              <w:spacing w:after="0"/>
              <w:rPr>
                <w:sz w:val="20"/>
                <w:szCs w:val="20"/>
                <w:color w:val="auto"/>
              </w:rPr>
            </w:pPr>
            <w:r>
              <w:rPr>
                <w:rFonts w:ascii="Arial" w:cs="Arial" w:eastAsia="Arial" w:hAnsi="Arial"/>
                <w:sz w:val="12"/>
                <w:szCs w:val="12"/>
                <w:color w:val="auto"/>
              </w:rPr>
              <w:t>(3)</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4/26/2027</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w:t>
            </w:r>
          </w:p>
        </w:tc>
        <w:tc>
          <w:tcPr>
            <w:tcW w:w="13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9/19/2027</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1.16</w:t>
            </w:r>
          </w:p>
        </w:tc>
        <w:tc>
          <w:tcPr>
            <w:tcW w:w="1340" w:type="dxa"/>
            <w:vAlign w:val="bottom"/>
          </w:tcPr>
          <w:p>
            <w:pPr>
              <w:jc w:val="center"/>
              <w:ind w:left="152"/>
              <w:spacing w:after="0"/>
              <w:rPr>
                <w:sz w:val="20"/>
                <w:szCs w:val="20"/>
                <w:color w:val="auto"/>
              </w:rPr>
            </w:pPr>
            <w:r>
              <w:rPr>
                <w:rFonts w:ascii="Arial" w:cs="Arial" w:eastAsia="Arial" w:hAnsi="Arial"/>
                <w:sz w:val="18"/>
                <w:szCs w:val="18"/>
                <w:color w:val="auto"/>
                <w:w w:val="88"/>
              </w:rPr>
              <w:t>2/2/2028</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84,375</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(5)</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15,625</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(5)</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1.27</w:t>
            </w:r>
          </w:p>
        </w:tc>
        <w:tc>
          <w:tcPr>
            <w:tcW w:w="13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8/5/2028</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68,750</w:t>
            </w:r>
          </w:p>
        </w:tc>
        <w:tc>
          <w:tcPr>
            <w:tcW w:w="380" w:type="dxa"/>
            <w:vAlign w:val="bottom"/>
          </w:tcPr>
          <w:p>
            <w:pPr>
              <w:ind w:left="60"/>
              <w:spacing w:after="0"/>
              <w:rPr>
                <w:sz w:val="20"/>
                <w:szCs w:val="20"/>
                <w:color w:val="auto"/>
              </w:rPr>
            </w:pPr>
            <w:r>
              <w:rPr>
                <w:rFonts w:ascii="Arial" w:cs="Arial" w:eastAsia="Arial" w:hAnsi="Arial"/>
                <w:sz w:val="12"/>
                <w:szCs w:val="12"/>
                <w:color w:val="auto"/>
              </w:rPr>
              <w:t>(8)</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81,250</w:t>
            </w:r>
          </w:p>
        </w:tc>
        <w:tc>
          <w:tcPr>
            <w:tcW w:w="500" w:type="dxa"/>
            <w:vAlign w:val="bottom"/>
          </w:tcPr>
          <w:p>
            <w:pPr>
              <w:ind w:left="60"/>
              <w:spacing w:after="0"/>
              <w:rPr>
                <w:sz w:val="20"/>
                <w:szCs w:val="20"/>
                <w:color w:val="auto"/>
              </w:rPr>
            </w:pPr>
            <w:r>
              <w:rPr>
                <w:rFonts w:ascii="Arial" w:cs="Arial" w:eastAsia="Arial" w:hAnsi="Arial"/>
                <w:sz w:val="12"/>
                <w:szCs w:val="12"/>
                <w:color w:val="auto"/>
              </w:rPr>
              <w:t>(8)</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1.00</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9"/>
              </w:rPr>
              <w:t>5/23/2029</w:t>
            </w:r>
          </w:p>
        </w:tc>
        <w:tc>
          <w:tcPr>
            <w:tcW w:w="60" w:type="dxa"/>
            <w:vAlign w:val="bottom"/>
          </w:tcPr>
          <w:p>
            <w:pPr>
              <w:spacing w:after="0"/>
              <w:rPr>
                <w:sz w:val="18"/>
                <w:szCs w:val="18"/>
                <w:color w:val="auto"/>
              </w:rPr>
            </w:pPr>
          </w:p>
        </w:tc>
      </w:tr>
      <w:tr>
        <w:trPr>
          <w:trHeight w:val="223"/>
        </w:trPr>
        <w:tc>
          <w:tcPr>
            <w:tcW w:w="4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40,625</w:t>
            </w:r>
          </w:p>
        </w:tc>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(10)</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59,375</w:t>
            </w:r>
          </w:p>
        </w:tc>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(10)</w:t>
            </w:r>
          </w:p>
        </w:tc>
        <w:tc>
          <w:tcPr>
            <w:tcW w:w="1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1.41</w:t>
            </w:r>
          </w:p>
        </w:tc>
        <w:tc>
          <w:tcPr>
            <w:tcW w:w="1340" w:type="dxa"/>
            <w:vAlign w:val="bottom"/>
            <w:tcBorders>
              <w:bottom w:val="single" w:sz="8" w:color="CCEEFF"/>
            </w:tcBorders>
            <w:shd w:val="clear" w:color="auto" w:fill="CCEEFF"/>
          </w:tcPr>
          <w:p>
            <w:pPr>
              <w:jc w:val="center"/>
              <w:ind w:left="132"/>
              <w:spacing w:after="0" w:line="196" w:lineRule="exact"/>
              <w:rPr>
                <w:sz w:val="20"/>
                <w:szCs w:val="20"/>
                <w:color w:val="auto"/>
              </w:rPr>
            </w:pPr>
            <w:r>
              <w:rPr>
                <w:rFonts w:ascii="Arial" w:cs="Arial" w:eastAsia="Arial" w:hAnsi="Arial"/>
                <w:sz w:val="18"/>
                <w:szCs w:val="18"/>
                <w:color w:val="auto"/>
                <w:w w:val="88"/>
              </w:rPr>
              <w:t>10/21/2029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4400" w:type="dxa"/>
            <w:vAlign w:val="bottom"/>
            <w:gridSpan w:val="2"/>
          </w:tcPr>
          <w:p>
            <w:pPr>
              <w:ind w:left="3700"/>
              <w:spacing w:after="0"/>
              <w:rPr>
                <w:sz w:val="20"/>
                <w:szCs w:val="20"/>
                <w:color w:val="auto"/>
              </w:rPr>
            </w:pPr>
            <w:r>
              <w:rPr>
                <w:rFonts w:ascii="Arial" w:cs="Arial" w:eastAsia="Arial" w:hAnsi="Arial"/>
                <w:sz w:val="18"/>
                <w:szCs w:val="18"/>
                <w:i w:val="1"/>
                <w:iCs w:val="1"/>
                <w:color w:val="auto"/>
              </w:rPr>
              <w:t>Total:</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864,027</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170,973</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5,001</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10/30/2022</w:t>
            </w:r>
          </w:p>
        </w:tc>
      </w:tr>
      <w:tr>
        <w:trPr>
          <w:trHeight w:val="216"/>
        </w:trPr>
        <w:tc>
          <w:tcPr>
            <w:tcW w:w="4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1400" w:type="dxa"/>
            <w:vAlign w:val="bottom"/>
          </w:tcPr>
          <w:p>
            <w:pPr>
              <w:jc w:val="center"/>
              <w:ind w:left="72"/>
              <w:spacing w:after="0"/>
              <w:rPr>
                <w:sz w:val="20"/>
                <w:szCs w:val="20"/>
                <w:color w:val="auto"/>
              </w:rPr>
            </w:pPr>
            <w:r>
              <w:rPr>
                <w:rFonts w:ascii="Arial" w:cs="Arial" w:eastAsia="Arial" w:hAnsi="Arial"/>
                <w:sz w:val="18"/>
                <w:szCs w:val="18"/>
                <w:color w:val="auto"/>
                <w:w w:val="88"/>
              </w:rPr>
              <w:t>10/27/2023</w:t>
            </w:r>
          </w:p>
        </w:tc>
      </w:tr>
      <w:tr>
        <w:trPr>
          <w:trHeight w:val="216"/>
        </w:trPr>
        <w:tc>
          <w:tcPr>
            <w:tcW w:w="4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8"/>
              </w:rPr>
              <w:t>9/2/2020</w:t>
            </w:r>
          </w:p>
        </w:tc>
      </w:tr>
      <w:tr>
        <w:trPr>
          <w:trHeight w:val="216"/>
        </w:trPr>
        <w:tc>
          <w:tcPr>
            <w:tcW w:w="4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7.00</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88"/>
              </w:rPr>
              <w:t>3/3/2023</w:t>
            </w:r>
          </w:p>
        </w:tc>
      </w:tr>
      <w:tr>
        <w:trPr>
          <w:trHeight w:val="216"/>
        </w:trPr>
        <w:tc>
          <w:tcPr>
            <w:tcW w:w="4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70,312</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4,688</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6/19/2026</w:t>
            </w:r>
          </w:p>
        </w:tc>
      </w:tr>
      <w:tr>
        <w:trPr>
          <w:trHeight w:val="216"/>
        </w:trPr>
        <w:tc>
          <w:tcPr>
            <w:tcW w:w="4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380" w:type="dxa"/>
            <w:vAlign w:val="bottom"/>
          </w:tcPr>
          <w:p>
            <w:pPr>
              <w:ind w:left="60"/>
              <w:spacing w:after="0"/>
              <w:rPr>
                <w:sz w:val="20"/>
                <w:szCs w:val="20"/>
                <w:color w:val="auto"/>
              </w:rPr>
            </w:pPr>
            <w:r>
              <w:rPr>
                <w:rFonts w:ascii="Arial" w:cs="Arial" w:eastAsia="Arial" w:hAnsi="Arial"/>
                <w:sz w:val="12"/>
                <w:szCs w:val="12"/>
                <w:color w:val="auto"/>
              </w:rPr>
              <w:t>(2)</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2"/>
                <w:szCs w:val="12"/>
                <w:color w:val="auto"/>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87"/>
              </w:rPr>
              <w:t>11/9/2026</w:t>
            </w:r>
          </w:p>
        </w:tc>
      </w:tr>
      <w:tr>
        <w:trPr>
          <w:trHeight w:val="216"/>
        </w:trPr>
        <w:tc>
          <w:tcPr>
            <w:tcW w:w="4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97,222</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(3)</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2,778</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4/26/2027</w:t>
            </w:r>
          </w:p>
        </w:tc>
      </w:tr>
      <w:tr>
        <w:trPr>
          <w:trHeight w:val="216"/>
        </w:trPr>
        <w:tc>
          <w:tcPr>
            <w:tcW w:w="4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1400" w:type="dxa"/>
            <w:vAlign w:val="bottom"/>
          </w:tcPr>
          <w:p>
            <w:pPr>
              <w:jc w:val="center"/>
              <w:ind w:left="72"/>
              <w:spacing w:after="0"/>
              <w:rPr>
                <w:sz w:val="20"/>
                <w:szCs w:val="20"/>
                <w:color w:val="auto"/>
              </w:rPr>
            </w:pPr>
            <w:r>
              <w:rPr>
                <w:rFonts w:ascii="Arial" w:cs="Arial" w:eastAsia="Arial" w:hAnsi="Arial"/>
                <w:sz w:val="18"/>
                <w:szCs w:val="18"/>
                <w:color w:val="auto"/>
                <w:w w:val="89"/>
              </w:rPr>
              <w:t>9/19/2027</w:t>
            </w:r>
          </w:p>
        </w:tc>
      </w:tr>
      <w:tr>
        <w:trPr>
          <w:trHeight w:val="216"/>
        </w:trPr>
        <w:tc>
          <w:tcPr>
            <w:tcW w:w="4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8"/>
              </w:rPr>
              <w:t>2/2/2028</w:t>
            </w:r>
          </w:p>
        </w:tc>
      </w:tr>
      <w:tr>
        <w:trPr>
          <w:trHeight w:val="216"/>
        </w:trPr>
        <w:tc>
          <w:tcPr>
            <w:tcW w:w="4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84,375</w:t>
            </w:r>
          </w:p>
        </w:tc>
        <w:tc>
          <w:tcPr>
            <w:tcW w:w="380" w:type="dxa"/>
            <w:vAlign w:val="bottom"/>
          </w:tcPr>
          <w:p>
            <w:pPr>
              <w:ind w:left="60"/>
              <w:spacing w:after="0"/>
              <w:rPr>
                <w:sz w:val="20"/>
                <w:szCs w:val="20"/>
                <w:color w:val="auto"/>
              </w:rPr>
            </w:pPr>
            <w:r>
              <w:rPr>
                <w:rFonts w:ascii="Arial" w:cs="Arial" w:eastAsia="Arial" w:hAnsi="Arial"/>
                <w:sz w:val="12"/>
                <w:szCs w:val="12"/>
                <w:color w:val="auto"/>
              </w:rPr>
              <w:t>(5)</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15,625</w:t>
            </w:r>
          </w:p>
        </w:tc>
        <w:tc>
          <w:tcPr>
            <w:tcW w:w="500" w:type="dxa"/>
            <w:vAlign w:val="bottom"/>
          </w:tcPr>
          <w:p>
            <w:pPr>
              <w:ind w:left="60"/>
              <w:spacing w:after="0"/>
              <w:rPr>
                <w:sz w:val="20"/>
                <w:szCs w:val="20"/>
                <w:color w:val="auto"/>
              </w:rPr>
            </w:pPr>
            <w:r>
              <w:rPr>
                <w:rFonts w:ascii="Arial" w:cs="Arial" w:eastAsia="Arial" w:hAnsi="Arial"/>
                <w:sz w:val="12"/>
                <w:szCs w:val="12"/>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88"/>
              </w:rPr>
              <w:t>8/5/2028</w:t>
            </w:r>
          </w:p>
        </w:tc>
      </w:tr>
      <w:tr>
        <w:trPr>
          <w:trHeight w:val="216"/>
        </w:trPr>
        <w:tc>
          <w:tcPr>
            <w:tcW w:w="4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68,750</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(8)</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81,250</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5/23/2029</w:t>
            </w:r>
          </w:p>
        </w:tc>
      </w:tr>
      <w:tr>
        <w:trPr>
          <w:trHeight w:val="223"/>
        </w:trPr>
        <w:tc>
          <w:tcPr>
            <w:tcW w:w="4280" w:type="dxa"/>
            <w:vAlign w:val="bottom"/>
          </w:tcPr>
          <w:p>
            <w:pPr>
              <w:spacing w:after="0"/>
              <w:rPr>
                <w:sz w:val="19"/>
                <w:szCs w:val="19"/>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60,938</w:t>
            </w:r>
          </w:p>
        </w:tc>
        <w:tc>
          <w:tcPr>
            <w:tcW w:w="4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2"/>
                <w:szCs w:val="12"/>
                <w:color w:val="auto"/>
              </w:rPr>
              <w:t>(10)</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89,062</w:t>
            </w:r>
          </w:p>
        </w:tc>
        <w:tc>
          <w:tcPr>
            <w:tcW w:w="4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(10)</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c>
          <w:tcPr>
            <w:tcW w:w="1400" w:type="dxa"/>
            <w:vAlign w:val="bottom"/>
          </w:tcPr>
          <w:p>
            <w:pPr>
              <w:jc w:val="center"/>
              <w:ind w:left="72"/>
              <w:spacing w:after="0" w:line="196" w:lineRule="exact"/>
              <w:rPr>
                <w:sz w:val="20"/>
                <w:szCs w:val="20"/>
                <w:color w:val="auto"/>
              </w:rPr>
            </w:pPr>
            <w:r>
              <w:rPr>
                <w:rFonts w:ascii="Arial" w:cs="Arial" w:eastAsia="Arial" w:hAnsi="Arial"/>
                <w:sz w:val="18"/>
                <w:szCs w:val="18"/>
                <w:color w:val="auto"/>
                <w:w w:val="88"/>
              </w:rPr>
              <w:t>10/21/2029</w:t>
            </w:r>
          </w:p>
        </w:tc>
      </w:tr>
      <w:tr>
        <w:trPr>
          <w:trHeight w:val="216"/>
        </w:trPr>
        <w:tc>
          <w:tcPr>
            <w:tcW w:w="4280" w:type="dxa"/>
            <w:vAlign w:val="bottom"/>
            <w:shd w:val="clear" w:color="auto" w:fill="CCEEFF"/>
          </w:tcPr>
          <w:p>
            <w:pPr>
              <w:ind w:left="3760"/>
              <w:spacing w:after="0"/>
              <w:rPr>
                <w:sz w:val="20"/>
                <w:szCs w:val="20"/>
                <w:color w:val="auto"/>
              </w:rPr>
            </w:pPr>
            <w:r>
              <w:rPr>
                <w:rFonts w:ascii="Arial" w:cs="Arial" w:eastAsia="Arial" w:hAnsi="Arial"/>
                <w:sz w:val="18"/>
                <w:szCs w:val="18"/>
                <w:i w:val="1"/>
                <w:iCs w:val="1"/>
                <w:color w:val="auto"/>
              </w:rPr>
              <w:t>Total:</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847,598</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193,403</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109,375</w:t>
            </w:r>
          </w:p>
        </w:tc>
        <w:tc>
          <w:tcPr>
            <w:tcW w:w="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(6)</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15,625</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9/29/2026</w:t>
            </w:r>
          </w:p>
        </w:tc>
      </w:tr>
      <w:tr>
        <w:trPr>
          <w:trHeight w:val="216"/>
        </w:trPr>
        <w:tc>
          <w:tcPr>
            <w:tcW w:w="4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40,000</w:t>
            </w:r>
          </w:p>
        </w:tc>
        <w:tc>
          <w:tcPr>
            <w:tcW w:w="380" w:type="dxa"/>
            <w:vAlign w:val="bottom"/>
          </w:tcPr>
          <w:p>
            <w:pPr>
              <w:ind w:left="60"/>
              <w:spacing w:after="0"/>
              <w:rPr>
                <w:sz w:val="20"/>
                <w:szCs w:val="20"/>
                <w:color w:val="auto"/>
              </w:rPr>
            </w:pPr>
            <w:r>
              <w:rPr>
                <w:rFonts w:ascii="Arial" w:cs="Arial" w:eastAsia="Arial" w:hAnsi="Arial"/>
                <w:sz w:val="12"/>
                <w:szCs w:val="12"/>
                <w:color w:val="auto"/>
              </w:rPr>
              <w:t>(2)</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2"/>
                <w:szCs w:val="12"/>
                <w:color w:val="auto"/>
              </w:rPr>
              <w:t>(6)</w:t>
            </w: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87"/>
              </w:rPr>
              <w:t>11/9/2026</w:t>
            </w:r>
          </w:p>
        </w:tc>
      </w:tr>
      <w:tr>
        <w:trPr>
          <w:trHeight w:val="216"/>
        </w:trPr>
        <w:tc>
          <w:tcPr>
            <w:tcW w:w="4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97,222</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(3)</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2,778</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4/26/2027</w:t>
            </w:r>
          </w:p>
        </w:tc>
      </w:tr>
      <w:tr>
        <w:trPr>
          <w:trHeight w:val="216"/>
        </w:trPr>
        <w:tc>
          <w:tcPr>
            <w:tcW w:w="4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1400" w:type="dxa"/>
            <w:vAlign w:val="bottom"/>
          </w:tcPr>
          <w:p>
            <w:pPr>
              <w:jc w:val="center"/>
              <w:ind w:left="72"/>
              <w:spacing w:after="0"/>
              <w:rPr>
                <w:sz w:val="20"/>
                <w:szCs w:val="20"/>
                <w:color w:val="auto"/>
              </w:rPr>
            </w:pPr>
            <w:r>
              <w:rPr>
                <w:rFonts w:ascii="Arial" w:cs="Arial" w:eastAsia="Arial" w:hAnsi="Arial"/>
                <w:sz w:val="18"/>
                <w:szCs w:val="18"/>
                <w:color w:val="auto"/>
                <w:w w:val="89"/>
              </w:rPr>
              <w:t>9/19/2027</w:t>
            </w:r>
          </w:p>
        </w:tc>
      </w:tr>
      <w:tr>
        <w:trPr>
          <w:trHeight w:val="216"/>
        </w:trPr>
        <w:tc>
          <w:tcPr>
            <w:tcW w:w="4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8"/>
              </w:rPr>
              <w:t>2/2/2028</w:t>
            </w:r>
          </w:p>
        </w:tc>
      </w:tr>
      <w:tr>
        <w:trPr>
          <w:trHeight w:val="216"/>
        </w:trPr>
        <w:tc>
          <w:tcPr>
            <w:tcW w:w="4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126,562</w:t>
            </w:r>
          </w:p>
        </w:tc>
        <w:tc>
          <w:tcPr>
            <w:tcW w:w="380" w:type="dxa"/>
            <w:vAlign w:val="bottom"/>
          </w:tcPr>
          <w:p>
            <w:pPr>
              <w:ind w:left="60"/>
              <w:spacing w:after="0"/>
              <w:rPr>
                <w:sz w:val="20"/>
                <w:szCs w:val="20"/>
                <w:color w:val="auto"/>
              </w:rPr>
            </w:pPr>
            <w:r>
              <w:rPr>
                <w:rFonts w:ascii="Arial" w:cs="Arial" w:eastAsia="Arial" w:hAnsi="Arial"/>
                <w:sz w:val="12"/>
                <w:szCs w:val="12"/>
                <w:color w:val="auto"/>
              </w:rPr>
              <w:t>(5)</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23,438</w:t>
            </w:r>
          </w:p>
        </w:tc>
        <w:tc>
          <w:tcPr>
            <w:tcW w:w="500" w:type="dxa"/>
            <w:vAlign w:val="bottom"/>
          </w:tcPr>
          <w:p>
            <w:pPr>
              <w:ind w:left="60"/>
              <w:spacing w:after="0"/>
              <w:rPr>
                <w:sz w:val="20"/>
                <w:szCs w:val="20"/>
                <w:color w:val="auto"/>
              </w:rPr>
            </w:pPr>
            <w:r>
              <w:rPr>
                <w:rFonts w:ascii="Arial" w:cs="Arial" w:eastAsia="Arial" w:hAnsi="Arial"/>
                <w:sz w:val="12"/>
                <w:szCs w:val="12"/>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88"/>
              </w:rPr>
              <w:t>8/5/2028</w:t>
            </w:r>
          </w:p>
        </w:tc>
      </w:tr>
      <w:tr>
        <w:trPr>
          <w:trHeight w:val="216"/>
        </w:trPr>
        <w:tc>
          <w:tcPr>
            <w:tcW w:w="4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68,750</w:t>
            </w: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(8)</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81,250</w:t>
            </w: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5/23/2029</w:t>
            </w:r>
          </w:p>
        </w:tc>
      </w:tr>
      <w:tr>
        <w:trPr>
          <w:trHeight w:val="223"/>
        </w:trPr>
        <w:tc>
          <w:tcPr>
            <w:tcW w:w="4280" w:type="dxa"/>
            <w:vAlign w:val="bottom"/>
          </w:tcPr>
          <w:p>
            <w:pPr>
              <w:spacing w:after="0"/>
              <w:rPr>
                <w:sz w:val="19"/>
                <w:szCs w:val="19"/>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40,625</w:t>
            </w:r>
          </w:p>
        </w:tc>
        <w:tc>
          <w:tcPr>
            <w:tcW w:w="4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2"/>
                <w:szCs w:val="12"/>
                <w:color w:val="auto"/>
              </w:rPr>
              <w:t>(10)</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59,375</w:t>
            </w:r>
          </w:p>
        </w:tc>
        <w:tc>
          <w:tcPr>
            <w:tcW w:w="4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(10)</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c>
          <w:tcPr>
            <w:tcW w:w="1400" w:type="dxa"/>
            <w:vAlign w:val="bottom"/>
          </w:tcPr>
          <w:p>
            <w:pPr>
              <w:jc w:val="center"/>
              <w:ind w:left="72"/>
              <w:spacing w:after="0" w:line="196" w:lineRule="exact"/>
              <w:rPr>
                <w:sz w:val="20"/>
                <w:szCs w:val="20"/>
                <w:color w:val="auto"/>
              </w:rPr>
            </w:pPr>
            <w:r>
              <w:rPr>
                <w:rFonts w:ascii="Arial" w:cs="Arial" w:eastAsia="Arial" w:hAnsi="Arial"/>
                <w:sz w:val="18"/>
                <w:szCs w:val="18"/>
                <w:color w:val="auto"/>
                <w:w w:val="88"/>
              </w:rPr>
              <w:t>10/21/2029</w:t>
            </w:r>
          </w:p>
        </w:tc>
      </w:tr>
      <w:tr>
        <w:trPr>
          <w:trHeight w:val="216"/>
        </w:trPr>
        <w:tc>
          <w:tcPr>
            <w:tcW w:w="4280" w:type="dxa"/>
            <w:vAlign w:val="bottom"/>
            <w:shd w:val="clear" w:color="auto" w:fill="CCEEFF"/>
          </w:tcPr>
          <w:p>
            <w:pPr>
              <w:ind w:left="3760"/>
              <w:spacing w:after="0"/>
              <w:rPr>
                <w:sz w:val="20"/>
                <w:szCs w:val="20"/>
                <w:color w:val="auto"/>
              </w:rPr>
            </w:pPr>
            <w:r>
              <w:rPr>
                <w:rFonts w:ascii="Arial" w:cs="Arial" w:eastAsia="Arial" w:hAnsi="Arial"/>
                <w:sz w:val="18"/>
                <w:szCs w:val="18"/>
                <w:i w:val="1"/>
                <w:iCs w:val="1"/>
                <w:color w:val="auto"/>
              </w:rPr>
              <w:t>Total:</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682,534</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182,466</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left="680" w:hanging="672"/>
        <w:spacing w:after="0" w:line="256"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will be fully exercisable. The exercise price of the option was reduced to $1.50 per share on August 29, 2018.</w:t>
      </w:r>
    </w:p>
    <w:p>
      <w:pPr>
        <w:spacing w:after="0" w:line="196" w:lineRule="exact"/>
        <w:rPr>
          <w:rFonts w:ascii="Arial" w:cs="Arial" w:eastAsia="Arial" w:hAnsi="Arial"/>
          <w:sz w:val="18"/>
          <w:szCs w:val="18"/>
          <w:color w:val="auto"/>
        </w:rPr>
      </w:pPr>
    </w:p>
    <w:p>
      <w:pPr>
        <w:jc w:val="both"/>
        <w:ind w:left="680" w:hanging="672"/>
        <w:spacing w:after="0" w:line="259"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$3.80 per share granted on November 9, 2016 when the market price of our common stock was $3.80 per share. All shares granted are now fully exercisable. The exercise price of the option was reduced to $1.50 per share on August 29, 2018.</w:t>
      </w:r>
    </w:p>
    <w:p>
      <w:pPr>
        <w:spacing w:after="0" w:line="193" w:lineRule="exact"/>
        <w:rPr>
          <w:rFonts w:ascii="Arial" w:cs="Arial" w:eastAsia="Arial" w:hAnsi="Arial"/>
          <w:sz w:val="18"/>
          <w:szCs w:val="18"/>
          <w:color w:val="auto"/>
        </w:rPr>
      </w:pPr>
    </w:p>
    <w:p>
      <w:pPr>
        <w:jc w:val="both"/>
        <w:ind w:left="680" w:hanging="672"/>
        <w:spacing w:after="0" w:line="259"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$1.96 per share granted on April 26, 2017 when the market price of our common stock was $1.96 per share. All shares granted are now fully exercisable. The exercise price of the option was reduced to $1.50 per share on August 29, 2018.</w:t>
      </w:r>
    </w:p>
    <w:p>
      <w:pPr>
        <w:spacing w:after="0" w:line="193" w:lineRule="exact"/>
        <w:rPr>
          <w:rFonts w:ascii="Arial" w:cs="Arial" w:eastAsia="Arial" w:hAnsi="Arial"/>
          <w:sz w:val="18"/>
          <w:szCs w:val="18"/>
          <w:color w:val="auto"/>
        </w:rPr>
      </w:pPr>
    </w:p>
    <w:p>
      <w:pPr>
        <w:jc w:val="both"/>
        <w:ind w:left="680" w:hanging="672"/>
        <w:spacing w:after="0" w:line="306"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$1.70 per share granted on January 14, 2019 when the market price of our common stock was $1.70 per share. The option became exercisable for 25% of the shares granted immediately upon grant, with the remaining shares becoming exercisable ratably monthly through January 14, 2021, when all shares granted will be fully exercisable.</w:t>
      </w:r>
    </w:p>
    <w:p>
      <w:pPr>
        <w:spacing w:after="0" w:line="160" w:lineRule="exact"/>
        <w:rPr>
          <w:rFonts w:ascii="Arial" w:cs="Arial" w:eastAsia="Arial" w:hAnsi="Arial"/>
          <w:sz w:val="16"/>
          <w:szCs w:val="16"/>
          <w:color w:val="auto"/>
        </w:rPr>
      </w:pPr>
    </w:p>
    <w:p>
      <w:pPr>
        <w:jc w:val="both"/>
        <w:ind w:left="680" w:hanging="672"/>
        <w:spacing w:after="0" w:line="306"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$1.27 per share granted on August 5, 2018 when the market price of our common stock was $1.27 per share. The option became exercisable for 25% of the shares granted immediately upon grant, with the remaining shares becoming exercisable ratably monthly through August 5, 2020, when all shares granted will be fully exercisable.</w:t>
      </w:r>
    </w:p>
    <w:p>
      <w:pPr>
        <w:spacing w:after="0" w:line="376" w:lineRule="exact"/>
        <w:rPr>
          <w:rFonts w:ascii="Arial" w:cs="Arial" w:eastAsia="Arial" w:hAnsi="Arial"/>
          <w:sz w:val="16"/>
          <w:szCs w:val="16"/>
          <w:color w:val="auto"/>
        </w:rPr>
      </w:pPr>
    </w:p>
    <w:p>
      <w:pPr>
        <w:ind w:left="5540" w:hanging="106"/>
        <w:spacing w:after="0"/>
        <w:tabs>
          <w:tab w:leader="none" w:pos="5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jc w:val="both"/>
        <w:ind w:left="680" w:hanging="672"/>
        <w:spacing w:after="0" w:line="256"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$4.27 per share granted on September 29, 2016 when the market price of our common stock was $4.27 per share. The option became exercisable for 25% of the shares granted on September 29, 2017, with the remaining shares becoming exercisable ratably monthly through September 29, 2020, when all shares granted will be fully exercisable. The exercise price of the option was reduced to $1.50 per share on August 29, 2018.</w:t>
      </w:r>
    </w:p>
    <w:p>
      <w:pPr>
        <w:spacing w:after="0" w:line="196" w:lineRule="exact"/>
        <w:rPr>
          <w:rFonts w:ascii="Arial" w:cs="Arial" w:eastAsia="Arial" w:hAnsi="Arial"/>
          <w:sz w:val="18"/>
          <w:szCs w:val="18"/>
          <w:color w:val="auto"/>
        </w:rPr>
      </w:pPr>
    </w:p>
    <w:p>
      <w:pPr>
        <w:jc w:val="both"/>
        <w:ind w:left="680" w:right="20" w:hanging="672"/>
        <w:spacing w:after="0" w:line="306"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160" w:lineRule="exact"/>
        <w:rPr>
          <w:rFonts w:ascii="Arial" w:cs="Arial" w:eastAsia="Arial" w:hAnsi="Arial"/>
          <w:sz w:val="16"/>
          <w:szCs w:val="16"/>
          <w:color w:val="auto"/>
        </w:rPr>
      </w:pPr>
    </w:p>
    <w:p>
      <w:pPr>
        <w:jc w:val="both"/>
        <w:ind w:left="680" w:hanging="672"/>
        <w:spacing w:after="0" w:line="306"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My 23, 2022, when all shares granted will be fully exercisable.</w:t>
      </w:r>
    </w:p>
    <w:p>
      <w:pPr>
        <w:spacing w:after="0" w:line="160" w:lineRule="exact"/>
        <w:rPr>
          <w:rFonts w:ascii="Arial" w:cs="Arial" w:eastAsia="Arial" w:hAnsi="Arial"/>
          <w:sz w:val="16"/>
          <w:szCs w:val="16"/>
          <w:color w:val="auto"/>
        </w:rPr>
      </w:pPr>
    </w:p>
    <w:p>
      <w:pPr>
        <w:jc w:val="both"/>
        <w:ind w:left="680" w:hanging="672"/>
        <w:spacing w:after="0" w:line="306"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160" w:lineRule="exact"/>
        <w:rPr>
          <w:rFonts w:ascii="Arial" w:cs="Arial" w:eastAsia="Arial" w:hAnsi="Arial"/>
          <w:sz w:val="16"/>
          <w:szCs w:val="16"/>
          <w:color w:val="auto"/>
        </w:rPr>
      </w:pPr>
    </w:p>
    <w:p>
      <w:pPr>
        <w:jc w:val="both"/>
        <w:ind w:left="680" w:hanging="672"/>
        <w:spacing w:after="0" w:line="306"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1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April 23, 2020, when the closing price of our common stock, as reported on the Nasdaq Capital Market was $0.398 per share, the Compensation Committee granted options from our 2019 Omnibus Equity Incentive Plan to Mr. Singh to purchase 300,000 shares and to each of Dr. Snodgrass, Dr. Smith, Mr. Dotson and Mr. McPartland to purchase 150,000 shares of our common stock at an exercise price of $0.398 per share. Such options were vested 25% upon grant with the remaining shares vesting ratably over two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Mr. Singh</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and to $498,000 effective in April 2019. Under his agreement, Mr. Singh is eligible to receive an annual incentive cash bonus of up to 50% of his base salary. The Compensation Committee awarded Mr. Singh a cash bonus of $110,305 for attainment of performance-based objectives during the year ended March 31, 2019. At the time of this Proxy Statement, the Compensation Committee has not determined or awarded a bonus to Mr. Singh for attainment of performance-based objectives during our fiscal year ended March 31, 2020. The award of his annual incentive bonus, if any, is at the discretion of the Compensation Committee of our Board of Directors. In the event we terminate Mr. Singh’s employment without cause, he is entitled to receive severance in an amount equal to: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8" w:name="page29"/>
    <w:bookmarkEnd w:id="28"/>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Dr. Snodgrass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Dr. Snodgrass on April 28, 2010. Under the agreement, as amended on June 22, 2016, Dr. Snodgrass’s base salary was increased from $305,000 per year to $350,000 per year, effective June 16, 2016. The Compensation Committee has subsequently adjusted Dr. Snodgrass’ base annual salary to $397,000 effective in July 2018 and to $416,850 effective in April 2019. Under his agreement, Dr. Snodgrass is eligible to receive an annual incentive cash bonus of up to 50% of his base salary. The Compensation Committee awarded Dr. Snodgrass cash bonuses of $73,444 for attainment of performance-based objectives during the year ended March 31, 2019. At the time of this Proxy Statement, the Compensation Committee has not determined or awarded a bonus to Dr. Snodgrass for attainment of performance-based objectives during our fiscal year ended March 31, 2020. The award of his annual incentive bonus, if any, is at the discretion of the Compensation Committee of the Board of Directors. In the event we terminate Dr. Snodgrass’s employment without cause, he is entitled to receive severance in an amount equal to:</w:t>
      </w:r>
    </w:p>
    <w:p>
      <w:pPr>
        <w:spacing w:after="0" w:line="17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9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$498,000 for Mr. Singh and $416,850 for Dr. Snodgrass, excluding the imputed value of accelerated vesting of stock options, if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RATIFICATION OF THE APPOINTMENT OF OUM &amp; CO. LLP TO SERVE AS THE COMPANY'S INDEPENDENT REGISTERED PUBLIC ACCOUNTING FIRM FOR THE CURRENT FISCAL YEAR</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Upon recommendation of the Audit Committee of the Board, the Board appointed OUM &amp; Co. LLP (</w:t>
      </w:r>
      <w:r>
        <w:rPr>
          <w:rFonts w:ascii="Arial" w:cs="Arial" w:eastAsia="Arial" w:hAnsi="Arial"/>
          <w:sz w:val="18"/>
          <w:szCs w:val="18"/>
          <w:i w:val="1"/>
          <w:iCs w:val="1"/>
          <w:color w:val="auto"/>
        </w:rPr>
        <w:t>OUM</w:t>
      </w:r>
      <w:r>
        <w:rPr>
          <w:rFonts w:ascii="Arial" w:cs="Arial" w:eastAsia="Arial" w:hAnsi="Arial"/>
          <w:sz w:val="18"/>
          <w:szCs w:val="18"/>
          <w:color w:val="auto"/>
        </w:rPr>
        <w:t>) as our independent registered public accounting firm for the current fiscal year and hereby recommends that the stockholders ratify such appointment.</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Board may terminate the appointment of OUM as the Company’s independent registered public accounting firm without the approval of the Company’s stockholders whenever the Board deems such termination necessary or appropriate.</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Representatives of OUM will be present at the Annual Meeting or available by telephone and will have an opportunity to make a statement if they so desire and to respond to appropriate questions from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OUM served as our independent registered public accounting firm for the fiscal years ended March 31, 2020 and 2019. Information provided below includes fees for professional services provided to us by OUM for our fiscal years ended March 31, 2020 and 2019.</w:t>
      </w:r>
    </w:p>
    <w:p>
      <w:pPr>
        <w:spacing w:after="0" w:line="180"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Fiscal Years Ended</w:t>
      </w:r>
    </w:p>
    <w:p>
      <w:pPr>
        <w:spacing w:after="0" w:line="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6985</wp:posOffset>
            </wp:positionV>
            <wp:extent cx="1534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r>
      <w:tr>
        <w:trPr>
          <w:trHeight w:val="243"/>
        </w:trPr>
        <w:tc>
          <w:tcPr>
            <w:tcW w:w="49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226,200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Audit-related fees</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57,600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All other fees</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7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299,800</w:t>
            </w: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Audit fees include fees billed for the annual audit of the Company’s financial statements and quarterly reviews for the fiscal years ended March 31, 2020 and 2019, and for services normally provided by OUM in connection with routine statutory and regulatory filings or engagements.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Audit-related fees include fees billed for assurance and related services that are reasonably related to the performance of the annual audit or reviews of the Company’s financial statements and are not reported under “</w:t>
      </w:r>
      <w:r>
        <w:rPr>
          <w:rFonts w:ascii="Arial" w:cs="Arial" w:eastAsia="Arial" w:hAnsi="Arial"/>
          <w:sz w:val="16"/>
          <w:szCs w:val="16"/>
          <w:i w:val="1"/>
          <w:iCs w:val="1"/>
          <w:color w:val="auto"/>
        </w:rPr>
        <w:t>Audit Fees</w:t>
      </w:r>
      <w:r>
        <w:rPr>
          <w:rFonts w:ascii="Arial" w:cs="Arial" w:eastAsia="Arial" w:hAnsi="Arial"/>
          <w:sz w:val="16"/>
          <w:szCs w:val="16"/>
          <w:color w:val="auto"/>
        </w:rPr>
        <w:t>.” During our fiscal years ended March 31, 2020 and 2019, OUM billed the Company for services related to comfort letters and consents for the use of its audit opinion in our filings of Registration Statements on Form S-3, Form S-1, and Form S-8 that included or incorporated by reference the Company’s audited financial statements for the fiscal years ended March 31,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other fees include fees for products and services other than those described above. During our fiscal years ended March 31, 2020 and 2019, no such fees were billed by OUM.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Ratification of the selection of OUM as the Company’s independent registered public accounting firm for our fiscal year ending March 31, 2021 requires the affirmative vote of a majority of the shares present or represented by proxy and entitled to vote at the Annual Meeting. Unless otherwise instructed on the proxy or unless authority to vote is withheld, shares represented by executed proxies will be voted “FOR” the ratification of OUM as the Company’s independent registered public accounting firm for our fiscal year ending March 31, 2021.</w:t>
      </w:r>
    </w:p>
    <w:p>
      <w:pPr>
        <w:spacing w:after="0" w:line="19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selection of OUM as our independent registered public accounting firm for our fiscal year ending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left="5200" w:right="440" w:hanging="4115"/>
        <w:spacing w:after="0" w:line="275"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STOCKHOLDERS MATTERS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July 20, 2020 for:</w:t>
      </w:r>
    </w:p>
    <w:p>
      <w:pPr>
        <w:spacing w:after="0" w:line="2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Applicable percentage ownership is based on 55,901,807 shares of common stock outstanding at July 20, 2020.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July 20, 2020.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July 20, 2020. Unless otherwise noted below, the address of each beneficial owner listed in the table is c/o VistaGen Therapeutics, Inc., 343 Allerton Avenue, South San Francisco, California 94080.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Percent</w:t>
            </w:r>
          </w:p>
        </w:tc>
      </w:tr>
      <w:tr>
        <w:trPr>
          <w:trHeight w:val="216"/>
        </w:trPr>
        <w:tc>
          <w:tcPr>
            <w:tcW w:w="7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 shares</w:t>
            </w:r>
          </w:p>
        </w:tc>
      </w:tr>
      <w:tr>
        <w:trPr>
          <w:trHeight w:val="215"/>
        </w:trPr>
        <w:tc>
          <w:tcPr>
            <w:tcW w:w="77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Number of shares</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beneficially</w:t>
            </w:r>
          </w:p>
        </w:tc>
      </w:tr>
      <w:tr>
        <w:trPr>
          <w:trHeight w:val="238"/>
        </w:trPr>
        <w:tc>
          <w:tcPr>
            <w:tcW w:w="772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beneficially owned</w:t>
            </w:r>
          </w:p>
        </w:tc>
        <w:tc>
          <w:tcPr>
            <w:tcW w:w="1640" w:type="dxa"/>
            <w:vAlign w:val="bottom"/>
            <w:gridSpan w:val="2"/>
          </w:tcPr>
          <w:p>
            <w:pPr>
              <w:jc w:val="center"/>
              <w:ind w:right="200"/>
              <w:spacing w:after="0" w:line="232" w:lineRule="exact"/>
              <w:rPr>
                <w:sz w:val="20"/>
                <w:szCs w:val="20"/>
                <w:color w:val="auto"/>
              </w:rPr>
            </w:pPr>
            <w:r>
              <w:rPr>
                <w:rFonts w:ascii="Arial" w:cs="Arial" w:eastAsia="Arial" w:hAnsi="Arial"/>
                <w:sz w:val="18"/>
                <w:szCs w:val="18"/>
                <w:b w:val="1"/>
                <w:bCs w:val="1"/>
                <w:color w:val="auto"/>
                <w:w w:val="83"/>
              </w:rPr>
              <w:t xml:space="preserve">owned </w:t>
            </w:r>
            <w:r>
              <w:rPr>
                <w:rFonts w:ascii="Arial" w:cs="Arial" w:eastAsia="Arial" w:hAnsi="Arial"/>
                <w:sz w:val="24"/>
                <w:szCs w:val="24"/>
                <w:b w:val="1"/>
                <w:bCs w:val="1"/>
                <w:color w:val="auto"/>
                <w:w w:val="83"/>
                <w:vertAlign w:val="superscript"/>
              </w:rPr>
              <w:t>(1)</w:t>
            </w:r>
          </w:p>
        </w:tc>
      </w:tr>
      <w:tr>
        <w:trPr>
          <w:trHeight w:val="215"/>
        </w:trPr>
        <w:tc>
          <w:tcPr>
            <w:tcW w:w="7720" w:type="dxa"/>
            <w:vAlign w:val="bottom"/>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7"/>
        </w:trPr>
        <w:tc>
          <w:tcPr>
            <w:tcW w:w="77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Shawn K. Singh, J.D.</w:t>
            </w:r>
            <w:r>
              <w:rPr>
                <w:rFonts w:ascii="Arial" w:cs="Arial" w:eastAsia="Arial" w:hAnsi="Arial"/>
                <w:sz w:val="24"/>
                <w:szCs w:val="24"/>
                <w:color w:val="auto"/>
                <w:vertAlign w:val="superscript"/>
              </w:rPr>
              <w:t>(2)</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1,904,861</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r>
      <w:tr>
        <w:trPr>
          <w:trHeight w:val="216"/>
        </w:trPr>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(3)</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1,251,787</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r>
      <w:tr>
        <w:trPr>
          <w:trHeight w:val="216"/>
        </w:trPr>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(4)</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986,875</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16"/>
        </w:trPr>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(5)</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971,627</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16"/>
        </w:trPr>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McPartland </w:t>
            </w:r>
            <w:r>
              <w:rPr>
                <w:rFonts w:ascii="Arial" w:cs="Arial" w:eastAsia="Arial" w:hAnsi="Arial"/>
                <w:sz w:val="24"/>
                <w:szCs w:val="24"/>
                <w:color w:val="auto"/>
                <w:vertAlign w:val="superscript"/>
              </w:rPr>
              <w:t>(6)</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809,270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r>
      <w:tr>
        <w:trPr>
          <w:trHeight w:val="216"/>
        </w:trPr>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Jon S. Saxe, J.D., LL.M. </w:t>
            </w:r>
            <w:r>
              <w:rPr>
                <w:rFonts w:ascii="Arial" w:cs="Arial" w:eastAsia="Arial" w:hAnsi="Arial"/>
                <w:sz w:val="24"/>
                <w:szCs w:val="24"/>
                <w:color w:val="auto"/>
                <w:vertAlign w:val="superscript"/>
              </w:rPr>
              <w:t>(7)</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491,689</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(8)</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468,438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(9)</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633,438</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r>
      <w:tr>
        <w:trPr>
          <w:trHeight w:val="216"/>
        </w:trPr>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(10)</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123,438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Montsant Partners, LLC </w:t>
            </w:r>
            <w:r>
              <w:rPr>
                <w:rFonts w:ascii="Arial" w:cs="Arial" w:eastAsia="Arial" w:hAnsi="Arial"/>
                <w:sz w:val="24"/>
                <w:szCs w:val="24"/>
                <w:color w:val="auto"/>
                <w:vertAlign w:val="superscript"/>
              </w:rPr>
              <w:t>(11)</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4,239,331</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7.07%</w:t>
            </w:r>
          </w:p>
        </w:tc>
      </w:tr>
      <w:tr>
        <w:trPr>
          <w:trHeight w:val="216"/>
        </w:trPr>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Lincoln Park Capital Fund, LLC </w:t>
            </w:r>
            <w:r>
              <w:rPr>
                <w:rFonts w:ascii="Arial" w:cs="Arial" w:eastAsia="Arial" w:hAnsi="Arial"/>
                <w:sz w:val="24"/>
                <w:szCs w:val="24"/>
                <w:color w:val="auto"/>
                <w:vertAlign w:val="superscript"/>
              </w:rPr>
              <w:t>(12)</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4,238,102</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r>
      <w:tr>
        <w:trPr>
          <w:trHeight w:val="320"/>
        </w:trPr>
        <w:tc>
          <w:tcPr>
            <w:tcW w:w="7720" w:type="dxa"/>
            <w:vAlign w:val="bottom"/>
          </w:tcPr>
          <w:p>
            <w:pPr>
              <w:spacing w:after="0"/>
              <w:rPr>
                <w:sz w:val="20"/>
                <w:szCs w:val="20"/>
                <w:color w:val="auto"/>
              </w:rPr>
            </w:pPr>
            <w:r>
              <w:rPr>
                <w:rFonts w:ascii="Arial" w:cs="Arial" w:eastAsia="Arial" w:hAnsi="Arial"/>
                <w:sz w:val="18"/>
                <w:szCs w:val="18"/>
                <w:color w:val="auto"/>
              </w:rPr>
              <w:t xml:space="preserve">Eric D. Weinberger </w:t>
            </w:r>
            <w:r>
              <w:rPr>
                <w:rFonts w:ascii="Arial" w:cs="Arial" w:eastAsia="Arial" w:hAnsi="Arial"/>
                <w:sz w:val="24"/>
                <w:szCs w:val="24"/>
                <w:color w:val="auto"/>
                <w:vertAlign w:val="superscript"/>
              </w:rPr>
              <w:t>(13)</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6,815,000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12.01%</w:t>
            </w:r>
          </w:p>
        </w:tc>
      </w:tr>
      <w:tr>
        <w:trPr>
          <w:trHeight w:val="320"/>
        </w:trPr>
        <w:tc>
          <w:tcPr>
            <w:tcW w:w="7720" w:type="dxa"/>
            <w:vAlign w:val="bottom"/>
          </w:tcPr>
          <w:p>
            <w:pPr>
              <w:spacing w:after="0"/>
              <w:rPr>
                <w:sz w:val="20"/>
                <w:szCs w:val="20"/>
                <w:color w:val="auto"/>
              </w:rPr>
            </w:pPr>
            <w:r>
              <w:rPr>
                <w:rFonts w:ascii="Arial" w:cs="Arial" w:eastAsia="Arial" w:hAnsi="Arial"/>
                <w:sz w:val="18"/>
                <w:szCs w:val="18"/>
                <w:color w:val="auto"/>
              </w:rPr>
              <w:t>All executive officers and directors as a group (9 persons)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____________________</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  less than 1%</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55,901,807 shares of common stock issued and outstanding as of July 20, 2020.</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1,526,252 shares of common stock exercisable within 60 days of July 20, 2020 and currently exercisable warrants to purchase 322,000 restricted shares of common stock.</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969,063 shares of common stock exercisable within 60 days of July 20, 2020, and currently exercisable warrants to purchase 200,000 restricted shares of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5540" w:hanging="106"/>
        <w:spacing w:after="0"/>
        <w:tabs>
          <w:tab w:leader="none" w:pos="5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981,875 shares of common stock exercisable within 60 days of July 20, 2020.</w:t>
      </w:r>
    </w:p>
    <w:p>
      <w:pPr>
        <w:spacing w:after="0" w:line="225" w:lineRule="exact"/>
        <w:rPr>
          <w:rFonts w:ascii="Arial" w:cs="Arial" w:eastAsia="Arial" w:hAnsi="Arial"/>
          <w:sz w:val="18"/>
          <w:szCs w:val="18"/>
          <w:color w:val="auto"/>
        </w:rPr>
      </w:pPr>
    </w:p>
    <w:p>
      <w:pPr>
        <w:ind w:left="452" w:hanging="452"/>
        <w:spacing w:after="0" w:line="331"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options to purchase 971,627 shares of common stock exercisable within 60 days of July 20, 2020, including options to purchase 626 shares of common stock held by Mr. Dotson’s wife, and currently exercisable warrants to purchase 110,000 restricted shares of common stock.</w:t>
      </w:r>
    </w:p>
    <w:p>
      <w:pPr>
        <w:spacing w:after="0" w:line="140" w:lineRule="exact"/>
        <w:rPr>
          <w:rFonts w:ascii="Arial" w:cs="Arial" w:eastAsia="Arial" w:hAnsi="Arial"/>
          <w:sz w:val="16"/>
          <w:szCs w:val="16"/>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809,270 shares of common stock exercisable within 60 days of July 20, 2020.</w:t>
      </w:r>
    </w:p>
    <w:p>
      <w:pPr>
        <w:spacing w:after="0" w:line="22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410,738 shares of common stock exercisable within 60 days of July 20 2020 and currently exercisable warrants to purchase 57,500 restricted shares of common stock.</w:t>
      </w:r>
    </w:p>
    <w:p>
      <w:pPr>
        <w:spacing w:after="0" w:line="185"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410,938 shares of common stock exercisable within 60 days of July 20, 2020 and currently exercisable warrants to purchase 57,500 restricted shares of common stock.</w:t>
      </w:r>
    </w:p>
    <w:p>
      <w:pPr>
        <w:spacing w:after="0" w:line="185"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50,000 restricted shares of common stock held by Dr. Gin’s wife, options to purchase 433,438 shares of common stock exercisable within 60 days of July 20, 2020 and currently exercisable warrants to purchase 100,000 unregistered shares of common stock, including currently exercisable warrants to purchase 50,000 unregistered shares held by Dr. Gin’s wife.</w:t>
      </w:r>
    </w:p>
    <w:p>
      <w:pPr>
        <w:spacing w:after="0" w:line="193"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123,438 shares of common stock exercisable within 60 days of July 20, 2020.</w:t>
      </w:r>
    </w:p>
    <w:p>
      <w:pPr>
        <w:spacing w:after="0" w:line="225"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upon Company records of transactions between us and 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through July 20, 2020. 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8"/>
          <w:szCs w:val="18"/>
          <w:i w:val="1"/>
          <w:iCs w:val="1"/>
          <w:color w:val="auto"/>
        </w:rPr>
        <w:t>Series A Preferred</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452"/>
        <w:spacing w:after="0" w:line="288" w:lineRule="auto"/>
        <w:rPr>
          <w:rFonts w:ascii="Arial" w:cs="Arial" w:eastAsia="Arial" w:hAnsi="Arial"/>
          <w:sz w:val="18"/>
          <w:szCs w:val="18"/>
          <w:color w:val="auto"/>
        </w:rPr>
      </w:pPr>
      <w:r>
        <w:rPr>
          <w:rFonts w:ascii="Arial" w:cs="Arial" w:eastAsia="Arial" w:hAnsi="Arial"/>
          <w:sz w:val="16"/>
          <w:szCs w:val="16"/>
          <w:color w:val="auto"/>
        </w:rPr>
        <w:t>Further, the reported number of shares beneficially owned by Montsant also includes 1,131,669 shares of common stock pursuant to its ownership of 1,131,669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common stock, but excludes shares of unregistered common stock that may be issued as payment of accrued but unpaid dividends in the amount of approximately $5.30 million at July 20, 2020 on shares of Series B Preferred owned by Montsant.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including shares issued in payment of accrued dividends, is limited to the extent necessary to ensure that, following such conversion, the total number of shares of common stock then beneficially owned by Montsant does not exceed 9.99% of the total number of then issued and outstanding shares of our common stock without providing us with 61 days’ prior notice thereof.</w:t>
      </w:r>
    </w:p>
    <w:p>
      <w:pPr>
        <w:spacing w:after="0" w:line="172" w:lineRule="exact"/>
        <w:rPr>
          <w:rFonts w:ascii="Arial" w:cs="Arial" w:eastAsia="Arial" w:hAnsi="Arial"/>
          <w:sz w:val="18"/>
          <w:szCs w:val="18"/>
          <w:color w:val="auto"/>
        </w:rPr>
      </w:pPr>
    </w:p>
    <w:p>
      <w:pPr>
        <w:jc w:val="both"/>
        <w:ind w:left="452"/>
        <w:spacing w:after="0" w:line="254" w:lineRule="auto"/>
        <w:rPr>
          <w:rFonts w:ascii="Arial" w:cs="Arial" w:eastAsia="Arial" w:hAnsi="Arial"/>
          <w:sz w:val="18"/>
          <w:szCs w:val="18"/>
          <w:color w:val="auto"/>
        </w:rPr>
      </w:pPr>
      <w:r>
        <w:rPr>
          <w:rFonts w:ascii="Arial" w:cs="Arial" w:eastAsia="Arial" w:hAnsi="Arial"/>
          <w:sz w:val="18"/>
          <w:szCs w:val="18"/>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immediately convertible on a fixed 1:1 conversion basis into a like number of shares of our restricted common stock. In addition to the shares of common stock that may be issuable to Montsant upon conversion of the shares of Series A Preferred, Series B Preferred and Series C Preferred described above, Montsant may be deemed to be the beneficial owner of 152,150 shares or 0.27% of our common stock at July 20, 2020.</w:t>
      </w:r>
    </w:p>
    <w:p>
      <w:pPr>
        <w:spacing w:after="0" w:line="200" w:lineRule="exact"/>
        <w:rPr>
          <w:rFonts w:ascii="Arial" w:cs="Arial" w:eastAsia="Arial" w:hAnsi="Arial"/>
          <w:sz w:val="18"/>
          <w:szCs w:val="18"/>
          <w:color w:val="auto"/>
        </w:rPr>
      </w:pPr>
    </w:p>
    <w:p>
      <w:pPr>
        <w:jc w:val="both"/>
        <w:ind w:left="452"/>
        <w:spacing w:after="0" w:line="259" w:lineRule="auto"/>
        <w:rPr>
          <w:rFonts w:ascii="Arial" w:cs="Arial" w:eastAsia="Arial" w:hAnsi="Arial"/>
          <w:sz w:val="18"/>
          <w:szCs w:val="18"/>
          <w:color w:val="auto"/>
        </w:rPr>
      </w:pPr>
      <w:r>
        <w:rPr>
          <w:rFonts w:ascii="Arial" w:cs="Arial" w:eastAsia="Arial" w:hAnsi="Arial"/>
          <w:sz w:val="18"/>
          <w:szCs w:val="18"/>
          <w:color w:val="auto"/>
        </w:rPr>
        <w:t>Matthew Wright, Operating Manager of RHSW (Cayman) Ltd., and/or Moshe Feuer, Chief Executive Officer and authorized signatory of BAM may, subject to certain restrictions, be deemed to have voting and investment control over the shares held by Montsant. The address for Montsant is c/o BAM Administrative Services LLC, 105 Madison Avenue, 19th Floor, New York, NY 10016.</w:t>
      </w:r>
    </w:p>
    <w:p>
      <w:pPr>
        <w:spacing w:after="0" w:line="193" w:lineRule="exact"/>
        <w:rPr>
          <w:rFonts w:ascii="Arial" w:cs="Arial" w:eastAsia="Arial" w:hAnsi="Arial"/>
          <w:sz w:val="18"/>
          <w:szCs w:val="18"/>
          <w:color w:val="auto"/>
        </w:rPr>
      </w:pPr>
    </w:p>
    <w:p>
      <w:pPr>
        <w:jc w:val="both"/>
        <w:ind w:left="452" w:hanging="408"/>
        <w:spacing w:after="0" w:line="291" w:lineRule="auto"/>
        <w:tabs>
          <w:tab w:leader="none" w:pos="452" w:val="left"/>
        </w:tabs>
        <w:numPr>
          <w:ilvl w:val="1"/>
          <w:numId w:val="23"/>
        </w:numPr>
        <w:rPr>
          <w:rFonts w:ascii="Arial" w:cs="Arial" w:eastAsia="Arial" w:hAnsi="Arial"/>
          <w:sz w:val="16"/>
          <w:szCs w:val="16"/>
          <w:color w:val="auto"/>
        </w:rPr>
      </w:pPr>
      <w:r>
        <w:rPr>
          <w:rFonts w:ascii="Arial" w:cs="Arial" w:eastAsia="Arial" w:hAnsi="Arial"/>
          <w:sz w:val="16"/>
          <w:szCs w:val="16"/>
          <w:color w:val="auto"/>
        </w:rPr>
        <w:t>Based upon Company records of transactions between us and Lincoln Park Capital Fund, LLC (</w:t>
      </w:r>
      <w:r>
        <w:rPr>
          <w:rFonts w:ascii="Arial" w:cs="Arial" w:eastAsia="Arial" w:hAnsi="Arial"/>
          <w:sz w:val="16"/>
          <w:szCs w:val="16"/>
          <w:i w:val="1"/>
          <w:iCs w:val="1"/>
          <w:color w:val="auto"/>
        </w:rPr>
        <w:t>Lincoln Park</w:t>
      </w:r>
      <w:r>
        <w:rPr>
          <w:rFonts w:ascii="Arial" w:cs="Arial" w:eastAsia="Arial" w:hAnsi="Arial"/>
          <w:sz w:val="16"/>
          <w:szCs w:val="16"/>
          <w:color w:val="auto"/>
        </w:rPr>
        <w:t>), and upon the Schedule 13G filed by Lincoln Park with the SEC on January 29, 2020. Includes an aggregate of 3,814,602 shares of Common Stock issuable upon exercise of Common Stock purchase warrants held by Lincoln Park, of which warrants to purchase 2,814,602 shares of Common Stock become exercisable on July 25, 2020, subject to a 9.99% beneficial ownership cap that prohibits the issuance of shares of Common Stock upon exercise of the Common Stock purchase warrants to the extent such issuance would cause the holder’s beneficial ownership of Common Stock to exceed 9.99% of the outstanding Common Stock. The address for Lincoln Park is 440 North Wells, Suite 410, Chicago, Illinois 60654.</w:t>
      </w:r>
    </w:p>
    <w:p>
      <w:pPr>
        <w:spacing w:after="0" w:line="173" w:lineRule="exact"/>
        <w:rPr>
          <w:rFonts w:ascii="Arial" w:cs="Arial" w:eastAsia="Arial" w:hAnsi="Arial"/>
          <w:sz w:val="16"/>
          <w:szCs w:val="16"/>
          <w:color w:val="auto"/>
        </w:rPr>
      </w:pPr>
    </w:p>
    <w:p>
      <w:pPr>
        <w:jc w:val="both"/>
        <w:ind w:left="452"/>
        <w:spacing w:after="0" w:line="290" w:lineRule="auto"/>
        <w:rPr>
          <w:rFonts w:ascii="Arial" w:cs="Arial" w:eastAsia="Arial" w:hAnsi="Arial"/>
          <w:sz w:val="16"/>
          <w:szCs w:val="16"/>
          <w:color w:val="auto"/>
        </w:rPr>
      </w:pPr>
      <w:r>
        <w:rPr>
          <w:rFonts w:ascii="Arial" w:cs="Arial" w:eastAsia="Arial" w:hAnsi="Arial"/>
          <w:sz w:val="16"/>
          <w:szCs w:val="16"/>
          <w:color w:val="auto"/>
        </w:rPr>
        <w:t>Lincoln Park Capital, LLC (</w:t>
      </w:r>
      <w:r>
        <w:rPr>
          <w:rFonts w:ascii="Arial" w:cs="Arial" w:eastAsia="Arial" w:hAnsi="Arial"/>
          <w:sz w:val="16"/>
          <w:szCs w:val="16"/>
          <w:i w:val="1"/>
          <w:iCs w:val="1"/>
          <w:color w:val="auto"/>
        </w:rPr>
        <w:t>LPC</w:t>
      </w:r>
      <w:r>
        <w:rPr>
          <w:rFonts w:ascii="Arial" w:cs="Arial" w:eastAsia="Arial" w:hAnsi="Arial"/>
          <w:sz w:val="16"/>
          <w:szCs w:val="16"/>
          <w:color w:val="auto"/>
        </w:rPr>
        <w:t>) is the Managing Member of Lincoln Park. Rockledge Capital Corporation (</w:t>
      </w:r>
      <w:r>
        <w:rPr>
          <w:rFonts w:ascii="Arial" w:cs="Arial" w:eastAsia="Arial" w:hAnsi="Arial"/>
          <w:sz w:val="16"/>
          <w:szCs w:val="16"/>
          <w:i w:val="1"/>
          <w:iCs w:val="1"/>
          <w:color w:val="auto"/>
        </w:rPr>
        <w:t>RCC</w:t>
      </w:r>
      <w:r>
        <w:rPr>
          <w:rFonts w:ascii="Arial" w:cs="Arial" w:eastAsia="Arial" w:hAnsi="Arial"/>
          <w:sz w:val="16"/>
          <w:szCs w:val="16"/>
          <w:color w:val="auto"/>
        </w:rPr>
        <w:t>) and Alex Noah Investors, Inc. (</w:t>
      </w:r>
      <w:r>
        <w:rPr>
          <w:rFonts w:ascii="Arial" w:cs="Arial" w:eastAsia="Arial" w:hAnsi="Arial"/>
          <w:sz w:val="16"/>
          <w:szCs w:val="16"/>
          <w:i w:val="1"/>
          <w:iCs w:val="1"/>
          <w:color w:val="auto"/>
        </w:rPr>
        <w:t>Alex</w:t>
      </w:r>
      <w:r>
        <w:rPr>
          <w:rFonts w:ascii="Arial" w:cs="Arial" w:eastAsia="Arial" w:hAnsi="Arial"/>
          <w:sz w:val="16"/>
          <w:szCs w:val="16"/>
          <w:color w:val="auto"/>
        </w:rPr>
        <w:t xml:space="preserve"> </w:t>
      </w:r>
      <w:r>
        <w:rPr>
          <w:rFonts w:ascii="Arial" w:cs="Arial" w:eastAsia="Arial" w:hAnsi="Arial"/>
          <w:sz w:val="16"/>
          <w:szCs w:val="16"/>
          <w:i w:val="1"/>
          <w:iCs w:val="1"/>
          <w:color w:val="auto"/>
        </w:rPr>
        <w:t>Noah</w:t>
      </w:r>
      <w:r>
        <w:rPr>
          <w:rFonts w:ascii="Arial" w:cs="Arial" w:eastAsia="Arial" w:hAnsi="Arial"/>
          <w:sz w:val="16"/>
          <w:szCs w:val="16"/>
          <w:color w:val="auto"/>
        </w:rPr>
        <w:t>) are the Managing Members of LPC. Joshua B. Scheinfeld is the president and sole shareholder of RCC, as well as a principal of LPC. Jonathan I.</w:t>
      </w:r>
      <w:r>
        <w:rPr>
          <w:rFonts w:ascii="Arial" w:cs="Arial" w:eastAsia="Arial" w:hAnsi="Arial"/>
          <w:sz w:val="16"/>
          <w:szCs w:val="16"/>
          <w:i w:val="1"/>
          <w:iCs w:val="1"/>
          <w:color w:val="auto"/>
        </w:rPr>
        <w:t xml:space="preserve"> </w:t>
      </w:r>
      <w:r>
        <w:rPr>
          <w:rFonts w:ascii="Arial" w:cs="Arial" w:eastAsia="Arial" w:hAnsi="Arial"/>
          <w:sz w:val="16"/>
          <w:szCs w:val="16"/>
          <w:color w:val="auto"/>
        </w:rPr>
        <w:t>Cope is the president and sole shareholder of Alex Noah, as well as a principal of LPC. As a result of the foregoing, Mr. Scheinfeld and Mr. Cope have shared voting and shared investment power over the shares of VistaGen common stock held directly by Lincoln Park. Pursuant to Section 13(d) of the Act and the rules thereunder, each of LPC, RCC, Mr. Scheinfeld, Alex Noah, and Mr. Cope may be deemed to be a beneficial owner of the shares of VistaGen common stock beneficially owned directly by Lincoln Park. Pursuant to Rule 13d-4 of the Act, each of LPC, RCC, Mr. Scheinfeld, Alex Noah, and Mr. Cope disclaims beneficial ownership of the shares of Common Stock of the Issuer held directly by Lincoln Park.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5532" w:hanging="106"/>
        <w:spacing w:after="0"/>
        <w:tabs>
          <w:tab w:leader="none" w:pos="5532" w:val="left"/>
        </w:tabs>
        <w:numPr>
          <w:ilvl w:val="2"/>
          <w:numId w:val="23"/>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79" w:right="339" w:bottom="1440" w:gutter="0" w:footer="0" w:header="0"/>
        </w:sectPr>
      </w:pPr>
    </w:p>
    <w:bookmarkStart w:id="32" w:name="page33"/>
    <w:bookmarkEnd w:id="32"/>
    <w:p>
      <w:pPr>
        <w:jc w:val="both"/>
        <w:ind w:left="460" w:hanging="452"/>
        <w:spacing w:after="0" w:line="298"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upon the Company’s records. Includes currently exercisable warrants to purchase 750,000 registered shares of common stock and currently exercisable options to purchase 115,000 shares of registered common stock. The shares of common stock [and warrants?] are held by Eric D. Weinberger and Megan G. Weinberger as joint tenants with right of survivorship. The Weinberger’s address is 14189 Caloosa Boulevard, West Palm Beach, FL 33418. Eric D. Weinberger and Megan G. Weinberger share voting and investment control over the shares held.</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As of July 20, 2020, options to purchase a total of 11,948,088 registered shares of our common stock were outstanding at a weighted average exercise price of $1.21 per share, of which 8,992,471 options were vested and exercisable at a weighted average exercise price of $1.32 per share and 2,955,617 were unvested and not exercisable at a weighted average exercise price of $0.87 per share. These options were issued under our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xml:space="preserve">) and under our Amended and Restated 2016 Stock Incentive Plan, formerly titled the 2008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as described below. At July 20, 2020, an additional 4,785,162 shares remained available for future equity grants under our 2019 Plan and no new awards are available for grant under our 2016 Plan.</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summarizes awards outstanding under the 2016 Plan and the 2019 Plan, as well as shares available for issuance under 2019 Plan and our 2019 Employee Stock Purchase Plan (</w:t>
      </w:r>
      <w:r>
        <w:rPr>
          <w:rFonts w:ascii="Arial" w:cs="Arial" w:eastAsia="Arial" w:hAnsi="Arial"/>
          <w:sz w:val="18"/>
          <w:szCs w:val="18"/>
          <w:i w:val="1"/>
          <w:iCs w:val="1"/>
          <w:color w:val="auto"/>
        </w:rPr>
        <w:t>2019 ESPP</w:t>
      </w:r>
      <w:r>
        <w:rPr>
          <w:rFonts w:ascii="Arial" w:cs="Arial" w:eastAsia="Arial" w:hAnsi="Arial"/>
          <w:sz w:val="18"/>
          <w:szCs w:val="18"/>
          <w:color w:val="auto"/>
        </w:rPr>
        <w:t>) as of March 31, 2020. The following information does not reflect issuances under the 2019 Plan or the 2019 ESPP subsequent to March 31,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future</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issuance</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to be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upon</w:t>
            </w:r>
          </w:p>
        </w:tc>
        <w:tc>
          <w:tcPr>
            <w:tcW w:w="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compensation</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exercise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28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2"/>
              </w:rPr>
              <w:t>options,</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warrants</w:t>
            </w:r>
          </w:p>
        </w:tc>
        <w:tc>
          <w:tcPr>
            <w:tcW w:w="28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reflected in</w:t>
            </w:r>
          </w:p>
        </w:tc>
      </w:tr>
      <w:tr>
        <w:trPr>
          <w:trHeight w:val="216"/>
        </w:trPr>
        <w:tc>
          <w:tcPr>
            <w:tcW w:w="4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rights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column (a))</w:t>
            </w:r>
          </w:p>
        </w:tc>
      </w:tr>
      <w:tr>
        <w:trPr>
          <w:trHeight w:val="237"/>
        </w:trPr>
        <w:tc>
          <w:tcPr>
            <w:tcW w:w="484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25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(c)</w:t>
            </w:r>
          </w:p>
        </w:tc>
        <w:tc>
          <w:tcPr>
            <w:tcW w:w="140" w:type="dxa"/>
            <w:vAlign w:val="bottom"/>
          </w:tcPr>
          <w:p>
            <w:pPr>
              <w:spacing w:after="0"/>
              <w:rPr>
                <w:sz w:val="20"/>
                <w:szCs w:val="20"/>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10,003,088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7,730,162</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10,003,088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7,730,162</w:t>
            </w:r>
          </w:p>
        </w:tc>
      </w:tr>
      <w:tr>
        <w:trPr>
          <w:trHeight w:val="864"/>
        </w:trPr>
        <w:tc>
          <w:tcPr>
            <w:tcW w:w="4840" w:type="dxa"/>
            <w:vAlign w:val="bottom"/>
            <w:tcBorders>
              <w:top w:val="single" w:sz="8" w:color="CCEEFF"/>
              <w:bottom w:val="single" w:sz="8" w:color="auto"/>
            </w:tcBorders>
          </w:tcPr>
          <w:p>
            <w:pPr>
              <w:spacing w:after="0"/>
              <w:rPr>
                <w:sz w:val="24"/>
                <w:szCs w:val="24"/>
                <w:color w:val="auto"/>
              </w:rPr>
            </w:pPr>
          </w:p>
        </w:tc>
        <w:tc>
          <w:tcPr>
            <w:tcW w:w="2500" w:type="dxa"/>
            <w:vAlign w:val="bottom"/>
            <w:tcBorders>
              <w:top w:val="single" w:sz="8" w:color="CCEEFF"/>
              <w:bottom w:val="single" w:sz="8" w:color="auto"/>
            </w:tcBorders>
          </w:tcPr>
          <w:p>
            <w:pPr>
              <w:jc w:val="right"/>
              <w:ind w:right="1432"/>
              <w:spacing w:after="0"/>
              <w:rPr>
                <w:sz w:val="20"/>
                <w:szCs w:val="20"/>
                <w:color w:val="auto"/>
              </w:rPr>
            </w:pPr>
            <w:r>
              <w:rPr>
                <w:rFonts w:ascii="Arial" w:cs="Arial" w:eastAsia="Arial" w:hAnsi="Arial"/>
                <w:sz w:val="18"/>
                <w:szCs w:val="18"/>
                <w:color w:val="auto"/>
              </w:rPr>
              <w:t>-26-</w:t>
            </w: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Our Board unanimously approved the Company’s Amended and Restated 2016 Stock Incentive Plan, formerly titled the 2008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xml:space="preserve">), on July 26, 2016, and the 2016 Plan was approved by our stockholders at our 2016 Annual 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could grant incentive stock options only to employees of the Company or any parent or subsidiary of the Company. Awards other than incentive stock options could be granted to employees, directors and consultants. A total of 10.0 million shares of our common stock were authorized for issuance under the 2016 Plan, of which options to purchase approximately 7.8 million shares remain outstanding at March 31, 2020. Upon the adoption of our 2019 Plan, no further grants were permissible under the 2016 Plan and approximately 1.4 million authorized shares were transferred to the 2019 Plan and became issuable therefrom. All options granted from the 2016 Plan remain operative under the terms of the respective grants.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2019 Plan</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Board approved the VistaGen Therapeutics, Inc. 2019 Omnibus Equity Incentive Plan on May 27, 2019, and our stockholders adopted it and ratified all previously issued grants on September 5, 2019. The principal features of the 2019 plan are summarized below.</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2019 Plan provides for the grant of stock options,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restricted stock, restricted stock units, and other stock-based awards, and performance awards, collectively referred to as “Awards”. Awards may be granted under the 2019 Plan to officers, employees and consultants of the Company and our subsidiaries and to our non-employee directors. Incentive stock options may be granted only to employees of the Company or one of our subsidiaries. The 2019 Plan is administered by the Compensation Committee of the Board. The Compensation Committee, in its discretion, selects the individuals to whom awards may be granted, the time or times at which such awards are granted, and the terms of such awards. The Compensation Committee may delegate its authority to the extent permitted by applicable law.</w:t>
      </w:r>
    </w:p>
    <w:p>
      <w:pPr>
        <w:spacing w:after="0" w:line="1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Compensation Committee sets stock option exercise prices and terms, except that stock options must be granted with an exercise price not less than 100% of the fair market value of the common stock on the date of grant. The Compensation Committee may grant either incentive stock options, which must comply with Section 422 of the Code, or nonqualified stock options. At the time of grant, the Compensation Committee determines the terms and conditions of stock options, including the quantity, exercise price, vesting periods, term (which cannot exceed ten years) and other conditions on exercise.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may grant SARs as a right in tandem with the number of shares underlying stock options granted under the 2019 Plan or as a freestanding award. Upon exercise, SARs entitle the holder to receive payment per share in stock or cash, or in a combination of stock and cash, equal to the excess of the share’s fair market value on the date of exercise over the grant price of the SAR.</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Compensation Committee may also grant awards of restricted stock, which are shares of common stock subject to specified restrictions, and restricted stock units, which represent the right to receive shares of the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4" w:name="page35"/>
    <w:bookmarkEnd w:id="34"/>
    <w:p>
      <w:pPr>
        <w:jc w:val="both"/>
        <w:ind w:firstLine="648"/>
        <w:spacing w:after="0" w:line="256" w:lineRule="auto"/>
        <w:rPr>
          <w:sz w:val="20"/>
          <w:szCs w:val="20"/>
          <w:color w:val="auto"/>
        </w:rPr>
      </w:pPr>
      <w:r>
        <w:rPr>
          <w:rFonts w:ascii="Arial" w:cs="Arial" w:eastAsia="Arial" w:hAnsi="Arial"/>
          <w:sz w:val="18"/>
          <w:szCs w:val="18"/>
          <w:color w:val="auto"/>
        </w:rPr>
        <w:t>The Compensation Committee may condition the grant, exercise, vesting, or settlement of any award on such performance conditions as it may specify. We refer to these awards as “performance awards.” The Compensation Committee may select such business criteria or other performance measures as it may deem appropriate in establishing any performance conditions. At March 31, 2020, the Compensation Committee has not granted any performance awards.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total of 7,500,000 shares of common stock were initially authorized for issuance under the 2019 Plan. As noted previously, all awards outstanding under the 2016 Plan at the time the 2019 Plan was adopted remain subject to the 2016 Plan. Upon approval of the 2019 Plan, all shares of common stock remaining authorized and available for issuance under the 2016 Plan, approximately 1.4 million shares, automatically became available for issuance under the 2019 Plan. Additionally, any shares subject to outstanding awards under the 2016 Plan that subsequently expire, terminate, or are surrendered or forfeited for any reason without issuance of shares also become available for issuance under the 2019 Plan. Further, if any award under the 2019 Plan is canceled, terminates, expires or lapses for any reason prior to the issuance of shares or if shares are issued under the 2019 Plan and thereafter are forfeited to us, the shares subject to such awards and the forfeited shares will again be available for grant under the 2019 Plan. At March 31, 2020, a total of 6,730,162 shares remain available for grant under the 2019 Plan.</w:t>
      </w:r>
    </w:p>
    <w:p>
      <w:pPr>
        <w:spacing w:after="0" w:line="17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5"/>
          <w:szCs w:val="15"/>
          <w:color w:val="auto"/>
        </w:rPr>
        <w:t>No more than 25% of any equity-based awards granted under the 2019 Plan will vest on the grant date of such award. This requirement does not apply to (i) 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 Awards are not transferable other than by will or the laws of descent and distribution, except that in certain instances transfers may be made to or for the benefit of designated family members of the participant for no consideration.</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of a change in control of the Company, the Compensation Committee may accelerate the time period relating to the exercise of any award. In addition, the Compensation Committee may take other action, including (a) providing for the purchase of any award for an amount of cash or other property that could have been received upon the exercise of such award had the award been currently exercisable, (b) adjusting the terms of the award in a manner determined by the Compensation Committee to reflect the change in control, or (c) causing an award to be assumed, or new rights substituted therefor, by another entity with appropriate adjustments to be made regarding the number and kind of shares and exercise prices of the award. “Change in Control” is defined under the 2019 Plan and requires consummation of the applicable transaction.</w:t>
      </w:r>
    </w:p>
    <w:p>
      <w:pPr>
        <w:spacing w:after="0" w:line="1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5"/>
          <w:szCs w:val="15"/>
          <w:color w:val="auto"/>
        </w:rPr>
        <w:t>Unless earlier terminated by the Board, the 2019 Plan will terminate, and no further awards may be granted, on September 5, 2029, which is ten years after the date on which it was approved by our stockholders. The Board may amend, suspend or terminate the 2019 Plan at any time.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2019 Plan in such a manner and to such a degree as required. The amendment, suspension or termination of the 2019 Plan or the amendment of an outstanding award generally may not, without a participant’s consent, materially impair the participant’s rights under an outstanding award.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Board approved the VistaGen Therapeutics, Inc. 2019 Employee Stock Purchase Plan) on June 13, 2019. Our stockholders approved the 2019 ESPP at our annual meeting on September 5, 2019. The principal terms of our 2019 ESPP are summarized below.</w:t>
      </w:r>
    </w:p>
    <w:p>
      <w:pPr>
        <w:spacing w:after="0" w:line="1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1,000,000 shares of our common stock may be purchased under the 2019 ESPP.</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5" w:name="page36"/>
    <w:bookmarkEnd w:id="35"/>
    <w:p>
      <w:pPr>
        <w:jc w:val="both"/>
        <w:ind w:firstLine="648"/>
        <w:spacing w:after="0" w:line="294" w:lineRule="auto"/>
        <w:rPr>
          <w:sz w:val="20"/>
          <w:szCs w:val="20"/>
          <w:color w:val="auto"/>
        </w:rPr>
      </w:pPr>
      <w:r>
        <w:rPr>
          <w:rFonts w:ascii="Arial" w:cs="Arial" w:eastAsia="Arial" w:hAnsi="Arial"/>
          <w:sz w:val="16"/>
          <w:szCs w:val="16"/>
          <w:color w:val="auto"/>
        </w:rPr>
        <w:t>The 2019 ESPP is generally expected to operate in consecutive semi-annual periods referred to as “option periods.” The first option period commenced on January 1, 2020 and will end on the last trading day in the semi-annual period ending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5 years or 27 months, depending on the terms of the offering. Generally, all full-time employees of the Company and its subsidiaries will be eligible to participate in an option period</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 the first day of each option period (the </w:t>
      </w:r>
      <w:r>
        <w:rPr>
          <w:rFonts w:ascii="Arial" w:cs="Arial" w:eastAsia="Arial" w:hAnsi="Arial"/>
          <w:sz w:val="16"/>
          <w:szCs w:val="16"/>
          <w:i w:val="1"/>
          <w:iCs w:val="1"/>
          <w:color w:val="auto"/>
        </w:rPr>
        <w:t>Grant Date</w:t>
      </w:r>
      <w:r>
        <w:rPr>
          <w:rFonts w:ascii="Arial" w:cs="Arial" w:eastAsia="Arial" w:hAnsi="Arial"/>
          <w:sz w:val="16"/>
          <w:szCs w:val="16"/>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in his or her enrollment package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Each participant’s payroll deductions under the 2019 ESPP will be credited to a liability account in his or her name under the 2019 ESPP. The aggregate liability for participant payroll deductions at March 31, 2020 was $14,700.</w:t>
      </w:r>
    </w:p>
    <w:p>
      <w:pPr>
        <w:spacing w:after="0" w:line="1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Each option granted under the 2019 ESPP will automatically be exercised on the last day of the respective option period (referred to as the </w:t>
      </w:r>
      <w:r>
        <w:rPr>
          <w:rFonts w:ascii="Arial" w:cs="Arial" w:eastAsia="Arial" w:hAnsi="Arial"/>
          <w:sz w:val="16"/>
          <w:szCs w:val="16"/>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The number of shares acquired by a participant upon exercise of his or her option will be determined by dividing the participant’s 2019 ESPP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as of the Exercise Date for the option period by the purchase price of the option. The purchase price for each option is generally equal to the lesser of</w:t>
      </w:r>
    </w:p>
    <w:p>
      <w:pPr>
        <w:spacing w:after="0" w:line="1" w:lineRule="exact"/>
        <w:rPr>
          <w:sz w:val="20"/>
          <w:szCs w:val="20"/>
          <w:color w:val="auto"/>
        </w:rPr>
      </w:pPr>
    </w:p>
    <w:p>
      <w:pPr>
        <w:jc w:val="both"/>
        <w:ind w:firstLine="8"/>
        <w:spacing w:after="0" w:line="253" w:lineRule="auto"/>
        <w:tabs>
          <w:tab w:leader="none" w:pos="2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85% of the fair market value of a share of our common stock on the applicable Grant Date, or (ii) 85% of the fair market value of a share of our common stock on the applicable Exercise Date. A participant’s 2019 ESPP account will be reduced upon exercise of his or her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Participation in the 2019 ESPP is subject to the following limits:</w:t>
      </w:r>
    </w:p>
    <w:p>
      <w:pPr>
        <w:spacing w:after="0" w:line="225" w:lineRule="exact"/>
        <w:rPr>
          <w:sz w:val="20"/>
          <w:szCs w:val="20"/>
          <w:color w:val="auto"/>
        </w:rPr>
      </w:pPr>
    </w:p>
    <w:p>
      <w:pPr>
        <w:ind w:left="680" w:right="20" w:hanging="335"/>
        <w:spacing w:after="0" w:line="26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participant cannot contribute less than 1% or more than 15% of his or her compensation to the purchase of stock under the 2019 ESPP in any one payroll period;</w:t>
      </w:r>
    </w:p>
    <w:p>
      <w:pPr>
        <w:spacing w:after="0" w:line="185" w:lineRule="exact"/>
        <w:rPr>
          <w:rFonts w:ascii="Arial" w:cs="Arial" w:eastAsia="Arial" w:hAnsi="Arial"/>
          <w:sz w:val="18"/>
          <w:szCs w:val="18"/>
          <w:color w:val="auto"/>
        </w:rPr>
      </w:pPr>
    </w:p>
    <w:p>
      <w:pPr>
        <w:jc w:val="both"/>
        <w:ind w:left="680" w:hanging="335"/>
        <w:spacing w:after="0" w:line="259"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participant cannot purchase any more than 5,000 shares of common stock during an offering period, or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93" w:lineRule="exact"/>
        <w:rPr>
          <w:rFonts w:ascii="Arial" w:cs="Arial" w:eastAsia="Arial" w:hAnsi="Arial"/>
          <w:sz w:val="18"/>
          <w:szCs w:val="18"/>
          <w:color w:val="auto"/>
        </w:rPr>
      </w:pPr>
    </w:p>
    <w:p>
      <w:pPr>
        <w:jc w:val="both"/>
        <w:ind w:left="680" w:hanging="335"/>
        <w:spacing w:after="0" w:line="259"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its parent or one of its subsidiaries or to the extent it would exceed certain other limits under the Code.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$25,000 annual purchase and the 5% ownership limitations referred to above are required under the Code.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is customary in stock incentive plans of this nature,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20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6" w:name="page37"/>
    <w:bookmarkEnd w:id="36"/>
    <w:p>
      <w:pPr>
        <w:jc w:val="both"/>
        <w:ind w:firstLine="648"/>
        <w:spacing w:after="0" w:line="254" w:lineRule="auto"/>
        <w:rPr>
          <w:sz w:val="20"/>
          <w:szCs w:val="20"/>
          <w:color w:val="auto"/>
        </w:rPr>
      </w:pPr>
      <w:r>
        <w:rPr>
          <w:rFonts w:ascii="Arial" w:cs="Arial" w:eastAsia="Arial" w:hAnsi="Arial"/>
          <w:sz w:val="18"/>
          <w:szCs w:val="18"/>
          <w:color w:val="auto"/>
        </w:rPr>
        <w:t>Our 2019 ESPP became effective on January 1, 2020 and will continue in effect until the earlier of such time as all of the shares of the Company’s common stock subject to the 2019 ESPP have been sold under the 2019 ESPP or December 31, 2030, unless terminated earlier by the Board. At March 31, 2020, no option periods had been completed nor shares of common stock purchased by employees under the 2019 ESPP. The initial option period under the 2019 ESPP was completed on June 30, 2020 at which time participating employees purchased an aggregate of 28,125 shares of common stock at a price of $0.448 per share under the terms of the 2019 ESPP.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was the parent of Cato Research Ltd. (</w:t>
      </w:r>
      <w:r>
        <w:rPr>
          <w:rFonts w:ascii="Arial" w:cs="Arial" w:eastAsia="Arial" w:hAnsi="Arial"/>
          <w:sz w:val="18"/>
          <w:szCs w:val="18"/>
          <w:i w:val="1"/>
          <w:iCs w:val="1"/>
          <w:color w:val="auto"/>
        </w:rPr>
        <w:t>CRL</w:t>
      </w:r>
      <w:r>
        <w:rPr>
          <w:rFonts w:ascii="Arial" w:cs="Arial" w:eastAsia="Arial" w:hAnsi="Arial"/>
          <w:sz w:val="18"/>
          <w:szCs w:val="18"/>
          <w:color w:val="auto"/>
        </w:rPr>
        <w:t>), now known as Cato Research LLC. CRL is a contract research, development and regulatory services organization (</w:t>
      </w:r>
      <w:r>
        <w:rPr>
          <w:rFonts w:ascii="Arial" w:cs="Arial" w:eastAsia="Arial" w:hAnsi="Arial"/>
          <w:sz w:val="18"/>
          <w:szCs w:val="18"/>
          <w:i w:val="1"/>
          <w:iCs w:val="1"/>
          <w:color w:val="auto"/>
        </w:rPr>
        <w:t>CRO</w:t>
      </w:r>
      <w:r>
        <w:rPr>
          <w:rFonts w:ascii="Arial" w:cs="Arial" w:eastAsia="Arial" w:hAnsi="Arial"/>
          <w:sz w:val="18"/>
          <w:szCs w:val="18"/>
          <w:color w:val="auto"/>
        </w:rPr>
        <w:t>) that we have, and continue to engaged for a wide range of material aspects related to the nonclinical and clinical development, manufacturing and regulatory affairs associated with our efforts to develop and commercialize PH94B, PH10, AV-101. In October 2018, CHC completed the sale of CRL to an independent third party. As a result of this transactions, CHC and/or CBV no longer is affiliated with or has any control over CRL. Prior to the sale of CRL and during the year ended March 31, 2020, CBV was the beneficial owner of approximately 2.0% of our common stock.</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prior May 2007 master services agreement, we incurred expenses of $3,802,600 and $3,969,100 for the fiscal years ended March 31, 2020 and 2019, respectively. We anticipate periodic expenses for CRO services from CRL related to nonclinical and clinical development of, and regulatory affairs related to, AV-101, PH94B, PH10 and other potential product candidates will remain significant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Option Agreements with Pherin Pharmaceuticals, Inc.</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our fiscal year ended March 31, 2019, we issued an aggregate of 2,556,361 shares of our unregistered common stock having an issue-date fair market value of $4,250,000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to acquire exclusive worldwide licenses to develop and commercialize PH94B, a potential first-in-class neuroactive nasal spray with rapid-onset effects observed at microgram doses and without systemic exposure for the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and an option to acquire a similar license for PH10, a potential first-in-class neuroactive nasal spray with rapid-onset antidepressant effects observed at microgram doses and without systemic exposure for the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We recorded the acquisition of the licenses as research and development expense during our fiscal year ended March 31, 2019. During the years ended March 31, 2020 and 2019, we recorded $120,000 and $70,000 representing monthly support payments to Pherin under the terms of the PH94B license agreement. We recorded no amounts payable to Pherin at March 31, 2020 or 2019. At July 20, 2020, Pherin held approximately 2.4% of our outstanding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our fiscal year ended March 31, 2020, we engaged a consulting firm headed by one of the independent members of our Board, to provide various market research studies and commercial advisory projects for certain of our CNS pipeline candidates. We recorded research and development expense of $108,400 and $11,700 during the fiscal years ended March 31, 2020 and 2019, respectively, related to such studies. We recorded no amounts payable at March 31, 2020 or 2019 related to these studies.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Section 16(a) of the Exchange Act requires our officers, directors and persons who beneficially own more than ten percent of our common stock (collectively, the </w:t>
      </w:r>
      <w:r>
        <w:rPr>
          <w:rFonts w:ascii="Arial" w:cs="Arial" w:eastAsia="Arial" w:hAnsi="Arial"/>
          <w:sz w:val="16"/>
          <w:szCs w:val="16"/>
          <w:i w:val="1"/>
          <w:iCs w:val="1"/>
          <w:color w:val="auto"/>
        </w:rPr>
        <w:t>Reporting Persons</w:t>
      </w:r>
      <w:r>
        <w:rPr>
          <w:rFonts w:ascii="Arial" w:cs="Arial" w:eastAsia="Arial" w:hAnsi="Arial"/>
          <w:sz w:val="16"/>
          <w:szCs w:val="16"/>
          <w:color w:val="auto"/>
        </w:rPr>
        <w:t>) to file reports of ownership on Form 3 and changes in ownership on Form 4 or Form 5 with the SEC. The Reporting Persons are also required by SEC rules to furnish us with copies of all reports that they file pursuant to Section 16(a). To the Company’s knowledge, based solely on our review of the copies of these reports furnished to the Company and written representations that no other reports were required during the fiscal year ended March 31, 2020, all Reporting Persons complied with all applicable reporting requirements.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7" w:name="page38"/>
    <w:bookmarkEnd w:id="37"/>
    <w:p>
      <w:pPr>
        <w:ind w:left="438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2021 Annual Meeting</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Stockholder proposals that are intended to be presented by stockholders at the Company’s 2021 Annual Meeting of Stockholders must be received by the Secretary of the Company between June 7, 2021 and July 7, 2021 in order that they may be included, if appropriate, in the Company’s proxy statement and form of proxy relating to that meeting. A stockholder proposal not included in the Company’s proxy statement for the 2021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2021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Notice, mailed to stockholders on or about July 29, 2020, contains instructions on how to access the Company’s Annual Report on SEC Form 10-K for our fiscal year ended March 31, 2020. The Annual Report, which includes audited financial statements, does not form any part of the material for the solicitation of proxies.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invites you to participate in our Annual Meeting virtually via the Internet. Whether or not you expect to participate in our virtual Annual Meeting virtually via the Internet, please submit your vote via Internet, by telephone or by postal mail as promptly as possible so that your shares will be represented at the Annual Meeting.</w:t>
      </w:r>
    </w:p>
    <w:p>
      <w:pPr>
        <w:spacing w:after="0" w:line="188"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REGARDLESS OF WHETHER YOU PLAN TO PARTICIPATE IN OUR ANNUAL MEETING VIRTUALLY VIA THE INTERNET, PLEASE READ THE ACCOMPANYING PROXY STATEMENT AND THEN VOTE BY INTERNET, TELEPHONE OR POSTAL MAIL AS PROMPTLY AS POSSIBLE. VOTING PROMPTLY WILL SAVE US ADDITIONAL EXPENSE IN SOLICITING PROXIES AND WILL ENSURE THAT YOUR SHARES ARE REPRESENTED AT THE ANNUAL MEETING.</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6446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644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6480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64808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upperLetter"/>
      <w:start w:val="24"/>
    </w:lvl>
  </w:abstractNum>
  <w:abstractNum w:abstractNumId="2">
    <w:nsid w:val="7FDCC233"/>
    <w:multiLevelType w:val="hybridMultilevel"/>
    <w:lvl w:ilvl="0">
      <w:lvlJc w:val="left"/>
      <w:lvlText w:val="["/>
      <w:numFmt w:val="bullet"/>
      <w:start w:val="1"/>
    </w:lvl>
    <w:lvl w:ilvl="1">
      <w:lvlJc w:val="left"/>
      <w:lvlText w:val="%2."/>
      <w:numFmt w:val="decimal"/>
      <w:start w:val="1"/>
    </w:lvl>
  </w:abstractNum>
  <w:abstractNum w:abstractNumId="3">
    <w:nsid w:val="1BEFD79F"/>
    <w:multiLevelType w:val="hybridMultilevel"/>
    <w:lvl w:ilvl="0">
      <w:lvlJc w:val="left"/>
      <w:lvlText w:val="["/>
      <w:numFmt w:val="bullet"/>
      <w:start w:val="1"/>
    </w:lvl>
    <w:lvl w:ilvl="1">
      <w:lvlJc w:val="left"/>
      <w:lvlText w:val="%2."/>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lvl w:ilvl="1">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lvl w:ilvl="1">
      <w:lvlJc w:val="left"/>
      <w:lvlText w:val="-"/>
      <w:numFmt w:val="bullet"/>
      <w:start w:val="1"/>
    </w:lvl>
  </w:abstractNum>
  <w:abstractNum w:abstractNumId="13">
    <w:nsid w:val="62BBD95A"/>
    <w:multiLevelType w:val="hybridMultilevel"/>
    <w:lvl w:ilvl="0">
      <w:lvlJc w:val="left"/>
      <w:lvlText w:val="(%1)"/>
      <w:numFmt w:val="decimal"/>
      <w:start w:val="8"/>
    </w:lvl>
  </w:abstractNum>
  <w:abstractNum w:abstractNumId="14">
    <w:nsid w:val="436C6125"/>
    <w:multiLevelType w:val="hybridMultilevel"/>
    <w:lvl w:ilvl="0">
      <w:lvlJc w:val="left"/>
      <w:lvlText w:val="(%1)"/>
      <w:numFmt w:val="decimal"/>
      <w:start w:val="9"/>
    </w:lvl>
  </w:abstractNum>
  <w:abstractNum w:abstractNumId="15">
    <w:nsid w:val="628C895D"/>
    <w:multiLevelType w:val="hybridMultilevel"/>
    <w:lvl w:ilvl="0">
      <w:lvlJc w:val="left"/>
      <w:lvlText w:val="(%1)"/>
      <w:numFmt w:val="decimal"/>
      <w:start w:val="1"/>
    </w:lvl>
    <w:lvl w:ilvl="1">
      <w:lvlJc w:val="left"/>
      <w:lvlText w:val="-"/>
      <w:numFmt w:val="bullet"/>
      <w:start w:val="1"/>
    </w:lvl>
  </w:abstractNum>
  <w:abstractNum w:abstractNumId="16">
    <w:nsid w:val="333AB105"/>
    <w:multiLevelType w:val="hybridMultilevel"/>
    <w:lvl w:ilvl="0">
      <w:lvlJc w:val="left"/>
      <w:lvlText w:val="(%1)"/>
      <w:numFmt w:val="decimal"/>
      <w:start w:val="6"/>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lvl w:ilvl="1">
      <w:lvlJc w:val="left"/>
      <w:lvlText w:val="-"/>
      <w:numFmt w:val="bullet"/>
      <w:start w:val="1"/>
    </w:lvl>
  </w:abstractNum>
  <w:abstractNum w:abstractNumId="22">
    <w:nsid w:val="8EDBDAB"/>
    <w:multiLevelType w:val="hybridMultilevel"/>
    <w:lvl w:ilvl="0">
      <w:lvlJc w:val="left"/>
      <w:lvlText w:val="(%1)"/>
      <w:numFmt w:val="decimal"/>
      <w:start w:val="4"/>
    </w:lvl>
    <w:lvl w:ilvl="1">
      <w:lvlJc w:val="left"/>
      <w:lvlText w:val="(%2)"/>
      <w:numFmt w:val="decimal"/>
      <w:start w:val="12"/>
    </w:lvl>
    <w:lvl w:ilvl="2">
      <w:lvlJc w:val="left"/>
      <w:lvlText w:val="-"/>
      <w:numFmt w:val="bullet"/>
      <w:start w:val="1"/>
    </w:lvl>
  </w:abstractNum>
  <w:abstractNum w:abstractNumId="23">
    <w:nsid w:val="79838CB2"/>
    <w:multiLevelType w:val="hybridMultilevel"/>
    <w:lvl w:ilvl="0">
      <w:lvlJc w:val="left"/>
      <w:lvlText w:val="(%1)"/>
      <w:numFmt w:val="decimal"/>
      <w:start w:val="13"/>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2020-07-27T15:53:00Z</dcterms:created>
  <dcterms:modified xsi:type="dcterms:W3CDTF">2020-07-27T15:53:00Z</dcterms:modified>
</cp:coreProperties>
</file>