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152400</wp:posOffset>
            </wp:positionH>
            <wp:positionV relativeFrom="page">
              <wp:posOffset>280035</wp:posOffset>
            </wp:positionV>
            <wp:extent cx="725614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145" cy="31750"/>
                    </a:xfrm>
                    <a:prstGeom prst="rect">
                      <a:avLst/>
                    </a:prstGeom>
                    <a:noFill/>
                  </pic:spPr>
                </pic:pic>
              </a:graphicData>
            </a:graphic>
          </wp:anchor>
        </w:drawing>
        <w:drawing>
          <wp:anchor simplePos="0" relativeHeight="251657728" behindDoc="1" locked="0" layoutInCell="0" allowOverlap="1">
            <wp:simplePos x="0" y="0"/>
            <wp:positionH relativeFrom="page">
              <wp:posOffset>152400</wp:posOffset>
            </wp:positionH>
            <wp:positionV relativeFrom="page">
              <wp:posOffset>375920</wp:posOffset>
            </wp:positionV>
            <wp:extent cx="7256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6145" cy="8255"/>
                    </a:xfrm>
                    <a:prstGeom prst="rect">
                      <a:avLst/>
                    </a:prstGeom>
                    <a:noFill/>
                  </pic:spPr>
                </pic:pic>
              </a:graphicData>
            </a:graphic>
          </wp:anchor>
        </w:drawing>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333-234025</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Prospectus Supplement</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(To Prospectus Dated September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2998470</wp:posOffset>
            </wp:positionH>
            <wp:positionV relativeFrom="paragraph">
              <wp:posOffset>267335</wp:posOffset>
            </wp:positionV>
            <wp:extent cx="1268095" cy="885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095" cy="885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3,870,077 Shares of Common Stock</w:t>
      </w:r>
    </w:p>
    <w:p>
      <w:pPr>
        <w:spacing w:after="0" w:line="222" w:lineRule="exact"/>
        <w:rPr>
          <w:sz w:val="24"/>
          <w:szCs w:val="24"/>
          <w:color w:val="auto"/>
        </w:rPr>
      </w:pPr>
    </w:p>
    <w:p>
      <w:pPr>
        <w:jc w:val="both"/>
        <w:ind w:firstLine="603"/>
        <w:spacing w:after="0" w:line="277" w:lineRule="auto"/>
        <w:rPr>
          <w:sz w:val="20"/>
          <w:szCs w:val="20"/>
          <w:color w:val="auto"/>
        </w:rPr>
      </w:pPr>
      <w:r>
        <w:rPr>
          <w:rFonts w:ascii="Arial" w:cs="Arial" w:eastAsia="Arial" w:hAnsi="Arial"/>
          <w:sz w:val="16"/>
          <w:szCs w:val="16"/>
          <w:color w:val="auto"/>
        </w:rPr>
        <w:t>Pursuant to this prospectus supplement and the accompanying prospectus, we are offering 3,870,077 shares of our common stock, par value $0.001 per share, at a price of $0.71058 per share, to certain institutional and accredited investors, pursuant to this prospectus supplement and the accompanying prospectus and a securities purchase agreement with such investors.</w:t>
      </w:r>
    </w:p>
    <w:p>
      <w:pPr>
        <w:spacing w:after="0" w:line="167" w:lineRule="exact"/>
        <w:rPr>
          <w:sz w:val="24"/>
          <w:szCs w:val="24"/>
          <w:color w:val="auto"/>
        </w:rPr>
      </w:pPr>
    </w:p>
    <w:p>
      <w:pPr>
        <w:jc w:val="both"/>
        <w:ind w:firstLine="603"/>
        <w:spacing w:after="0" w:line="289" w:lineRule="auto"/>
        <w:rPr>
          <w:sz w:val="20"/>
          <w:szCs w:val="20"/>
          <w:color w:val="auto"/>
        </w:rPr>
      </w:pPr>
      <w:r>
        <w:rPr>
          <w:rFonts w:ascii="Arial" w:cs="Arial" w:eastAsia="Arial" w:hAnsi="Arial"/>
          <w:sz w:val="15"/>
          <w:szCs w:val="15"/>
          <w:color w:val="auto"/>
        </w:rPr>
        <w:t xml:space="preserve">In a concurrent private placement, we are selling to such investors warrants to purchase up to 3,870,077 shares which represents 100% of the number of shares of our common stock being purchased in this offering at an exercise price of $0.73 per share (the </w:t>
      </w:r>
      <w:r>
        <w:rPr>
          <w:rFonts w:ascii="Arial" w:cs="Arial" w:eastAsia="Arial" w:hAnsi="Arial"/>
          <w:sz w:val="15"/>
          <w:szCs w:val="15"/>
          <w:i w:val="1"/>
          <w:iCs w:val="1"/>
          <w:color w:val="auto"/>
        </w:rPr>
        <w:t>Warrants</w:t>
      </w:r>
      <w:r>
        <w:rPr>
          <w:rFonts w:ascii="Arial" w:cs="Arial" w:eastAsia="Arial" w:hAnsi="Arial"/>
          <w:sz w:val="15"/>
          <w:szCs w:val="15"/>
          <w:color w:val="auto"/>
        </w:rPr>
        <w:t xml:space="preserve">). The Warrants will first become exercisable six months and one day following the date of issuance, and will terminate five years from the date of issuance. The Warrants and the shares of our common stock issuable upon the exercise of the Warrants are being offered pursuant to the exemption provided in Section 4(a)(2) under the Securities Act of 1933, as amended (the </w:t>
      </w:r>
      <w:r>
        <w:rPr>
          <w:rFonts w:ascii="Arial" w:cs="Arial" w:eastAsia="Arial" w:hAnsi="Arial"/>
          <w:sz w:val="15"/>
          <w:szCs w:val="15"/>
          <w:i w:val="1"/>
          <w:iCs w:val="1"/>
          <w:color w:val="auto"/>
        </w:rPr>
        <w:t>Securities Act</w:t>
      </w:r>
      <w:r>
        <w:rPr>
          <w:rFonts w:ascii="Arial" w:cs="Arial" w:eastAsia="Arial" w:hAnsi="Arial"/>
          <w:sz w:val="15"/>
          <w:szCs w:val="15"/>
          <w:color w:val="auto"/>
        </w:rPr>
        <w:t>), and Rule 506(b) promulgated thereunder, and they are not being offered pursuant to this prospectus supplement and the accompanying prospectus. The Warrants are not and will not be listed for trading on any national securities exchange. Each purchaser will be an “accredited investor” as such term is defined in Rule 501(a) under the Securities Act.</w:t>
      </w:r>
    </w:p>
    <w:p>
      <w:pPr>
        <w:spacing w:after="0" w:line="160" w:lineRule="exact"/>
        <w:rPr>
          <w:sz w:val="24"/>
          <w:szCs w:val="24"/>
          <w:color w:val="auto"/>
        </w:rPr>
      </w:pPr>
    </w:p>
    <w:p>
      <w:pPr>
        <w:jc w:val="both"/>
        <w:ind w:firstLine="603"/>
        <w:spacing w:after="0" w:line="272" w:lineRule="auto"/>
        <w:rPr>
          <w:sz w:val="20"/>
          <w:szCs w:val="20"/>
          <w:color w:val="auto"/>
        </w:rPr>
      </w:pPr>
      <w:r>
        <w:rPr>
          <w:rFonts w:ascii="Arial" w:cs="Arial" w:eastAsia="Arial" w:hAnsi="Arial"/>
          <w:sz w:val="16"/>
          <w:szCs w:val="16"/>
          <w:color w:val="auto"/>
        </w:rPr>
        <w:t>Our common stock is presently traded on the Nasdaq Capital Market under the symbol “VTGN.” On January 23, 2020, the last reported sale price of our common stock was $0.7289 per share. There is no established trading market for the Warrants being issued in the concurrent private placement, and we do not expect a market to develop. In addition, we do not intend to apply for the listing of the Warrants on any national securities exchange or other trading market. Without an active trading market, the liquidity of the Warrants will be limited.</w:t>
      </w:r>
    </w:p>
    <w:p>
      <w:pPr>
        <w:spacing w:after="0" w:line="171" w:lineRule="exact"/>
        <w:rPr>
          <w:sz w:val="24"/>
          <w:szCs w:val="24"/>
          <w:color w:val="auto"/>
        </w:rPr>
      </w:pPr>
    </w:p>
    <w:p>
      <w:pPr>
        <w:jc w:val="both"/>
        <w:ind w:firstLine="603"/>
        <w:spacing w:after="0" w:line="316" w:lineRule="auto"/>
        <w:rPr>
          <w:sz w:val="20"/>
          <w:szCs w:val="20"/>
          <w:color w:val="auto"/>
        </w:rPr>
      </w:pPr>
      <w:r>
        <w:rPr>
          <w:rFonts w:ascii="Arial" w:cs="Arial" w:eastAsia="Arial" w:hAnsi="Arial"/>
          <w:sz w:val="14"/>
          <w:szCs w:val="14"/>
          <w:color w:val="auto"/>
        </w:rPr>
        <w:t>As of January 24, 2020, the aggregate market value of our voting and non-voting common stock held by non-affiliates pursuant to General Instruction I.B.6. of Form S-3 was $44,278,785 which was calculated based on 43,840,381 outstanding shares of our common stock held by non-affiliates and at a price of $1.01 per share, the closing sale price of our common stock reported on the Nasdaq Capital Market on December 16, 2019. As a result, we are eligible to offer and sell up to an aggregate of $14,758,119 of shares of our common stock pursuant to General Instruction I.B.6. of Form S-3. Following this offering, we will have sold securities with an aggregate market value of $14,250,000 pursuant to General Instruction I.B.6. of Form S-3 during the prior 12 calendar month period that ends on, and includes, the date of this prospectus supplement.</w:t>
      </w:r>
    </w:p>
    <w:p>
      <w:pPr>
        <w:spacing w:after="0" w:line="142" w:lineRule="exact"/>
        <w:rPr>
          <w:sz w:val="24"/>
          <w:szCs w:val="24"/>
          <w:color w:val="auto"/>
        </w:rPr>
      </w:pPr>
    </w:p>
    <w:p>
      <w:pPr>
        <w:jc w:val="both"/>
        <w:ind w:firstLine="603"/>
        <w:spacing w:after="0" w:line="297" w:lineRule="auto"/>
        <w:rPr>
          <w:sz w:val="20"/>
          <w:szCs w:val="20"/>
          <w:color w:val="auto"/>
        </w:rPr>
      </w:pPr>
      <w:r>
        <w:rPr>
          <w:rFonts w:ascii="Arial" w:cs="Arial" w:eastAsia="Arial" w:hAnsi="Arial"/>
          <w:sz w:val="16"/>
          <w:szCs w:val="16"/>
          <w:b w:val="1"/>
          <w:bCs w:val="1"/>
          <w:color w:val="auto"/>
        </w:rPr>
        <w:t>Investing in our securities involves a high degree of risk. You should review carefully the risks and uncertainties described under the heading “Risk Factors” beginning on page 9 of this prospectus, and under similar headings in any amendments or supplements to this prospectus.</w:t>
      </w:r>
    </w:p>
    <w:p>
      <w:pPr>
        <w:spacing w:after="0" w:line="147" w:lineRule="exact"/>
        <w:rPr>
          <w:sz w:val="24"/>
          <w:szCs w:val="24"/>
          <w:color w:val="auto"/>
        </w:rPr>
      </w:pPr>
    </w:p>
    <w:p>
      <w:pPr>
        <w:jc w:val="both"/>
        <w:ind w:firstLine="603"/>
        <w:spacing w:after="0" w:line="29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Delivery of the shares of common stock will be made on or about January 24, 2020, subject to the satisfaction of certain closing conditions.</w:t>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 date of this prospectus supplement is January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542290</wp:posOffset>
            </wp:positionV>
            <wp:extent cx="725614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60" w:type="dxa"/>
            <w:vAlign w:val="bottom"/>
            <w:gridSpan w:val="3"/>
          </w:tcPr>
          <w:p>
            <w:pPr>
              <w:jc w:val="center"/>
              <w:ind w:right="2680"/>
              <w:spacing w:after="0"/>
              <w:rPr>
                <w:sz w:val="20"/>
                <w:szCs w:val="20"/>
                <w:color w:val="auto"/>
              </w:rPr>
            </w:pPr>
            <w:r>
              <w:rPr>
                <w:rFonts w:ascii="Arial" w:cs="Arial" w:eastAsia="Arial" w:hAnsi="Arial"/>
                <w:sz w:val="16"/>
                <w:szCs w:val="16"/>
                <w:b w:val="1"/>
                <w:bCs w:val="1"/>
                <w:color w:val="auto"/>
              </w:rPr>
              <w:t>VISTAGEN THERAPEUTICS, INC.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3"/>
          </w:tcPr>
          <w:p>
            <w:pPr>
              <w:jc w:val="center"/>
              <w:ind w:right="2680"/>
              <w:spacing w:after="0"/>
              <w:rPr>
                <w:sz w:val="20"/>
                <w:szCs w:val="20"/>
                <w:color w:val="auto"/>
              </w:rPr>
            </w:pPr>
            <w:r>
              <w:rPr>
                <w:rFonts w:ascii="Arial" w:cs="Arial" w:eastAsia="Arial" w:hAnsi="Arial"/>
                <w:sz w:val="16"/>
                <w:szCs w:val="16"/>
                <w:b w:val="1"/>
                <w:bCs w:val="1"/>
                <w:color w:val="auto"/>
              </w:rPr>
              <w:t>TABLE OF CONTENTS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0280" w:type="dxa"/>
            <w:vAlign w:val="bottom"/>
            <w:gridSpan w:val="20"/>
          </w:tcPr>
          <w:p>
            <w:pPr>
              <w:spacing w:after="0"/>
              <w:rPr>
                <w:sz w:val="20"/>
                <w:szCs w:val="20"/>
                <w:color w:val="auto"/>
              </w:rPr>
            </w:pPr>
            <w:r>
              <w:rPr>
                <w:rFonts w:ascii="Arial" w:cs="Arial" w:eastAsia="Arial" w:hAnsi="Arial"/>
                <w:sz w:val="16"/>
                <w:szCs w:val="16"/>
                <w:b w:val="1"/>
                <w:bCs w:val="1"/>
                <w:color w:val="auto"/>
              </w:rPr>
              <w:t>Prospectus Supplement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Page</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260" w:type="dxa"/>
            <w:vAlign w:val="bottom"/>
            <w:gridSpan w:val="19"/>
            <w:shd w:val="clear" w:color="auto" w:fill="CCEEFF"/>
          </w:tcPr>
          <w:p>
            <w:pPr>
              <w:spacing w:after="0" w:line="163" w:lineRule="exact"/>
              <w:rPr>
                <w:rFonts w:ascii="Arial" w:cs="Arial" w:eastAsia="Arial" w:hAnsi="Arial"/>
                <w:sz w:val="16"/>
                <w:szCs w:val="16"/>
                <w:color w:val="0000EE"/>
              </w:rPr>
            </w:pPr>
            <w:hyperlink w:anchor="page3">
              <w:r>
                <w:rPr>
                  <w:rFonts w:ascii="Arial" w:cs="Arial" w:eastAsia="Arial" w:hAnsi="Arial"/>
                  <w:sz w:val="16"/>
                  <w:szCs w:val="16"/>
                  <w:color w:val="0000EE"/>
                </w:rPr>
                <w:t>About This Prospectus Supplement</w:t>
              </w:r>
            </w:hyperlink>
          </w:p>
        </w:tc>
        <w:tc>
          <w:tcPr>
            <w:tcW w:w="114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88"/>
              </w:rPr>
              <w:t>S-1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Borders>
              <w:top w:val="single" w:sz="8" w:color="0000EE"/>
            </w:tcBorders>
            <w:gridSpan w:val="13"/>
          </w:tcPr>
          <w:p>
            <w:pPr>
              <w:spacing w:after="0" w:line="163" w:lineRule="exact"/>
              <w:rPr>
                <w:rFonts w:ascii="Arial" w:cs="Arial" w:eastAsia="Arial" w:hAnsi="Arial"/>
                <w:sz w:val="16"/>
                <w:szCs w:val="16"/>
                <w:color w:val="0000EE"/>
                <w:w w:val="93"/>
              </w:rPr>
            </w:pPr>
            <w:hyperlink w:anchor="page4">
              <w:r>
                <w:rPr>
                  <w:rFonts w:ascii="Arial" w:cs="Arial" w:eastAsia="Arial" w:hAnsi="Arial"/>
                  <w:sz w:val="16"/>
                  <w:szCs w:val="16"/>
                  <w:color w:val="0000EE"/>
                  <w:w w:val="93"/>
                </w:rPr>
                <w:t>Prospectus Supplement Summary</w:t>
              </w:r>
            </w:hyperlink>
          </w:p>
        </w:tc>
        <w:tc>
          <w:tcPr>
            <w:tcW w:w="7980" w:type="dxa"/>
            <w:vAlign w:val="bottom"/>
            <w:tcBorders>
              <w:top w:val="single" w:sz="8" w:color="CCEEFF"/>
            </w:tcBorders>
            <w:gridSpan w:val="6"/>
          </w:tcPr>
          <w:p>
            <w:pPr>
              <w:spacing w:after="0"/>
              <w:rPr>
                <w:sz w:val="14"/>
                <w:szCs w:val="14"/>
                <w:color w:val="auto"/>
              </w:rPr>
            </w:pPr>
          </w:p>
        </w:tc>
        <w:tc>
          <w:tcPr>
            <w:tcW w:w="1140" w:type="dxa"/>
            <w:vAlign w:val="bottom"/>
            <w:tcBorders>
              <w:top w:val="single" w:sz="8" w:color="CCEEFF"/>
            </w:tcBorders>
          </w:tcPr>
          <w:p>
            <w:pPr>
              <w:jc w:val="center"/>
              <w:spacing w:after="0" w:line="163" w:lineRule="exact"/>
              <w:rPr>
                <w:sz w:val="20"/>
                <w:szCs w:val="20"/>
                <w:color w:val="auto"/>
              </w:rPr>
            </w:pPr>
            <w:r>
              <w:rPr>
                <w:rFonts w:ascii="Arial" w:cs="Arial" w:eastAsia="Arial" w:hAnsi="Arial"/>
                <w:sz w:val="16"/>
                <w:szCs w:val="16"/>
                <w:color w:val="auto"/>
                <w:w w:val="88"/>
              </w:rPr>
              <w:t>S-2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tcBorders>
              <w:top w:val="single" w:sz="8" w:color="0000EE"/>
            </w:tcBorders>
            <w:gridSpan w:val="12"/>
            <w:shd w:val="clear" w:color="auto" w:fill="CCEEFF"/>
          </w:tcPr>
          <w:p>
            <w:pPr>
              <w:spacing w:after="0" w:line="181" w:lineRule="exact"/>
              <w:rPr>
                <w:rFonts w:ascii="Arial" w:cs="Arial" w:eastAsia="Arial" w:hAnsi="Arial"/>
                <w:sz w:val="16"/>
                <w:szCs w:val="16"/>
                <w:color w:val="0000EE"/>
              </w:rPr>
            </w:pPr>
            <w:hyperlink w:anchor="page9">
              <w:r>
                <w:rPr>
                  <w:rFonts w:ascii="Arial" w:cs="Arial" w:eastAsia="Arial" w:hAnsi="Arial"/>
                  <w:sz w:val="16"/>
                  <w:szCs w:val="16"/>
                  <w:color w:val="0000EE"/>
                </w:rPr>
                <w:t>Risk Factors</w:t>
              </w:r>
            </w:hyperlink>
          </w:p>
        </w:tc>
        <w:tc>
          <w:tcPr>
            <w:tcW w:w="8080" w:type="dxa"/>
            <w:vAlign w:val="bottom"/>
            <w:gridSpan w:val="7"/>
            <w:shd w:val="clear" w:color="auto" w:fill="CCEEFF"/>
          </w:tcPr>
          <w:p>
            <w:pPr>
              <w:spacing w:after="0"/>
              <w:rPr>
                <w:sz w:val="15"/>
                <w:szCs w:val="15"/>
                <w:color w:val="auto"/>
              </w:rPr>
            </w:pPr>
          </w:p>
        </w:tc>
        <w:tc>
          <w:tcPr>
            <w:tcW w:w="11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8"/>
              </w:rPr>
              <w:t>S-7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260" w:type="dxa"/>
            <w:vAlign w:val="bottom"/>
            <w:gridSpan w:val="19"/>
          </w:tcPr>
          <w:p>
            <w:pPr>
              <w:spacing w:after="0" w:line="163" w:lineRule="exact"/>
              <w:rPr>
                <w:rFonts w:ascii="Arial" w:cs="Arial" w:eastAsia="Arial" w:hAnsi="Arial"/>
                <w:sz w:val="16"/>
                <w:szCs w:val="16"/>
                <w:color w:val="0000EE"/>
              </w:rPr>
            </w:pPr>
            <w:hyperlink w:anchor="page11">
              <w:r>
                <w:rPr>
                  <w:rFonts w:ascii="Arial" w:cs="Arial" w:eastAsia="Arial" w:hAnsi="Arial"/>
                  <w:sz w:val="16"/>
                  <w:szCs w:val="16"/>
                  <w:color w:val="0000EE"/>
                </w:rPr>
                <w:t>Cautionary Notes Regarding Forward-Looking Statements</w:t>
              </w:r>
            </w:hyperlink>
          </w:p>
        </w:tc>
        <w:tc>
          <w:tcPr>
            <w:tcW w:w="1140" w:type="dxa"/>
            <w:vAlign w:val="bottom"/>
          </w:tcPr>
          <w:p>
            <w:pPr>
              <w:jc w:val="center"/>
              <w:spacing w:after="0" w:line="163" w:lineRule="exact"/>
              <w:rPr>
                <w:sz w:val="20"/>
                <w:szCs w:val="20"/>
                <w:color w:val="auto"/>
              </w:rPr>
            </w:pPr>
            <w:r>
              <w:rPr>
                <w:rFonts w:ascii="Arial" w:cs="Arial" w:eastAsia="Arial" w:hAnsi="Arial"/>
                <w:sz w:val="16"/>
                <w:szCs w:val="16"/>
                <w:color w:val="auto"/>
                <w:w w:val="88"/>
              </w:rPr>
              <w:t>S-9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Borders>
              <w:top w:val="single" w:sz="8" w:color="0000EE"/>
            </w:tcBorders>
            <w:gridSpan w:val="16"/>
            <w:shd w:val="clear" w:color="auto" w:fill="CCEEFF"/>
          </w:tcPr>
          <w:p>
            <w:pPr>
              <w:spacing w:after="0" w:line="181" w:lineRule="exact"/>
              <w:rPr>
                <w:rFonts w:ascii="Arial" w:cs="Arial" w:eastAsia="Arial" w:hAnsi="Arial"/>
                <w:sz w:val="16"/>
                <w:szCs w:val="16"/>
                <w:color w:val="0000EE"/>
              </w:rPr>
            </w:pPr>
            <w:hyperlink w:anchor="page12">
              <w:r>
                <w:rPr>
                  <w:rFonts w:ascii="Arial" w:cs="Arial" w:eastAsia="Arial" w:hAnsi="Arial"/>
                  <w:sz w:val="16"/>
                  <w:szCs w:val="16"/>
                  <w:color w:val="0000EE"/>
                </w:rPr>
                <w:t>Use of Proceeds</w:t>
              </w:r>
            </w:hyperlink>
          </w:p>
        </w:tc>
        <w:tc>
          <w:tcPr>
            <w:tcW w:w="6460" w:type="dxa"/>
            <w:vAlign w:val="bottom"/>
            <w:gridSpan w:val="3"/>
            <w:shd w:val="clear" w:color="auto" w:fill="CCEEFF"/>
          </w:tcPr>
          <w:p>
            <w:pPr>
              <w:spacing w:after="0"/>
              <w:rPr>
                <w:sz w:val="15"/>
                <w:szCs w:val="15"/>
                <w:color w:val="auto"/>
              </w:rPr>
            </w:pPr>
          </w:p>
        </w:tc>
        <w:tc>
          <w:tcPr>
            <w:tcW w:w="11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4"/>
              </w:rPr>
              <w:t>S-10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260" w:type="dxa"/>
            <w:vAlign w:val="bottom"/>
            <w:gridSpan w:val="19"/>
          </w:tcPr>
          <w:p>
            <w:pPr>
              <w:spacing w:after="0" w:line="163" w:lineRule="exact"/>
              <w:rPr>
                <w:rFonts w:ascii="Arial" w:cs="Arial" w:eastAsia="Arial" w:hAnsi="Arial"/>
                <w:sz w:val="16"/>
                <w:szCs w:val="16"/>
                <w:color w:val="0000EE"/>
              </w:rPr>
            </w:pPr>
            <w:hyperlink w:anchor="page13">
              <w:r>
                <w:rPr>
                  <w:rFonts w:ascii="Arial" w:cs="Arial" w:eastAsia="Arial" w:hAnsi="Arial"/>
                  <w:sz w:val="16"/>
                  <w:szCs w:val="16"/>
                  <w:color w:val="0000EE"/>
                </w:rPr>
                <w:t>Dividend Policy</w:t>
              </w:r>
            </w:hyperlink>
          </w:p>
        </w:tc>
        <w:tc>
          <w:tcPr>
            <w:tcW w:w="1140" w:type="dxa"/>
            <w:vAlign w:val="bottom"/>
          </w:tcPr>
          <w:p>
            <w:pPr>
              <w:jc w:val="center"/>
              <w:spacing w:after="0" w:line="163" w:lineRule="exact"/>
              <w:rPr>
                <w:sz w:val="20"/>
                <w:szCs w:val="20"/>
                <w:color w:val="auto"/>
              </w:rPr>
            </w:pPr>
            <w:r>
              <w:rPr>
                <w:rFonts w:ascii="Arial" w:cs="Arial" w:eastAsia="Arial" w:hAnsi="Arial"/>
                <w:sz w:val="16"/>
                <w:szCs w:val="16"/>
                <w:color w:val="auto"/>
                <w:w w:val="88"/>
              </w:rPr>
              <w:t>S-11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tcBorders>
              <w:bottom w:val="single" w:sz="8" w:color="0000EE"/>
            </w:tcBorders>
            <w:gridSpan w:val="10"/>
            <w:shd w:val="clear" w:color="auto" w:fill="CCEEFF"/>
          </w:tcPr>
          <w:p>
            <w:pPr>
              <w:spacing w:after="0" w:line="181" w:lineRule="exact"/>
              <w:rPr>
                <w:rFonts w:ascii="Arial" w:cs="Arial" w:eastAsia="Arial" w:hAnsi="Arial"/>
                <w:sz w:val="16"/>
                <w:szCs w:val="16"/>
                <w:color w:val="0000EE"/>
                <w:w w:val="89"/>
              </w:rPr>
            </w:pPr>
            <w:hyperlink w:anchor="page14">
              <w:r>
                <w:rPr>
                  <w:rFonts w:ascii="Arial" w:cs="Arial" w:eastAsia="Arial" w:hAnsi="Arial"/>
                  <w:sz w:val="16"/>
                  <w:szCs w:val="16"/>
                  <w:color w:val="0000EE"/>
                  <w:w w:val="89"/>
                </w:rPr>
                <w:t>Concurrent Private Placement</w:t>
              </w:r>
            </w:hyperlink>
          </w:p>
        </w:tc>
        <w:tc>
          <w:tcPr>
            <w:tcW w:w="8320" w:type="dxa"/>
            <w:vAlign w:val="bottom"/>
            <w:tcBorders>
              <w:bottom w:val="single" w:sz="8" w:color="CCEEFF"/>
            </w:tcBorders>
            <w:gridSpan w:val="9"/>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81" w:lineRule="exact"/>
              <w:rPr>
                <w:sz w:val="20"/>
                <w:szCs w:val="20"/>
                <w:color w:val="auto"/>
              </w:rPr>
            </w:pPr>
            <w:r>
              <w:rPr>
                <w:rFonts w:ascii="Arial" w:cs="Arial" w:eastAsia="Arial" w:hAnsi="Arial"/>
                <w:sz w:val="16"/>
                <w:szCs w:val="16"/>
                <w:color w:val="auto"/>
                <w:w w:val="94"/>
              </w:rPr>
              <w:t>S-12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tcBorders>
              <w:bottom w:val="single" w:sz="8" w:color="0000EE"/>
            </w:tcBorders>
            <w:gridSpan w:val="3"/>
          </w:tcPr>
          <w:p>
            <w:pPr>
              <w:spacing w:after="0" w:line="163" w:lineRule="exact"/>
              <w:rPr>
                <w:rFonts w:ascii="Arial" w:cs="Arial" w:eastAsia="Arial" w:hAnsi="Arial"/>
                <w:sz w:val="16"/>
                <w:szCs w:val="16"/>
                <w:color w:val="0000EE"/>
                <w:w w:val="91"/>
              </w:rPr>
            </w:pPr>
            <w:hyperlink w:anchor="page15">
              <w:r>
                <w:rPr>
                  <w:rFonts w:ascii="Arial" w:cs="Arial" w:eastAsia="Arial" w:hAnsi="Arial"/>
                  <w:sz w:val="16"/>
                  <w:szCs w:val="16"/>
                  <w:color w:val="0000EE"/>
                  <w:w w:val="91"/>
                </w:rPr>
                <w:t>Capitalization</w:t>
              </w:r>
            </w:hyperlink>
          </w:p>
        </w:tc>
        <w:tc>
          <w:tcPr>
            <w:tcW w:w="9360" w:type="dxa"/>
            <w:vAlign w:val="bottom"/>
            <w:gridSpan w:val="16"/>
          </w:tcPr>
          <w:p>
            <w:pPr>
              <w:spacing w:after="0"/>
              <w:rPr>
                <w:sz w:val="14"/>
                <w:szCs w:val="14"/>
                <w:color w:val="auto"/>
              </w:rPr>
            </w:pPr>
          </w:p>
        </w:tc>
        <w:tc>
          <w:tcPr>
            <w:tcW w:w="1140" w:type="dxa"/>
            <w:vAlign w:val="bottom"/>
          </w:tcPr>
          <w:p>
            <w:pPr>
              <w:jc w:val="center"/>
              <w:spacing w:after="0" w:line="163" w:lineRule="exact"/>
              <w:rPr>
                <w:sz w:val="20"/>
                <w:szCs w:val="20"/>
                <w:color w:val="auto"/>
              </w:rPr>
            </w:pPr>
            <w:r>
              <w:rPr>
                <w:rFonts w:ascii="Arial" w:cs="Arial" w:eastAsia="Arial" w:hAnsi="Arial"/>
                <w:sz w:val="16"/>
                <w:szCs w:val="16"/>
                <w:color w:val="auto"/>
                <w:w w:val="94"/>
              </w:rPr>
              <w:t>S-13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60" w:type="dxa"/>
            <w:vAlign w:val="bottom"/>
            <w:gridSpan w:val="19"/>
            <w:shd w:val="clear" w:color="auto" w:fill="CCEEFF"/>
          </w:tcPr>
          <w:p>
            <w:pPr>
              <w:spacing w:after="0" w:line="181" w:lineRule="exact"/>
              <w:rPr>
                <w:rFonts w:ascii="Arial" w:cs="Arial" w:eastAsia="Arial" w:hAnsi="Arial"/>
                <w:sz w:val="16"/>
                <w:szCs w:val="16"/>
                <w:color w:val="0000EE"/>
              </w:rPr>
            </w:pPr>
            <w:hyperlink w:anchor="page16">
              <w:r>
                <w:rPr>
                  <w:rFonts w:ascii="Arial" w:cs="Arial" w:eastAsia="Arial" w:hAnsi="Arial"/>
                  <w:sz w:val="16"/>
                  <w:szCs w:val="16"/>
                  <w:color w:val="0000EE"/>
                </w:rPr>
                <w:t>Dilution</w:t>
              </w:r>
            </w:hyperlink>
          </w:p>
        </w:tc>
        <w:tc>
          <w:tcPr>
            <w:tcW w:w="11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4"/>
              </w:rPr>
              <w:t>S-14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tcBorders>
              <w:bottom w:val="single" w:sz="8" w:color="0000EE"/>
            </w:tcBorders>
            <w:gridSpan w:val="5"/>
          </w:tcPr>
          <w:p>
            <w:pPr>
              <w:spacing w:after="0" w:line="163" w:lineRule="exact"/>
              <w:rPr>
                <w:rFonts w:ascii="Arial" w:cs="Arial" w:eastAsia="Arial" w:hAnsi="Arial"/>
                <w:sz w:val="16"/>
                <w:szCs w:val="16"/>
                <w:color w:val="0000EE"/>
                <w:w w:val="93"/>
              </w:rPr>
            </w:pPr>
            <w:hyperlink w:anchor="page17">
              <w:r>
                <w:rPr>
                  <w:rFonts w:ascii="Arial" w:cs="Arial" w:eastAsia="Arial" w:hAnsi="Arial"/>
                  <w:sz w:val="16"/>
                  <w:szCs w:val="16"/>
                  <w:color w:val="0000EE"/>
                  <w:w w:val="93"/>
                </w:rPr>
                <w:t>Plan of Distribution</w:t>
              </w:r>
            </w:hyperlink>
          </w:p>
        </w:tc>
        <w:tc>
          <w:tcPr>
            <w:tcW w:w="8980" w:type="dxa"/>
            <w:vAlign w:val="bottom"/>
            <w:gridSpan w:val="14"/>
          </w:tcPr>
          <w:p>
            <w:pPr>
              <w:spacing w:after="0"/>
              <w:rPr>
                <w:sz w:val="14"/>
                <w:szCs w:val="14"/>
                <w:color w:val="auto"/>
              </w:rPr>
            </w:pPr>
          </w:p>
        </w:tc>
        <w:tc>
          <w:tcPr>
            <w:tcW w:w="1140" w:type="dxa"/>
            <w:vAlign w:val="bottom"/>
          </w:tcPr>
          <w:p>
            <w:pPr>
              <w:jc w:val="center"/>
              <w:spacing w:after="0" w:line="163" w:lineRule="exact"/>
              <w:rPr>
                <w:sz w:val="20"/>
                <w:szCs w:val="20"/>
                <w:color w:val="auto"/>
              </w:rPr>
            </w:pPr>
            <w:r>
              <w:rPr>
                <w:rFonts w:ascii="Arial" w:cs="Arial" w:eastAsia="Arial" w:hAnsi="Arial"/>
                <w:sz w:val="16"/>
                <w:szCs w:val="16"/>
                <w:color w:val="auto"/>
                <w:w w:val="94"/>
              </w:rPr>
              <w:t>S-15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81" w:lineRule="exact"/>
              <w:rPr>
                <w:rFonts w:ascii="Arial" w:cs="Arial" w:eastAsia="Arial" w:hAnsi="Arial"/>
                <w:sz w:val="16"/>
                <w:szCs w:val="16"/>
                <w:color w:val="0000EE"/>
                <w:w w:val="90"/>
              </w:rPr>
            </w:pPr>
            <w:hyperlink w:anchor="page18">
              <w:r>
                <w:rPr>
                  <w:rFonts w:ascii="Arial" w:cs="Arial" w:eastAsia="Arial" w:hAnsi="Arial"/>
                  <w:sz w:val="16"/>
                  <w:szCs w:val="16"/>
                  <w:color w:val="0000EE"/>
                  <w:w w:val="90"/>
                </w:rPr>
                <w:t>Legal Matters</w:t>
              </w:r>
            </w:hyperlink>
          </w:p>
        </w:tc>
        <w:tc>
          <w:tcPr>
            <w:tcW w:w="9360" w:type="dxa"/>
            <w:vAlign w:val="bottom"/>
            <w:tcBorders>
              <w:bottom w:val="single" w:sz="8" w:color="CCEEFF"/>
            </w:tcBorders>
            <w:gridSpan w:val="1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81" w:lineRule="exact"/>
              <w:rPr>
                <w:sz w:val="20"/>
                <w:szCs w:val="20"/>
                <w:color w:val="auto"/>
              </w:rPr>
            </w:pPr>
            <w:r>
              <w:rPr>
                <w:rFonts w:ascii="Arial" w:cs="Arial" w:eastAsia="Arial" w:hAnsi="Arial"/>
                <w:sz w:val="16"/>
                <w:szCs w:val="16"/>
                <w:color w:val="auto"/>
                <w:w w:val="94"/>
              </w:rPr>
              <w:t>S-16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tcBorders>
              <w:bottom w:val="single" w:sz="8" w:color="0000EE"/>
            </w:tcBorders>
          </w:tcPr>
          <w:p>
            <w:pPr>
              <w:spacing w:after="0" w:line="163" w:lineRule="exact"/>
              <w:rPr>
                <w:rFonts w:ascii="Arial" w:cs="Arial" w:eastAsia="Arial" w:hAnsi="Arial"/>
                <w:sz w:val="16"/>
                <w:szCs w:val="16"/>
                <w:color w:val="0000EE"/>
                <w:w w:val="88"/>
              </w:rPr>
            </w:pPr>
            <w:hyperlink w:anchor="page18">
              <w:r>
                <w:rPr>
                  <w:rFonts w:ascii="Arial" w:cs="Arial" w:eastAsia="Arial" w:hAnsi="Arial"/>
                  <w:sz w:val="16"/>
                  <w:szCs w:val="16"/>
                  <w:color w:val="0000EE"/>
                  <w:w w:val="88"/>
                </w:rPr>
                <w:t>Experts</w:t>
              </w:r>
            </w:hyperlink>
          </w:p>
        </w:tc>
        <w:tc>
          <w:tcPr>
            <w:tcW w:w="9740" w:type="dxa"/>
            <w:vAlign w:val="bottom"/>
            <w:gridSpan w:val="18"/>
          </w:tcPr>
          <w:p>
            <w:pPr>
              <w:spacing w:after="0"/>
              <w:rPr>
                <w:sz w:val="14"/>
                <w:szCs w:val="14"/>
                <w:color w:val="auto"/>
              </w:rPr>
            </w:pPr>
          </w:p>
        </w:tc>
        <w:tc>
          <w:tcPr>
            <w:tcW w:w="1140" w:type="dxa"/>
            <w:vAlign w:val="bottom"/>
          </w:tcPr>
          <w:p>
            <w:pPr>
              <w:jc w:val="center"/>
              <w:spacing w:after="0" w:line="163" w:lineRule="exact"/>
              <w:rPr>
                <w:sz w:val="20"/>
                <w:szCs w:val="20"/>
                <w:color w:val="auto"/>
              </w:rPr>
            </w:pPr>
            <w:r>
              <w:rPr>
                <w:rFonts w:ascii="Arial" w:cs="Arial" w:eastAsia="Arial" w:hAnsi="Arial"/>
                <w:sz w:val="16"/>
                <w:szCs w:val="16"/>
                <w:color w:val="auto"/>
                <w:w w:val="94"/>
              </w:rPr>
              <w:t>S-16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80" w:type="dxa"/>
            <w:vAlign w:val="bottom"/>
            <w:tcBorders>
              <w:bottom w:val="single" w:sz="8" w:color="0000EE"/>
            </w:tcBorders>
            <w:gridSpan w:val="14"/>
            <w:shd w:val="clear" w:color="auto" w:fill="CCEEFF"/>
          </w:tcPr>
          <w:p>
            <w:pPr>
              <w:spacing w:after="0" w:line="181" w:lineRule="exact"/>
              <w:rPr>
                <w:rFonts w:ascii="Arial" w:cs="Arial" w:eastAsia="Arial" w:hAnsi="Arial"/>
                <w:sz w:val="16"/>
                <w:szCs w:val="16"/>
                <w:color w:val="0000EE"/>
                <w:w w:val="93"/>
              </w:rPr>
            </w:pPr>
            <w:hyperlink w:anchor="page18">
              <w:r>
                <w:rPr>
                  <w:rFonts w:ascii="Arial" w:cs="Arial" w:eastAsia="Arial" w:hAnsi="Arial"/>
                  <w:sz w:val="16"/>
                  <w:szCs w:val="16"/>
                  <w:color w:val="0000EE"/>
                  <w:w w:val="93"/>
                </w:rPr>
                <w:t>Where You Can Find More Information</w:t>
              </w:r>
            </w:hyperlink>
          </w:p>
        </w:tc>
        <w:tc>
          <w:tcPr>
            <w:tcW w:w="768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81" w:lineRule="exact"/>
              <w:rPr>
                <w:sz w:val="20"/>
                <w:szCs w:val="20"/>
                <w:color w:val="auto"/>
              </w:rPr>
            </w:pPr>
            <w:r>
              <w:rPr>
                <w:rFonts w:ascii="Arial" w:cs="Arial" w:eastAsia="Arial" w:hAnsi="Arial"/>
                <w:sz w:val="16"/>
                <w:szCs w:val="16"/>
                <w:color w:val="auto"/>
                <w:w w:val="94"/>
              </w:rPr>
              <w:t>S-16</w:t>
            </w:r>
          </w:p>
        </w:tc>
        <w:tc>
          <w:tcPr>
            <w:tcW w:w="0" w:type="dxa"/>
            <w:vAlign w:val="bottom"/>
          </w:tcPr>
          <w:p>
            <w:pPr>
              <w:spacing w:after="0"/>
              <w:rPr>
                <w:sz w:val="1"/>
                <w:szCs w:val="1"/>
                <w:color w:val="auto"/>
              </w:rPr>
            </w:pPr>
          </w:p>
        </w:tc>
      </w:tr>
      <w:tr>
        <w:trPr>
          <w:trHeight w:val="163"/>
        </w:trPr>
        <w:tc>
          <w:tcPr>
            <w:tcW w:w="20" w:type="dxa"/>
            <w:vAlign w:val="bottom"/>
            <w:tcBorders>
              <w:bottom w:val="single" w:sz="8" w:color="0000EE"/>
            </w:tcBorders>
          </w:tcPr>
          <w:p>
            <w:pPr>
              <w:spacing w:after="0"/>
              <w:rPr>
                <w:sz w:val="14"/>
                <w:szCs w:val="14"/>
                <w:color w:val="auto"/>
              </w:rPr>
            </w:pPr>
          </w:p>
        </w:tc>
        <w:tc>
          <w:tcPr>
            <w:tcW w:w="3300" w:type="dxa"/>
            <w:vAlign w:val="bottom"/>
            <w:tcBorders>
              <w:bottom w:val="single" w:sz="8" w:color="0000EE"/>
            </w:tcBorders>
            <w:gridSpan w:val="15"/>
          </w:tcPr>
          <w:p>
            <w:pPr>
              <w:spacing w:after="0" w:line="163" w:lineRule="exact"/>
              <w:rPr>
                <w:rFonts w:ascii="Arial" w:cs="Arial" w:eastAsia="Arial" w:hAnsi="Arial"/>
                <w:sz w:val="16"/>
                <w:szCs w:val="16"/>
                <w:color w:val="0000EE"/>
                <w:w w:val="93"/>
              </w:rPr>
            </w:pPr>
            <w:hyperlink w:anchor="page19">
              <w:r>
                <w:rPr>
                  <w:rFonts w:ascii="Arial" w:cs="Arial" w:eastAsia="Arial" w:hAnsi="Arial"/>
                  <w:sz w:val="16"/>
                  <w:szCs w:val="16"/>
                  <w:color w:val="0000EE"/>
                  <w:w w:val="93"/>
                </w:rPr>
                <w:t>Incorporation of Certain Information by Reference</w:t>
              </w:r>
            </w:hyperlink>
          </w:p>
        </w:tc>
        <w:tc>
          <w:tcPr>
            <w:tcW w:w="6960" w:type="dxa"/>
            <w:vAlign w:val="bottom"/>
            <w:gridSpan w:val="4"/>
          </w:tcPr>
          <w:p>
            <w:pPr>
              <w:spacing w:after="0"/>
              <w:rPr>
                <w:sz w:val="14"/>
                <w:szCs w:val="14"/>
                <w:color w:val="auto"/>
              </w:rPr>
            </w:pPr>
          </w:p>
        </w:tc>
        <w:tc>
          <w:tcPr>
            <w:tcW w:w="1140" w:type="dxa"/>
            <w:vAlign w:val="bottom"/>
          </w:tcPr>
          <w:p>
            <w:pPr>
              <w:jc w:val="center"/>
              <w:spacing w:after="0" w:line="163" w:lineRule="exact"/>
              <w:rPr>
                <w:sz w:val="20"/>
                <w:szCs w:val="20"/>
                <w:color w:val="auto"/>
              </w:rPr>
            </w:pPr>
            <w:r>
              <w:rPr>
                <w:rFonts w:ascii="Arial" w:cs="Arial" w:eastAsia="Arial" w:hAnsi="Arial"/>
                <w:sz w:val="16"/>
                <w:szCs w:val="16"/>
                <w:color w:val="auto"/>
                <w:w w:val="94"/>
              </w:rPr>
              <w:t>S-17</w:t>
            </w:r>
          </w:p>
        </w:tc>
        <w:tc>
          <w:tcPr>
            <w:tcW w:w="0" w:type="dxa"/>
            <w:vAlign w:val="bottom"/>
          </w:tcPr>
          <w:p>
            <w:pPr>
              <w:spacing w:after="0"/>
              <w:rPr>
                <w:sz w:val="1"/>
                <w:szCs w:val="1"/>
                <w:color w:val="auto"/>
              </w:rPr>
            </w:pPr>
          </w:p>
        </w:tc>
      </w:tr>
      <w:tr>
        <w:trPr>
          <w:trHeight w:val="417"/>
        </w:trPr>
        <w:tc>
          <w:tcPr>
            <w:tcW w:w="10280" w:type="dxa"/>
            <w:vAlign w:val="bottom"/>
            <w:gridSpan w:val="20"/>
          </w:tcPr>
          <w:p>
            <w:pPr>
              <w:spacing w:after="0"/>
              <w:rPr>
                <w:sz w:val="20"/>
                <w:szCs w:val="20"/>
                <w:color w:val="auto"/>
              </w:rPr>
            </w:pPr>
            <w:r>
              <w:rPr>
                <w:rFonts w:ascii="Arial" w:cs="Arial" w:eastAsia="Arial" w:hAnsi="Arial"/>
                <w:sz w:val="16"/>
                <w:szCs w:val="16"/>
                <w:b w:val="1"/>
                <w:bCs w:val="1"/>
                <w:color w:val="auto"/>
              </w:rPr>
              <w:t>Prospectus</w:t>
            </w:r>
          </w:p>
        </w:tc>
        <w:tc>
          <w:tcPr>
            <w:tcW w:w="1140" w:type="dxa"/>
            <w:vAlign w:val="bottom"/>
            <w:vMerge w:val="restart"/>
          </w:tcPr>
          <w:p>
            <w:pPr>
              <w:ind w:left="36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260" w:type="dxa"/>
            <w:vAlign w:val="bottom"/>
            <w:gridSpan w:val="19"/>
            <w:shd w:val="clear" w:color="auto" w:fill="CCEEFF"/>
          </w:tcPr>
          <w:p>
            <w:pPr>
              <w:spacing w:after="0" w:line="163" w:lineRule="exact"/>
              <w:rPr>
                <w:rFonts w:ascii="Arial" w:cs="Arial" w:eastAsia="Arial" w:hAnsi="Arial"/>
                <w:sz w:val="16"/>
                <w:szCs w:val="16"/>
                <w:color w:val="0000EE"/>
              </w:rPr>
            </w:pPr>
            <w:hyperlink w:anchor="page22">
              <w:r>
                <w:rPr>
                  <w:rFonts w:ascii="Arial" w:cs="Arial" w:eastAsia="Arial" w:hAnsi="Arial"/>
                  <w:sz w:val="16"/>
                  <w:szCs w:val="16"/>
                  <w:color w:val="0000EE"/>
                </w:rPr>
                <w:t>About This Prospectus</w:t>
              </w:r>
            </w:hyperlink>
          </w:p>
        </w:tc>
        <w:tc>
          <w:tcPr>
            <w:tcW w:w="1140" w:type="dxa"/>
            <w:vAlign w:val="bottom"/>
            <w:shd w:val="clear" w:color="auto" w:fill="CCEEFF"/>
          </w:tcPr>
          <w:p>
            <w:pPr>
              <w:jc w:val="center"/>
              <w:ind w:right="18"/>
              <w:spacing w:after="0" w:line="163"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6"/>
          </w:tcPr>
          <w:p>
            <w:pPr>
              <w:spacing w:after="0" w:line="163" w:lineRule="exact"/>
              <w:rPr>
                <w:rFonts w:ascii="Arial" w:cs="Arial" w:eastAsia="Arial" w:hAnsi="Arial"/>
                <w:sz w:val="16"/>
                <w:szCs w:val="16"/>
                <w:color w:val="0000EE"/>
                <w:w w:val="91"/>
              </w:rPr>
            </w:pPr>
            <w:hyperlink w:anchor="page23">
              <w:r>
                <w:rPr>
                  <w:rFonts w:ascii="Arial" w:cs="Arial" w:eastAsia="Arial" w:hAnsi="Arial"/>
                  <w:sz w:val="16"/>
                  <w:szCs w:val="16"/>
                  <w:color w:val="0000EE"/>
                  <w:w w:val="91"/>
                </w:rPr>
                <w:t>Company Overview</w:t>
              </w:r>
            </w:hyperlink>
          </w:p>
        </w:tc>
        <w:tc>
          <w:tcPr>
            <w:tcW w:w="160" w:type="dxa"/>
            <w:vAlign w:val="bottom"/>
            <w:tcBorders>
              <w:top w:val="single" w:sz="8" w:color="0000EE"/>
            </w:tcBorders>
          </w:tcPr>
          <w:p>
            <w:pPr>
              <w:spacing w:after="0"/>
              <w:rPr>
                <w:sz w:val="14"/>
                <w:szCs w:val="14"/>
                <w:color w:val="auto"/>
              </w:rPr>
            </w:pPr>
          </w:p>
        </w:tc>
        <w:tc>
          <w:tcPr>
            <w:tcW w:w="8800" w:type="dxa"/>
            <w:vAlign w:val="bottom"/>
            <w:tcBorders>
              <w:top w:val="single" w:sz="8" w:color="CCEEFF"/>
            </w:tcBorders>
            <w:gridSpan w:val="12"/>
          </w:tcPr>
          <w:p>
            <w:pPr>
              <w:spacing w:after="0"/>
              <w:rPr>
                <w:sz w:val="14"/>
                <w:szCs w:val="14"/>
                <w:color w:val="auto"/>
              </w:rPr>
            </w:pPr>
          </w:p>
        </w:tc>
        <w:tc>
          <w:tcPr>
            <w:tcW w:w="1140" w:type="dxa"/>
            <w:vAlign w:val="bottom"/>
            <w:tcBorders>
              <w:top w:val="single" w:sz="8" w:color="CCEEFF"/>
            </w:tcBorders>
          </w:tcPr>
          <w:p>
            <w:pPr>
              <w:jc w:val="center"/>
              <w:ind w:right="18"/>
              <w:spacing w:after="0" w:line="163" w:lineRule="exact"/>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60" w:type="dxa"/>
            <w:vAlign w:val="bottom"/>
            <w:gridSpan w:val="19"/>
            <w:shd w:val="clear" w:color="auto" w:fill="CCEEFF"/>
          </w:tcPr>
          <w:p>
            <w:pPr>
              <w:spacing w:after="0" w:line="181" w:lineRule="exact"/>
              <w:rPr>
                <w:rFonts w:ascii="Arial" w:cs="Arial" w:eastAsia="Arial" w:hAnsi="Arial"/>
                <w:sz w:val="16"/>
                <w:szCs w:val="16"/>
                <w:color w:val="0000EE"/>
              </w:rPr>
            </w:pPr>
            <w:hyperlink w:anchor="page27">
              <w:r>
                <w:rPr>
                  <w:rFonts w:ascii="Arial" w:cs="Arial" w:eastAsia="Arial" w:hAnsi="Arial"/>
                  <w:sz w:val="16"/>
                  <w:szCs w:val="16"/>
                  <w:color w:val="0000EE"/>
                </w:rPr>
                <w:t>Risk Factors</w:t>
              </w:r>
            </w:hyperlink>
          </w:p>
        </w:tc>
        <w:tc>
          <w:tcPr>
            <w:tcW w:w="1140" w:type="dxa"/>
            <w:vAlign w:val="bottom"/>
            <w:shd w:val="clear" w:color="auto" w:fill="CCEEFF"/>
          </w:tcPr>
          <w:p>
            <w:pPr>
              <w:jc w:val="center"/>
              <w:ind w:right="18"/>
              <w:spacing w:after="0" w:line="181" w:lineRule="exact"/>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260" w:type="dxa"/>
            <w:vAlign w:val="bottom"/>
            <w:gridSpan w:val="19"/>
          </w:tcPr>
          <w:p>
            <w:pPr>
              <w:spacing w:after="0" w:line="163" w:lineRule="exact"/>
              <w:rPr>
                <w:rFonts w:ascii="Arial" w:cs="Arial" w:eastAsia="Arial" w:hAnsi="Arial"/>
                <w:sz w:val="16"/>
                <w:szCs w:val="16"/>
                <w:color w:val="0000EE"/>
              </w:rPr>
            </w:pPr>
            <w:hyperlink w:anchor="page28">
              <w:r>
                <w:rPr>
                  <w:rFonts w:ascii="Arial" w:cs="Arial" w:eastAsia="Arial" w:hAnsi="Arial"/>
                  <w:sz w:val="16"/>
                  <w:szCs w:val="16"/>
                  <w:color w:val="0000EE"/>
                </w:rPr>
                <w:t>Cautionary Notes Regarding Forward-Looking Statements</w:t>
              </w:r>
            </w:hyperlink>
          </w:p>
        </w:tc>
        <w:tc>
          <w:tcPr>
            <w:tcW w:w="1140" w:type="dxa"/>
            <w:vAlign w:val="bottom"/>
          </w:tcPr>
          <w:p>
            <w:pPr>
              <w:jc w:val="center"/>
              <w:ind w:right="18"/>
              <w:spacing w:after="0" w:line="163" w:lineRule="exact"/>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Borders>
              <w:top w:val="single" w:sz="8" w:color="0000EE"/>
            </w:tcBorders>
            <w:gridSpan w:val="16"/>
            <w:shd w:val="clear" w:color="auto" w:fill="CCEEFF"/>
          </w:tcPr>
          <w:p>
            <w:pPr>
              <w:spacing w:after="0" w:line="181" w:lineRule="exact"/>
              <w:rPr>
                <w:rFonts w:ascii="Arial" w:cs="Arial" w:eastAsia="Arial" w:hAnsi="Arial"/>
                <w:sz w:val="16"/>
                <w:szCs w:val="16"/>
                <w:color w:val="0000EE"/>
              </w:rPr>
            </w:pPr>
            <w:hyperlink w:anchor="page29">
              <w:r>
                <w:rPr>
                  <w:rFonts w:ascii="Arial" w:cs="Arial" w:eastAsia="Arial" w:hAnsi="Arial"/>
                  <w:sz w:val="16"/>
                  <w:szCs w:val="16"/>
                  <w:color w:val="0000EE"/>
                </w:rPr>
                <w:t>Use of Proceeds</w:t>
              </w:r>
            </w:hyperlink>
          </w:p>
        </w:tc>
        <w:tc>
          <w:tcPr>
            <w:tcW w:w="6460" w:type="dxa"/>
            <w:vAlign w:val="bottom"/>
            <w:gridSpan w:val="3"/>
            <w:shd w:val="clear" w:color="auto" w:fill="CCEEFF"/>
          </w:tcPr>
          <w:p>
            <w:pPr>
              <w:spacing w:after="0"/>
              <w:rPr>
                <w:sz w:val="15"/>
                <w:szCs w:val="15"/>
                <w:color w:val="auto"/>
              </w:rPr>
            </w:pPr>
          </w:p>
        </w:tc>
        <w:tc>
          <w:tcPr>
            <w:tcW w:w="1140" w:type="dxa"/>
            <w:vAlign w:val="bottom"/>
            <w:shd w:val="clear" w:color="auto" w:fill="CCEEFF"/>
          </w:tcPr>
          <w:p>
            <w:pPr>
              <w:jc w:val="center"/>
              <w:ind w:right="18"/>
              <w:spacing w:after="0" w:line="181" w:lineRule="exact"/>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0" w:type="dxa"/>
            <w:vAlign w:val="bottom"/>
            <w:tcBorders>
              <w:righ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260" w:type="dxa"/>
            <w:vAlign w:val="bottom"/>
            <w:gridSpan w:val="19"/>
          </w:tcPr>
          <w:p>
            <w:pPr>
              <w:spacing w:after="0" w:line="163" w:lineRule="exact"/>
              <w:rPr>
                <w:rFonts w:ascii="Arial" w:cs="Arial" w:eastAsia="Arial" w:hAnsi="Arial"/>
                <w:sz w:val="16"/>
                <w:szCs w:val="16"/>
                <w:color w:val="0000EE"/>
              </w:rPr>
            </w:pPr>
            <w:hyperlink w:anchor="page30">
              <w:r>
                <w:rPr>
                  <w:rFonts w:ascii="Arial" w:cs="Arial" w:eastAsia="Arial" w:hAnsi="Arial"/>
                  <w:sz w:val="16"/>
                  <w:szCs w:val="16"/>
                  <w:color w:val="0000EE"/>
                </w:rPr>
                <w:t>Description of our Capital Stock</w:t>
              </w:r>
            </w:hyperlink>
          </w:p>
        </w:tc>
        <w:tc>
          <w:tcPr>
            <w:tcW w:w="1140" w:type="dxa"/>
            <w:vAlign w:val="bottom"/>
          </w:tcPr>
          <w:p>
            <w:pPr>
              <w:jc w:val="center"/>
              <w:ind w:right="18"/>
              <w:spacing w:after="0" w:line="163" w:lineRule="exact"/>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00" w:type="dxa"/>
            <w:vAlign w:val="bottom"/>
            <w:tcBorders>
              <w:top w:val="single" w:sz="8" w:color="0000EE"/>
            </w:tcBorders>
            <w:gridSpan w:val="11"/>
            <w:shd w:val="clear" w:color="auto" w:fill="CCEEFF"/>
          </w:tcPr>
          <w:p>
            <w:pPr>
              <w:spacing w:after="0" w:line="181" w:lineRule="exact"/>
              <w:rPr>
                <w:rFonts w:ascii="Arial" w:cs="Arial" w:eastAsia="Arial" w:hAnsi="Arial"/>
                <w:sz w:val="16"/>
                <w:szCs w:val="16"/>
                <w:color w:val="0000EE"/>
              </w:rPr>
            </w:pPr>
            <w:hyperlink w:anchor="page36">
              <w:r>
                <w:rPr>
                  <w:rFonts w:ascii="Arial" w:cs="Arial" w:eastAsia="Arial" w:hAnsi="Arial"/>
                  <w:sz w:val="16"/>
                  <w:szCs w:val="16"/>
                  <w:color w:val="0000EE"/>
                </w:rPr>
                <w:t>Description of our Warrants</w:t>
              </w:r>
            </w:hyperlink>
          </w:p>
        </w:tc>
        <w:tc>
          <w:tcPr>
            <w:tcW w:w="8160" w:type="dxa"/>
            <w:vAlign w:val="bottom"/>
            <w:gridSpan w:val="8"/>
            <w:shd w:val="clear" w:color="auto" w:fill="CCEEFF"/>
          </w:tcPr>
          <w:p>
            <w:pPr>
              <w:spacing w:after="0"/>
              <w:rPr>
                <w:sz w:val="17"/>
                <w:szCs w:val="17"/>
                <w:color w:val="auto"/>
              </w:rPr>
            </w:pPr>
          </w:p>
        </w:tc>
        <w:tc>
          <w:tcPr>
            <w:tcW w:w="1140" w:type="dxa"/>
            <w:vAlign w:val="bottom"/>
            <w:shd w:val="clear" w:color="auto" w:fill="CCEEFF"/>
          </w:tcPr>
          <w:p>
            <w:pPr>
              <w:jc w:val="center"/>
              <w:ind w:right="18"/>
              <w:spacing w:after="0" w:line="181" w:lineRule="exact"/>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80" w:type="dxa"/>
            <w:vAlign w:val="bottom"/>
            <w:tcBorders>
              <w:top w:val="single" w:sz="8" w:color="0000EE"/>
              <w:bottom w:val="single" w:sz="8" w:color="0000EE"/>
            </w:tcBorders>
            <w:gridSpan w:val="8"/>
          </w:tcPr>
          <w:p>
            <w:pPr>
              <w:spacing w:after="0" w:line="163" w:lineRule="exact"/>
              <w:rPr>
                <w:rFonts w:ascii="Arial" w:cs="Arial" w:eastAsia="Arial" w:hAnsi="Arial"/>
                <w:sz w:val="16"/>
                <w:szCs w:val="16"/>
                <w:color w:val="0000EE"/>
                <w:w w:val="93"/>
              </w:rPr>
            </w:pPr>
            <w:hyperlink w:anchor="page39">
              <w:r>
                <w:rPr>
                  <w:rFonts w:ascii="Arial" w:cs="Arial" w:eastAsia="Arial" w:hAnsi="Arial"/>
                  <w:sz w:val="16"/>
                  <w:szCs w:val="16"/>
                  <w:color w:val="0000EE"/>
                  <w:w w:val="93"/>
                </w:rPr>
                <w:t>Description of our Units</w:t>
              </w:r>
            </w:hyperlink>
          </w:p>
        </w:tc>
        <w:tc>
          <w:tcPr>
            <w:tcW w:w="220" w:type="dxa"/>
            <w:vAlign w:val="bottom"/>
            <w:tcBorders>
              <w:top w:val="single" w:sz="8" w:color="0000EE"/>
            </w:tcBorders>
          </w:tcPr>
          <w:p>
            <w:pPr>
              <w:spacing w:after="0"/>
              <w:rPr>
                <w:sz w:val="14"/>
                <w:szCs w:val="14"/>
                <w:color w:val="auto"/>
              </w:rPr>
            </w:pPr>
          </w:p>
        </w:tc>
        <w:tc>
          <w:tcPr>
            <w:tcW w:w="8460" w:type="dxa"/>
            <w:vAlign w:val="bottom"/>
            <w:tcBorders>
              <w:top w:val="single" w:sz="8" w:color="CCEEFF"/>
            </w:tcBorders>
            <w:gridSpan w:val="10"/>
          </w:tcPr>
          <w:p>
            <w:pPr>
              <w:spacing w:after="0"/>
              <w:rPr>
                <w:sz w:val="14"/>
                <w:szCs w:val="14"/>
                <w:color w:val="auto"/>
              </w:rPr>
            </w:pPr>
          </w:p>
        </w:tc>
        <w:tc>
          <w:tcPr>
            <w:tcW w:w="1140" w:type="dxa"/>
            <w:vAlign w:val="bottom"/>
            <w:tcBorders>
              <w:top w:val="single" w:sz="8" w:color="CCEEFF"/>
            </w:tcBorders>
          </w:tcPr>
          <w:p>
            <w:pPr>
              <w:jc w:val="center"/>
              <w:ind w:right="18"/>
              <w:spacing w:after="0" w:line="163" w:lineRule="exact"/>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260" w:type="dxa"/>
            <w:vAlign w:val="bottom"/>
            <w:gridSpan w:val="19"/>
            <w:shd w:val="clear" w:color="auto" w:fill="CCEEFF"/>
          </w:tcPr>
          <w:p>
            <w:pPr>
              <w:spacing w:after="0" w:line="181" w:lineRule="exact"/>
              <w:rPr>
                <w:rFonts w:ascii="Arial" w:cs="Arial" w:eastAsia="Arial" w:hAnsi="Arial"/>
                <w:sz w:val="16"/>
                <w:szCs w:val="16"/>
                <w:color w:val="0000EE"/>
              </w:rPr>
            </w:pPr>
            <w:hyperlink w:anchor="page40">
              <w:r>
                <w:rPr>
                  <w:rFonts w:ascii="Arial" w:cs="Arial" w:eastAsia="Arial" w:hAnsi="Arial"/>
                  <w:sz w:val="16"/>
                  <w:szCs w:val="16"/>
                  <w:color w:val="0000EE"/>
                </w:rPr>
                <w:t>Description of Certain Provisions of Nevada Law and our Articles of Incorporation and Bylaws</w:t>
              </w:r>
            </w:hyperlink>
          </w:p>
        </w:tc>
        <w:tc>
          <w:tcPr>
            <w:tcW w:w="1140" w:type="dxa"/>
            <w:vAlign w:val="bottom"/>
            <w:shd w:val="clear" w:color="auto" w:fill="CCEEFF"/>
          </w:tcPr>
          <w:p>
            <w:pPr>
              <w:jc w:val="center"/>
              <w:ind w:right="18"/>
              <w:spacing w:after="0" w:line="181" w:lineRule="exact"/>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tcBorders>
              <w:top w:val="single" w:sz="8" w:color="0000EE"/>
              <w:bottom w:val="single" w:sz="8" w:color="0000EE"/>
            </w:tcBorders>
            <w:gridSpan w:val="5"/>
          </w:tcPr>
          <w:p>
            <w:pPr>
              <w:spacing w:after="0" w:line="163"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Plan of Distribution</w:t>
              </w:r>
            </w:hyperlink>
          </w:p>
        </w:tc>
        <w:tc>
          <w:tcPr>
            <w:tcW w:w="4940" w:type="dxa"/>
            <w:vAlign w:val="bottom"/>
            <w:tcBorders>
              <w:top w:val="single" w:sz="8" w:color="0000EE"/>
            </w:tcBorders>
            <w:gridSpan w:val="12"/>
          </w:tcPr>
          <w:p>
            <w:pPr>
              <w:spacing w:after="0"/>
              <w:rPr>
                <w:sz w:val="14"/>
                <w:szCs w:val="14"/>
                <w:color w:val="auto"/>
              </w:rPr>
            </w:pPr>
          </w:p>
        </w:tc>
        <w:tc>
          <w:tcPr>
            <w:tcW w:w="4040" w:type="dxa"/>
            <w:vAlign w:val="bottom"/>
            <w:tcBorders>
              <w:top w:val="single" w:sz="8" w:color="CCEEFF"/>
            </w:tcBorders>
            <w:gridSpan w:val="2"/>
          </w:tcPr>
          <w:p>
            <w:pPr>
              <w:spacing w:after="0"/>
              <w:rPr>
                <w:sz w:val="14"/>
                <w:szCs w:val="14"/>
                <w:color w:val="auto"/>
              </w:rPr>
            </w:pPr>
          </w:p>
        </w:tc>
        <w:tc>
          <w:tcPr>
            <w:tcW w:w="1140" w:type="dxa"/>
            <w:vAlign w:val="bottom"/>
            <w:tcBorders>
              <w:top w:val="single" w:sz="8" w:color="CCEEFF"/>
            </w:tcBorders>
          </w:tcPr>
          <w:p>
            <w:pPr>
              <w:jc w:val="center"/>
              <w:ind w:right="18"/>
              <w:spacing w:after="0" w:line="163" w:lineRule="exact"/>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81" w:lineRule="exact"/>
              <w:rPr>
                <w:rFonts w:ascii="Arial" w:cs="Arial" w:eastAsia="Arial" w:hAnsi="Arial"/>
                <w:sz w:val="16"/>
                <w:szCs w:val="16"/>
                <w:color w:val="0000EE"/>
                <w:w w:val="90"/>
              </w:rPr>
            </w:pPr>
            <w:hyperlink w:anchor="page42">
              <w:r>
                <w:rPr>
                  <w:rFonts w:ascii="Arial" w:cs="Arial" w:eastAsia="Arial" w:hAnsi="Arial"/>
                  <w:sz w:val="16"/>
                  <w:szCs w:val="16"/>
                  <w:color w:val="0000EE"/>
                  <w:w w:val="90"/>
                </w:rPr>
                <w:t>Legal Matters</w:t>
              </w:r>
            </w:hyperlink>
          </w:p>
        </w:tc>
        <w:tc>
          <w:tcPr>
            <w:tcW w:w="9360" w:type="dxa"/>
            <w:vAlign w:val="bottom"/>
            <w:tcBorders>
              <w:bottom w:val="single" w:sz="8" w:color="CCEEFF"/>
            </w:tcBorders>
            <w:gridSpan w:val="1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right="18"/>
              <w:spacing w:after="0" w:line="181"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tcBorders>
              <w:bottom w:val="single" w:sz="8" w:color="0000EE"/>
            </w:tcBorders>
          </w:tcPr>
          <w:p>
            <w:pPr>
              <w:spacing w:after="0" w:line="163" w:lineRule="exact"/>
              <w:rPr>
                <w:rFonts w:ascii="Arial" w:cs="Arial" w:eastAsia="Arial" w:hAnsi="Arial"/>
                <w:sz w:val="16"/>
                <w:szCs w:val="16"/>
                <w:color w:val="0000EE"/>
                <w:w w:val="88"/>
              </w:rPr>
            </w:pPr>
            <w:hyperlink w:anchor="page42">
              <w:r>
                <w:rPr>
                  <w:rFonts w:ascii="Arial" w:cs="Arial" w:eastAsia="Arial" w:hAnsi="Arial"/>
                  <w:sz w:val="16"/>
                  <w:szCs w:val="16"/>
                  <w:color w:val="0000EE"/>
                  <w:w w:val="88"/>
                </w:rPr>
                <w:t>Experts</w:t>
              </w:r>
            </w:hyperlink>
          </w:p>
        </w:tc>
        <w:tc>
          <w:tcPr>
            <w:tcW w:w="9740" w:type="dxa"/>
            <w:vAlign w:val="bottom"/>
            <w:gridSpan w:val="18"/>
          </w:tcPr>
          <w:p>
            <w:pPr>
              <w:spacing w:after="0"/>
              <w:rPr>
                <w:sz w:val="14"/>
                <w:szCs w:val="14"/>
                <w:color w:val="auto"/>
              </w:rPr>
            </w:pPr>
          </w:p>
        </w:tc>
        <w:tc>
          <w:tcPr>
            <w:tcW w:w="1140" w:type="dxa"/>
            <w:vAlign w:val="bottom"/>
          </w:tcPr>
          <w:p>
            <w:pPr>
              <w:jc w:val="center"/>
              <w:ind w:right="18"/>
              <w:spacing w:after="0" w:line="163"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80" w:type="dxa"/>
            <w:vAlign w:val="bottom"/>
            <w:tcBorders>
              <w:bottom w:val="single" w:sz="8" w:color="0000EE"/>
            </w:tcBorders>
            <w:gridSpan w:val="14"/>
            <w:shd w:val="clear" w:color="auto" w:fill="CCEEFF"/>
          </w:tcPr>
          <w:p>
            <w:pPr>
              <w:spacing w:after="0" w:line="181" w:lineRule="exact"/>
              <w:rPr>
                <w:rFonts w:ascii="Arial" w:cs="Arial" w:eastAsia="Arial" w:hAnsi="Arial"/>
                <w:sz w:val="16"/>
                <w:szCs w:val="16"/>
                <w:color w:val="0000EE"/>
                <w:w w:val="93"/>
              </w:rPr>
            </w:pPr>
            <w:hyperlink w:anchor="page42">
              <w:r>
                <w:rPr>
                  <w:rFonts w:ascii="Arial" w:cs="Arial" w:eastAsia="Arial" w:hAnsi="Arial"/>
                  <w:sz w:val="16"/>
                  <w:szCs w:val="16"/>
                  <w:color w:val="0000EE"/>
                  <w:w w:val="93"/>
                </w:rPr>
                <w:t>Where You Can Find More Information</w:t>
              </w:r>
            </w:hyperlink>
          </w:p>
        </w:tc>
        <w:tc>
          <w:tcPr>
            <w:tcW w:w="768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right="18"/>
              <w:spacing w:after="0" w:line="181"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60" w:type="dxa"/>
            <w:vAlign w:val="bottom"/>
            <w:gridSpan w:val="19"/>
          </w:tcPr>
          <w:p>
            <w:pPr>
              <w:spacing w:after="0" w:line="163" w:lineRule="exact"/>
              <w:rPr>
                <w:rFonts w:ascii="Arial" w:cs="Arial" w:eastAsia="Arial" w:hAnsi="Arial"/>
                <w:sz w:val="16"/>
                <w:szCs w:val="16"/>
                <w:color w:val="0000EE"/>
              </w:rPr>
            </w:pPr>
            <w:hyperlink w:anchor="page43">
              <w:r>
                <w:rPr>
                  <w:rFonts w:ascii="Arial" w:cs="Arial" w:eastAsia="Arial" w:hAnsi="Arial"/>
                  <w:sz w:val="16"/>
                  <w:szCs w:val="16"/>
                  <w:color w:val="0000EE"/>
                </w:rPr>
                <w:t>Incorporation of Certain Information by Reference</w:t>
              </w:r>
            </w:hyperlink>
          </w:p>
        </w:tc>
        <w:tc>
          <w:tcPr>
            <w:tcW w:w="1140" w:type="dxa"/>
            <w:vAlign w:val="bottom"/>
          </w:tcPr>
          <w:p>
            <w:pPr>
              <w:jc w:val="center"/>
              <w:ind w:right="18"/>
              <w:spacing w:after="0" w:line="163" w:lineRule="exact"/>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r>
        <w:trPr>
          <w:trHeight w:val="852"/>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29" w:right="239" w:bottom="1440" w:gutter="0" w:footer="0" w:header="0"/>
        </w:sectPr>
      </w:pPr>
    </w:p>
    <w:bookmarkStart w:id="2" w:name="page3"/>
    <w:bookmarkEnd w:id="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ABOUT THIS PROSPECTUS SUPPLEMENT</w:t>
      </w:r>
    </w:p>
    <w:p>
      <w:pPr>
        <w:spacing w:after="0" w:line="222" w:lineRule="exact"/>
        <w:rPr>
          <w:sz w:val="20"/>
          <w:szCs w:val="20"/>
          <w:color w:val="auto"/>
        </w:rPr>
      </w:pPr>
    </w:p>
    <w:p>
      <w:pPr>
        <w:jc w:val="both"/>
        <w:ind w:firstLine="603"/>
        <w:spacing w:after="0" w:line="284" w:lineRule="auto"/>
        <w:rPr>
          <w:sz w:val="20"/>
          <w:szCs w:val="20"/>
          <w:color w:val="auto"/>
        </w:rPr>
      </w:pPr>
      <w:r>
        <w:rPr>
          <w:rFonts w:ascii="Arial" w:cs="Arial" w:eastAsia="Arial" w:hAnsi="Arial"/>
          <w:sz w:val="15"/>
          <w:szCs w:val="15"/>
          <w:color w:val="auto"/>
        </w:rPr>
        <w:t xml:space="preserve">This prospectus supplement and the accompanying prospectus form a part of a registration statement on Form S-3 that we filed with the Securities and Exchange Commission (the </w:t>
      </w:r>
      <w:r>
        <w:rPr>
          <w:rFonts w:ascii="Arial" w:cs="Arial" w:eastAsia="Arial" w:hAnsi="Arial"/>
          <w:sz w:val="15"/>
          <w:szCs w:val="15"/>
          <w:i w:val="1"/>
          <w:iCs w:val="1"/>
          <w:color w:val="auto"/>
        </w:rPr>
        <w:t>SEC</w:t>
      </w:r>
      <w:r>
        <w:rPr>
          <w:rFonts w:ascii="Arial" w:cs="Arial" w:eastAsia="Arial" w:hAnsi="Arial"/>
          <w:sz w:val="15"/>
          <w:szCs w:val="15"/>
          <w:color w:val="auto"/>
        </w:rPr>
        <w:t>) utilizing a “shelf” registration process. This document is in two parts. The first part is the prospectus supplement, which describes the specific terms of this offering. The second part, the accompanying prospectus, provides more general information about the securities we may offer from time to time, some of which may not apply to the securities offered by this prospectus supplement. Generally, when we refer to this prospectus, we are referring to both parts of this document combined. Before you invest, you should carefully read this prospectus supplement, the accompanying prospectus, all information incorporated by reference herein and therein, and the additional information described under “</w:t>
      </w:r>
      <w:r>
        <w:rPr>
          <w:rFonts w:ascii="Arial" w:cs="Arial" w:eastAsia="Arial" w:hAnsi="Arial"/>
          <w:sz w:val="15"/>
          <w:szCs w:val="15"/>
          <w:i w:val="1"/>
          <w:iCs w:val="1"/>
          <w:color w:val="auto"/>
        </w:rPr>
        <w:t>Where You Can Find More Information</w:t>
      </w:r>
      <w:r>
        <w:rPr>
          <w:rFonts w:ascii="Arial" w:cs="Arial" w:eastAsia="Arial" w:hAnsi="Arial"/>
          <w:sz w:val="15"/>
          <w:szCs w:val="15"/>
          <w:color w:val="auto"/>
        </w:rPr>
        <w:t>” on page S-16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69"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We have not authorized any other person to provide you with any information that is different. 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and/or the accompanying prospectus must inform themselves about, and observe any restrictions relating to, the offering of the securities and the distribution of this prospectus supplement and/or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75" w:lineRule="exact"/>
        <w:rPr>
          <w:sz w:val="20"/>
          <w:szCs w:val="20"/>
          <w:color w:val="auto"/>
        </w:rPr>
      </w:pPr>
    </w:p>
    <w:p>
      <w:pPr>
        <w:jc w:val="both"/>
        <w:ind w:firstLine="603"/>
        <w:spacing w:after="0" w:line="269"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Unless the context otherwise requires, references in this prospectus supplement to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to VistaGen Therapeutics, Inc.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269240</wp:posOffset>
            </wp:positionV>
            <wp:extent cx="7261225" cy="592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225" cy="592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PROSPECTUS SUPPLEMENT SUMMARY</w:t>
      </w:r>
    </w:p>
    <w:p>
      <w:pPr>
        <w:spacing w:after="0" w:line="222" w:lineRule="exact"/>
        <w:rPr>
          <w:sz w:val="20"/>
          <w:szCs w:val="20"/>
          <w:color w:val="auto"/>
        </w:rPr>
      </w:pPr>
    </w:p>
    <w:p>
      <w:pPr>
        <w:jc w:val="both"/>
        <w:ind w:left="20" w:firstLine="603"/>
        <w:spacing w:after="0" w:line="289" w:lineRule="auto"/>
        <w:rPr>
          <w:sz w:val="20"/>
          <w:szCs w:val="20"/>
          <w:color w:val="auto"/>
        </w:rPr>
      </w:pPr>
      <w:r>
        <w:rPr>
          <w:rFonts w:ascii="Arial" w:cs="Arial" w:eastAsia="Arial" w:hAnsi="Arial"/>
          <w:sz w:val="15"/>
          <w:szCs w:val="15"/>
          <w:i w:val="1"/>
          <w:iCs w:val="1"/>
          <w:color w:val="auto"/>
        </w:rPr>
        <w:t>This summary highlights selected information about our company, this offering and information appearing elsewhere in this prospectus supplement, in the accompanying prospectus, in the documents we incorporate by reference and in any free writing prospectus that we have authorized for use in connection with this offering. This summary is not complete and does not contain all the information that you should consider before investing in our securities. You should read this entire prospectus supplement and the accompanying prospectus carefully, including the “Risk Factors” contained in this prospectus supplement, the accompanying prospectus and the financial statements and the notes thereto incorporated by reference in this prospectus supplement and the accompanying prospectus and the other information that we incorporated by reference herein, including our Annual Report on Form 10-K and Quarterly Reports on Form 10-Q we file from time to time.</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Business Overview</w:t>
      </w:r>
    </w:p>
    <w:p>
      <w:pPr>
        <w:spacing w:after="0" w:line="222" w:lineRule="exact"/>
        <w:rPr>
          <w:sz w:val="20"/>
          <w:szCs w:val="20"/>
          <w:color w:val="auto"/>
        </w:rPr>
      </w:pPr>
    </w:p>
    <w:p>
      <w:pPr>
        <w:jc w:val="both"/>
        <w:ind w:left="20" w:firstLine="659"/>
        <w:spacing w:after="0" w:line="295" w:lineRule="auto"/>
        <w:rPr>
          <w:sz w:val="20"/>
          <w:szCs w:val="20"/>
          <w:color w:val="auto"/>
        </w:rPr>
      </w:pPr>
      <w:r>
        <w:rPr>
          <w:rFonts w:ascii="Arial" w:cs="Arial" w:eastAsia="Arial" w:hAnsi="Arial"/>
          <w:sz w:val="15"/>
          <w:szCs w:val="15"/>
          <w:color w:val="auto"/>
        </w:rPr>
        <w:t>We are a clinical-stage biopharmaceutical company committed to developing differentiated new generation medications for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product candidate portfolio includes three differentiated clinical-stage candidates, PH94B, PH10 and AV-101, which we are developing for multiple CNS indications.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PH94B Neuroactive Nasal Spray for Anxiety-related Disorders</w:t>
      </w:r>
    </w:p>
    <w:p>
      <w:pPr>
        <w:spacing w:after="0" w:line="218" w:lineRule="exact"/>
        <w:rPr>
          <w:sz w:val="20"/>
          <w:szCs w:val="20"/>
          <w:color w:val="auto"/>
        </w:rPr>
      </w:pPr>
    </w:p>
    <w:p>
      <w:pPr>
        <w:jc w:val="both"/>
        <w:ind w:left="20" w:firstLine="603"/>
        <w:spacing w:after="0" w:line="284" w:lineRule="auto"/>
        <w:rPr>
          <w:sz w:val="20"/>
          <w:szCs w:val="20"/>
          <w:color w:val="auto"/>
        </w:rPr>
      </w:pPr>
      <w:r>
        <w:rPr>
          <w:rFonts w:ascii="Arial" w:cs="Arial" w:eastAsia="Arial" w:hAnsi="Arial"/>
          <w:sz w:val="15"/>
          <w:szCs w:val="15"/>
          <w:color w:val="auto"/>
        </w:rPr>
        <w:t>PH94B is a novel, fast-acting CNS neuroactive nasal spray administered in microgram doses. We are initially developing PH94B for treatment of social anxiety disorder (</w:t>
      </w:r>
      <w:r>
        <w:rPr>
          <w:rFonts w:ascii="Arial" w:cs="Arial" w:eastAsia="Arial" w:hAnsi="Arial"/>
          <w:sz w:val="15"/>
          <w:szCs w:val="15"/>
          <w:i w:val="1"/>
          <w:iCs w:val="1"/>
          <w:color w:val="auto"/>
        </w:rPr>
        <w:t>SAD</w:t>
      </w:r>
      <w:r>
        <w:rPr>
          <w:rFonts w:ascii="Arial" w:cs="Arial" w:eastAsia="Arial" w:hAnsi="Arial"/>
          <w:sz w:val="15"/>
          <w:szCs w:val="15"/>
          <w:color w:val="auto"/>
        </w:rPr>
        <w:t>), which affects over 20 million Americans and, according to the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The person is afraid that he or she will be humiliated, judged, and rejected. The fear that people with SAD have in social situations is so strong that they feel it is beyond their ability to control. As a result, it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them. Some people with SAD do not have anxiety in social situations, but have performance anxiety instead. They feel physical symptoms of anxiety in performance situations, such as giving a lecture, a speech or a presentation at work, playing a sports game, or dancing or playing a musical instrument on stage. Without treatment, social anxiety disorder can last for many years or a lifetime and prevent a person from reaching his or her full potential. Unfortunately, SAD often predisposes to depression and substance abuse.</w:t>
      </w:r>
    </w:p>
    <w:p>
      <w:pPr>
        <w:spacing w:after="0" w:line="166" w:lineRule="exact"/>
        <w:rPr>
          <w:sz w:val="20"/>
          <w:szCs w:val="20"/>
          <w:color w:val="auto"/>
        </w:rPr>
      </w:pPr>
    </w:p>
    <w:p>
      <w:pPr>
        <w:jc w:val="both"/>
        <w:ind w:left="20" w:firstLine="603"/>
        <w:spacing w:after="0" w:line="267"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ADs have slow onset of effect (often many weeks to months) and significant side effects that may make them inadequate or inappropriate treatment alternatives for many individuals affected by SAD. VistaGen’s PH94B is fundamentally differentiated from all current anxiolytics, including all ADs approved for treatment of SAD. Intranasal administration of only 1.6 to 3.2 micrograms of PH94B activates nasal chemosensory receptors that, in turn, engage key neural circuits in the brain that lead to rapid suppression of fear and anxiety. In clinical studies to date, PH94B has not shown psychological side effects, systemic exposure, sedation or other safety concerns often associated with the current ADs approved by the FDA for treatment of SAD, as well as with benzodiazepines and beta blockers, which are not approved by the FDA to treat SAD but are often prescribed for treatment of SAD off-label.</w:t>
      </w:r>
    </w:p>
    <w:p>
      <w:pPr>
        <w:spacing w:after="0" w:line="175" w:lineRule="exact"/>
        <w:rPr>
          <w:sz w:val="20"/>
          <w:szCs w:val="20"/>
          <w:color w:val="auto"/>
        </w:rPr>
      </w:pPr>
    </w:p>
    <w:p>
      <w:pPr>
        <w:jc w:val="both"/>
        <w:ind w:left="20" w:firstLine="603"/>
        <w:spacing w:after="0" w:line="268" w:lineRule="auto"/>
        <w:rPr>
          <w:sz w:val="20"/>
          <w:szCs w:val="20"/>
          <w:color w:val="auto"/>
        </w:rPr>
      </w:pPr>
      <w:r>
        <w:rPr>
          <w:rFonts w:ascii="Arial" w:cs="Arial" w:eastAsia="Arial" w:hAnsi="Arial"/>
          <w:sz w:val="16"/>
          <w:szCs w:val="16"/>
          <w:color w:val="auto"/>
        </w:rPr>
        <w:t>In a peer-reviewed, published double-blind, placebo-controlled Phase 2 clinical trial, PH94B neuroactive nasal spray was significantly more effective than placebo in reducing both public-speaking and social interaction anxiety on laboratory challenges of individuals with SAD within 10 to 15 minutes of self-administration. Based on its novel mechanism of pharmacological action, rapid-onset of therapeutic effects and exceptional safety and tolerability profile in Phase 2 clinical trials to date, we are preparing to begin Phase 3 development of PH94B to become the first FDA-approved, fast-acting, on-demand treatment for SAD. Additional potential CNS indications for PH94B include general anxiety disorder, peripartum anxiety (pre- and post-partum anxiety), preoperative anxiety, panic disorder, post-traumatic stress disorder and specific social phobias.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61225" cy="6431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643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PH10 Neuroactive Nasal Spray for Depression and Suicidal Ideation</w:t>
      </w:r>
    </w:p>
    <w:p>
      <w:pPr>
        <w:spacing w:after="0" w:line="218" w:lineRule="exact"/>
        <w:rPr>
          <w:sz w:val="20"/>
          <w:szCs w:val="20"/>
          <w:color w:val="auto"/>
        </w:rPr>
      </w:pPr>
    </w:p>
    <w:p>
      <w:pPr>
        <w:jc w:val="both"/>
        <w:ind w:left="20" w:firstLine="603"/>
        <w:spacing w:after="0" w:line="277" w:lineRule="auto"/>
        <w:rPr>
          <w:sz w:val="20"/>
          <w:szCs w:val="20"/>
          <w:color w:val="auto"/>
        </w:rPr>
      </w:pPr>
      <w:r>
        <w:rPr>
          <w:rFonts w:ascii="Arial" w:cs="Arial" w:eastAsia="Arial" w:hAnsi="Arial"/>
          <w:sz w:val="16"/>
          <w:szCs w:val="16"/>
          <w:color w:val="auto"/>
        </w:rPr>
        <w:t>PH10 is also a novel, rapid-acting CNS neuroactive nasal spray administered in microgram doses. PH10 also activates nasal chemosensory receptors that, in turn, engage key neural circuits in the brain that lead to rapid antidepressant effects without the psychological side effects, systemic exposure or safety concerns often associated with current oral ADs and ketamine-based therapies (intravenous ketamine or esketamine nasal spray) (</w:t>
      </w:r>
      <w:r>
        <w:rPr>
          <w:rFonts w:ascii="Arial" w:cs="Arial" w:eastAsia="Arial" w:hAnsi="Arial"/>
          <w:sz w:val="16"/>
          <w:szCs w:val="16"/>
          <w:i w:val="1"/>
          <w:iCs w:val="1"/>
          <w:color w:val="auto"/>
        </w:rPr>
        <w:t>KBT</w:t>
      </w:r>
      <w:r>
        <w:rPr>
          <w:rFonts w:ascii="Arial" w:cs="Arial" w:eastAsia="Arial" w:hAnsi="Arial"/>
          <w:sz w:val="16"/>
          <w:szCs w:val="16"/>
          <w:color w:val="auto"/>
        </w:rPr>
        <w:t>).</w:t>
      </w:r>
    </w:p>
    <w:p>
      <w:pPr>
        <w:spacing w:after="0" w:line="167" w:lineRule="exact"/>
        <w:rPr>
          <w:sz w:val="20"/>
          <w:szCs w:val="20"/>
          <w:color w:val="auto"/>
        </w:rPr>
      </w:pPr>
    </w:p>
    <w:p>
      <w:pPr>
        <w:jc w:val="both"/>
        <w:ind w:left="20" w:firstLine="603"/>
        <w:spacing w:after="0" w:line="289" w:lineRule="auto"/>
        <w:rPr>
          <w:sz w:val="20"/>
          <w:szCs w:val="20"/>
          <w:color w:val="auto"/>
        </w:rPr>
      </w:pPr>
      <w:r>
        <w:rPr>
          <w:rFonts w:ascii="Arial" w:cs="Arial" w:eastAsia="Arial" w:hAnsi="Arial"/>
          <w:sz w:val="15"/>
          <w:szCs w:val="15"/>
          <w:color w:val="auto"/>
        </w:rPr>
        <w:t>Depression is a serious medical illness and a global public health concern that can occur at any time over a person's life. While most people will experience depressed mood at some point during their lifetime, major depressive disorder (</w:t>
      </w:r>
      <w:r>
        <w:rPr>
          <w:rFonts w:ascii="Arial" w:cs="Arial" w:eastAsia="Arial" w:hAnsi="Arial"/>
          <w:sz w:val="15"/>
          <w:szCs w:val="15"/>
          <w:i w:val="1"/>
          <w:iCs w:val="1"/>
          <w:color w:val="auto"/>
        </w:rPr>
        <w:t>MDD</w:t>
      </w:r>
      <w:r>
        <w:rPr>
          <w:rFonts w:ascii="Arial" w:cs="Arial" w:eastAsia="Arial" w:hAnsi="Arial"/>
          <w:sz w:val="15"/>
          <w:szCs w:val="15"/>
          <w:color w:val="auto"/>
        </w:rPr>
        <w:t>)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160" w:lineRule="exact"/>
        <w:rPr>
          <w:sz w:val="20"/>
          <w:szCs w:val="20"/>
          <w:color w:val="auto"/>
        </w:rPr>
      </w:pPr>
    </w:p>
    <w:p>
      <w:pPr>
        <w:jc w:val="both"/>
        <w:ind w:left="20" w:firstLine="603"/>
        <w:spacing w:after="0" w:line="277" w:lineRule="auto"/>
        <w:rPr>
          <w:sz w:val="20"/>
          <w:szCs w:val="20"/>
          <w:color w:val="auto"/>
        </w:rPr>
      </w:pPr>
      <w:r>
        <w:rPr>
          <w:rFonts w:ascii="Arial" w:cs="Arial" w:eastAsia="Arial" w:hAnsi="Arial"/>
          <w:sz w:val="16"/>
          <w:szCs w:val="16"/>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7" w:lineRule="exact"/>
        <w:rPr>
          <w:sz w:val="20"/>
          <w:szCs w:val="20"/>
          <w:color w:val="auto"/>
        </w:rPr>
      </w:pPr>
    </w:p>
    <w:p>
      <w:pPr>
        <w:jc w:val="both"/>
        <w:ind w:left="20" w:firstLine="603"/>
        <w:spacing w:after="0" w:line="277" w:lineRule="auto"/>
        <w:rPr>
          <w:sz w:val="20"/>
          <w:szCs w:val="20"/>
          <w:color w:val="auto"/>
        </w:rPr>
      </w:pPr>
      <w:r>
        <w:rPr>
          <w:rFonts w:ascii="Arial" w:cs="Arial" w:eastAsia="Arial" w:hAnsi="Arial"/>
          <w:sz w:val="16"/>
          <w:szCs w:val="16"/>
          <w:color w:val="auto"/>
        </w:rPr>
        <w:t>In an exploratory 30-patient Phase 2a clinical trial, PH10 was well-tolerated and, at microgram doses, demonstrated rapid-onset antidepressant effects, as measured by the Hamilton Depression Rating Scale (HAM-D), without systemic psychological side effects or safety concerns. PH10 is a new generation antidepressant with a mechanism of action that is fundamentally different from all current ADs.</w:t>
      </w:r>
    </w:p>
    <w:p>
      <w:pPr>
        <w:spacing w:after="0" w:line="167" w:lineRule="exact"/>
        <w:rPr>
          <w:sz w:val="20"/>
          <w:szCs w:val="20"/>
          <w:color w:val="auto"/>
        </w:rPr>
      </w:pPr>
    </w:p>
    <w:p>
      <w:pPr>
        <w:jc w:val="both"/>
        <w:ind w:left="20" w:firstLine="603"/>
        <w:spacing w:after="0" w:line="272" w:lineRule="auto"/>
        <w:rPr>
          <w:sz w:val="20"/>
          <w:szCs w:val="20"/>
          <w:color w:val="auto"/>
        </w:rPr>
      </w:pPr>
      <w:r>
        <w:rPr>
          <w:rFonts w:ascii="Arial" w:cs="Arial" w:eastAsia="Arial" w:hAnsi="Arial"/>
          <w:sz w:val="16"/>
          <w:szCs w:val="16"/>
          <w:color w:val="auto"/>
        </w:rPr>
        <w:t>Based on positive results from this exploratory Phase 2a study, we are planning and preparing for Phase 2b clinical development of PH10. With its exceptional safety profile during clinical development to date, we believe PH10, as an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AV-101, an Oral NMDA Receptor Antagonist</w:t>
      </w:r>
    </w:p>
    <w:p>
      <w:pPr>
        <w:spacing w:after="0" w:line="218" w:lineRule="exact"/>
        <w:rPr>
          <w:sz w:val="20"/>
          <w:szCs w:val="20"/>
          <w:color w:val="auto"/>
        </w:rPr>
      </w:pPr>
    </w:p>
    <w:p>
      <w:pPr>
        <w:jc w:val="both"/>
        <w:ind w:left="20" w:right="20" w:firstLine="603"/>
        <w:spacing w:after="0" w:line="277" w:lineRule="auto"/>
        <w:rPr>
          <w:sz w:val="20"/>
          <w:szCs w:val="20"/>
          <w:color w:val="auto"/>
        </w:rPr>
      </w:pPr>
      <w:r>
        <w:rPr>
          <w:rFonts w:ascii="Arial" w:cs="Arial" w:eastAsia="Arial" w:hAnsi="Arial"/>
          <w:sz w:val="16"/>
          <w:szCs w:val="16"/>
          <w:color w:val="auto"/>
        </w:rPr>
        <w:t>AV-101 (</w:t>
      </w:r>
      <w:r>
        <w:rPr>
          <w:rFonts w:ascii="Arial" w:cs="Arial" w:eastAsia="Arial" w:hAnsi="Arial"/>
          <w:sz w:val="16"/>
          <w:szCs w:val="16"/>
          <w:i w:val="1"/>
          <w:iCs w:val="1"/>
          <w:color w:val="auto"/>
        </w:rPr>
        <w:t>4-Cl-KYN</w:t>
      </w:r>
      <w:r>
        <w:rPr>
          <w:rFonts w:ascii="Arial" w:cs="Arial" w:eastAsia="Arial" w:hAnsi="Arial"/>
          <w:sz w:val="16"/>
          <w:szCs w:val="16"/>
          <w:color w:val="auto"/>
        </w:rPr>
        <w:t>) belongs to a new generation of investigational medicines in neuropsychiatry and neurology known as NMDA (N-methyl-D-aspartate) glutamate receptor modulators. The NMDA receptor (</w:t>
      </w:r>
      <w:r>
        <w:rPr>
          <w:rFonts w:ascii="Arial" w:cs="Arial" w:eastAsia="Arial" w:hAnsi="Arial"/>
          <w:sz w:val="16"/>
          <w:szCs w:val="16"/>
          <w:i w:val="1"/>
          <w:iCs w:val="1"/>
          <w:color w:val="auto"/>
        </w:rPr>
        <w:t>NMDAR</w:t>
      </w:r>
      <w:r>
        <w:rPr>
          <w:rFonts w:ascii="Arial" w:cs="Arial" w:eastAsia="Arial" w:hAnsi="Arial"/>
          <w:sz w:val="16"/>
          <w:szCs w:val="16"/>
          <w:color w:val="auto"/>
        </w:rPr>
        <w:t>) is a pivotal receptor in the brain and abnormal NMDA function is associated with multiple CNS diseases and disorders. AV-101 is an oral prodrug of 7-Cl-KYNA which binds uniquely at the glycine site of the NMDAR.</w:t>
      </w:r>
    </w:p>
    <w:p>
      <w:pPr>
        <w:spacing w:after="0" w:line="167" w:lineRule="exact"/>
        <w:rPr>
          <w:sz w:val="20"/>
          <w:szCs w:val="20"/>
          <w:color w:val="auto"/>
        </w:rPr>
      </w:pPr>
    </w:p>
    <w:p>
      <w:pPr>
        <w:jc w:val="both"/>
        <w:ind w:left="20" w:firstLine="603"/>
        <w:spacing w:after="0" w:line="286" w:lineRule="auto"/>
        <w:rPr>
          <w:sz w:val="20"/>
          <w:szCs w:val="20"/>
          <w:color w:val="auto"/>
        </w:rPr>
      </w:pPr>
      <w:r>
        <w:rPr>
          <w:rFonts w:ascii="Arial" w:cs="Arial" w:eastAsia="Arial" w:hAnsi="Arial"/>
          <w:sz w:val="15"/>
          <w:szCs w:val="15"/>
          <w:color w:val="auto"/>
        </w:rPr>
        <w:t>In a recently-announced Phase 1b target engagement study conducted by the Baylor College of Medicine with financial support from the U.S. Department of Veterans Affairs (VA), 10 healthy volunteer U.S. military Veterans from Operation Enduring Freedom, Operation Iraqi Freedom or Operation New Dawn received single doses of AV-101 (720 mg and 1440 mg) and placebo, in a double-blind, randomized, cross-over controlled trial. The primary goal of the study was to identify and define a dose-response relationship between AV-101 and multiple electrophysiological (</w:t>
      </w:r>
      <w:r>
        <w:rPr>
          <w:rFonts w:ascii="Arial" w:cs="Arial" w:eastAsia="Arial" w:hAnsi="Arial"/>
          <w:sz w:val="15"/>
          <w:szCs w:val="15"/>
          <w:i w:val="1"/>
          <w:iCs w:val="1"/>
          <w:color w:val="auto"/>
        </w:rPr>
        <w:t>EEG</w:t>
      </w:r>
      <w:r>
        <w:rPr>
          <w:rFonts w:ascii="Arial" w:cs="Arial" w:eastAsia="Arial" w:hAnsi="Arial"/>
          <w:sz w:val="15"/>
          <w:szCs w:val="15"/>
          <w:color w:val="auto"/>
        </w:rPr>
        <w:t xml:space="preserve">) biomarkers related to NMDAR function, as well as blood biomarkers associated with suicidality (the </w:t>
      </w:r>
      <w:r>
        <w:rPr>
          <w:rFonts w:ascii="Arial" w:cs="Arial" w:eastAsia="Arial" w:hAnsi="Arial"/>
          <w:sz w:val="15"/>
          <w:szCs w:val="15"/>
          <w:i w:val="1"/>
          <w:iCs w:val="1"/>
          <w:color w:val="auto"/>
        </w:rPr>
        <w:t>Baylor Study</w:t>
      </w:r>
      <w:r>
        <w:rPr>
          <w:rFonts w:ascii="Arial" w:cs="Arial" w:eastAsia="Arial" w:hAnsi="Arial"/>
          <w:sz w:val="15"/>
          <w:szCs w:val="15"/>
          <w:color w:val="auto"/>
        </w:rPr>
        <w:t>). The findings from the Baylor Study suggest that, in healthy Veterans, the higher dose of AV-101 (1440 mg) was associated with dose-related increase in the 40 Hz Auditory Steady State Response (</w:t>
      </w:r>
      <w:r>
        <w:rPr>
          <w:rFonts w:ascii="Arial" w:cs="Arial" w:eastAsia="Arial" w:hAnsi="Arial"/>
          <w:sz w:val="15"/>
          <w:szCs w:val="15"/>
          <w:i w:val="1"/>
          <w:iCs w:val="1"/>
          <w:color w:val="auto"/>
        </w:rPr>
        <w:t>ASSR</w:t>
      </w:r>
      <w:r>
        <w:rPr>
          <w:rFonts w:ascii="Arial" w:cs="Arial" w:eastAsia="Arial" w:hAnsi="Arial"/>
          <w:sz w:val="15"/>
          <w:szCs w:val="15"/>
          <w:color w:val="auto"/>
        </w:rPr>
        <w:t>), a robust measure of the integrity of inhibitory interneuron synchronization. Findings from the Baylor Study were presented in a poster titled "Evoked and Resting State Gamma Mechanics to Test NMDA Receptor Engagement of Kynurenine Pathway Modulator AV-101 in Healthy Veterans" at the 2019 Annual Meeting of the American College of Neuropsychopharmacology (ACNP) in December 2019.</w:t>
      </w:r>
    </w:p>
    <w:p>
      <w:pPr>
        <w:spacing w:after="0" w:line="164" w:lineRule="exact"/>
        <w:rPr>
          <w:sz w:val="20"/>
          <w:szCs w:val="20"/>
          <w:color w:val="auto"/>
        </w:rPr>
      </w:pPr>
    </w:p>
    <w:p>
      <w:pPr>
        <w:jc w:val="both"/>
        <w:ind w:left="20" w:firstLine="603"/>
        <w:spacing w:after="0" w:line="267" w:lineRule="auto"/>
        <w:rPr>
          <w:sz w:val="20"/>
          <w:szCs w:val="20"/>
          <w:color w:val="auto"/>
        </w:rPr>
      </w:pPr>
      <w:r>
        <w:rPr>
          <w:rFonts w:ascii="Arial" w:cs="Arial" w:eastAsia="Arial" w:hAnsi="Arial"/>
          <w:sz w:val="16"/>
          <w:szCs w:val="16"/>
          <w:color w:val="auto"/>
        </w:rPr>
        <w:t>Based on the results of the Baylor Study and our recent preclinical studies demonstrating the ability of probenecid, an anion transport inhibitor, to markedly increase concentrations of AV-101 (approximately 7-fold) and its active metabolite 7-chloro-kynurenic acid (approximately 35-fold) in the rodent brain, we believe it may be possible to increase and prolong NMDAR antagonism even further when AV-101 and probenecid are combined. As a result, we are currently conducting additional AV-101 preclinical studies with adjunctive probenecid. With its exceptional safety profile in all clinical studies to date, we believe oral AV-101, when administered together with probenecid, has potential as a novel oral NMDAR-focused treatment for multiple CNS indications with high unmet need, including dyskinesia associated with levodopa therapy for Parkinson’s disease, epilepsy, MDD, neuropathic pain and suicidal ideation. To date, the FDA has granted Fast Track designation for development of AV-101 as an adjunctive treatment for MDD and as a non-opioid treatment for chronic neuropathic 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61225" cy="7324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225" cy="732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VistaStem Therapeutics – Stem Cell Technology for Drug Rescue and Regenerative Medicine</w:t>
      </w:r>
    </w:p>
    <w:p>
      <w:pPr>
        <w:spacing w:after="0" w:line="218" w:lineRule="exact"/>
        <w:rPr>
          <w:sz w:val="20"/>
          <w:szCs w:val="20"/>
          <w:color w:val="auto"/>
        </w:rPr>
      </w:pPr>
    </w:p>
    <w:p>
      <w:pPr>
        <w:jc w:val="both"/>
        <w:ind w:left="20" w:firstLine="603"/>
        <w:spacing w:after="0" w:line="266" w:lineRule="auto"/>
        <w:rPr>
          <w:sz w:val="20"/>
          <w:szCs w:val="20"/>
          <w:color w:val="auto"/>
        </w:rPr>
      </w:pPr>
      <w:r>
        <w:rPr>
          <w:rFonts w:ascii="Arial" w:cs="Arial" w:eastAsia="Arial" w:hAnsi="Arial"/>
          <w:sz w:val="16"/>
          <w:szCs w:val="16"/>
          <w:color w:val="auto"/>
        </w:rPr>
        <w:t>In addition to our current CNS product candidates, we have stem cell technology-based, pipeline-enabling programs through our wholly-owned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xml:space="preserve">) technology to discover and develop, by utilizing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small molecule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our CNS pipeline or for out-licensing. VistaStem’s stem cell technology involving hPSC-derived blood, cartilage, heart and liver cells has multiple potential applications. To advance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applications of VistaStem’s cardiac stem cell technology, we licensed to BlueRock Therapeutics LP, a next generation cell therapy and RM company which was acquired by Bayer AG in 2019, rights to certain proprietary technologies relating to the production of cardiac stem cells for the treatment of heart disease (the </w:t>
      </w:r>
      <w:r>
        <w:rPr>
          <w:rFonts w:ascii="Arial" w:cs="Arial" w:eastAsia="Arial" w:hAnsi="Arial"/>
          <w:sz w:val="16"/>
          <w:szCs w:val="16"/>
          <w:i w:val="1"/>
          <w:iCs w:val="1"/>
          <w:color w:val="auto"/>
        </w:rPr>
        <w:t>BlueRock/Bayer Agreement</w:t>
      </w:r>
      <w:r>
        <w:rPr>
          <w:rFonts w:ascii="Arial" w:cs="Arial" w:eastAsia="Arial" w:hAnsi="Arial"/>
          <w:sz w:val="16"/>
          <w:szCs w:val="16"/>
          <w:color w:val="auto"/>
        </w:rPr>
        <w:t>). In a manner similar to the BlueRock/Bayer Agreement, we may pursue additional collaborations or licensing transactions involving VistaStem’s blood, cartilage, and/or liver cells derived from hPSCs for cell-based therapy, cell repair therapy, RM and/or tissue engineering.</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Developments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Fall 2019 Private Placement</w:t>
      </w:r>
    </w:p>
    <w:p>
      <w:pPr>
        <w:spacing w:after="0" w:line="218" w:lineRule="exact"/>
        <w:rPr>
          <w:sz w:val="20"/>
          <w:szCs w:val="20"/>
          <w:color w:val="auto"/>
        </w:rPr>
      </w:pPr>
    </w:p>
    <w:p>
      <w:pPr>
        <w:jc w:val="both"/>
        <w:ind w:left="20" w:firstLine="603"/>
        <w:spacing w:after="0" w:line="272" w:lineRule="auto"/>
        <w:rPr>
          <w:sz w:val="20"/>
          <w:szCs w:val="20"/>
          <w:color w:val="auto"/>
        </w:rPr>
      </w:pPr>
      <w:r>
        <w:rPr>
          <w:rFonts w:ascii="Arial" w:cs="Arial" w:eastAsia="Arial" w:hAnsi="Arial"/>
          <w:sz w:val="16"/>
          <w:szCs w:val="16"/>
          <w:color w:val="auto"/>
        </w:rPr>
        <w:t xml:space="preserve">Between October 30, 2019 and November 7, 2019, in a self-placed private placement and pursuant to subscription agreements received from certain accredited investors, we sold to such investors units, at a purchase price of $1.00 per unit, consisting of an aggregate of 650,000 unregistered shares of our common stock and warrants, exercisable through November 1, 2023, to purchase that number of unregistered shares of our common stock equal to 50% of the shares of common stock purchased, at an exercise price of $2.00 per share (the </w:t>
      </w:r>
      <w:r>
        <w:rPr>
          <w:rFonts w:ascii="Arial" w:cs="Arial" w:eastAsia="Arial" w:hAnsi="Arial"/>
          <w:sz w:val="16"/>
          <w:szCs w:val="16"/>
          <w:i w:val="1"/>
          <w:iCs w:val="1"/>
          <w:color w:val="auto"/>
        </w:rPr>
        <w:t>Fall 2019 Private Placement</w:t>
      </w:r>
      <w:r>
        <w:rPr>
          <w:rFonts w:ascii="Arial" w:cs="Arial" w:eastAsia="Arial" w:hAnsi="Arial"/>
          <w:sz w:val="16"/>
          <w:szCs w:val="16"/>
          <w:color w:val="auto"/>
        </w:rPr>
        <w:t>).</w:t>
      </w:r>
    </w:p>
    <w:p>
      <w:pPr>
        <w:spacing w:after="0" w:line="171" w:lineRule="exact"/>
        <w:rPr>
          <w:sz w:val="20"/>
          <w:szCs w:val="20"/>
          <w:color w:val="auto"/>
        </w:rPr>
      </w:pPr>
    </w:p>
    <w:p>
      <w:pPr>
        <w:jc w:val="both"/>
        <w:ind w:left="20" w:firstLine="603"/>
        <w:spacing w:after="0" w:line="295" w:lineRule="auto"/>
        <w:rPr>
          <w:sz w:val="20"/>
          <w:szCs w:val="20"/>
          <w:color w:val="auto"/>
        </w:rPr>
      </w:pPr>
      <w:r>
        <w:rPr>
          <w:rFonts w:ascii="Arial" w:cs="Arial" w:eastAsia="Arial" w:hAnsi="Arial"/>
          <w:sz w:val="15"/>
          <w:szCs w:val="15"/>
          <w:color w:val="auto"/>
        </w:rPr>
        <w:t>Subsequent to the November 7, 2019, we modified the warrants issued in connection with the Fall 2019 Private Placement to (i) reduce the exercise price from $2.00 per share to $0.50 per share and (ii) to allow for the warrants to become immediately exercisable. In addition, we issued additional warrants to the participants in the Fall 2019 Private Placement to increase the number of unregistered shares of common stock issuable upon exercise of the warrants from 50% to 100%. As a result, we issued warrants to purchase up to 650,000 shares of unregistered common stock to investors participating in the Fall 2019 Private Placement.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Winter 2019 Warrant Modification</w:t>
      </w:r>
    </w:p>
    <w:p>
      <w:pPr>
        <w:spacing w:after="0" w:line="218" w:lineRule="exact"/>
        <w:rPr>
          <w:sz w:val="20"/>
          <w:szCs w:val="20"/>
          <w:color w:val="auto"/>
        </w:rPr>
      </w:pPr>
    </w:p>
    <w:p>
      <w:pPr>
        <w:jc w:val="both"/>
        <w:ind w:left="20" w:firstLine="603"/>
        <w:spacing w:after="0" w:line="272" w:lineRule="auto"/>
        <w:rPr>
          <w:sz w:val="20"/>
          <w:szCs w:val="20"/>
          <w:color w:val="auto"/>
        </w:rPr>
      </w:pPr>
      <w:r>
        <w:rPr>
          <w:rFonts w:ascii="Arial" w:cs="Arial" w:eastAsia="Arial" w:hAnsi="Arial"/>
          <w:sz w:val="16"/>
          <w:szCs w:val="16"/>
          <w:color w:val="auto"/>
        </w:rPr>
        <w:t xml:space="preserve">In December 2019, we modified outstanding warrants previously issued as a part of completed private placements to temporarily reduce, for a period of two years, the exercise price of such warrants to $0.50 per share, in order to more closely align the exercise price of the warrants with the trading price of our common stock at such time (the </w:t>
      </w:r>
      <w:r>
        <w:rPr>
          <w:rFonts w:ascii="Arial" w:cs="Arial" w:eastAsia="Arial" w:hAnsi="Arial"/>
          <w:sz w:val="16"/>
          <w:szCs w:val="16"/>
          <w:i w:val="1"/>
          <w:iCs w:val="1"/>
          <w:color w:val="auto"/>
        </w:rPr>
        <w:t>Winter 2019 Warrant Modification</w:t>
      </w:r>
      <w:r>
        <w:rPr>
          <w:rFonts w:ascii="Arial" w:cs="Arial" w:eastAsia="Arial" w:hAnsi="Arial"/>
          <w:sz w:val="16"/>
          <w:szCs w:val="16"/>
          <w:color w:val="auto"/>
        </w:rPr>
        <w:t>). As a result of the Winter 2019 Warrant Modification, outstanding warrants to purchase a total of approximately 6.6 million shares of common stock were modified.</w:t>
      </w:r>
    </w:p>
    <w:p>
      <w:pPr>
        <w:spacing w:after="0" w:line="171" w:lineRule="exact"/>
        <w:rPr>
          <w:sz w:val="20"/>
          <w:szCs w:val="20"/>
          <w:color w:val="auto"/>
        </w:rPr>
      </w:pPr>
    </w:p>
    <w:p>
      <w:pPr>
        <w:jc w:val="both"/>
        <w:ind w:left="20" w:firstLine="603"/>
        <w:spacing w:after="0" w:line="292" w:lineRule="auto"/>
        <w:rPr>
          <w:sz w:val="20"/>
          <w:szCs w:val="20"/>
          <w:color w:val="auto"/>
        </w:rPr>
      </w:pPr>
      <w:r>
        <w:rPr>
          <w:rFonts w:ascii="Arial" w:cs="Arial" w:eastAsia="Arial" w:hAnsi="Arial"/>
          <w:sz w:val="16"/>
          <w:szCs w:val="16"/>
          <w:color w:val="auto"/>
        </w:rPr>
        <w:t>Following the Winter 2019 Warrant Modification, investors holding a total 820,000 warrants elected to exercise their warrants at the reduced price of $0.50 per share, resulting in proceeds to us of $410,000.</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December 19, 2019 Warrant Modification</w:t>
      </w:r>
    </w:p>
    <w:p>
      <w:pPr>
        <w:spacing w:after="0" w:line="218" w:lineRule="exact"/>
        <w:rPr>
          <w:sz w:val="20"/>
          <w:szCs w:val="20"/>
          <w:color w:val="auto"/>
        </w:rPr>
      </w:pPr>
    </w:p>
    <w:p>
      <w:pPr>
        <w:jc w:val="both"/>
        <w:ind w:left="20" w:firstLine="603"/>
        <w:spacing w:after="0" w:line="295" w:lineRule="auto"/>
        <w:rPr>
          <w:sz w:val="20"/>
          <w:szCs w:val="20"/>
          <w:color w:val="auto"/>
        </w:rPr>
      </w:pPr>
      <w:r>
        <w:rPr>
          <w:rFonts w:ascii="Arial" w:cs="Arial" w:eastAsia="Arial" w:hAnsi="Arial"/>
          <w:sz w:val="15"/>
          <w:szCs w:val="15"/>
          <w:color w:val="auto"/>
        </w:rPr>
        <w:t xml:space="preserve">On December 19, 2019, we modified outstanding warrants previously issued as a part of a completed private placement to permanently reduce the exercise price of such warrants to $0.805 per share and to extend the term of such warrants through December 31, 2022, in order to more closely align the exercise price of the warrants with the current trading price of our common stock and to provide additional time for the holders to exercise the warrants (the </w:t>
      </w:r>
      <w:r>
        <w:rPr>
          <w:rFonts w:ascii="Arial" w:cs="Arial" w:eastAsia="Arial" w:hAnsi="Arial"/>
          <w:sz w:val="15"/>
          <w:szCs w:val="15"/>
          <w:i w:val="1"/>
          <w:iCs w:val="1"/>
          <w:color w:val="auto"/>
        </w:rPr>
        <w:t>December 19, 2019 Warrant Modification</w:t>
      </w:r>
      <w:r>
        <w:rPr>
          <w:rFonts w:ascii="Arial" w:cs="Arial" w:eastAsia="Arial" w:hAnsi="Arial"/>
          <w:sz w:val="15"/>
          <w:szCs w:val="15"/>
          <w:color w:val="auto"/>
        </w:rPr>
        <w:t>). As a result of the December 19, 2019 Warrant Modification, outstanding warrants to purchase a total of 80,431 shares of common stock were modified.</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Winter 2019 Warrant Offering</w:t>
      </w:r>
    </w:p>
    <w:p>
      <w:pPr>
        <w:spacing w:after="0" w:line="218" w:lineRule="exact"/>
        <w:rPr>
          <w:sz w:val="20"/>
          <w:szCs w:val="20"/>
          <w:color w:val="auto"/>
        </w:rPr>
      </w:pPr>
    </w:p>
    <w:p>
      <w:pPr>
        <w:jc w:val="both"/>
        <w:ind w:left="20" w:firstLine="603"/>
        <w:spacing w:after="0" w:line="272" w:lineRule="auto"/>
        <w:rPr>
          <w:sz w:val="20"/>
          <w:szCs w:val="20"/>
          <w:color w:val="auto"/>
        </w:rPr>
      </w:pPr>
      <w:r>
        <w:rPr>
          <w:rFonts w:ascii="Arial" w:cs="Arial" w:eastAsia="Arial" w:hAnsi="Arial"/>
          <w:sz w:val="16"/>
          <w:szCs w:val="16"/>
          <w:color w:val="auto"/>
        </w:rPr>
        <w:t xml:space="preserve">In December 2019, we commenced a self-placed private placement of warrants to purchase unregistered shares of our common stock at an offering price of $0.15 per warrant (the </w:t>
      </w:r>
      <w:r>
        <w:rPr>
          <w:rFonts w:ascii="Arial" w:cs="Arial" w:eastAsia="Arial" w:hAnsi="Arial"/>
          <w:sz w:val="16"/>
          <w:szCs w:val="16"/>
          <w:i w:val="1"/>
          <w:iCs w:val="1"/>
          <w:color w:val="auto"/>
        </w:rPr>
        <w:t>Winter 2019 Warrant Offering</w:t>
      </w:r>
      <w:r>
        <w:rPr>
          <w:rFonts w:ascii="Arial" w:cs="Arial" w:eastAsia="Arial" w:hAnsi="Arial"/>
          <w:sz w:val="16"/>
          <w:szCs w:val="16"/>
          <w:color w:val="auto"/>
        </w:rPr>
        <w:t>). Warrants offered and sold in the Winter 2019 Warrant Offering have an exercise price of $0.50 per share and term of three years from the issuance date. Over the course of the Winter 2019 Warrant Offering, we sold warrants to purchase a total of 2.0 million unregistered shares of common stock for proceeds to us of $300,000.</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Corporate Information</w:t>
      </w:r>
    </w:p>
    <w:p>
      <w:pPr>
        <w:spacing w:after="0" w:line="222" w:lineRule="exact"/>
        <w:rPr>
          <w:sz w:val="20"/>
          <w:szCs w:val="20"/>
          <w:color w:val="auto"/>
        </w:rPr>
      </w:pPr>
    </w:p>
    <w:p>
      <w:pPr>
        <w:jc w:val="both"/>
        <w:ind w:left="20" w:firstLine="603"/>
        <w:spacing w:after="0" w:line="295" w:lineRule="auto"/>
        <w:rPr>
          <w:sz w:val="20"/>
          <w:szCs w:val="20"/>
          <w:color w:val="auto"/>
        </w:rPr>
      </w:pPr>
      <w:r>
        <w:rPr>
          <w:rFonts w:ascii="Arial" w:cs="Arial" w:eastAsia="Arial" w:hAnsi="Arial"/>
          <w:sz w:val="15"/>
          <w:szCs w:val="15"/>
          <w:color w:val="auto"/>
          <w:highlight w:val="white"/>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5"/>
          <w:szCs w:val="15"/>
          <w:i w:val="1"/>
          <w:iCs w:val="1"/>
          <w:color w:val="auto"/>
          <w:highlight w:val="white"/>
        </w:rPr>
        <w:t>www.vistagen.com</w:t>
      </w:r>
      <w:r>
        <w:rPr>
          <w:rFonts w:ascii="Arial" w:cs="Arial" w:eastAsia="Arial" w:hAnsi="Arial"/>
          <w:sz w:val="15"/>
          <w:szCs w:val="15"/>
          <w:color w:val="auto"/>
          <w:highlight w:val="white"/>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326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2900" w:type="dxa"/>
            <w:vAlign w:val="bottom"/>
          </w:tcPr>
          <w:p>
            <w:pPr>
              <w:spacing w:after="0"/>
              <w:rPr>
                <w:sz w:val="16"/>
                <w:szCs w:val="16"/>
                <w:color w:val="auto"/>
              </w:rPr>
            </w:pPr>
          </w:p>
        </w:tc>
      </w:tr>
      <w:tr>
        <w:trPr>
          <w:trHeight w:val="819"/>
        </w:trPr>
        <w:tc>
          <w:tcPr>
            <w:tcW w:w="114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2900" w:type="dxa"/>
            <w:vAlign w:val="bottom"/>
          </w:tcPr>
          <w:p>
            <w:pPr>
              <w:ind w:left="2000"/>
              <w:spacing w:after="0"/>
              <w:rPr>
                <w:sz w:val="20"/>
                <w:szCs w:val="20"/>
                <w:color w:val="auto"/>
              </w:rPr>
            </w:pPr>
            <w:r>
              <w:rPr>
                <w:rFonts w:ascii="Arial" w:cs="Arial" w:eastAsia="Arial" w:hAnsi="Arial"/>
                <w:sz w:val="16"/>
                <w:szCs w:val="16"/>
                <w:b w:val="1"/>
                <w:bCs w:val="1"/>
                <w:color w:val="auto"/>
                <w:w w:val="92"/>
              </w:rPr>
              <w:t>The Offering</w:t>
            </w:r>
          </w:p>
        </w:tc>
      </w:tr>
      <w:tr>
        <w:trPr>
          <w:trHeight w:val="395"/>
        </w:trPr>
        <w:tc>
          <w:tcPr>
            <w:tcW w:w="3260" w:type="dxa"/>
            <w:vAlign w:val="bottom"/>
            <w:gridSpan w:val="2"/>
          </w:tcPr>
          <w:p>
            <w:pPr>
              <w:spacing w:after="0"/>
              <w:rPr>
                <w:sz w:val="20"/>
                <w:szCs w:val="20"/>
                <w:color w:val="auto"/>
              </w:rPr>
            </w:pPr>
            <w:r>
              <w:rPr>
                <w:rFonts w:ascii="Arial" w:cs="Arial" w:eastAsia="Arial" w:hAnsi="Arial"/>
                <w:sz w:val="16"/>
                <w:szCs w:val="16"/>
                <w:color w:val="auto"/>
              </w:rPr>
              <w:t>Common stock offered by this prospectus</w:t>
            </w:r>
          </w:p>
        </w:tc>
        <w:tc>
          <w:tcPr>
            <w:tcW w:w="2900" w:type="dxa"/>
            <w:vAlign w:val="bottom"/>
          </w:tcPr>
          <w:p>
            <w:pPr>
              <w:ind w:left="160"/>
              <w:spacing w:after="0"/>
              <w:rPr>
                <w:sz w:val="20"/>
                <w:szCs w:val="20"/>
                <w:color w:val="auto"/>
              </w:rPr>
            </w:pPr>
            <w:r>
              <w:rPr>
                <w:rFonts w:ascii="Arial" w:cs="Arial" w:eastAsia="Arial" w:hAnsi="Arial"/>
                <w:sz w:val="16"/>
                <w:szCs w:val="16"/>
                <w:color w:val="auto"/>
              </w:rPr>
              <w:t>3,870,077 shares of common stock.</w:t>
            </w:r>
          </w:p>
        </w:tc>
      </w:tr>
      <w:tr>
        <w:trPr>
          <w:trHeight w:val="207"/>
        </w:trPr>
        <w:tc>
          <w:tcPr>
            <w:tcW w:w="3260" w:type="dxa"/>
            <w:vAlign w:val="bottom"/>
            <w:gridSpan w:val="2"/>
          </w:tcPr>
          <w:p>
            <w:pPr>
              <w:ind w:left="300"/>
              <w:spacing w:after="0"/>
              <w:rPr>
                <w:sz w:val="20"/>
                <w:szCs w:val="20"/>
                <w:color w:val="auto"/>
              </w:rPr>
            </w:pPr>
            <w:r>
              <w:rPr>
                <w:rFonts w:ascii="Arial" w:cs="Arial" w:eastAsia="Arial" w:hAnsi="Arial"/>
                <w:sz w:val="16"/>
                <w:szCs w:val="16"/>
                <w:color w:val="auto"/>
              </w:rPr>
              <w:t>supplement</w:t>
            </w:r>
          </w:p>
        </w:tc>
        <w:tc>
          <w:tcPr>
            <w:tcW w:w="2900" w:type="dxa"/>
            <w:vAlign w:val="bottom"/>
          </w:tcPr>
          <w:p>
            <w:pPr>
              <w:spacing w:after="0"/>
              <w:rPr>
                <w:sz w:val="18"/>
                <w:szCs w:val="18"/>
                <w:color w:val="auto"/>
              </w:rPr>
            </w:pPr>
          </w:p>
        </w:tc>
      </w:tr>
      <w:tr>
        <w:trPr>
          <w:trHeight w:val="402"/>
        </w:trPr>
        <w:tc>
          <w:tcPr>
            <w:tcW w:w="3260" w:type="dxa"/>
            <w:vAlign w:val="bottom"/>
            <w:gridSpan w:val="2"/>
          </w:tcPr>
          <w:p>
            <w:pPr>
              <w:spacing w:after="0"/>
              <w:rPr>
                <w:sz w:val="20"/>
                <w:szCs w:val="20"/>
                <w:color w:val="auto"/>
              </w:rPr>
            </w:pPr>
            <w:r>
              <w:rPr>
                <w:rFonts w:ascii="Arial" w:cs="Arial" w:eastAsia="Arial" w:hAnsi="Arial"/>
                <w:sz w:val="16"/>
                <w:szCs w:val="16"/>
                <w:color w:val="auto"/>
                <w:w w:val="97"/>
              </w:rPr>
              <w:t>Common stock outstanding before this offering</w:t>
            </w:r>
          </w:p>
        </w:tc>
        <w:tc>
          <w:tcPr>
            <w:tcW w:w="2900" w:type="dxa"/>
            <w:vAlign w:val="bottom"/>
          </w:tcPr>
          <w:p>
            <w:pPr>
              <w:ind w:left="160"/>
              <w:spacing w:after="0"/>
              <w:rPr>
                <w:sz w:val="20"/>
                <w:szCs w:val="20"/>
                <w:color w:val="auto"/>
              </w:rPr>
            </w:pPr>
            <w:r>
              <w:rPr>
                <w:rFonts w:ascii="Arial" w:cs="Arial" w:eastAsia="Arial" w:hAnsi="Arial"/>
                <w:sz w:val="16"/>
                <w:szCs w:val="16"/>
                <w:color w:val="auto"/>
              </w:rPr>
              <w:t>44,092,965 shares.</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 47,963,042 shares.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40" w:type="dxa"/>
            <w:vAlign w:val="bottom"/>
          </w:tcPr>
          <w:p>
            <w:pPr>
              <w:spacing w:after="0"/>
              <w:rPr>
                <w:sz w:val="20"/>
                <w:szCs w:val="20"/>
                <w:color w:val="auto"/>
              </w:rPr>
            </w:pPr>
            <w:r>
              <w:rPr>
                <w:rFonts w:ascii="Arial" w:cs="Arial" w:eastAsia="Arial" w:hAnsi="Arial"/>
                <w:sz w:val="16"/>
                <w:szCs w:val="16"/>
                <w:color w:val="auto"/>
              </w:rPr>
              <w:t>Concurrent private placement</w:t>
            </w: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5"/>
              </w:rPr>
              <w:t>We are offering 3,870,077 shares of our common stock in this offering pursuant to this prospectus supplement and the</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5"/>
              </w:rPr>
              <w:t>accompanying base prospectus and a securities purchase agreement at a price of $0.71058 per share. In a concurrent</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4"/>
              </w:rPr>
              <w:t>private placement, we are also selling to investors, Warrants to purchase an additional 100% of the number of shares of</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3"/>
              </w:rPr>
              <w:t>common stock purchased in this offering. Each Warrant will be exercisable for one share of common stock at an exercise</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7"/>
              </w:rPr>
              <w:t>price of $0.73 per share, will first become exercisable six months and one day following the date of issuance and will</w:t>
            </w:r>
          </w:p>
        </w:tc>
      </w:tr>
      <w:tr>
        <w:trPr>
          <w:trHeight w:val="207"/>
        </w:trPr>
        <w:tc>
          <w:tcPr>
            <w:tcW w:w="2740" w:type="dxa"/>
            <w:vAlign w:val="bottom"/>
          </w:tcPr>
          <w:p>
            <w:pPr>
              <w:spacing w:after="0"/>
              <w:rPr>
                <w:sz w:val="18"/>
                <w:szCs w:val="18"/>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rPr>
              <w:t>expire five years following the date of issuance.</w:t>
            </w:r>
          </w:p>
        </w:tc>
      </w:tr>
      <w:tr>
        <w:trPr>
          <w:trHeight w:val="366"/>
        </w:trPr>
        <w:tc>
          <w:tcPr>
            <w:tcW w:w="2740" w:type="dxa"/>
            <w:vAlign w:val="bottom"/>
          </w:tcPr>
          <w:p>
            <w:pPr>
              <w:spacing w:after="0"/>
              <w:rPr>
                <w:sz w:val="24"/>
                <w:szCs w:val="24"/>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2"/>
              </w:rPr>
              <w:t>The Warrants and the shares of common stock issuable upon the exercise of the Warrants (</w:t>
            </w:r>
            <w:r>
              <w:rPr>
                <w:rFonts w:ascii="Arial" w:cs="Arial" w:eastAsia="Arial" w:hAnsi="Arial"/>
                <w:sz w:val="16"/>
                <w:szCs w:val="16"/>
                <w:i w:val="1"/>
                <w:iCs w:val="1"/>
                <w:color w:val="auto"/>
                <w:w w:val="92"/>
              </w:rPr>
              <w:t>Warrant Shares</w:t>
            </w:r>
            <w:r>
              <w:rPr>
                <w:rFonts w:ascii="Arial" w:cs="Arial" w:eastAsia="Arial" w:hAnsi="Arial"/>
                <w:sz w:val="16"/>
                <w:szCs w:val="16"/>
                <w:color w:val="auto"/>
                <w:w w:val="92"/>
              </w:rPr>
              <w:t>) are not being</w:t>
            </w:r>
          </w:p>
        </w:tc>
      </w:tr>
      <w:tr>
        <w:trPr>
          <w:trHeight w:val="20"/>
        </w:trPr>
        <w:tc>
          <w:tcPr>
            <w:tcW w:w="27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5"/>
              </w:rPr>
              <w:t>registered under the Securities Act, pursuant to the registration statement of which this prospectus supplement and the</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1"/>
              </w:rPr>
              <w:t>accompanying prospectus form a part nor are such Warrants and Warrant Shares being offered pursuant to this prospectus</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2"/>
              </w:rPr>
              <w:t>supplement and accompanying prospectus. Instead, the Warrants are being offered pursuant to an exemption provided in</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5"/>
              </w:rPr>
              <w:t>Section 4(a)(2) of the Securities Act and Regulation D promulgated thereunder. Each purchaser will be an “accredited</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2"/>
              </w:rPr>
              <w:t>investor” as such term is defined in Rule 501(a) under the Securities Act. There is no established public trading market for</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2"/>
              </w:rPr>
              <w:t>the Warrants, and we do not expect a market to develop. In addition, the Warrants are not and will not be listed for trading</w:t>
            </w:r>
          </w:p>
        </w:tc>
      </w:tr>
      <w:tr>
        <w:trPr>
          <w:trHeight w:val="207"/>
        </w:trPr>
        <w:tc>
          <w:tcPr>
            <w:tcW w:w="2740" w:type="dxa"/>
            <w:vAlign w:val="bottom"/>
          </w:tcPr>
          <w:p>
            <w:pPr>
              <w:spacing w:after="0"/>
              <w:rPr>
                <w:sz w:val="18"/>
                <w:szCs w:val="18"/>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rPr>
              <w:t>on any national securities exchange.</w:t>
            </w:r>
          </w:p>
        </w:tc>
      </w:tr>
      <w:tr>
        <w:trPr>
          <w:trHeight w:val="402"/>
        </w:trPr>
        <w:tc>
          <w:tcPr>
            <w:tcW w:w="2740" w:type="dxa"/>
            <w:vAlign w:val="bottom"/>
          </w:tcPr>
          <w:p>
            <w:pPr>
              <w:spacing w:after="0"/>
              <w:rPr>
                <w:sz w:val="20"/>
                <w:szCs w:val="20"/>
                <w:color w:val="auto"/>
              </w:rPr>
            </w:pPr>
            <w:r>
              <w:rPr>
                <w:rFonts w:ascii="Arial" w:cs="Arial" w:eastAsia="Arial" w:hAnsi="Arial"/>
                <w:sz w:val="16"/>
                <w:szCs w:val="16"/>
                <w:color w:val="auto"/>
              </w:rPr>
              <w:t>Offering price per share</w:t>
            </w: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rPr>
              <w:t>$0.71058 per share of common stock.</w:t>
            </w:r>
          </w:p>
        </w:tc>
      </w:tr>
      <w:tr>
        <w:trPr>
          <w:trHeight w:val="395"/>
        </w:trPr>
        <w:tc>
          <w:tcPr>
            <w:tcW w:w="2740" w:type="dxa"/>
            <w:vAlign w:val="bottom"/>
          </w:tcPr>
          <w:p>
            <w:pPr>
              <w:spacing w:after="0"/>
              <w:rPr>
                <w:sz w:val="20"/>
                <w:szCs w:val="20"/>
                <w:color w:val="auto"/>
              </w:rPr>
            </w:pPr>
            <w:r>
              <w:rPr>
                <w:rFonts w:ascii="Arial" w:cs="Arial" w:eastAsia="Arial" w:hAnsi="Arial"/>
                <w:sz w:val="16"/>
                <w:szCs w:val="16"/>
                <w:color w:val="auto"/>
              </w:rPr>
              <w:t>Use of proceeds</w:t>
            </w: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5"/>
              </w:rPr>
              <w:t>We intend to use the net proceeds from this offering primarily for research and development expenses associated with</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5"/>
              </w:rPr>
              <w:t>continuing development of PH94B, PH10, AV-101, potential drug rescue candidates, and for other working capital and</w:t>
            </w:r>
          </w:p>
        </w:tc>
      </w:tr>
      <w:tr>
        <w:trPr>
          <w:trHeight w:val="207"/>
        </w:trPr>
        <w:tc>
          <w:tcPr>
            <w:tcW w:w="2740" w:type="dxa"/>
            <w:vAlign w:val="bottom"/>
          </w:tcPr>
          <w:p>
            <w:pPr>
              <w:spacing w:after="0"/>
              <w:rPr>
                <w:sz w:val="18"/>
                <w:szCs w:val="18"/>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rPr>
              <w:t>capital expenditures. See “</w:t>
            </w:r>
            <w:r>
              <w:rPr>
                <w:rFonts w:ascii="Arial" w:cs="Arial" w:eastAsia="Arial" w:hAnsi="Arial"/>
                <w:sz w:val="16"/>
                <w:szCs w:val="16"/>
                <w:i w:val="1"/>
                <w:iCs w:val="1"/>
                <w:color w:val="auto"/>
              </w:rPr>
              <w:t>Use of Proceeds</w:t>
            </w:r>
            <w:r>
              <w:rPr>
                <w:rFonts w:ascii="Arial" w:cs="Arial" w:eastAsia="Arial" w:hAnsi="Arial"/>
                <w:sz w:val="16"/>
                <w:szCs w:val="16"/>
                <w:color w:val="auto"/>
              </w:rPr>
              <w:t>” on page S-10.</w:t>
            </w:r>
          </w:p>
        </w:tc>
      </w:tr>
      <w:tr>
        <w:trPr>
          <w:trHeight w:val="402"/>
        </w:trPr>
        <w:tc>
          <w:tcPr>
            <w:tcW w:w="2740" w:type="dxa"/>
            <w:vAlign w:val="bottom"/>
          </w:tcPr>
          <w:p>
            <w:pPr>
              <w:spacing w:after="0"/>
              <w:rPr>
                <w:sz w:val="20"/>
                <w:szCs w:val="20"/>
                <w:color w:val="auto"/>
              </w:rPr>
            </w:pPr>
            <w:r>
              <w:rPr>
                <w:rFonts w:ascii="Arial" w:cs="Arial" w:eastAsia="Arial" w:hAnsi="Arial"/>
                <w:sz w:val="16"/>
                <w:szCs w:val="16"/>
                <w:color w:val="auto"/>
              </w:rPr>
              <w:t>Nasdaq Capital Market symbol</w:t>
            </w: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rPr>
              <w:t>Our common stock is listed on the Nasdaq Capital Market under the symbol “VTGN”.</w:t>
            </w:r>
          </w:p>
        </w:tc>
      </w:tr>
      <w:tr>
        <w:trPr>
          <w:trHeight w:val="395"/>
        </w:trPr>
        <w:tc>
          <w:tcPr>
            <w:tcW w:w="2740" w:type="dxa"/>
            <w:vAlign w:val="bottom"/>
          </w:tcPr>
          <w:p>
            <w:pPr>
              <w:spacing w:after="0"/>
              <w:rPr>
                <w:sz w:val="20"/>
                <w:szCs w:val="20"/>
                <w:color w:val="auto"/>
              </w:rPr>
            </w:pPr>
            <w:r>
              <w:rPr>
                <w:rFonts w:ascii="Arial" w:cs="Arial" w:eastAsia="Arial" w:hAnsi="Arial"/>
                <w:sz w:val="16"/>
                <w:szCs w:val="16"/>
                <w:color w:val="auto"/>
              </w:rPr>
              <w:t>Risk Factors</w:t>
            </w: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w w:val="98"/>
              </w:rPr>
              <w:t>Investing in our common stock involves a high degree of risk. Please read the information under the heading “</w:t>
            </w:r>
            <w:r>
              <w:rPr>
                <w:rFonts w:ascii="Arial" w:cs="Arial" w:eastAsia="Arial" w:hAnsi="Arial"/>
                <w:sz w:val="16"/>
                <w:szCs w:val="16"/>
                <w:i w:val="1"/>
                <w:iCs w:val="1"/>
                <w:color w:val="auto"/>
                <w:w w:val="98"/>
              </w:rPr>
              <w:t>Risk</w:t>
            </w:r>
          </w:p>
        </w:tc>
      </w:tr>
      <w:tr>
        <w:trPr>
          <w:trHeight w:val="201"/>
        </w:trPr>
        <w:tc>
          <w:tcPr>
            <w:tcW w:w="2740" w:type="dxa"/>
            <w:vAlign w:val="bottom"/>
          </w:tcPr>
          <w:p>
            <w:pPr>
              <w:spacing w:after="0"/>
              <w:rPr>
                <w:sz w:val="17"/>
                <w:szCs w:val="17"/>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i w:val="1"/>
                <w:iCs w:val="1"/>
                <w:color w:val="auto"/>
                <w:w w:val="92"/>
              </w:rPr>
              <w:t>Factors</w:t>
            </w:r>
            <w:r>
              <w:rPr>
                <w:rFonts w:ascii="Arial" w:cs="Arial" w:eastAsia="Arial" w:hAnsi="Arial"/>
                <w:sz w:val="16"/>
                <w:szCs w:val="16"/>
                <w:color w:val="auto"/>
                <w:w w:val="92"/>
              </w:rPr>
              <w:t>” beginning on page S-7 of this prospectus supplement, beginning on page 3 of the accompanying prospectus and</w:t>
            </w:r>
          </w:p>
        </w:tc>
      </w:tr>
      <w:tr>
        <w:trPr>
          <w:trHeight w:val="207"/>
        </w:trPr>
        <w:tc>
          <w:tcPr>
            <w:tcW w:w="2740" w:type="dxa"/>
            <w:vAlign w:val="bottom"/>
          </w:tcPr>
          <w:p>
            <w:pPr>
              <w:spacing w:after="0"/>
              <w:rPr>
                <w:sz w:val="18"/>
                <w:szCs w:val="18"/>
                <w:color w:val="auto"/>
              </w:rPr>
            </w:pPr>
          </w:p>
        </w:tc>
        <w:tc>
          <w:tcPr>
            <w:tcW w:w="8680" w:type="dxa"/>
            <w:vAlign w:val="bottom"/>
            <w:gridSpan w:val="3"/>
          </w:tcPr>
          <w:p>
            <w:pPr>
              <w:ind w:left="680"/>
              <w:spacing w:after="0"/>
              <w:rPr>
                <w:sz w:val="20"/>
                <w:szCs w:val="20"/>
                <w:color w:val="auto"/>
              </w:rPr>
            </w:pPr>
            <w:r>
              <w:rPr>
                <w:rFonts w:ascii="Arial" w:cs="Arial" w:eastAsia="Arial" w:hAnsi="Arial"/>
                <w:sz w:val="16"/>
                <w:szCs w:val="16"/>
                <w:color w:val="auto"/>
              </w:rPr>
              <w:t>in the documents incorporated herein and therein by reference.</w:t>
            </w:r>
          </w:p>
        </w:tc>
      </w:tr>
    </w:tbl>
    <w:p>
      <w:pPr>
        <w:spacing w:after="0" w:line="194" w:lineRule="exact"/>
        <w:rPr>
          <w:sz w:val="20"/>
          <w:szCs w:val="20"/>
          <w:color w:val="auto"/>
        </w:rPr>
      </w:pPr>
    </w:p>
    <w:p>
      <w:pPr>
        <w:jc w:val="both"/>
        <w:ind w:left="460" w:hanging="460"/>
        <w:spacing w:after="0" w:line="277"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number of shares of our common stock that are and will be outstanding immediately before and after this offering as shown above is based on 44,092,965 shares outstanding as of January 24, 2020. The number of shares outstanding as of January 24, 2020, as used throughout this prospectus supplement, unless otherwise indicated, excludes: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7" w:name="page8"/>
    <w:bookmarkEnd w:id="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00" w:hanging="447"/>
        <w:spacing w:after="0" w:line="29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held by one institutional investor and one accredited individual investor;</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 10% Convertible Preferred Stock held by two institutional investors;</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Stock held by one institutional investor;</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22,685,204 shares of common stock that have been reserved for issuance upon exercise of outstanding warrants, with a weighted average exercise price of $1.80 per share;</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10,003,088 shares of common stock reserved for issuance upon exercise of outstanding stock options under our 2019 Omnibus Equity Incentive Plan, with a weighted average exercise price of $1.36 per share;</w:t>
      </w:r>
    </w:p>
    <w:p>
      <w:pPr>
        <w:spacing w:after="0" w:line="155" w:lineRule="exact"/>
        <w:rPr>
          <w:rFonts w:ascii="Arial" w:cs="Arial" w:eastAsia="Arial" w:hAnsi="Arial"/>
          <w:sz w:val="16"/>
          <w:szCs w:val="16"/>
          <w:color w:val="auto"/>
        </w:rPr>
      </w:pPr>
    </w:p>
    <w:p>
      <w:pPr>
        <w:ind w:left="900" w:hanging="447"/>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6,730,162 shares of common stock reserved for future issuance in connection with future grants under our 2019 Omnibus Equity Incentive Plan; and</w:t>
      </w:r>
    </w:p>
    <w:p>
      <w:pPr>
        <w:spacing w:after="0" w:line="217"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aggregate of 3,870,077 shares of common stock issuable upon the exercise of the Warrants to be issued in the concurrent private placement. See “</w:t>
      </w:r>
      <w:r>
        <w:rPr>
          <w:rFonts w:ascii="Arial" w:cs="Arial" w:eastAsia="Arial" w:hAnsi="Arial"/>
          <w:sz w:val="16"/>
          <w:szCs w:val="16"/>
          <w:i w:val="1"/>
          <w:iCs w:val="1"/>
          <w:color w:val="auto"/>
        </w:rPr>
        <w:t>Concurrent</w:t>
      </w:r>
      <w:r>
        <w:rPr>
          <w:rFonts w:ascii="Arial" w:cs="Arial" w:eastAsia="Arial" w:hAnsi="Arial"/>
          <w:sz w:val="16"/>
          <w:szCs w:val="16"/>
          <w:color w:val="auto"/>
        </w:rPr>
        <w:t xml:space="preserve"> </w:t>
      </w:r>
      <w:r>
        <w:rPr>
          <w:rFonts w:ascii="Arial" w:cs="Arial" w:eastAsia="Arial" w:hAnsi="Arial"/>
          <w:sz w:val="16"/>
          <w:szCs w:val="16"/>
          <w:i w:val="1"/>
          <w:iCs w:val="1"/>
          <w:color w:val="auto"/>
        </w:rPr>
        <w:t>Private Placement</w:t>
      </w:r>
      <w:r>
        <w:rPr>
          <w:rFonts w:ascii="Arial" w:cs="Arial" w:eastAsia="Arial" w:hAnsi="Arial"/>
          <w:sz w:val="16"/>
          <w:szCs w:val="16"/>
          <w:color w:val="auto"/>
        </w:rPr>
        <w:t>.”</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Unless we specifically state otherwise, all information in this prospectus supplement assumes that the Warrants offered hereby are not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22" w:lineRule="exact"/>
        <w:rPr>
          <w:sz w:val="20"/>
          <w:szCs w:val="20"/>
          <w:color w:val="auto"/>
        </w:rPr>
      </w:pPr>
    </w:p>
    <w:p>
      <w:pPr>
        <w:jc w:val="both"/>
        <w:ind w:firstLine="603"/>
        <w:spacing w:after="0" w:line="286" w:lineRule="auto"/>
        <w:rPr>
          <w:sz w:val="20"/>
          <w:szCs w:val="20"/>
          <w:color w:val="auto"/>
        </w:rPr>
      </w:pPr>
      <w:r>
        <w:rPr>
          <w:rFonts w:ascii="Arial" w:cs="Arial" w:eastAsia="Arial" w:hAnsi="Arial"/>
          <w:sz w:val="15"/>
          <w:szCs w:val="15"/>
          <w:i w:val="1"/>
          <w:iCs w:val="1"/>
          <w:color w:val="auto"/>
        </w:rPr>
        <w:t>Our Annual Report on Form 10-K for the fiscal year ended March 31, 2019 and our Quarterly Report on Form 10-Q for the quarters ended June 30, 2019 and September 30, 2019, which are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Related to this Offering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exercise of the Warrants may dilute the ownership interest of our stockholders, including warrant holders who have previously exercised their Warrants.</w:t>
      </w:r>
    </w:p>
    <w:p>
      <w:pPr>
        <w:spacing w:after="0" w:line="167" w:lineRule="exact"/>
        <w:rPr>
          <w:sz w:val="20"/>
          <w:szCs w:val="20"/>
          <w:color w:val="auto"/>
        </w:rPr>
      </w:pPr>
    </w:p>
    <w:p>
      <w:pPr>
        <w:jc w:val="both"/>
        <w:ind w:firstLine="452"/>
        <w:spacing w:after="0" w:line="277" w:lineRule="auto"/>
        <w:rPr>
          <w:sz w:val="20"/>
          <w:szCs w:val="20"/>
          <w:color w:val="auto"/>
        </w:rPr>
      </w:pPr>
      <w:r>
        <w:rPr>
          <w:rFonts w:ascii="Arial" w:cs="Arial" w:eastAsia="Arial" w:hAnsi="Arial"/>
          <w:sz w:val="16"/>
          <w:szCs w:val="16"/>
          <w:color w:val="auto"/>
        </w:rPr>
        <w:t>The exercise of some or all of the Warrants will dilute the ownership interests of stockholders. Any sales of our common stock issuable upon the exercise of the Warrants could adversely affect prevailing market prices of our common stock. In addition, the anticipated exercise of the Warrants for shares of our common stock could depress the price of our common stock.</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55"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6"/>
          <w:szCs w:val="16"/>
          <w:color w:val="auto"/>
        </w:rPr>
        <w:t>We will require additional financing to fund future operations, including our research and development activities for our product candidates.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55" w:lineRule="exact"/>
        <w:rPr>
          <w:sz w:val="20"/>
          <w:szCs w:val="20"/>
          <w:color w:val="auto"/>
        </w:rPr>
      </w:pPr>
    </w:p>
    <w:p>
      <w:pPr>
        <w:jc w:val="both"/>
        <w:ind w:firstLine="603"/>
        <w:spacing w:after="0" w:line="291" w:lineRule="auto"/>
        <w:rPr>
          <w:sz w:val="20"/>
          <w:szCs w:val="20"/>
          <w:color w:val="auto"/>
        </w:rPr>
      </w:pPr>
      <w:r>
        <w:rPr>
          <w:rFonts w:ascii="Arial" w:cs="Arial" w:eastAsia="Arial" w:hAnsi="Arial"/>
          <w:sz w:val="15"/>
          <w:szCs w:val="15"/>
          <w:color w:val="auto"/>
        </w:rPr>
        <w:t>The price per share of our common stock being offered may be higher than the net tangible book value per share of our outstanding common stock prior to this offering. Based on the offering price of $0.71058 per share and our net tangible book value as of September 30, 2019 of approximately $(0.09) per share, if you purchase shares of common stock in this offering, you will suffer immediate and substantial dilution of approximately $0.70 per share, representing the difference between the public offering price per share and the net tangible book value per share of our common stock as of September 30, 2019 after giving effect to this offering. See the section entitled “</w:t>
      </w:r>
      <w:r>
        <w:rPr>
          <w:rFonts w:ascii="Arial" w:cs="Arial" w:eastAsia="Arial" w:hAnsi="Arial"/>
          <w:sz w:val="15"/>
          <w:szCs w:val="15"/>
          <w:i w:val="1"/>
          <w:iCs w:val="1"/>
          <w:color w:val="auto"/>
        </w:rPr>
        <w:t>Dilution</w:t>
      </w:r>
      <w:r>
        <w:rPr>
          <w:rFonts w:ascii="Arial" w:cs="Arial" w:eastAsia="Arial" w:hAnsi="Arial"/>
          <w:sz w:val="15"/>
          <w:szCs w:val="15"/>
          <w:color w:val="auto"/>
        </w:rPr>
        <w:t>” below for a more detailed discussion of the dilution you will incur if you purchase common stock in this offering.</w:t>
      </w:r>
    </w:p>
    <w:p>
      <w:pPr>
        <w:spacing w:after="0" w:line="160"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16"/>
          <w:szCs w:val="16"/>
          <w:color w:val="auto"/>
        </w:rPr>
        <w:t>In addition, we expect that significant additional capital will be needed in the future to continue our planned operations. To the extent that we raise additional capital by issuing equity securities, our existing shareholders’ ownership may experience substantial dilution, and the terms of these securities may include liquidation or other preferences that adversely affect your rights as a common shareholder.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common stock, or the perception that such sales may occur, may adversely impact the price of our common stock</w:t>
      </w:r>
      <w:r>
        <w:rPr>
          <w:rFonts w:ascii="Arial" w:cs="Arial" w:eastAsia="Arial" w:hAnsi="Arial"/>
          <w:sz w:val="14"/>
          <w:szCs w:val="14"/>
          <w:b w:val="1"/>
          <w:bCs w:val="1"/>
          <w:color w:val="auto"/>
        </w:rPr>
        <w:t>.</w:t>
      </w:r>
    </w:p>
    <w:p>
      <w:pPr>
        <w:spacing w:after="0" w:line="245"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January 24, 2020, we have 44,092,965 shares of common stock outstanding, as well as outstanding options to purchase an aggregate of 10,003,088 shares of our common stock at a weighted average exercise price of $1.36 per share, up to 4,228,252 shares of common stock issuable upon conversion of outstanding shares of our preferred stock, up to 3,936,498 shares of common stock reserved for issuance as payment of accrued dividends on outstanding shares of preferred stock, and outstanding warrants to purchase up to an aggregate of 22,685,204 shares of our common stock at a weighted average exercise price of $1.80 per share. The exercise and/or conversion of such outstanding derivative securities may result in further dilution of your investment.</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155"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w:t>
      </w:r>
      <w:r>
        <w:rPr>
          <w:rFonts w:ascii="Arial" w:cs="Arial" w:eastAsia="Arial" w:hAnsi="Arial"/>
          <w:sz w:val="16"/>
          <w:szCs w:val="16"/>
          <w:i w:val="1"/>
          <w:iCs w:val="1"/>
          <w:color w:val="auto"/>
        </w:rPr>
        <w:t>Use of Proceeds</w:t>
      </w:r>
      <w:r>
        <w:rPr>
          <w:rFonts w:ascii="Arial" w:cs="Arial" w:eastAsia="Arial" w:hAnsi="Arial"/>
          <w:sz w:val="16"/>
          <w:szCs w:val="16"/>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22" w:lineRule="exact"/>
        <w:rPr>
          <w:sz w:val="20"/>
          <w:szCs w:val="20"/>
          <w:color w:val="auto"/>
        </w:rPr>
      </w:pPr>
    </w:p>
    <w:p>
      <w:pPr>
        <w:jc w:val="both"/>
        <w:ind w:firstLine="603"/>
        <w:spacing w:after="0" w:line="269" w:lineRule="auto"/>
        <w:rPr>
          <w:sz w:val="20"/>
          <w:szCs w:val="20"/>
          <w:color w:val="auto"/>
        </w:rPr>
      </w:pPr>
      <w:r>
        <w:rPr>
          <w:rFonts w:ascii="Arial" w:cs="Arial" w:eastAsia="Arial" w:hAnsi="Arial"/>
          <w:sz w:val="16"/>
          <w:szCs w:val="16"/>
          <w:color w:val="auto"/>
        </w:rPr>
        <w:t>This prospectus supplement contains forward-looking statements that involve substantial risks and uncertainties. All statements contained in this prospectus supplement and the accompanying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4"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7" w:lineRule="exact"/>
        <w:rPr>
          <w:sz w:val="20"/>
          <w:szCs w:val="20"/>
          <w:color w:val="auto"/>
        </w:rPr>
      </w:pPr>
    </w:p>
    <w:p>
      <w:pPr>
        <w:ind w:left="900" w:hanging="44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w:t>
      </w:r>
    </w:p>
    <w:p>
      <w:pPr>
        <w:spacing w:after="0" w:line="217" w:lineRule="exact"/>
        <w:rPr>
          <w:rFonts w:ascii="Arial" w:cs="Arial" w:eastAsia="Arial" w:hAnsi="Arial"/>
          <w:sz w:val="16"/>
          <w:szCs w:val="16"/>
          <w:color w:val="auto"/>
        </w:rPr>
      </w:pPr>
    </w:p>
    <w:p>
      <w:pPr>
        <w:ind w:left="900" w:hanging="44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7" w:lineRule="exact"/>
        <w:rPr>
          <w:rFonts w:ascii="Arial" w:cs="Arial" w:eastAsia="Arial" w:hAnsi="Arial"/>
          <w:sz w:val="16"/>
          <w:szCs w:val="16"/>
          <w:color w:val="auto"/>
        </w:rPr>
      </w:pPr>
    </w:p>
    <w:p>
      <w:pPr>
        <w:ind w:left="900" w:hanging="44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develop and commercialize our any of our current product candidates;</w:t>
      </w:r>
    </w:p>
    <w:p>
      <w:pPr>
        <w:spacing w:after="0" w:line="217"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initiate and complete our clinical trials and to advance our product candidates into additional clinical trials, including pivotal clinical trials, and successfully complete such clinical trials;</w:t>
      </w:r>
    </w:p>
    <w:p>
      <w:pPr>
        <w:spacing w:after="0" w:line="155" w:lineRule="exact"/>
        <w:rPr>
          <w:rFonts w:ascii="Arial" w:cs="Arial" w:eastAsia="Arial" w:hAnsi="Arial"/>
          <w:sz w:val="16"/>
          <w:szCs w:val="16"/>
          <w:color w:val="auto"/>
        </w:rPr>
      </w:pPr>
    </w:p>
    <w:p>
      <w:pPr>
        <w:ind w:left="900" w:hanging="44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developments in the U.S. and foreign countries;</w:t>
      </w:r>
    </w:p>
    <w:p>
      <w:pPr>
        <w:spacing w:after="0" w:line="217" w:lineRule="exact"/>
        <w:rPr>
          <w:rFonts w:ascii="Arial" w:cs="Arial" w:eastAsia="Arial" w:hAnsi="Arial"/>
          <w:sz w:val="16"/>
          <w:szCs w:val="16"/>
          <w:color w:val="auto"/>
        </w:rPr>
      </w:pPr>
    </w:p>
    <w:p>
      <w:pPr>
        <w:ind w:left="900" w:hanging="447"/>
        <w:spacing w:after="0" w:line="328"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performance of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31" w:lineRule="exact"/>
        <w:rPr>
          <w:rFonts w:ascii="Arial" w:cs="Arial" w:eastAsia="Arial" w:hAnsi="Arial"/>
          <w:sz w:val="15"/>
          <w:szCs w:val="15"/>
          <w:color w:val="auto"/>
        </w:rPr>
      </w:pPr>
    </w:p>
    <w:p>
      <w:pPr>
        <w:ind w:left="900" w:hanging="44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core assets;</w:t>
      </w:r>
    </w:p>
    <w:p>
      <w:pPr>
        <w:spacing w:after="0" w:line="217" w:lineRule="exact"/>
        <w:rPr>
          <w:rFonts w:ascii="Arial" w:cs="Arial" w:eastAsia="Arial" w:hAnsi="Arial"/>
          <w:sz w:val="16"/>
          <w:szCs w:val="16"/>
          <w:color w:val="auto"/>
        </w:rPr>
      </w:pPr>
    </w:p>
    <w:p>
      <w:pPr>
        <w:ind w:left="900" w:hanging="44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serve those markets;</w:t>
      </w:r>
    </w:p>
    <w:p>
      <w:pPr>
        <w:spacing w:after="0" w:line="217" w:lineRule="exact"/>
        <w:rPr>
          <w:rFonts w:ascii="Arial" w:cs="Arial" w:eastAsia="Arial" w:hAnsi="Arial"/>
          <w:sz w:val="16"/>
          <w:szCs w:val="16"/>
          <w:color w:val="auto"/>
        </w:rPr>
      </w:pPr>
    </w:p>
    <w:p>
      <w:pPr>
        <w:ind w:left="900" w:hanging="44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7" w:lineRule="exact"/>
        <w:rPr>
          <w:rFonts w:ascii="Arial" w:cs="Arial" w:eastAsia="Arial" w:hAnsi="Arial"/>
          <w:sz w:val="16"/>
          <w:szCs w:val="16"/>
          <w:color w:val="auto"/>
        </w:rPr>
      </w:pPr>
    </w:p>
    <w:p>
      <w:pPr>
        <w:ind w:left="900" w:hanging="447"/>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success of competing products and product candidates in development by others that are or become available for the indications that we are pursuing;</w:t>
      </w:r>
    </w:p>
    <w:p>
      <w:pPr>
        <w:spacing w:after="0" w:line="229" w:lineRule="exact"/>
        <w:rPr>
          <w:rFonts w:ascii="Arial" w:cs="Arial" w:eastAsia="Arial" w:hAnsi="Arial"/>
          <w:sz w:val="15"/>
          <w:szCs w:val="15"/>
          <w:color w:val="auto"/>
        </w:rPr>
      </w:pPr>
    </w:p>
    <w:p>
      <w:pPr>
        <w:ind w:left="900" w:hanging="447"/>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loss of key scientific, clinical and nonclinical development, and/or management personnel, internally or from one of our third-party collaborators; and</w:t>
      </w:r>
    </w:p>
    <w:p>
      <w:pPr>
        <w:spacing w:after="0" w:line="229" w:lineRule="exact"/>
        <w:rPr>
          <w:rFonts w:ascii="Arial" w:cs="Arial" w:eastAsia="Arial" w:hAnsi="Arial"/>
          <w:sz w:val="15"/>
          <w:szCs w:val="15"/>
          <w:color w:val="auto"/>
        </w:rPr>
      </w:pPr>
    </w:p>
    <w:p>
      <w:pPr>
        <w:ind w:left="900" w:hanging="447"/>
        <w:spacing w:after="0" w:line="29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2019 and subsequent Quarterly Reports on Form 10-Q, which risk factors are incorporated herein by reference.</w:t>
      </w:r>
    </w:p>
    <w:p>
      <w:pPr>
        <w:spacing w:after="0" w:line="155" w:lineRule="exact"/>
        <w:rPr>
          <w:sz w:val="20"/>
          <w:szCs w:val="20"/>
          <w:color w:val="auto"/>
        </w:rPr>
      </w:pPr>
    </w:p>
    <w:p>
      <w:pPr>
        <w:jc w:val="both"/>
        <w:ind w:firstLine="603"/>
        <w:spacing w:after="0" w:line="287"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supplement, as well as certain information incorporated by reference into this prospectus supplement and the accompanying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3"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16"/>
          <w:szCs w:val="16"/>
          <w:color w:val="auto"/>
        </w:rPr>
        <w:t>You should read this prospectus supplement and the accompanying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22" w:lineRule="exact"/>
        <w:rPr>
          <w:sz w:val="20"/>
          <w:szCs w:val="20"/>
          <w:color w:val="auto"/>
        </w:rPr>
      </w:pPr>
    </w:p>
    <w:p>
      <w:pPr>
        <w:jc w:val="both"/>
        <w:ind w:firstLine="452"/>
        <w:spacing w:after="0" w:line="328" w:lineRule="auto"/>
        <w:rPr>
          <w:sz w:val="20"/>
          <w:szCs w:val="20"/>
          <w:color w:val="auto"/>
        </w:rPr>
      </w:pPr>
      <w:r>
        <w:rPr>
          <w:rFonts w:ascii="Arial" w:cs="Arial" w:eastAsia="Arial" w:hAnsi="Arial"/>
          <w:sz w:val="15"/>
          <w:szCs w:val="15"/>
          <w:color w:val="auto"/>
        </w:rPr>
        <w:t>We estimate that the net proceeds from the sale of the shares of common stock that we are offering will be approximately $2.68 million, after deducting estimated offering expenses payable by us and excluding any proceeds we may receive upon exercise of the Warrants being offered in the concurrent private placement.</w:t>
      </w:r>
    </w:p>
    <w:p>
      <w:pPr>
        <w:spacing w:after="0" w:line="131" w:lineRule="exact"/>
        <w:rPr>
          <w:sz w:val="20"/>
          <w:szCs w:val="20"/>
          <w:color w:val="auto"/>
        </w:rPr>
      </w:pPr>
    </w:p>
    <w:p>
      <w:pPr>
        <w:jc w:val="both"/>
        <w:ind w:firstLine="452"/>
        <w:spacing w:after="0" w:line="292" w:lineRule="auto"/>
        <w:rPr>
          <w:sz w:val="20"/>
          <w:szCs w:val="20"/>
          <w:color w:val="auto"/>
        </w:rPr>
      </w:pPr>
      <w:r>
        <w:rPr>
          <w:rFonts w:ascii="Arial" w:cs="Arial" w:eastAsia="Arial" w:hAnsi="Arial"/>
          <w:sz w:val="16"/>
          <w:szCs w:val="16"/>
          <w:color w:val="auto"/>
        </w:rPr>
        <w:t>We currently intend to use the net proceeds from the sale of the shares of common stock offered by this prospectus supplement to fund continued development of our CNS pipeline programs, and for general research and development, working capital and general corporate purposes.</w:t>
      </w:r>
    </w:p>
    <w:p>
      <w:pPr>
        <w:spacing w:after="0" w:line="155" w:lineRule="exact"/>
        <w:rPr>
          <w:sz w:val="20"/>
          <w:szCs w:val="20"/>
          <w:color w:val="auto"/>
        </w:rPr>
      </w:pPr>
    </w:p>
    <w:p>
      <w:pPr>
        <w:jc w:val="both"/>
        <w:ind w:firstLine="452"/>
        <w:spacing w:after="0" w:line="277"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DIVIDEND POLICY</w:t>
      </w:r>
    </w:p>
    <w:p>
      <w:pPr>
        <w:spacing w:after="0" w:line="222"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CONCURRENT PRIVATE PLACEMENT</w:t>
      </w:r>
    </w:p>
    <w:p>
      <w:pPr>
        <w:spacing w:after="0" w:line="222" w:lineRule="exact"/>
        <w:rPr>
          <w:sz w:val="20"/>
          <w:szCs w:val="20"/>
          <w:color w:val="auto"/>
        </w:rPr>
      </w:pPr>
    </w:p>
    <w:p>
      <w:pPr>
        <w:jc w:val="both"/>
        <w:ind w:firstLine="603"/>
        <w:spacing w:after="0" w:line="287" w:lineRule="auto"/>
        <w:rPr>
          <w:sz w:val="20"/>
          <w:szCs w:val="20"/>
          <w:color w:val="auto"/>
        </w:rPr>
      </w:pPr>
      <w:r>
        <w:rPr>
          <w:rFonts w:ascii="Arial" w:cs="Arial" w:eastAsia="Arial" w:hAnsi="Arial"/>
          <w:sz w:val="15"/>
          <w:szCs w:val="15"/>
          <w:color w:val="auto"/>
        </w:rPr>
        <w:t>Concurrently with the closing of the sale of shares of common stock in this offering, we also expect to issue and sell to the investors, Warrants to purchase an aggregate of up to 3,870,077 shares of our common stock, pursuant to the terms and conditions of the securities purchase agreement executed by the Company and each investor on the date of this prospectus supplement and accompanying prospectus. The Warrants and the shares of our common stock issuable upon the exercise of the Warrants are not being registered under the Securities Act, are not being offered pursuant to this prospectus supplement and the accompanying prospectus and are being offered pursuant to the exemption provided in Section 4(a)(2) under the Securities Act and Rule 506(b) promulgated thereunder. Accordingly, investors may only sell shares of common stock issued upon exercise of the Warrants pursuant to an effective registration statement under the Securities Act covering the resale of those shares, an exemption under Rule 144 under the Securities Act or another applicable exemption under the Securities Act.</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Below is a summary of the terms of the Warrants to be offered and sold in the concurrent private placement conducted alongside this offering:</w:t>
      </w:r>
    </w:p>
    <w:p>
      <w:pPr>
        <w:spacing w:after="0" w:line="218" w:lineRule="exact"/>
        <w:rPr>
          <w:sz w:val="20"/>
          <w:szCs w:val="20"/>
          <w:color w:val="auto"/>
        </w:rPr>
      </w:pPr>
    </w:p>
    <w:p>
      <w:pPr>
        <w:jc w:val="both"/>
        <w:ind w:firstLine="603"/>
        <w:spacing w:after="0" w:line="292" w:lineRule="auto"/>
        <w:rPr>
          <w:sz w:val="20"/>
          <w:szCs w:val="20"/>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The Warrants are exercisable six months and one day after the date of issuance, and at any time thereafter up to the five year anniversary of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at which time any unexercised Warrants will expire and cease to be exercisable.</w:t>
      </w:r>
    </w:p>
    <w:p>
      <w:pPr>
        <w:spacing w:after="0" w:line="155"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The Warrants will have an exercise price of $0.73 per share. The exercise price is subject to appropriate adjustment in the event of certain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and distributions, stock splits, stock combinations, reclassifications or similar events affecting our common stock and also upon any distributions of assets, including cash, stock or other property to our stockholders.</w:t>
      </w:r>
    </w:p>
    <w:p>
      <w:pPr>
        <w:spacing w:after="0" w:line="167" w:lineRule="exact"/>
        <w:rPr>
          <w:sz w:val="20"/>
          <w:szCs w:val="20"/>
          <w:color w:val="auto"/>
        </w:rPr>
      </w:pPr>
    </w:p>
    <w:p>
      <w:pPr>
        <w:jc w:val="both"/>
        <w:ind w:firstLine="603"/>
        <w:spacing w:after="0" w:line="272" w:lineRule="auto"/>
        <w:rPr>
          <w:sz w:val="20"/>
          <w:szCs w:val="20"/>
          <w:color w:val="auto"/>
        </w:rPr>
      </w:pPr>
      <w:r>
        <w:rPr>
          <w:rFonts w:ascii="Arial" w:cs="Arial" w:eastAsia="Arial" w:hAnsi="Arial"/>
          <w:sz w:val="16"/>
          <w:szCs w:val="16"/>
          <w:i w:val="1"/>
          <w:iCs w:val="1"/>
          <w:color w:val="auto"/>
        </w:rPr>
        <w:t xml:space="preserve">Exercise Limitation. </w:t>
      </w:r>
      <w:r>
        <w:rPr>
          <w:rFonts w:ascii="Arial" w:cs="Arial" w:eastAsia="Arial" w:hAnsi="Arial"/>
          <w:sz w:val="16"/>
          <w:szCs w:val="16"/>
          <w:color w:val="auto"/>
        </w:rPr>
        <w:t>A holder will not have the right to exercise any portion of the Warrant if the holder (together with its affiliates) would beneficially own in excess</w:t>
      </w:r>
      <w:r>
        <w:rPr>
          <w:rFonts w:ascii="Arial" w:cs="Arial" w:eastAsia="Arial" w:hAnsi="Arial"/>
          <w:sz w:val="16"/>
          <w:szCs w:val="16"/>
          <w:i w:val="1"/>
          <w:iCs w:val="1"/>
          <w:color w:val="auto"/>
        </w:rPr>
        <w:t xml:space="preserve"> </w:t>
      </w:r>
      <w:r>
        <w:rPr>
          <w:rFonts w:ascii="Arial" w:cs="Arial" w:eastAsia="Arial" w:hAnsi="Arial"/>
          <w:sz w:val="16"/>
          <w:szCs w:val="16"/>
          <w:color w:val="auto"/>
        </w:rPr>
        <w:t>of 4.99% of the number of shares of our common stock outstanding immediately after giving effect to the exercise, as such percentage ownership is determined in accordance with the terms of the Warrants. However, any holder may increase or decrease such percentage, provided that any increase will not be effective until the 61st day after providing notice of such election.</w:t>
      </w:r>
    </w:p>
    <w:p>
      <w:pPr>
        <w:spacing w:after="0" w:line="171" w:lineRule="exact"/>
        <w:rPr>
          <w:sz w:val="20"/>
          <w:szCs w:val="20"/>
          <w:color w:val="auto"/>
        </w:rPr>
      </w:pPr>
    </w:p>
    <w:p>
      <w:pPr>
        <w:jc w:val="both"/>
        <w:ind w:firstLine="603"/>
        <w:spacing w:after="0" w:line="303" w:lineRule="auto"/>
        <w:rPr>
          <w:sz w:val="20"/>
          <w:szCs w:val="20"/>
          <w:color w:val="auto"/>
        </w:rPr>
      </w:pPr>
      <w:r>
        <w:rPr>
          <w:rFonts w:ascii="Arial" w:cs="Arial" w:eastAsia="Arial" w:hAnsi="Arial"/>
          <w:sz w:val="15"/>
          <w:szCs w:val="15"/>
          <w:i w:val="1"/>
          <w:iCs w:val="1"/>
          <w:color w:val="auto"/>
        </w:rPr>
        <w:t xml:space="preserve">Cashless Exercise. </w:t>
      </w:r>
      <w:r>
        <w:rPr>
          <w:rFonts w:ascii="Arial" w:cs="Arial" w:eastAsia="Arial" w:hAnsi="Arial"/>
          <w:sz w:val="15"/>
          <w:szCs w:val="15"/>
          <w:color w:val="auto"/>
        </w:rPr>
        <w:t>If, at the time a holder exercises its Warrant, there is no effective registration statement registering the resale of the shares underlying the</w:t>
      </w:r>
      <w:r>
        <w:rPr>
          <w:rFonts w:ascii="Arial" w:cs="Arial" w:eastAsia="Arial" w:hAnsi="Arial"/>
          <w:sz w:val="15"/>
          <w:szCs w:val="15"/>
          <w:i w:val="1"/>
          <w:iCs w:val="1"/>
          <w:color w:val="auto"/>
        </w:rPr>
        <w:t xml:space="preserve"> </w:t>
      </w:r>
      <w:r>
        <w:rPr>
          <w:rFonts w:ascii="Arial" w:cs="Arial" w:eastAsia="Arial" w:hAnsi="Arial"/>
          <w:sz w:val="15"/>
          <w:szCs w:val="15"/>
          <w:color w:val="auto"/>
        </w:rPr>
        <w:t>warrant, then in lieu of making the cash payment otherwise contemplated to be made to us upon such exercise in payment of the aggregate exercise price, the holder may elect instead to receive upon such exercise (either in whole or in part) the net number of common shares determined according to a formula set forth in the Warrants.</w:t>
      </w:r>
    </w:p>
    <w:p>
      <w:pPr>
        <w:spacing w:after="0" w:line="175" w:lineRule="exact"/>
        <w:rPr>
          <w:sz w:val="20"/>
          <w:szCs w:val="20"/>
          <w:color w:val="auto"/>
        </w:rPr>
      </w:pPr>
    </w:p>
    <w:p>
      <w:pPr>
        <w:jc w:val="both"/>
        <w:ind w:firstLine="603"/>
        <w:spacing w:after="0" w:line="368" w:lineRule="auto"/>
        <w:rPr>
          <w:sz w:val="20"/>
          <w:szCs w:val="20"/>
          <w:color w:val="auto"/>
        </w:rPr>
      </w:pPr>
      <w:r>
        <w:rPr>
          <w:rFonts w:ascii="Arial" w:cs="Arial" w:eastAsia="Arial" w:hAnsi="Arial"/>
          <w:sz w:val="14"/>
          <w:szCs w:val="14"/>
          <w:i w:val="1"/>
          <w:iCs w:val="1"/>
          <w:color w:val="auto"/>
        </w:rPr>
        <w:t xml:space="preserve">Fundamental Transactions. </w:t>
      </w:r>
      <w:r>
        <w:rPr>
          <w:rFonts w:ascii="Arial" w:cs="Arial" w:eastAsia="Arial" w:hAnsi="Arial"/>
          <w:sz w:val="14"/>
          <w:szCs w:val="14"/>
          <w:color w:val="auto"/>
        </w:rPr>
        <w:t>If a fundamental transaction occurs, then the successor entity will succeed to, and be substituted for us, and may exercise every right and</w:t>
      </w:r>
      <w:r>
        <w:rPr>
          <w:rFonts w:ascii="Arial" w:cs="Arial" w:eastAsia="Arial" w:hAnsi="Arial"/>
          <w:sz w:val="14"/>
          <w:szCs w:val="14"/>
          <w:i w:val="1"/>
          <w:iCs w:val="1"/>
          <w:color w:val="auto"/>
        </w:rPr>
        <w:t xml:space="preserve"> </w:t>
      </w:r>
      <w:r>
        <w:rPr>
          <w:rFonts w:ascii="Arial" w:cs="Arial" w:eastAsia="Arial" w:hAnsi="Arial"/>
          <w:sz w:val="14"/>
          <w:szCs w:val="14"/>
          <w:color w:val="auto"/>
        </w:rPr>
        <w:t>power that we may exercise and will assume all of our obligations under the Warrants with the same effect as if such successor entity had been named in the Warrants itself.</w:t>
      </w:r>
    </w:p>
    <w:p>
      <w:pPr>
        <w:spacing w:after="0" w:line="109" w:lineRule="exact"/>
        <w:rPr>
          <w:sz w:val="20"/>
          <w:szCs w:val="20"/>
          <w:color w:val="auto"/>
        </w:rPr>
      </w:pPr>
    </w:p>
    <w:p>
      <w:pPr>
        <w:jc w:val="both"/>
        <w:ind w:firstLine="603"/>
        <w:spacing w:after="0" w:line="292" w:lineRule="auto"/>
        <w:rPr>
          <w:sz w:val="20"/>
          <w:szCs w:val="20"/>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Except as otherwise provided in the Warrants or by virtue of such holder’s ownership of shares of our common stock, the holder of a</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does not have the rights or privileges of a holder of our common stock, including any voting rights, until the holder exercises the Warrant.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our cash and cash equivalents and capitalization as of September 30, 2019:</w:t>
      </w:r>
    </w:p>
    <w:p>
      <w:pPr>
        <w:spacing w:after="0" w:line="218" w:lineRule="exact"/>
        <w:rPr>
          <w:sz w:val="20"/>
          <w:szCs w:val="20"/>
          <w:color w:val="auto"/>
        </w:rPr>
      </w:pPr>
    </w:p>
    <w:p>
      <w:pPr>
        <w:ind w:left="900" w:hanging="447"/>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an actual basis; and</w:t>
      </w:r>
    </w:p>
    <w:p>
      <w:pPr>
        <w:spacing w:after="0" w:line="217" w:lineRule="exact"/>
        <w:rPr>
          <w:rFonts w:ascii="Arial" w:cs="Arial" w:eastAsia="Arial" w:hAnsi="Arial"/>
          <w:sz w:val="16"/>
          <w:szCs w:val="16"/>
          <w:color w:val="auto"/>
        </w:rPr>
      </w:pPr>
    </w:p>
    <w:p>
      <w:pPr>
        <w:jc w:val="both"/>
        <w:ind w:left="900" w:hanging="447"/>
        <w:spacing w:after="0" w:line="303"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a pro forma basis giving effect to the issuance of shares of common stock and warrants and the receipt of proceeds from the Fall 2019 Private Placement, the Winter 2019 Warrant Offering and the exercise of warrants that were modified in connection with the Winter 2019 Warrant Modification of approximately $1,360,000, as well as the financial statement impact of the Winter 2019 Warrant Modification and the December 19, 2019 Warrant Modification; and</w:t>
      </w:r>
    </w:p>
    <w:p>
      <w:pPr>
        <w:spacing w:after="0" w:line="150" w:lineRule="exact"/>
        <w:rPr>
          <w:rFonts w:ascii="Arial" w:cs="Arial" w:eastAsia="Arial" w:hAnsi="Arial"/>
          <w:sz w:val="15"/>
          <w:szCs w:val="15"/>
          <w:color w:val="auto"/>
        </w:rPr>
      </w:pPr>
    </w:p>
    <w:p>
      <w:pPr>
        <w:ind w:left="900" w:hanging="447"/>
        <w:spacing w:after="0" w:line="29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a pro forma, as adjusted basis giving effect to the sale and issuance by us of 3,870,077 shares of common stock in this offering, at aa offering price of $0.71058 per share, and after deducting estimated offering expenses payable by 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60" w:type="dxa"/>
            <w:vAlign w:val="bottom"/>
          </w:tcPr>
          <w:p>
            <w:pPr>
              <w:spacing w:after="0"/>
              <w:rPr>
                <w:sz w:val="20"/>
                <w:szCs w:val="20"/>
                <w:color w:val="auto"/>
              </w:rPr>
            </w:pPr>
            <w:r>
              <w:rPr>
                <w:rFonts w:ascii="Arial" w:cs="Arial" w:eastAsia="Arial" w:hAnsi="Arial"/>
                <w:sz w:val="16"/>
                <w:szCs w:val="16"/>
                <w:b w:val="1"/>
                <w:bCs w:val="1"/>
                <w:color w:val="auto"/>
              </w:rPr>
              <w:t>As of September 30, 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Pro forma, as</w:t>
            </w:r>
          </w:p>
        </w:tc>
      </w:tr>
      <w:tr>
        <w:trPr>
          <w:trHeight w:val="233"/>
        </w:trPr>
        <w:tc>
          <w:tcPr>
            <w:tcW w:w="7360" w:type="dxa"/>
            <w:vAlign w:val="bottom"/>
          </w:tcPr>
          <w:p>
            <w:pPr>
              <w:spacing w:after="0"/>
              <w:rPr>
                <w:sz w:val="20"/>
                <w:szCs w:val="20"/>
                <w:color w:val="auto"/>
              </w:rPr>
            </w:pPr>
            <w:r>
              <w:rPr>
                <w:rFonts w:ascii="Arial" w:cs="Arial" w:eastAsia="Arial" w:hAnsi="Arial"/>
                <w:sz w:val="16"/>
                <w:szCs w:val="16"/>
                <w:b w:val="1"/>
                <w:bCs w:val="1"/>
                <w:color w:val="auto"/>
              </w:rPr>
              <w:t>(amounts in dollars and in thousands, except share and per share amounts)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Actual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 forma</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adjusted</w:t>
            </w:r>
          </w:p>
        </w:tc>
        <w:tc>
          <w:tcPr>
            <w:tcW w:w="140" w:type="dxa"/>
            <w:vAlign w:val="bottom"/>
          </w:tcPr>
          <w:p>
            <w:pPr>
              <w:spacing w:after="0"/>
              <w:rPr>
                <w:sz w:val="20"/>
                <w:szCs w:val="20"/>
                <w:color w:val="auto"/>
              </w:rPr>
            </w:pPr>
          </w:p>
        </w:tc>
      </w:tr>
      <w:tr>
        <w:trPr>
          <w:trHeight w:val="265"/>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4,072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8,115</w:t>
            </w:r>
          </w:p>
        </w:tc>
      </w:tr>
      <w:tr>
        <w:trPr>
          <w:trHeight w:val="192"/>
        </w:trPr>
        <w:tc>
          <w:tcPr>
            <w:tcW w:w="7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5"/>
        </w:trPr>
        <w:tc>
          <w:tcPr>
            <w:tcW w:w="7360" w:type="dxa"/>
            <w:vAlign w:val="bottom"/>
          </w:tcPr>
          <w:p>
            <w:pPr>
              <w:spacing w:after="0"/>
              <w:rPr>
                <w:sz w:val="20"/>
                <w:szCs w:val="20"/>
                <w:color w:val="auto"/>
              </w:rPr>
            </w:pPr>
            <w:r>
              <w:rPr>
                <w:rFonts w:ascii="Arial" w:cs="Arial" w:eastAsia="Arial" w:hAnsi="Arial"/>
                <w:sz w:val="16"/>
                <w:szCs w:val="16"/>
                <w:color w:val="auto"/>
              </w:rPr>
              <w:t>Preferred stock, $0.001 par value, 10,000,000 shares authorized: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7"/>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w w:val="95"/>
              </w:rPr>
              <w:t>Series A Preferred, 500,000 shares authorized and outstanding, actual, pro forma and pro forma, as adjusted</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r>
      <w:tr>
        <w:trPr>
          <w:trHeight w:val="207"/>
        </w:trPr>
        <w:tc>
          <w:tcPr>
            <w:tcW w:w="7360" w:type="dxa"/>
            <w:vAlign w:val="bottom"/>
          </w:tcPr>
          <w:p>
            <w:pPr>
              <w:spacing w:after="0"/>
              <w:rPr>
                <w:sz w:val="20"/>
                <w:szCs w:val="20"/>
                <w:color w:val="auto"/>
              </w:rPr>
            </w:pPr>
            <w:r>
              <w:rPr>
                <w:rFonts w:ascii="Arial" w:cs="Arial" w:eastAsia="Arial" w:hAnsi="Arial"/>
                <w:sz w:val="16"/>
                <w:szCs w:val="16"/>
                <w:color w:val="auto"/>
                <w:w w:val="94"/>
              </w:rPr>
              <w:t>Series B Preferred, 4,000,000 shares authorized and 1,160,240 shares outstanding, actual, pro forma and pro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7360" w:type="dxa"/>
            <w:vAlign w:val="bottom"/>
          </w:tcPr>
          <w:p>
            <w:pPr>
              <w:spacing w:after="0"/>
              <w:rPr>
                <w:sz w:val="20"/>
                <w:szCs w:val="20"/>
                <w:color w:val="auto"/>
              </w:rPr>
            </w:pPr>
            <w:r>
              <w:rPr>
                <w:rFonts w:ascii="Arial" w:cs="Arial" w:eastAsia="Arial" w:hAnsi="Arial"/>
                <w:sz w:val="16"/>
                <w:szCs w:val="16"/>
                <w:color w:val="auto"/>
              </w:rPr>
              <w:t>forma, as adjusted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w w:val="94"/>
              </w:rPr>
              <w:t>Series C Preferred, 3,000,000 shares authorized and 2,318,012 shares outstanding, actual, pro forma and pro</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9"/>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forma, as adjusted</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207"/>
        </w:trPr>
        <w:tc>
          <w:tcPr>
            <w:tcW w:w="7360" w:type="dxa"/>
            <w:vAlign w:val="bottom"/>
          </w:tcPr>
          <w:p>
            <w:pPr>
              <w:spacing w:after="0"/>
              <w:rPr>
                <w:sz w:val="20"/>
                <w:szCs w:val="20"/>
                <w:color w:val="auto"/>
              </w:rPr>
            </w:pPr>
            <w:r>
              <w:rPr>
                <w:rFonts w:ascii="Arial" w:cs="Arial" w:eastAsia="Arial" w:hAnsi="Arial"/>
                <w:sz w:val="16"/>
                <w:szCs w:val="16"/>
                <w:color w:val="auto"/>
                <w:w w:val="92"/>
              </w:rPr>
              <w:t>Common stock, $0.001 par value, 175,000,000 shares authorized; 42,758,630 shares issued, actual; 44,228,630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8"/>
        </w:trPr>
        <w:tc>
          <w:tcPr>
            <w:tcW w:w="7360" w:type="dxa"/>
            <w:vAlign w:val="bottom"/>
          </w:tcPr>
          <w:p>
            <w:pPr>
              <w:spacing w:after="0"/>
              <w:rPr>
                <w:sz w:val="20"/>
                <w:szCs w:val="20"/>
                <w:color w:val="auto"/>
              </w:rPr>
            </w:pPr>
            <w:r>
              <w:rPr>
                <w:rFonts w:ascii="Arial" w:cs="Arial" w:eastAsia="Arial" w:hAnsi="Arial"/>
                <w:sz w:val="16"/>
                <w:szCs w:val="16"/>
                <w:color w:val="auto"/>
              </w:rPr>
              <w:t>shares issued, pro forma; 48,098,707 shares issued, pro forma, as adjusted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r>
      <w:tr>
        <w:trPr>
          <w:trHeight w:val="227"/>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195,156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197,834</w:t>
            </w:r>
          </w:p>
        </w:tc>
      </w:tr>
      <w:tr>
        <w:trPr>
          <w:trHeight w:val="225"/>
        </w:trPr>
        <w:tc>
          <w:tcPr>
            <w:tcW w:w="7360" w:type="dxa"/>
            <w:vAlign w:val="bottom"/>
          </w:tcPr>
          <w:p>
            <w:pPr>
              <w:spacing w:after="0"/>
              <w:rPr>
                <w:sz w:val="20"/>
                <w:szCs w:val="20"/>
                <w:color w:val="auto"/>
              </w:rPr>
            </w:pPr>
            <w:r>
              <w:rPr>
                <w:rFonts w:ascii="Arial" w:cs="Arial" w:eastAsia="Arial" w:hAnsi="Arial"/>
                <w:sz w:val="16"/>
                <w:szCs w:val="16"/>
                <w:color w:val="auto"/>
              </w:rPr>
              <w:t>Treasury stock, at cost, 135,665 shares, actual, pro forma and pro forma, as adjusted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(3,968)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(3,968)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(3,968)</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(193,506)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(193,506)</w:t>
            </w:r>
          </w:p>
        </w:tc>
      </w:tr>
      <w:tr>
        <w:trPr>
          <w:trHeight w:val="26"/>
        </w:trPr>
        <w:tc>
          <w:tcPr>
            <w:tcW w:w="7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5"/>
        </w:trPr>
        <w:tc>
          <w:tcPr>
            <w:tcW w:w="7360" w:type="dxa"/>
            <w:vAlign w:val="bottom"/>
          </w:tcPr>
          <w:p>
            <w:pPr>
              <w:spacing w:after="0"/>
              <w:rPr>
                <w:sz w:val="20"/>
                <w:szCs w:val="20"/>
                <w:color w:val="auto"/>
              </w:rPr>
            </w:pPr>
            <w:r>
              <w:rPr>
                <w:rFonts w:ascii="Arial" w:cs="Arial" w:eastAsia="Arial" w:hAnsi="Arial"/>
                <w:sz w:val="16"/>
                <w:szCs w:val="16"/>
                <w:color w:val="auto"/>
              </w:rPr>
              <w:t>Total stockholders’ equity (deficit)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(3,630)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(2,270)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412</w:t>
            </w:r>
          </w:p>
        </w:tc>
      </w:tr>
      <w:tr>
        <w:trPr>
          <w:trHeight w:val="26"/>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45"/>
        </w:trPr>
        <w:tc>
          <w:tcPr>
            <w:tcW w:w="7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capitalization</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412</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outstanding in the table above excludes the following shares as of September 30, 2019:</w:t>
      </w:r>
    </w:p>
    <w:p>
      <w:pPr>
        <w:spacing w:after="0" w:line="218" w:lineRule="exact"/>
        <w:rPr>
          <w:sz w:val="20"/>
          <w:szCs w:val="20"/>
          <w:color w:val="auto"/>
        </w:rPr>
      </w:pPr>
    </w:p>
    <w:p>
      <w:pPr>
        <w:ind w:left="900" w:hanging="447"/>
        <w:spacing w:after="0" w:line="29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held by one institutional investor and one accredited individual investor;</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B10% Convertible Preferred held by two institutional investors;</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held by one institutional investor;</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21,242,954 shares of common stock that have been reserved for issuance upon exercise of outstanding warrants, with a weighted average exercise price of $2.43 per share;</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8,014,838 shares of common stock reserved for issuance upon exercise of outstanding stock options under our 2019 Omnibus Equity Incentive Plan, with a weighted average exercise price of $1.40 per share;</w:t>
      </w:r>
    </w:p>
    <w:p>
      <w:pPr>
        <w:spacing w:after="0" w:line="155" w:lineRule="exact"/>
        <w:rPr>
          <w:rFonts w:ascii="Arial" w:cs="Arial" w:eastAsia="Arial" w:hAnsi="Arial"/>
          <w:sz w:val="16"/>
          <w:szCs w:val="16"/>
          <w:color w:val="auto"/>
        </w:rPr>
      </w:pPr>
    </w:p>
    <w:p>
      <w:pPr>
        <w:ind w:left="900" w:hanging="447"/>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8,718,412 shares of common stock reserved for future issuance in connection with future grants under our 2019 Omnibus Equity Incentive Plan; and</w:t>
      </w:r>
    </w:p>
    <w:p>
      <w:pPr>
        <w:spacing w:after="0" w:line="217"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aggregate of 3,870,077 shares of common stock issuable upon the exercise of the Warrants to be issued in the concurrent private placement. See “</w:t>
      </w:r>
      <w:r>
        <w:rPr>
          <w:rFonts w:ascii="Arial" w:cs="Arial" w:eastAsia="Arial" w:hAnsi="Arial"/>
          <w:sz w:val="16"/>
          <w:szCs w:val="16"/>
          <w:i w:val="1"/>
          <w:iCs w:val="1"/>
          <w:color w:val="auto"/>
        </w:rPr>
        <w:t>Concurrent</w:t>
      </w:r>
      <w:r>
        <w:rPr>
          <w:rFonts w:ascii="Arial" w:cs="Arial" w:eastAsia="Arial" w:hAnsi="Arial"/>
          <w:sz w:val="16"/>
          <w:szCs w:val="16"/>
          <w:color w:val="auto"/>
        </w:rPr>
        <w:t xml:space="preserve"> </w:t>
      </w:r>
      <w:r>
        <w:rPr>
          <w:rFonts w:ascii="Arial" w:cs="Arial" w:eastAsia="Arial" w:hAnsi="Arial"/>
          <w:sz w:val="16"/>
          <w:szCs w:val="16"/>
          <w:i w:val="1"/>
          <w:iCs w:val="1"/>
          <w:color w:val="auto"/>
        </w:rPr>
        <w:t>Private Placement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DILUTION</w:t>
      </w:r>
    </w:p>
    <w:p>
      <w:pPr>
        <w:spacing w:after="0" w:line="222" w:lineRule="exact"/>
        <w:rPr>
          <w:sz w:val="20"/>
          <w:szCs w:val="20"/>
          <w:color w:val="auto"/>
        </w:rPr>
      </w:pPr>
    </w:p>
    <w:p>
      <w:pPr>
        <w:jc w:val="both"/>
        <w:ind w:firstLine="603"/>
        <w:spacing w:after="0" w:line="272" w:lineRule="auto"/>
        <w:rPr>
          <w:sz w:val="20"/>
          <w:szCs w:val="20"/>
          <w:color w:val="auto"/>
        </w:rPr>
      </w:pPr>
      <w:r>
        <w:rPr>
          <w:rFonts w:ascii="Arial" w:cs="Arial" w:eastAsia="Arial" w:hAnsi="Arial"/>
          <w:sz w:val="16"/>
          <w:szCs w:val="16"/>
          <w:color w:val="auto"/>
        </w:rPr>
        <w:t>If you purchase shares of our common stock in this offering, you will experience dilution to the extent of the difference between the offering price per share in this offering and our as adjusted net tangible book value per share immediately after this offering. Net tangible book value is total assets minus the sum of liabilities and intangible assets. Net tangible book value per share is net tangible book value divided by the total number of shares of common stock outstanding. As of September 30, 2019, our net tangible book value was approximately $(3,630,400), or approximately $(0.09) per share.</w:t>
      </w:r>
    </w:p>
    <w:p>
      <w:pPr>
        <w:spacing w:after="0" w:line="171" w:lineRule="exact"/>
        <w:rPr>
          <w:sz w:val="20"/>
          <w:szCs w:val="20"/>
          <w:color w:val="auto"/>
        </w:rPr>
      </w:pPr>
    </w:p>
    <w:p>
      <w:pPr>
        <w:jc w:val="both"/>
        <w:ind w:firstLine="603"/>
        <w:spacing w:after="0" w:line="272" w:lineRule="auto"/>
        <w:rPr>
          <w:sz w:val="20"/>
          <w:szCs w:val="20"/>
          <w:color w:val="auto"/>
        </w:rPr>
      </w:pPr>
      <w:r>
        <w:rPr>
          <w:rFonts w:ascii="Arial" w:cs="Arial" w:eastAsia="Arial" w:hAnsi="Arial"/>
          <w:sz w:val="16"/>
          <w:szCs w:val="16"/>
          <w:color w:val="auto"/>
        </w:rPr>
        <w:t>Pro forma net tangible book value per share represents our total tangible assets less our total liabilities, divided by the number of shares of common stock outstanding as of September 30, 2019, after giving effect to the receipt of net proceeds from the Fall 2019 Private Placement, the Winter 2019 Warrant Offering and the exercise of warrants that were modified in connection with the Winter 2019 Warrant Modification of approximately $1,360,000, as well as the financial statement impact of the Winter 2019 Warrant Modification and the December 19, 2019 Warrant Modification; ..</w:t>
      </w:r>
    </w:p>
    <w:p>
      <w:pPr>
        <w:spacing w:after="0" w:line="171" w:lineRule="exact"/>
        <w:rPr>
          <w:sz w:val="20"/>
          <w:szCs w:val="20"/>
          <w:color w:val="auto"/>
        </w:rPr>
      </w:pPr>
    </w:p>
    <w:p>
      <w:pPr>
        <w:jc w:val="both"/>
        <w:ind w:firstLine="603"/>
        <w:spacing w:after="0" w:line="322" w:lineRule="auto"/>
        <w:rPr>
          <w:sz w:val="20"/>
          <w:szCs w:val="20"/>
          <w:color w:val="auto"/>
        </w:rPr>
      </w:pPr>
      <w:r>
        <w:rPr>
          <w:rFonts w:ascii="Arial" w:cs="Arial" w:eastAsia="Arial" w:hAnsi="Arial"/>
          <w:sz w:val="14"/>
          <w:szCs w:val="14"/>
          <w:color w:val="auto"/>
        </w:rPr>
        <w:t>After further giving effect to (i) the pro forma adjustment described above, and (ii) the sale by us of 3,870,077 shares of common stock in this offering at an offering price of $0.71058 per share, and after deducting estimated offering expenses payable by us, our pro forma, as adjusted net tangible book value as of September 30, 2019 would have been approximately $412,200 or approximately $0.01 per share. This amount represents an immediate increase in net tangible book value of approximately $0.06 per share to existing stockholders and an immediate dilution in net tangible book value of approximately $0.70 per share to purchasers of our common stock in this offering.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720" w:type="dxa"/>
            <w:vAlign w:val="bottom"/>
          </w:tcPr>
          <w:p>
            <w:pPr>
              <w:ind w:left="580"/>
              <w:spacing w:after="0"/>
              <w:rPr>
                <w:sz w:val="20"/>
                <w:szCs w:val="20"/>
                <w:color w:val="auto"/>
              </w:rPr>
            </w:pPr>
            <w:r>
              <w:rPr>
                <w:rFonts w:ascii="Arial" w:cs="Arial" w:eastAsia="Arial" w:hAnsi="Arial"/>
                <w:sz w:val="16"/>
                <w:szCs w:val="16"/>
                <w:color w:val="auto"/>
              </w:rPr>
              <w:t>The following table illustrates the dilution in net tangible book value per share to new investors: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 per share:</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20" w:type="dxa"/>
            <w:vAlign w:val="bottom"/>
          </w:tcPr>
          <w:p>
            <w:pPr>
              <w:ind w:left="280"/>
              <w:spacing w:after="0"/>
              <w:rPr>
                <w:sz w:val="20"/>
                <w:szCs w:val="20"/>
                <w:color w:val="auto"/>
              </w:rPr>
            </w:pPr>
            <w:r>
              <w:rPr>
                <w:rFonts w:ascii="Arial" w:cs="Arial" w:eastAsia="Arial" w:hAnsi="Arial"/>
                <w:sz w:val="16"/>
                <w:szCs w:val="16"/>
                <w:color w:val="auto"/>
              </w:rPr>
              <w:t>Net tangible book value per share as of September 30, 2019</w:t>
            </w:r>
          </w:p>
        </w:tc>
        <w:tc>
          <w:tcPr>
            <w:tcW w:w="500" w:type="dxa"/>
            <w:vAlign w:val="bottom"/>
            <w:gridSpan w:val="2"/>
          </w:tcPr>
          <w:p>
            <w:pPr>
              <w:jc w:val="right"/>
              <w:ind w:right="263"/>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(0.09)</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Pro forma increase in net tangible book value per share attributable to the (i) Fall 2019 Private Placement, (ii) the Winter 2019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Warrant Offering and (iii) the exercise of warrants that were modified in connection with the Winter 2019 Warrant Modification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0.04</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720" w:type="dxa"/>
            <w:vAlign w:val="bottom"/>
          </w:tcPr>
          <w:p>
            <w:pPr>
              <w:ind w:left="280"/>
              <w:spacing w:after="0"/>
              <w:rPr>
                <w:sz w:val="20"/>
                <w:szCs w:val="20"/>
                <w:color w:val="auto"/>
              </w:rPr>
            </w:pPr>
            <w:r>
              <w:rPr>
                <w:rFonts w:ascii="Arial" w:cs="Arial" w:eastAsia="Arial" w:hAnsi="Arial"/>
                <w:sz w:val="16"/>
                <w:szCs w:val="16"/>
                <w:color w:val="auto"/>
              </w:rPr>
              <w:t>Pro forma net tangible book value per share as of September 30, 2019</w:t>
            </w:r>
          </w:p>
        </w:tc>
        <w:tc>
          <w:tcPr>
            <w:tcW w:w="8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(0.05)</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pro forma, as adjusted, net tangible book value per share after this offering</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0.06</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7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Pro forma, as adjusted net tangible book value per share after this offering</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7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Dilution in pro forma, as adjusted net tangible book value per share to new investors in this offering</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above discussion and table are based on 42,758,630 shares of common stock outstanding as of September 30, 2019 and excludes the following securities:</w:t>
      </w:r>
    </w:p>
    <w:p>
      <w:pPr>
        <w:spacing w:after="0" w:line="229" w:lineRule="exact"/>
        <w:rPr>
          <w:sz w:val="20"/>
          <w:szCs w:val="20"/>
          <w:color w:val="auto"/>
        </w:rPr>
      </w:pPr>
    </w:p>
    <w:p>
      <w:pPr>
        <w:ind w:left="900" w:hanging="447"/>
        <w:spacing w:after="0" w:line="29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held by one institutional investor and one accredited individual investor;</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B10% Convertible Preferred held by two institutional investors;</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held by one institutional investor;</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21,242,954 shares of common stock that have been reserved for issuance upon exercise of outstanding warrants, with a weighted average exercise price of $2.43 per share;</w:t>
      </w:r>
    </w:p>
    <w:p>
      <w:pPr>
        <w:spacing w:after="0" w:line="155"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8,014,838 shares of common stock reserved for issuance upon exercise of outstanding stock options under our 2019 Omnibus Equity Incentive Plan, with a weighted average exercise price of $1.40 per share;</w:t>
      </w:r>
    </w:p>
    <w:p>
      <w:pPr>
        <w:spacing w:after="0" w:line="155" w:lineRule="exact"/>
        <w:rPr>
          <w:rFonts w:ascii="Arial" w:cs="Arial" w:eastAsia="Arial" w:hAnsi="Arial"/>
          <w:sz w:val="16"/>
          <w:szCs w:val="16"/>
          <w:color w:val="auto"/>
        </w:rPr>
      </w:pPr>
    </w:p>
    <w:p>
      <w:pPr>
        <w:ind w:left="900" w:hanging="447"/>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8,718,412 shares of common stock reserved for future issuance in connection with future grants under our 2019 Omnibus Equity Incentive Plan; and</w:t>
      </w:r>
    </w:p>
    <w:p>
      <w:pPr>
        <w:spacing w:after="0" w:line="217" w:lineRule="exact"/>
        <w:rPr>
          <w:rFonts w:ascii="Arial" w:cs="Arial" w:eastAsia="Arial" w:hAnsi="Arial"/>
          <w:sz w:val="16"/>
          <w:szCs w:val="16"/>
          <w:color w:val="auto"/>
        </w:rPr>
      </w:pPr>
    </w:p>
    <w:p>
      <w:pPr>
        <w:ind w:left="900" w:hanging="447"/>
        <w:spacing w:after="0" w:line="29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aggregate of 3,870,077 shares of common stock issuable upon the exercise of the Warrants to be issued in the concurrent private placement. See “</w:t>
      </w:r>
      <w:r>
        <w:rPr>
          <w:rFonts w:ascii="Arial" w:cs="Arial" w:eastAsia="Arial" w:hAnsi="Arial"/>
          <w:sz w:val="16"/>
          <w:szCs w:val="16"/>
          <w:i w:val="1"/>
          <w:iCs w:val="1"/>
          <w:color w:val="auto"/>
        </w:rPr>
        <w:t>Concurrent</w:t>
      </w:r>
      <w:r>
        <w:rPr>
          <w:rFonts w:ascii="Arial" w:cs="Arial" w:eastAsia="Arial" w:hAnsi="Arial"/>
          <w:sz w:val="16"/>
          <w:szCs w:val="16"/>
          <w:color w:val="auto"/>
        </w:rPr>
        <w:t xml:space="preserve"> </w:t>
      </w:r>
      <w:r>
        <w:rPr>
          <w:rFonts w:ascii="Arial" w:cs="Arial" w:eastAsia="Arial" w:hAnsi="Arial"/>
          <w:sz w:val="16"/>
          <w:szCs w:val="16"/>
          <w:i w:val="1"/>
          <w:iCs w:val="1"/>
          <w:color w:val="auto"/>
        </w:rPr>
        <w:t>Private Placement of Warrants</w:t>
      </w:r>
      <w:r>
        <w:rPr>
          <w:rFonts w:ascii="Arial" w:cs="Arial" w:eastAsia="Arial" w:hAnsi="Arial"/>
          <w:sz w:val="16"/>
          <w:szCs w:val="16"/>
          <w:color w:val="auto"/>
        </w:rPr>
        <w:t>.”</w:t>
      </w:r>
    </w:p>
    <w:p>
      <w:pPr>
        <w:spacing w:after="0" w:line="155" w:lineRule="exact"/>
        <w:rPr>
          <w:sz w:val="20"/>
          <w:szCs w:val="20"/>
          <w:color w:val="auto"/>
        </w:rPr>
      </w:pPr>
    </w:p>
    <w:p>
      <w:pPr>
        <w:ind w:firstLine="603"/>
        <w:spacing w:after="0" w:line="292" w:lineRule="auto"/>
        <w:rPr>
          <w:sz w:val="20"/>
          <w:szCs w:val="20"/>
          <w:color w:val="auto"/>
        </w:rPr>
      </w:pPr>
      <w:r>
        <w:rPr>
          <w:rFonts w:ascii="Arial" w:cs="Arial" w:eastAsia="Arial" w:hAnsi="Arial"/>
          <w:sz w:val="16"/>
          <w:szCs w:val="16"/>
          <w:color w:val="auto"/>
        </w:rPr>
        <w:t>Unless we specifically state otherwise, all information in this prospectus supplement assumes that the Warrants offered in the concurrent private placement are not exercised.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PLAN OF DISTRIBUTION</w:t>
      </w:r>
    </w:p>
    <w:p>
      <w:pPr>
        <w:spacing w:after="0" w:line="222"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16"/>
          <w:szCs w:val="16"/>
          <w:color w:val="auto"/>
        </w:rPr>
        <w:t>We are offering 3,870,077 shares of common stock pursuant to this prospectus supplement and the accompanying prospectus at an offering price of $0.71058 per share, together with the Warrants offered in the concurrent private placement. The securities are being offered directly to accredited investors participating in this offering, without a placement agent, underwriter, broker or dealer.</w:t>
      </w:r>
    </w:p>
    <w:p>
      <w:pPr>
        <w:spacing w:after="0" w:line="167" w:lineRule="exact"/>
        <w:rPr>
          <w:sz w:val="20"/>
          <w:szCs w:val="20"/>
          <w:color w:val="auto"/>
        </w:rPr>
      </w:pPr>
    </w:p>
    <w:p>
      <w:pPr>
        <w:jc w:val="both"/>
        <w:ind w:firstLine="603"/>
        <w:spacing w:after="0" w:line="292" w:lineRule="auto"/>
        <w:rPr>
          <w:sz w:val="20"/>
          <w:szCs w:val="20"/>
          <w:color w:val="auto"/>
        </w:rPr>
      </w:pPr>
      <w:r>
        <w:rPr>
          <w:rFonts w:ascii="Arial" w:cs="Arial" w:eastAsia="Arial" w:hAnsi="Arial"/>
          <w:sz w:val="16"/>
          <w:szCs w:val="16"/>
          <w:color w:val="auto"/>
        </w:rPr>
        <w:t>The transfer agent for our common stock is Computershare Trust Company, N.A., 480 Washington Boulevard, Jersey City, New Jersey. The transfer agent’s telephone number is 800-368-5948.</w:t>
      </w:r>
    </w:p>
    <w:p>
      <w:pPr>
        <w:spacing w:after="0" w:line="155" w:lineRule="exact"/>
        <w:rPr>
          <w:sz w:val="20"/>
          <w:szCs w:val="20"/>
          <w:color w:val="auto"/>
        </w:rPr>
      </w:pPr>
    </w:p>
    <w:p>
      <w:pPr>
        <w:jc w:val="both"/>
        <w:ind w:firstLine="603"/>
        <w:spacing w:after="0" w:line="292" w:lineRule="auto"/>
        <w:rPr>
          <w:sz w:val="20"/>
          <w:szCs w:val="20"/>
          <w:color w:val="auto"/>
        </w:rPr>
      </w:pPr>
      <w:r>
        <w:rPr>
          <w:rFonts w:ascii="Arial" w:cs="Arial" w:eastAsia="Arial" w:hAnsi="Arial"/>
          <w:sz w:val="16"/>
          <w:szCs w:val="16"/>
          <w:color w:val="auto"/>
        </w:rPr>
        <w:t>Our common stock is traded on the Nasdaq Capital Market under the symbol “VTGN.” On January 23, 2020, the last reported sale price of our Common Stock on the Nasdaq Capital Market was $0.7289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5"/>
          <w:szCs w:val="15"/>
          <w:color w:val="auto"/>
        </w:rPr>
        <w:t>Certain legal matters in connection with this offering will be passed upon for us by Disclosure Law Group, a Professional Corporation, of San Diego, California.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22" w:lineRule="exact"/>
        <w:rPr>
          <w:sz w:val="20"/>
          <w:szCs w:val="20"/>
          <w:color w:val="auto"/>
        </w:rPr>
      </w:pPr>
    </w:p>
    <w:p>
      <w:pPr>
        <w:jc w:val="both"/>
        <w:ind w:firstLine="603"/>
        <w:spacing w:after="0" w:line="272"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2019,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22" w:lineRule="exact"/>
        <w:rPr>
          <w:sz w:val="20"/>
          <w:szCs w:val="20"/>
          <w:color w:val="auto"/>
        </w:rPr>
      </w:pPr>
    </w:p>
    <w:p>
      <w:pPr>
        <w:jc w:val="both"/>
        <w:ind w:firstLine="603"/>
        <w:spacing w:after="0" w:line="292"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Our SEC filings are available, at no charge, to the public at the SEC’s website at http://www.sec.gov.</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18" w:lineRule="exact"/>
        <w:rPr>
          <w:sz w:val="20"/>
          <w:szCs w:val="20"/>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2019, filed on June 25,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Quarterly Report on Form 10-Q for the year ended June 30, 2019, filed on August 13,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April 4,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May 2,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June 21,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July 23,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August 16,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August 23,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September 6,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September 25,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October 9,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October 30,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November 8, 2019;</w:t>
      </w:r>
    </w:p>
    <w:p>
      <w:pPr>
        <w:spacing w:after="0" w:line="242"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December 12, 2019;</w:t>
      </w:r>
    </w:p>
    <w:p>
      <w:pPr>
        <w:spacing w:after="0" w:line="242" w:lineRule="exact"/>
        <w:rPr>
          <w:rFonts w:ascii="Arial" w:cs="Arial" w:eastAsia="Arial" w:hAnsi="Arial"/>
          <w:sz w:val="16"/>
          <w:szCs w:val="16"/>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 on Form 8-K, filed on December 27, 2019; and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55" w:lineRule="exact"/>
        <w:rPr>
          <w:sz w:val="20"/>
          <w:szCs w:val="20"/>
          <w:color w:val="auto"/>
        </w:rPr>
      </w:pPr>
    </w:p>
    <w:p>
      <w:pPr>
        <w:jc w:val="both"/>
        <w:ind w:firstLine="603"/>
        <w:spacing w:after="0" w:line="295" w:lineRule="auto"/>
        <w:rPr>
          <w:sz w:val="20"/>
          <w:szCs w:val="20"/>
          <w:color w:val="auto"/>
        </w:rPr>
      </w:pPr>
      <w:r>
        <w:rPr>
          <w:rFonts w:ascii="Arial" w:cs="Arial" w:eastAsia="Arial" w:hAnsi="Arial"/>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57" w:lineRule="exact"/>
        <w:rPr>
          <w:sz w:val="20"/>
          <w:szCs w:val="20"/>
          <w:color w:val="auto"/>
        </w:rPr>
      </w:pPr>
    </w:p>
    <w:p>
      <w:pPr>
        <w:jc w:val="both"/>
        <w:ind w:firstLine="603"/>
        <w:spacing w:after="0" w:line="272"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1"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11" w:lineRule="exact"/>
        <w:rPr>
          <w:sz w:val="20"/>
          <w:szCs w:val="20"/>
          <w:color w:val="auto"/>
        </w:rPr>
      </w:pPr>
    </w:p>
    <w:p>
      <w:pPr>
        <w:jc w:val="both"/>
        <w:ind w:firstLine="603"/>
        <w:spacing w:after="0" w:line="295" w:lineRule="auto"/>
        <w:rPr>
          <w:sz w:val="20"/>
          <w:szCs w:val="20"/>
          <w:color w:val="auto"/>
        </w:rPr>
      </w:pPr>
      <w:r>
        <w:rPr>
          <w:rFonts w:ascii="Arial" w:cs="Arial" w:eastAsia="Arial" w:hAnsi="Arial"/>
          <w:sz w:val="15"/>
          <w:szCs w:val="15"/>
          <w:color w:val="auto"/>
        </w:rPr>
        <w:t>This prospectus supplement and the accompanying prospectus is part of a registration statement we filed with the SEC. You should only rely on the information or representations contained in this prospectus supplement and the accompanying prospectus. We have not authorized anyone to provide information other than that provided in this prospectus supplement and the accompanying prospectus. We are not making an offer of the securities in any state where the offer is not permitted. You should not assume that the information in this prospectus supplement and the accompanying prospectus is accurate as of any date other than the date on the front of the document.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614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2998470</wp:posOffset>
            </wp:positionH>
            <wp:positionV relativeFrom="paragraph">
              <wp:posOffset>146685</wp:posOffset>
            </wp:positionV>
            <wp:extent cx="1268095" cy="885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68095" cy="88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$150,000,000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From time to time, we may offer and sell, in one or more offerings, up to approximately $147.1 million of any combination of the securities described in this prospectus. We may also offer securities as may be issuable upon conversion, repurchase, exchange or exercise of any securities registered hereunder, including applicable anti-dilution provisions, if any. Any warrants sold hereunder may be exercisable for shares of our common stock, shares of our preferred stock and/or units. Any units sold hereunder will represent an interest in two or more other securities, which may or may not be separable from one another. The shares of our common stock that may become issuable from time to time upon the exercise of our Series A1 Warrants (as defined herein) are also being offered pursuant to this prospectus.</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common stock is listed on the Nasdaq Capital Market under the symbol “VTGN.” On September 27, 2019, the closing price of our common stock on the Nasdaq Capital Market was $1.14 per share.</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in this prospectus.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As of September 30, 2019, the aggregate market value of our outstanding common stock held by non-affiliates was approximately $54,677,141, which was calculated in accordance with General Instruction I.B.6 of Form S-3, based on 42,385,381 shares of outstanding common stock held by non-affiliates, at a price per share of $1.29, the closing sale price of our common stock reported on the Nasdaq Capital Market on September 20, 2019.</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Pursuant to General Instruction I.B.6 of Form S-3, in no event will we sell the securities described in this prospectus in a public primary offering with a value exceeding more than one-third (1/3) of the aggregate market value of our common stock held by non-affiliates in any twelve (12)-month period, so long as the aggregate market value of our outstanding common stock held by non-affiliates remains below $75.0 million. During the twelve (12) calendar months prior to and including the date of this prospectus, we have offered and sold $11.5 million of securities pursuant to General Instruction I.B.6 of Form S-3. As a result, we are currently eligible to offer and sell up to an aggregate of approximately $6.7 million of our securities pursuant to General Instruction I.B.6. of Form S-3.</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color w:val="auto"/>
        </w:rPr>
        <w:t>Our business and investing in our securities involve significant risks. You should review carefully the risks and uncertainties referenced under the heading “</w:t>
      </w:r>
      <w:r>
        <w:rPr>
          <w:rFonts w:ascii="Arial" w:cs="Arial" w:eastAsia="Arial" w:hAnsi="Arial"/>
          <w:sz w:val="16"/>
          <w:szCs w:val="16"/>
          <w:b w:val="1"/>
          <w:bCs w:val="1"/>
          <w:i w:val="1"/>
          <w:iCs w:val="1"/>
          <w:color w:val="auto"/>
        </w:rPr>
        <w:t>Risk</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Factors</w:t>
      </w:r>
      <w:r>
        <w:rPr>
          <w:rFonts w:ascii="Arial" w:cs="Arial" w:eastAsia="Arial" w:hAnsi="Arial"/>
          <w:sz w:val="16"/>
          <w:szCs w:val="16"/>
          <w:b w:val="1"/>
          <w:bCs w:val="1"/>
          <w:color w:val="auto"/>
        </w:rPr>
        <w:t>” on page 6 of this prospectus, as well as those contained in the applicable prospectus supplement and any related free writing prospectus, and in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documents that are incorporated by reference into this prospectus or the applicable prospectus supplement.</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ind w:left="4360"/>
              <w:spacing w:after="0"/>
              <w:rPr>
                <w:sz w:val="20"/>
                <w:szCs w:val="20"/>
                <w:color w:val="auto"/>
              </w:rPr>
            </w:pPr>
            <w:r>
              <w:rPr>
                <w:rFonts w:ascii="Arial" w:cs="Arial" w:eastAsia="Arial" w:hAnsi="Arial"/>
                <w:sz w:val="16"/>
                <w:szCs w:val="16"/>
                <w:b w:val="1"/>
                <w:bCs w:val="1"/>
                <w:color w:val="auto"/>
                <w:w w:val="94"/>
              </w:rPr>
              <w:t>The date of this prospectus is</w:t>
            </w:r>
          </w:p>
        </w:tc>
        <w:tc>
          <w:tcPr>
            <w:tcW w:w="4900" w:type="dxa"/>
            <w:vAlign w:val="bottom"/>
          </w:tcPr>
          <w:p>
            <w:pPr>
              <w:jc w:val="right"/>
              <w:ind w:right="4258"/>
              <w:spacing w:after="0"/>
              <w:rPr>
                <w:sz w:val="20"/>
                <w:szCs w:val="20"/>
                <w:color w:val="auto"/>
              </w:rPr>
            </w:pPr>
            <w:r>
              <w:rPr>
                <w:rFonts w:ascii="Arial" w:cs="Arial" w:eastAsia="Arial" w:hAnsi="Arial"/>
                <w:sz w:val="16"/>
                <w:szCs w:val="16"/>
                <w:b w:val="1"/>
                <w:bCs w:val="1"/>
                <w:color w:val="auto"/>
              </w:rPr>
              <w:t>, 2019</w:t>
            </w:r>
          </w:p>
        </w:tc>
      </w:tr>
      <w:tr>
        <w:trPr>
          <w:trHeight w:val="404"/>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123"/>
        </w:trPr>
        <w:tc>
          <w:tcPr>
            <w:tcW w:w="6520" w:type="dxa"/>
            <w:vAlign w:val="bottom"/>
            <w:tcBorders>
              <w:bottom w:val="single" w:sz="8" w:color="auto"/>
            </w:tcBorders>
          </w:tcPr>
          <w:p>
            <w:pPr>
              <w:spacing w:after="0"/>
              <w:rPr>
                <w:sz w:val="10"/>
                <w:szCs w:val="10"/>
                <w:color w:val="auto"/>
              </w:rPr>
            </w:pPr>
          </w:p>
        </w:tc>
        <w:tc>
          <w:tcPr>
            <w:tcW w:w="4900" w:type="dxa"/>
            <w:vAlign w:val="bottom"/>
            <w:tcBorders>
              <w:bottom w:val="single" w:sz="8" w:color="auto"/>
            </w:tcBorders>
          </w:tcPr>
          <w:p>
            <w:pPr>
              <w:spacing w:after="0"/>
              <w:rPr>
                <w:sz w:val="10"/>
                <w:szCs w:val="10"/>
                <w:color w:val="auto"/>
              </w:rPr>
            </w:pPr>
          </w:p>
        </w:tc>
      </w:tr>
      <w:tr>
        <w:trPr>
          <w:trHeight w:val="281"/>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8"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rPr>
              <w:t>VISTAGEN THERAPEUTICS, INC.</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rPr>
              <w:t>TABLE OF CONTENTS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80" w:type="dxa"/>
            <w:vAlign w:val="bottom"/>
          </w:tcPr>
          <w:p>
            <w:pPr>
              <w:ind w:left="18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2">
              <w:r>
                <w:rPr>
                  <w:rFonts w:ascii="Arial" w:cs="Arial" w:eastAsia="Arial" w:hAnsi="Arial"/>
                  <w:sz w:val="16"/>
                  <w:szCs w:val="16"/>
                  <w:color w:val="0000EE"/>
                </w:rPr>
                <w:t>About This Prospectus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3">
              <w:r>
                <w:rPr>
                  <w:rFonts w:ascii="Arial" w:cs="Arial" w:eastAsia="Arial" w:hAnsi="Arial"/>
                  <w:sz w:val="16"/>
                  <w:szCs w:val="16"/>
                  <w:color w:val="0000EE"/>
                </w:rPr>
                <w:t>Company Overview</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7">
              <w:r>
                <w:rPr>
                  <w:rFonts w:ascii="Arial" w:cs="Arial" w:eastAsia="Arial" w:hAnsi="Arial"/>
                  <w:sz w:val="16"/>
                  <w:szCs w:val="16"/>
                  <w:color w:val="0000EE"/>
                </w:rPr>
                <w:t>Risk Factors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8">
              <w:r>
                <w:rPr>
                  <w:rFonts w:ascii="Arial" w:cs="Arial" w:eastAsia="Arial" w:hAnsi="Arial"/>
                  <w:sz w:val="16"/>
                  <w:szCs w:val="16"/>
                  <w:color w:val="0000EE"/>
                </w:rPr>
                <w:t>Cautionary Notes Regarding Forward-Looking Statements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9">
              <w:r>
                <w:rPr>
                  <w:rFonts w:ascii="Arial" w:cs="Arial" w:eastAsia="Arial" w:hAnsi="Arial"/>
                  <w:sz w:val="16"/>
                  <w:szCs w:val="16"/>
                  <w:color w:val="0000EE"/>
                </w:rPr>
                <w:t>Use of Proceeds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30">
              <w:r>
                <w:rPr>
                  <w:rFonts w:ascii="Arial" w:cs="Arial" w:eastAsia="Arial" w:hAnsi="Arial"/>
                  <w:sz w:val="16"/>
                  <w:szCs w:val="16"/>
                  <w:color w:val="0000EE"/>
                </w:rPr>
                <w:t>Description of our Capital Stock</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36">
              <w:r>
                <w:rPr>
                  <w:rFonts w:ascii="Arial" w:cs="Arial" w:eastAsia="Arial" w:hAnsi="Arial"/>
                  <w:sz w:val="16"/>
                  <w:szCs w:val="16"/>
                  <w:color w:val="0000EE"/>
                </w:rPr>
                <w:t>Description of our Warrants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39">
              <w:r>
                <w:rPr>
                  <w:rFonts w:ascii="Arial" w:cs="Arial" w:eastAsia="Arial" w:hAnsi="Arial"/>
                  <w:sz w:val="16"/>
                  <w:szCs w:val="16"/>
                  <w:color w:val="0000EE"/>
                </w:rPr>
                <w:t>Description of our Units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40">
              <w:r>
                <w:rPr>
                  <w:rFonts w:ascii="Arial" w:cs="Arial" w:eastAsia="Arial" w:hAnsi="Arial"/>
                  <w:sz w:val="16"/>
                  <w:szCs w:val="16"/>
                  <w:color w:val="0000EE"/>
                </w:rPr>
                <w:t>Description of Certain Provisions of Nevada Law and our Articles of Incorporation and Bylaws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41">
              <w:r>
                <w:rPr>
                  <w:rFonts w:ascii="Arial" w:cs="Arial" w:eastAsia="Arial" w:hAnsi="Arial"/>
                  <w:sz w:val="16"/>
                  <w:szCs w:val="16"/>
                  <w:color w:val="0000EE"/>
                </w:rPr>
                <w:t>Plan of Distribution</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42">
              <w:r>
                <w:rPr>
                  <w:rFonts w:ascii="Arial" w:cs="Arial" w:eastAsia="Arial" w:hAnsi="Arial"/>
                  <w:sz w:val="16"/>
                  <w:szCs w:val="16"/>
                  <w:color w:val="0000EE"/>
                </w:rPr>
                <w:t>Legal Matters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42">
              <w:r>
                <w:rPr>
                  <w:rFonts w:ascii="Arial" w:cs="Arial" w:eastAsia="Arial" w:hAnsi="Arial"/>
                  <w:sz w:val="16"/>
                  <w:szCs w:val="16"/>
                  <w:color w:val="0000EE"/>
                </w:rPr>
                <w:t>Experts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42">
              <w:r>
                <w:rPr>
                  <w:rFonts w:ascii="Arial" w:cs="Arial" w:eastAsia="Arial" w:hAnsi="Arial"/>
                  <w:sz w:val="16"/>
                  <w:szCs w:val="16"/>
                  <w:color w:val="0000EE"/>
                </w:rPr>
                <w:t>Where You Can Find More Information</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300" w:type="dxa"/>
            <w:vAlign w:val="bottom"/>
            <w:tcBorders>
              <w:bottom w:val="single" w:sz="8" w:color="0000EE"/>
            </w:tcBorders>
            <w:gridSpan w:val="12"/>
            <w:shd w:val="clear" w:color="auto" w:fill="CCEEFF"/>
          </w:tcPr>
          <w:p>
            <w:pPr>
              <w:spacing w:after="0" w:line="163" w:lineRule="exact"/>
              <w:rPr>
                <w:rFonts w:ascii="Arial" w:cs="Arial" w:eastAsia="Arial" w:hAnsi="Arial"/>
                <w:sz w:val="16"/>
                <w:szCs w:val="16"/>
                <w:color w:val="0000EE"/>
                <w:w w:val="93"/>
              </w:rPr>
            </w:pPr>
            <w:hyperlink w:anchor="page43">
              <w:r>
                <w:rPr>
                  <w:rFonts w:ascii="Arial" w:cs="Arial" w:eastAsia="Arial" w:hAnsi="Arial"/>
                  <w:sz w:val="16"/>
                  <w:szCs w:val="16"/>
                  <w:color w:val="0000EE"/>
                  <w:w w:val="93"/>
                </w:rPr>
                <w:t>Incorporation of Certain Information by Reference</w:t>
              </w:r>
            </w:hyperlink>
          </w:p>
        </w:tc>
        <w:tc>
          <w:tcPr>
            <w:tcW w:w="5520" w:type="dxa"/>
            <w:vAlign w:val="bottom"/>
            <w:tcBorders>
              <w:bottom w:val="single" w:sz="8" w:color="CCEEFF"/>
            </w:tcBorders>
            <w:gridSpan w:val="3"/>
            <w:shd w:val="clear" w:color="auto" w:fill="CCEEFF"/>
          </w:tcPr>
          <w:p>
            <w:pPr>
              <w:spacing w:after="0"/>
              <w:rPr>
                <w:sz w:val="15"/>
                <w:szCs w:val="15"/>
                <w:color w:val="auto"/>
              </w:rPr>
            </w:pPr>
          </w:p>
        </w:tc>
        <w:tc>
          <w:tcPr>
            <w:tcW w:w="2580" w:type="dxa"/>
            <w:vAlign w:val="bottom"/>
            <w:tcBorders>
              <w:bottom w:val="single" w:sz="8" w:color="CCEEFF"/>
            </w:tcBorders>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ABOUT THIS PROSPECTUS</w:t>
      </w:r>
    </w:p>
    <w:p>
      <w:pPr>
        <w:spacing w:after="0" w:line="222" w:lineRule="exact"/>
        <w:rPr>
          <w:sz w:val="20"/>
          <w:szCs w:val="20"/>
          <w:color w:val="auto"/>
        </w:rPr>
      </w:pPr>
    </w:p>
    <w:p>
      <w:pPr>
        <w:jc w:val="both"/>
        <w:ind w:right="100"/>
        <w:spacing w:after="0" w:line="316" w:lineRule="auto"/>
        <w:rPr>
          <w:sz w:val="20"/>
          <w:szCs w:val="20"/>
          <w:color w:val="auto"/>
        </w:rPr>
      </w:pPr>
      <w:r>
        <w:rPr>
          <w:rFonts w:ascii="Arial" w:cs="Arial" w:eastAsia="Arial" w:hAnsi="Arial"/>
          <w:sz w:val="14"/>
          <w:szCs w:val="14"/>
          <w:color w:val="auto"/>
        </w:rPr>
        <w:t>This prospectus is part of a registration statement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using a “shelf” registration process. Under this shelf registration process, we may sell the securities described in this prospectus in one or more offerings. This prospectus provides you with a general description of the securities which may be offered from time-to-time.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4"/>
          <w:szCs w:val="14"/>
          <w:i w:val="1"/>
          <w:iCs w:val="1"/>
          <w:color w:val="auto"/>
        </w:rPr>
        <w:t>Where You Can Find More Information</w:t>
      </w:r>
      <w:r>
        <w:rPr>
          <w:rFonts w:ascii="Arial" w:cs="Arial" w:eastAsia="Arial" w:hAnsi="Arial"/>
          <w:sz w:val="14"/>
          <w:szCs w:val="14"/>
          <w:color w:val="auto"/>
        </w:rPr>
        <w:t>” and “</w:t>
      </w:r>
      <w:r>
        <w:rPr>
          <w:rFonts w:ascii="Arial" w:cs="Arial" w:eastAsia="Arial" w:hAnsi="Arial"/>
          <w:sz w:val="14"/>
          <w:szCs w:val="14"/>
          <w:i w:val="1"/>
          <w:iCs w:val="1"/>
          <w:color w:val="auto"/>
        </w:rPr>
        <w:t>Incorporation of Certain Information by Reference</w:t>
      </w:r>
      <w:r>
        <w:rPr>
          <w:rFonts w:ascii="Arial" w:cs="Arial" w:eastAsia="Arial" w:hAnsi="Arial"/>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PROSPECTUS MAY NOT BE USED TO CONSUMMATE A SALE OF SECURITIES UNLESS IT IS ACCOMPANIED BY A PROSPECTUS SUPPLEMENT.</w:t>
      </w:r>
    </w:p>
    <w:p>
      <w:pPr>
        <w:spacing w:after="0" w:line="222" w:lineRule="exact"/>
        <w:rPr>
          <w:sz w:val="20"/>
          <w:szCs w:val="20"/>
          <w:color w:val="auto"/>
        </w:rPr>
      </w:pPr>
    </w:p>
    <w:p>
      <w:pPr>
        <w:jc w:val="both"/>
        <w:ind w:right="100"/>
        <w:spacing w:after="0" w:line="313" w:lineRule="auto"/>
        <w:rPr>
          <w:sz w:val="20"/>
          <w:szCs w:val="20"/>
          <w:color w:val="auto"/>
        </w:rPr>
      </w:pPr>
      <w:r>
        <w:rPr>
          <w:rFonts w:ascii="Arial" w:cs="Arial" w:eastAsia="Arial" w:hAnsi="Arial"/>
          <w:sz w:val="14"/>
          <w:szCs w:val="14"/>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47"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COMPANY OVERVIEW</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including the section titled “Risk Factors” on page 6, before deciding whether to purchase our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 this prospectus, unless otherwise stated or the context otherwise requires, references to “VistaGen,” “Company,” “we,” “us,” “our,” refer to 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are a clinical-stage biopharmaceutical company committed to developing differentiated new generation medications for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product candidate portfolio includes three differentiated clinical-stage candidates, AV-101, PH10 and PH94B, which we are developing for multiple CNS indications.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AV-101 (4-Cl-KYN)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major depressive disorder (</w:t>
      </w:r>
      <w:r>
        <w:rPr>
          <w:rFonts w:ascii="Arial" w:cs="Arial" w:eastAsia="Arial" w:hAnsi="Arial"/>
          <w:sz w:val="15"/>
          <w:szCs w:val="15"/>
          <w:i w:val="1"/>
          <w:iCs w:val="1"/>
          <w:color w:val="auto"/>
        </w:rPr>
        <w:t>MDD</w:t>
      </w:r>
      <w:r>
        <w:rPr>
          <w:rFonts w:ascii="Arial" w:cs="Arial" w:eastAsia="Arial" w:hAnsi="Arial"/>
          <w:sz w:val="15"/>
          <w:szCs w:val="15"/>
          <w:color w:val="auto"/>
        </w:rPr>
        <w:t>), chronic neuropathic pain, epilepsy, levodopa-induced dyskinesia and many others. AV-101 is an oral prodrug of 7-Cl-KYNA which binds uniquely at the glycine site of the NMDA receptor. We are developing AV-101 initially for the treatment of MDD, a serious neurobiologically-based mood disorder the leading cause of disability globally, affecting approximately 16 million adults in the United States and nearly 300 million people worldwide according to the U.S.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AV-101 is currently in Phase 2 development in the U.S. as an add-on treatment (together with current FDA-approved antidepressants (SSRIs and SNRIs)) for adult patients with MDD who have an inadequate response to their current antidepressant. The FDA has granted Fast Track designation for development of AV-101 as an add-on, or adjunctive, treatment for MDD. We believe AV-101 has potential as a novel treatment for multiple additional CNS indications, including as a non-opioid treatment for chronic neuropathic pain, for which the FDA has granted a second AV-101 Fast Track designation, as well as a novel oral therapy for levodopa-induced dyskinesia associated with Parkinson’s disease therapy and suicidal ideation.</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second product candidate, PH10, is a novel, rapid-acting CNS neuroactive nasal spray administered in microgram doses. PH10 activates nasal chemosensory receptors that, in turn, engage neural circuits that lead to rapid antidepressant effects without psychological side effects, systemic exposure or safety concerns often associated with current antidepressants and ketamine-based therapy (intravenous ketamine or esketamine nasal spray). In an exploratory 30-patient Phase 2a clinical study, PH10 was well-tolerated and, at microgram doses, demonstrated rapid-onset antidepressant effects, as measured by the Hamilton Depression Rating Scale (</w:t>
      </w:r>
      <w:r>
        <w:rPr>
          <w:rFonts w:ascii="Arial" w:cs="Arial" w:eastAsia="Arial" w:hAnsi="Arial"/>
          <w:sz w:val="16"/>
          <w:szCs w:val="16"/>
          <w:i w:val="1"/>
          <w:iCs w:val="1"/>
          <w:color w:val="auto"/>
        </w:rPr>
        <w:t>HAM-D</w:t>
      </w:r>
      <w:r>
        <w:rPr>
          <w:rFonts w:ascii="Arial" w:cs="Arial" w:eastAsia="Arial" w:hAnsi="Arial"/>
          <w:sz w:val="16"/>
          <w:szCs w:val="16"/>
          <w:color w:val="auto"/>
        </w:rPr>
        <w:t>), without psychological side effects or safety concerns. Based on positive results from this exploratory Phase 2a study, we are planning Phase 2b clinical development of PH10 in 2020, initially as a new stand-alone treatment for MDD. With its exceptional safety profile during clinical development to date, PH10 also has potential to change the current paradigm for treatment of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with ketamine-based therapy (intravenous ketamine or esketamine nasal spray, both of which must be administered in a clinical setting), by enabling those who respond to such therapy to transition to more convenient at-home administration of PH10 to maintain the therapeutic benefits of ketamine or esketamine.</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Our third product candidate, PH94B, is also a novel, rapid-acting CNS neuroactive nasal spray administered in microgram doses. We are developing PH94B initially for treatment of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which affects over 19 million Americans and is the third most common psychiatric condition after depression and substance abuse according to the NIH.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Only three drugs, all antidepressants, are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specifically for treatment of SAD. However, for treatment of both MDD and SAD, current oral antidepressants (</w:t>
      </w:r>
      <w:r>
        <w:rPr>
          <w:rFonts w:ascii="Arial" w:cs="Arial" w:eastAsia="Arial" w:hAnsi="Arial"/>
          <w:sz w:val="14"/>
          <w:szCs w:val="14"/>
          <w:i w:val="1"/>
          <w:iCs w:val="1"/>
          <w:color w:val="auto"/>
        </w:rPr>
        <w:t>ADs</w:t>
      </w:r>
      <w:r>
        <w:rPr>
          <w:rFonts w:ascii="Arial" w:cs="Arial" w:eastAsia="Arial" w:hAnsi="Arial"/>
          <w:sz w:val="14"/>
          <w:szCs w:val="14"/>
          <w:color w:val="auto"/>
        </w:rPr>
        <w:t>) have slow onset of effect (often several weeks to months) and significant side effects that may make them inadequate treatment alternatives for many individuals affected by MDD and SAD.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PH94B is fundamentally differentiated from all current treatments for SAD. PH94B activates nasal chemosensory receptors that, in turn, engage neural circuits that lead to rapid suppression of fear and anxiety, but without psychological side effects, systemic exposure, sedation or other safety concerns often associated with current antidepressants approved by the FDA for treatment of SAD, as well as benzodiazepines and beta blockers, which are not approved by the FDA to treat SAD but are often prescribed for treatment of SAD off-label. In a peer-reviewed, published double-blind, placebo-controlled Phase 2 clinical trial, PH94B neuroactive nasal spray was significantly more effective than placebo in reducing public-speaking and social interaction anxiety on laboratory challenges of individuals with SAD within 10 to 15 minutes of self-administration. Based on its novel mechanism of pharmacological action, rapid-onset of therapeutic effects and exceptional safety and tolerability profile in Phase 2 clinical trials to date, we are preparing to begin pivotal Phase 3 development of PH94B neuroactive nasal spray to become the first FDA-approved on-demand treatment for SAD. Additional potential CNS indications for PH94B include, general anxiety disorder (</w:t>
      </w:r>
      <w:r>
        <w:rPr>
          <w:rFonts w:ascii="Arial" w:cs="Arial" w:eastAsia="Arial" w:hAnsi="Arial"/>
          <w:sz w:val="16"/>
          <w:szCs w:val="16"/>
          <w:i w:val="1"/>
          <w:iCs w:val="1"/>
          <w:color w:val="auto"/>
        </w:rPr>
        <w:t>GAD</w:t>
      </w:r>
      <w:r>
        <w:rPr>
          <w:rFonts w:ascii="Arial" w:cs="Arial" w:eastAsia="Arial" w:hAnsi="Arial"/>
          <w:sz w:val="16"/>
          <w:szCs w:val="16"/>
          <w:color w:val="auto"/>
        </w:rPr>
        <w:t>), peripartum anxiety, preoperative anxiety, panic disorder and post-traumatic stress disorder (</w:t>
      </w:r>
      <w:r>
        <w:rPr>
          <w:rFonts w:ascii="Arial" w:cs="Arial" w:eastAsia="Arial" w:hAnsi="Arial"/>
          <w:sz w:val="16"/>
          <w:szCs w:val="16"/>
          <w:i w:val="1"/>
          <w:iCs w:val="1"/>
          <w:color w:val="auto"/>
        </w:rPr>
        <w:t>PTSD</w:t>
      </w:r>
      <w:r>
        <w:rPr>
          <w:rFonts w:ascii="Arial" w:cs="Arial" w:eastAsia="Arial" w:hAnsi="Arial"/>
          <w:sz w:val="16"/>
          <w:szCs w:val="16"/>
          <w:color w:val="auto"/>
        </w:rPr>
        <w: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addition to our current CNS product candidates, we have pipeline-enabling programs through our wholly-owned subsidiary, VistaStem Therapeutics (</w:t>
      </w:r>
      <w:r>
        <w:rPr>
          <w:rFonts w:ascii="Arial" w:cs="Arial" w:eastAsia="Arial" w:hAnsi="Arial"/>
          <w:sz w:val="15"/>
          <w:szCs w:val="15"/>
          <w:i w:val="1"/>
          <w:iCs w:val="1"/>
          <w:color w:val="auto"/>
        </w:rPr>
        <w:t>VistaStem</w:t>
      </w:r>
      <w:r>
        <w:rPr>
          <w:rFonts w:ascii="Arial" w:cs="Arial" w:eastAsia="Arial" w:hAnsi="Arial"/>
          <w:sz w:val="15"/>
          <w:szCs w:val="15"/>
          <w:color w:val="auto"/>
        </w:rPr>
        <w:t>). VistaStem is focused on applying pluripotent stem cell (</w:t>
      </w:r>
      <w:r>
        <w:rPr>
          <w:rFonts w:ascii="Arial" w:cs="Arial" w:eastAsia="Arial" w:hAnsi="Arial"/>
          <w:sz w:val="15"/>
          <w:szCs w:val="15"/>
          <w:i w:val="1"/>
          <w:iCs w:val="1"/>
          <w:color w:val="auto"/>
        </w:rPr>
        <w:t>hPSC</w:t>
      </w:r>
      <w:r>
        <w:rPr>
          <w:rFonts w:ascii="Arial" w:cs="Arial" w:eastAsia="Arial" w:hAnsi="Arial"/>
          <w:sz w:val="15"/>
          <w:szCs w:val="15"/>
          <w:color w:val="auto"/>
        </w:rPr>
        <w:t>) technology to discover, rescue, develop and commercialize proprietary new chemical entities (</w:t>
      </w:r>
      <w:r>
        <w:rPr>
          <w:rFonts w:ascii="Arial" w:cs="Arial" w:eastAsia="Arial" w:hAnsi="Arial"/>
          <w:sz w:val="15"/>
          <w:szCs w:val="15"/>
          <w:i w:val="1"/>
          <w:iCs w:val="1"/>
          <w:color w:val="auto"/>
        </w:rPr>
        <w:t>NCEs</w:t>
      </w:r>
      <w:r>
        <w:rPr>
          <w:rFonts w:ascii="Arial" w:cs="Arial" w:eastAsia="Arial" w:hAnsi="Arial"/>
          <w:sz w:val="15"/>
          <w:szCs w:val="15"/>
          <w:color w:val="auto"/>
        </w:rPr>
        <w:t>) for CNS and other diseases and regenerative medicine (</w:t>
      </w:r>
      <w:r>
        <w:rPr>
          <w:rFonts w:ascii="Arial" w:cs="Arial" w:eastAsia="Arial" w:hAnsi="Arial"/>
          <w:sz w:val="15"/>
          <w:szCs w:val="15"/>
          <w:i w:val="1"/>
          <w:iCs w:val="1"/>
          <w:color w:val="auto"/>
        </w:rPr>
        <w:t>RM</w:t>
      </w:r>
      <w:r>
        <w:rPr>
          <w:rFonts w:ascii="Arial" w:cs="Arial" w:eastAsia="Arial" w:hAnsi="Arial"/>
          <w:sz w:val="15"/>
          <w:szCs w:val="15"/>
          <w:color w:val="auto"/>
        </w:rPr>
        <w:t xml:space="preserve">) involving hPSC-derived blood, cartilage, heart and liver cells. Our internal drug rescue programs are designed to utilize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w:t>
      </w:r>
      <w:r>
        <w:rPr>
          <w:rFonts w:ascii="Arial" w:cs="Arial" w:eastAsia="Arial" w:hAnsi="Arial"/>
          <w:sz w:val="15"/>
          <w:szCs w:val="15"/>
          <w:i w:val="1"/>
          <w:iCs w:val="1"/>
          <w:color w:val="auto"/>
        </w:rPr>
        <w:t>3D</w:t>
      </w:r>
      <w:r>
        <w:rPr>
          <w:rFonts w:ascii="Arial" w:cs="Arial" w:eastAsia="Arial" w:hAnsi="Arial"/>
          <w:sz w:val="15"/>
          <w:szCs w:val="15"/>
          <w:color w:val="auto"/>
        </w:rPr>
        <w:t>, our customized cardiac bioassay system, to discover and develop small molecule NCEs for our CNS pipeline or for out-licensing. To advance potential RM applications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cardiac stem cell technology, we have sublicensed to BlueRock Therapeutics LP, a next generation cell therapy and RM company recently acquired by Bayer AG (</w:t>
      </w:r>
      <w:r>
        <w:rPr>
          <w:rFonts w:ascii="Arial" w:cs="Arial" w:eastAsia="Arial" w:hAnsi="Arial"/>
          <w:sz w:val="15"/>
          <w:szCs w:val="15"/>
          <w:i w:val="1"/>
          <w:iCs w:val="1"/>
          <w:color w:val="auto"/>
        </w:rPr>
        <w:t>BlueRock Therapeutics</w:t>
      </w:r>
      <w:r>
        <w:rPr>
          <w:rFonts w:ascii="Arial" w:cs="Arial" w:eastAsia="Arial" w:hAnsi="Arial"/>
          <w:sz w:val="15"/>
          <w:szCs w:val="15"/>
          <w:color w:val="auto"/>
        </w:rPr>
        <w:t xml:space="preserve">), rights to certain proprietary technologies relating to the production of cardiac stem cells for the treatment of heart disease (the </w:t>
      </w:r>
      <w:r>
        <w:rPr>
          <w:rFonts w:ascii="Arial" w:cs="Arial" w:eastAsia="Arial" w:hAnsi="Arial"/>
          <w:sz w:val="15"/>
          <w:szCs w:val="15"/>
          <w:i w:val="1"/>
          <w:iCs w:val="1"/>
          <w:color w:val="auto"/>
        </w:rPr>
        <w:t>BlueRock</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In a manner similar to the BlueRock Agreement, we may pursue additional collaborations or licensing transactions involving blood, cartilage, and/or liver cells</w:t>
      </w:r>
      <w:r>
        <w:rPr>
          <w:rFonts w:ascii="Arial" w:cs="Arial" w:eastAsia="Arial" w:hAnsi="Arial"/>
          <w:sz w:val="15"/>
          <w:szCs w:val="15"/>
          <w:i w:val="1"/>
          <w:iCs w:val="1"/>
          <w:color w:val="auto"/>
        </w:rPr>
        <w:t xml:space="preserve"> </w:t>
      </w:r>
      <w:r>
        <w:rPr>
          <w:rFonts w:ascii="Arial" w:cs="Arial" w:eastAsia="Arial" w:hAnsi="Arial"/>
          <w:sz w:val="15"/>
          <w:szCs w:val="15"/>
          <w:color w:val="auto"/>
        </w:rPr>
        <w:t>derived from hPSCs for cell-based therapy, cell repair therapy, RM and/or tissue engineering.</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Offerings under Prior Registration Statement</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6 of this prospectus for a discussion of the factors you should carefully consider before deciding to purchase securities that may be offered by this prospectus.</w:t>
      </w:r>
    </w:p>
    <w:p>
      <w:pPr>
        <w:spacing w:after="0" w:line="15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Additional risks and uncertainties not presently known to us or that we currently deem immaterial may also impair our business operations. The occurrence of any of these known or unknown risks might cause you to lose all or part of your investment in the offered securities.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 and our Series A1 Warrants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might fluctuate significantly, which could reduce the value of our Series A1 Warrants.</w:t>
      </w:r>
    </w:p>
    <w:p>
      <w:pPr>
        <w:spacing w:after="0" w:line="21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Our common stock is listed for trading on the Nasdaq Capital Market under the symbol “VTGN.” Our stock price has been and could continue to be subject to wide fluctuations in response to a variety of factors, including the following:</w:t>
      </w:r>
    </w:p>
    <w:p>
      <w:pPr>
        <w:spacing w:after="0" w:line="155" w:lineRule="exact"/>
        <w:rPr>
          <w:sz w:val="20"/>
          <w:szCs w:val="20"/>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plans for, progress of or results from nonclinical and clinical development activities related to our product candidates;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failure of the FDA or other regulatory authority to approve our product candidates;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announcements of new products, technologies, commercial relationships, acquisitions or other events by us or our competitors;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success or failure of other CNS therapies;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announcements regarding our intellectual property portfolio;</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failure of our product candidates, if approved, to achieve commercial success;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stock market prices and trading volumes of similar companies;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market conditions and overall fluctuations in U.S. equity markets;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variations in our quarterly operating results;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our financial guidance or securities analysts’ estimates of our financial performance;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raise additional capital and the terms on which we can raise it;</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or purchases of large blocks of our common stock, including sales or purchases by our executive officers, directors and significant stockholders;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establishment of short positions by holders or non-holders of our stock or warrants;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discussion of us or our stock price by the press and by online investor communities; and</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risks and uncertainties described in these risk factors, and the risk factors incorporated by reference into this prospectus.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 and the value of the Series A1 Warrants.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public market for our Series A1 Warrants and the liquidity of our Series A1 Warrants may be limited.</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There is no established public trading market for our Series A1 Warrants, and we do not expect a market to develop. In addition, we do not intend to apply for the listing of our Series A1 Warrants on any national securities exchange or other trading market. Without an active market, we expect the liquidity of our Series A1 Warrants will be limited, which may negatively impact the value of our Series A1 Warrants.</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Holders of our Series A1 Warrants will generally not have rights as a common stockholder until such holders exercise their Series A1 Warrants and acquire our common stock.</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Except as set forth in our Series A1 Warrants, holders of our Series A1 Warrants will generally not have rights with respect to the Series A1 Warrant Shares underlying the Series A1 Warrants. Upon exercise of the Series A1 Warrants, the holders thereof will be entitled to exercise the rights of a common stockholder only as to matters for which the record date occurs after the exercise date.</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Due to the speculative nature of our Series A1 Warrants, there is no guarantee that it will ever be profitable for holders of our Series A1 Warrants to exercise their Series A1 Warrants.</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Holders of Series A1 Warrants may exercise their right to acquire the Series A Warrant Shares by paying an exercise price of $1.82 per share prior to their expiration on or about March 7, 2023, after which date any unexercised Series A1 Warrants will expire and have no further value. There can be no assurance that the market price of our common stock will ever equal or exceed the exercise price of the Series A1 Warrants, and, consequently, whether it will ever be profitable for holders to exercise their Series A1 Warrants.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holders or beneficial holders of our common stock may not be permitted to exercise Series A1 Warrants that they hold.</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terms of the Series A1 Warrants prohibit holders from exercising their Series A1 Warrants if doing so would result in such holders (together with such holders’ affiliates) beneficially owning more than 4.99% (which threshold may be decreased or increased, but not above 9.99%, at the election of the holders upon prior written notice to us) of the number of shares of common stock outstanding immediately after giving effect to the exercise, as such percentage ownership is determined in accordance with the terms of the Series A1 Warrants. As a result, holders of the Series A1 Warrants may not be able to exercise our Series A1 Warrants for Series A1 Warrant Shares at a time when it would be financially beneficial for them to do so.</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We have broad discretion to determine how any funds received in connection with any offering will be used, and may use them in ways that may not enhance our operating results or the price of our common stock.</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management will have broad discretion over the use of proceeds received from any offering pursuant to this registration statement, including upon the exercise of the Series A1 Warrants, and we could spend the proceeds in ways in which our investors do not agree or that do not yield a favorable return. If we do not invest or apply the proceeds of any offering in ways that improve our operating results, we may fail to achieve expected financial results, which could cause the market price of our common stock and the value of our Series A1 Warrants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cash dividends.</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never declared or paid cash dividends on our common stock or other securities.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 Investors may not receive a gain on their investment when they sell their shares of our common stock and may lose the entire amount of their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Investing in our securities involves a high degree of risk. Before deciding whether to purchase any of our securities, you should carefully consider the risks and uncertainties described under “</w:t>
      </w:r>
      <w:r>
        <w:rPr>
          <w:rFonts w:ascii="Arial" w:cs="Arial" w:eastAsia="Arial" w:hAnsi="Arial"/>
          <w:sz w:val="15"/>
          <w:szCs w:val="15"/>
          <w:i w:val="1"/>
          <w:iCs w:val="1"/>
          <w:color w:val="auto"/>
        </w:rPr>
        <w:t>Risk Factors</w:t>
      </w:r>
      <w:r>
        <w:rPr>
          <w:rFonts w:ascii="Arial" w:cs="Arial" w:eastAsia="Arial" w:hAnsi="Arial"/>
          <w:sz w:val="15"/>
          <w:szCs w:val="15"/>
          <w:color w:val="auto"/>
        </w:rPr>
        <w:t>” on page 6 of this prospectus and in our Annual Report on Form 10-K for the fiscal year ended March 31, 2019, our Quarterly Report on Form 10-Q for the period ended June 30, 2019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Arial" w:cs="Arial" w:eastAsia="Arial" w:hAnsi="Arial"/>
          <w:sz w:val="15"/>
          <w:szCs w:val="15"/>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This prospectus and the documents incorporated by reference herein contain forward-looking statements that involve substantial risks and uncertainties. All statements, other than statements of historical facts, contained in this prospectus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7" w:lineRule="exact"/>
        <w:rPr>
          <w:sz w:val="20"/>
          <w:szCs w:val="20"/>
          <w:color w:val="auto"/>
        </w:rPr>
      </w:pPr>
    </w:p>
    <w:p>
      <w:pPr>
        <w:ind w:left="600" w:hanging="29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 and clinical and nonclinical development objectives;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7" w:lineRule="exact"/>
        <w:rPr>
          <w:rFonts w:ascii="Arial" w:cs="Arial" w:eastAsia="Arial" w:hAnsi="Arial"/>
          <w:sz w:val="16"/>
          <w:szCs w:val="16"/>
          <w:color w:val="auto"/>
        </w:rPr>
      </w:pPr>
    </w:p>
    <w:p>
      <w:pPr>
        <w:jc w:val="both"/>
        <w:ind w:left="600" w:hanging="298"/>
        <w:spacing w:after="0" w:line="277"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plans to develop and commercialize our product candidates, including, among other things, AV-101, initially as an add-on treatment for MDD, and subsequently as a treatment for additional diseases and disorders involving the CNS, PH94B, initially, as a treatment for SAD and PH10, initially, as a stand-alone treatment for MDD;</w:t>
      </w:r>
    </w:p>
    <w:p>
      <w:pPr>
        <w:spacing w:after="0" w:line="166"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initiate and complete necessary preclinical and clinical trials, to advance our product candidates into additional preclinical and clinical trials, including pivotal clinical trials, to successfully complete any such preclinical and clinical trials, and for those trials to generate positive results;</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economic, regulatory and political developments in the U.S. and foreign countries;</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performance of the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Baylor University,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other third-party preclinical and clinical drug development collaborators and regulatory service providers;</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protection for our core assets, including our product candidates;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enter and serve those markets;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loss of key scientific, clinical or nonclinical development, regulatory, and/or management personnel, internally or from one or more of our third-party collaborators; and</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of this prospectus and the documents incorporated by reference herein.</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sections in this prospectus and the documents incorporated by reference herein,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You should read this prospectus,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Unless otherwise provided in the applicable prospectus supplement, we intend to use the net proceeds from the sale of the securities under this prospectus primarily for research and development expenses associated with continuing development of AV-101, PH10, PH94B, potential drug rescue candidates, and for other working capital and capital expenditures. We may use a portion of the net proceeds to fund production of, and nonclinical and clinical studies related to Phase 2 and Phase 3 development of, AV-101, PH10 and PH94B and our other drug candidates. We may also use the net proceeds from the sale of the securities under this prospectus to in-license, acquire or invest in complementary businesses, technologies, products or assets. However, we have no current commitments or obligations to do so.</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OUR CAPITAL STOCK</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authorized capital stock consists of 175.0 million shares of common stock, $0.001 par value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10.0 million shares of preferred stock, $0.001 par value per share (“</w:t>
      </w:r>
      <w:r>
        <w:rPr>
          <w:rFonts w:ascii="Arial" w:cs="Arial" w:eastAsia="Arial" w:hAnsi="Arial"/>
          <w:sz w:val="16"/>
          <w:szCs w:val="16"/>
          <w:i w:val="1"/>
          <w:iCs w:val="1"/>
          <w:color w:val="auto"/>
        </w:rPr>
        <w:t>Preferred Stock</w:t>
      </w:r>
      <w:r>
        <w:rPr>
          <w:rFonts w:ascii="Arial" w:cs="Arial" w:eastAsia="Arial" w:hAnsi="Arial"/>
          <w:sz w:val="16"/>
          <w:szCs w:val="16"/>
          <w:color w:val="auto"/>
        </w:rPr>
        <w:t>”). The following is a description of our common stock and certain provisions of our Restated Articles of Incorporation (“</w:t>
      </w:r>
      <w:r>
        <w:rPr>
          <w:rFonts w:ascii="Arial" w:cs="Arial" w:eastAsia="Arial" w:hAnsi="Arial"/>
          <w:sz w:val="16"/>
          <w:szCs w:val="16"/>
          <w:i w:val="1"/>
          <w:iCs w:val="1"/>
          <w:color w:val="auto"/>
        </w:rPr>
        <w:t>Articles”</w:t>
      </w:r>
      <w:r>
        <w:rPr>
          <w:rFonts w:ascii="Arial" w:cs="Arial" w:eastAsia="Arial" w:hAnsi="Arial"/>
          <w:sz w:val="16"/>
          <w:szCs w:val="16"/>
          <w:color w:val="auto"/>
        </w:rPr>
        <w:t>), and our amended and restated bylaws (“</w:t>
      </w:r>
      <w:r>
        <w:rPr>
          <w:rFonts w:ascii="Arial" w:cs="Arial" w:eastAsia="Arial" w:hAnsi="Arial"/>
          <w:sz w:val="16"/>
          <w:szCs w:val="16"/>
          <w:i w:val="1"/>
          <w:iCs w:val="1"/>
          <w:color w:val="auto"/>
        </w:rPr>
        <w:t>Bylaws”</w:t>
      </w:r>
      <w:r>
        <w:rPr>
          <w:rFonts w:ascii="Arial" w:cs="Arial" w:eastAsia="Arial" w:hAnsi="Arial"/>
          <w:sz w:val="16"/>
          <w:szCs w:val="16"/>
          <w:color w:val="auto"/>
        </w:rPr>
        <w:t>), and certain provisions of Nevada law.</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there were issued and outstanding, or reserved for issuance:</w:t>
      </w:r>
    </w:p>
    <w:p>
      <w:pPr>
        <w:spacing w:after="0" w:line="218" w:lineRule="exact"/>
        <w:rPr>
          <w:sz w:val="20"/>
          <w:szCs w:val="20"/>
          <w:color w:val="auto"/>
        </w:rPr>
      </w:pPr>
    </w:p>
    <w:p>
      <w:pPr>
        <w:ind w:left="600" w:hanging="298"/>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42,622,965 shares of common stock held by approximately 6,000 stockholders of record;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held by one institutional investor and one accredited individual investor;</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1,160,240 shares of common stock reserved for issuance upon conversion of 1,160,240 shares of our Series B Preferred held by two institutional investors;</w:t>
      </w:r>
    </w:p>
    <w:p>
      <w:pPr>
        <w:spacing w:after="0" w:line="229" w:lineRule="exact"/>
        <w:rPr>
          <w:rFonts w:ascii="Arial" w:cs="Arial" w:eastAsia="Arial" w:hAnsi="Arial"/>
          <w:sz w:val="15"/>
          <w:szCs w:val="15"/>
          <w:color w:val="auto"/>
        </w:rPr>
      </w:pPr>
    </w:p>
    <w:p>
      <w:pPr>
        <w:ind w:left="600" w:hanging="298"/>
        <w:spacing w:after="0"/>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2,318,012 shares of common stock reserved for issuance upon conversion of 2,318,012 shares of our Series C Preferred held by one institutional investor;</w:t>
      </w:r>
    </w:p>
    <w:p>
      <w:pPr>
        <w:spacing w:after="0" w:line="229" w:lineRule="exact"/>
        <w:rPr>
          <w:rFonts w:ascii="Arial" w:cs="Arial" w:eastAsia="Arial" w:hAnsi="Arial"/>
          <w:sz w:val="15"/>
          <w:szCs w:val="15"/>
          <w:color w:val="auto"/>
        </w:rPr>
      </w:pPr>
    </w:p>
    <w:p>
      <w:pPr>
        <w:ind w:left="600" w:hanging="298"/>
        <w:spacing w:after="0" w:line="292"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21,242,954 shares of common stock that have been reserved for issuance upon exercise of outstanding warrants, with a weighted average exercise price of $2.43 per share;</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7,844,838 shares of common stock reserved for issuance upon exercise of outstanding stock options under our Amended and Restated 2016 Stock Incentive Plan, with a weighted average exercise price of $1.76 per share;</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170,000 shares of common stock reserved for issuance upon exercise of outstanding stock options under our 2019 Omnibus Equity Incentive Plan, with a weighted average exercise price of $1.00 per share, and</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8,718,412 shares of common stock reserved for future issuance in connection with future grants under our 2019 Omnibus Equity Incentive Plan.</w:t>
      </w:r>
    </w:p>
    <w:p>
      <w:pPr>
        <w:spacing w:after="0" w:line="21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or Similar Rights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not subject to conversion, redemption, sinking fund or similar provisions.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 Agent and Registrar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 Jersey City, New Jersey.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2017 Public Offering and Series A1 Warrant Shares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Series of Preferred Stock</w:t>
      </w:r>
    </w:p>
    <w:p>
      <w:pPr>
        <w:spacing w:after="0" w:line="222"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A Preferred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December 2011, our Board authorized the creation of a series of up to 500,000 shares of Series A Preferred, par value $0.001 (</w:t>
      </w:r>
      <w:r>
        <w:rPr>
          <w:rFonts w:ascii="Arial" w:cs="Arial" w:eastAsia="Arial" w:hAnsi="Arial"/>
          <w:sz w:val="16"/>
          <w:szCs w:val="16"/>
          <w:i w:val="1"/>
          <w:iCs w:val="1"/>
          <w:color w:val="auto"/>
        </w:rPr>
        <w:t>Series A Preferred</w:t>
      </w:r>
      <w:r>
        <w:rPr>
          <w:rFonts w:ascii="Arial" w:cs="Arial" w:eastAsia="Arial" w:hAnsi="Arial"/>
          <w:sz w:val="16"/>
          <w:szCs w:val="16"/>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At September 30, 2019,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8" w:lineRule="exact"/>
        <w:rPr>
          <w:sz w:val="20"/>
          <w:szCs w:val="20"/>
          <w:color w:val="auto"/>
        </w:rPr>
      </w:pPr>
    </w:p>
    <w:p>
      <w:pPr>
        <w:jc w:val="both"/>
        <w:spacing w:after="0" w:line="368" w:lineRule="auto"/>
        <w:rPr>
          <w:sz w:val="20"/>
          <w:szCs w:val="20"/>
          <w:color w:val="auto"/>
        </w:rPr>
      </w:pPr>
      <w:r>
        <w:rPr>
          <w:rFonts w:ascii="Arial" w:cs="Arial" w:eastAsia="Arial" w:hAnsi="Arial"/>
          <w:sz w:val="14"/>
          <w:szCs w:val="14"/>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B Preferred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with the Nevada Secretary of State to designate 4.0 million shares of our authorized preferred stock as Series B Preferred.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the Company’s common stock. All outstanding shares of Series B Preferred are also automatically convertible into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September 30, 2019,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limitation may be waived upon sixty-one (61) days’ notice to us.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Series B Preferred ranks prior to our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for purposes of liquidation preference.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6"/>
          <w:szCs w:val="16"/>
          <w:i w:val="1"/>
          <w:iCs w:val="1"/>
          <w:color w:val="auto"/>
        </w:rPr>
        <w:t>Accrued Dividend</w:t>
      </w:r>
      <w:r>
        <w:rPr>
          <w:rFonts w:ascii="Arial" w:cs="Arial" w:eastAsia="Arial" w:hAnsi="Arial"/>
          <w:sz w:val="16"/>
          <w:szCs w:val="16"/>
          <w:color w:val="auto"/>
        </w:rPr>
        <w:t>). The Accrued Dividend will be payable on the date of either a Voluntary Conversion or Automatic Conversion solely in that number of shares of Common Stock equal to the Accrued Dividend.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C Preferred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At September 30, 2019,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8" w:lineRule="exact"/>
        <w:rPr>
          <w:sz w:val="20"/>
          <w:szCs w:val="20"/>
          <w:color w:val="auto"/>
        </w:rPr>
      </w:pPr>
    </w:p>
    <w:p>
      <w:pPr>
        <w:jc w:val="both"/>
        <w:spacing w:after="0" w:line="368" w:lineRule="auto"/>
        <w:rPr>
          <w:sz w:val="20"/>
          <w:szCs w:val="20"/>
          <w:color w:val="auto"/>
        </w:rPr>
      </w:pPr>
      <w:r>
        <w:rPr>
          <w:rFonts w:ascii="Arial" w:cs="Arial" w:eastAsia="Arial" w:hAnsi="Arial"/>
          <w:sz w:val="14"/>
          <w:szCs w:val="14"/>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of Preferred Stock Issuable Pursuant to this Prospectus</w:t>
      </w:r>
    </w:p>
    <w:p>
      <w:pPr>
        <w:spacing w:after="0" w:line="22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55" w:lineRule="exact"/>
        <w:rPr>
          <w:sz w:val="20"/>
          <w:szCs w:val="20"/>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shares authorized;</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purchase price;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dividend rate, period and payment date, and method of calculation for dividends;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provisions for a sinking fund, if any;</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and, if applicable, the conversion price, or how it will be calculated, and the conversion period;</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voting rights, if any, of the preferred stock;</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preemptive rights, if any;</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discussion of any material United States federal income tax considerations applicable to the preferred stock;</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preferred stock.</w:t>
      </w:r>
    </w:p>
    <w:p>
      <w:pPr>
        <w:spacing w:after="0" w:line="21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When we issue shares of preferred stock under this prospectus, the shares will fully be paid and nonassessable and will not have, or be subject to, any preemptive or similar rights.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WARRANTS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Warrants may be offered independently or together with common stock 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55" w:lineRule="exact"/>
        <w:rPr>
          <w:sz w:val="20"/>
          <w:szCs w:val="20"/>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offering price and the aggregate number of warrants offered;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designation and terms of any series of preferred stock with which the warrants are being offered and the number of warrants being offered with each share of common stock or preferred stock;</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w:t>
      </w:r>
    </w:p>
    <w:p>
      <w:pPr>
        <w:spacing w:after="0" w:line="217" w:lineRule="exact"/>
        <w:rPr>
          <w:rFonts w:ascii="Arial" w:cs="Arial" w:eastAsia="Arial" w:hAnsi="Arial"/>
          <w:sz w:val="16"/>
          <w:szCs w:val="16"/>
          <w:color w:val="auto"/>
        </w:rPr>
      </w:pPr>
    </w:p>
    <w:p>
      <w:pPr>
        <w:jc w:val="both"/>
        <w:ind w:left="600" w:hanging="298"/>
        <w:spacing w:after="0" w:line="277"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66"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terms of any rights to redeem or call, or accelerate the expiration of, the warrants;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date on which the right to exercise the warrants begins and the date on which that right expires;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federal income tax consequences of holding or exercising the warrants; and</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warrants.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Each holder of a warrant is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 holder of warrants may exercise them by following the general procedure outlined below:</w:t>
      </w:r>
    </w:p>
    <w:p>
      <w:pPr>
        <w:spacing w:after="0" w:line="218" w:lineRule="exact"/>
        <w:rPr>
          <w:sz w:val="20"/>
          <w:szCs w:val="20"/>
          <w:color w:val="auto"/>
        </w:rPr>
      </w:pPr>
    </w:p>
    <w:p>
      <w:pPr>
        <w:ind w:left="600" w:hanging="298"/>
        <w:spacing w:after="0"/>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delivering to the warrant agent the payment required by the applicable prospectus supplement or free writing prospectus to purchase the underlying security;</w:t>
      </w:r>
    </w:p>
    <w:p>
      <w:pPr>
        <w:spacing w:after="0" w:line="229" w:lineRule="exact"/>
        <w:rPr>
          <w:rFonts w:ascii="Arial" w:cs="Arial" w:eastAsia="Arial" w:hAnsi="Arial"/>
          <w:sz w:val="15"/>
          <w:szCs w:val="15"/>
          <w:color w:val="auto"/>
        </w:rPr>
      </w:pPr>
    </w:p>
    <w:p>
      <w:pPr>
        <w:ind w:left="600" w:hanging="298"/>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properly completing and signing the reverse side of the warrant certificate representing the warrants; and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delivering the warrant certificate representing the warrants to the warrant agent within five business days of the warrant agent receiving payment of the exercise price.</w:t>
      </w:r>
    </w:p>
    <w:p>
      <w:pPr>
        <w:spacing w:after="0" w:line="15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Supplements to the Warrant Agreements</w:t>
      </w:r>
    </w:p>
    <w:p>
      <w:pPr>
        <w:spacing w:after="0" w:line="22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Adjustments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or a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7" w:lineRule="exact"/>
        <w:rPr>
          <w:sz w:val="20"/>
          <w:szCs w:val="20"/>
          <w:color w:val="auto"/>
        </w:rPr>
      </w:pPr>
    </w:p>
    <w:p>
      <w:pPr>
        <w:ind w:left="600" w:hanging="298"/>
        <w:spacing w:after="0" w:line="292"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 any cash to holders of our common stock or preferred stock other than a cash dividend paid out of our current or retained earnings or other than in accordance with the terms of the preferred stock;</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then the holders of common stock or preferred stock warrants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71"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or preferred stock warrant, and the amounts of other securities or property to be received, if any, upon exercise of such warrant,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and preferred stock warrants may have additional rights under the following circumstances:</w:t>
      </w:r>
    </w:p>
    <w:p>
      <w:pPr>
        <w:spacing w:after="0" w:line="218" w:lineRule="exact"/>
        <w:rPr>
          <w:sz w:val="20"/>
          <w:szCs w:val="20"/>
          <w:color w:val="auto"/>
        </w:rPr>
      </w:pPr>
    </w:p>
    <w:p>
      <w:pPr>
        <w:ind w:left="600" w:hanging="298"/>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reclassifications, capital reorganizations or changes of the common stock or preferred stock, as applicable;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certain share exchanges, mergers, or similar transactions involving us and which result in changes of the common stock or preferred stock, as applicable; or</w:t>
      </w:r>
    </w:p>
    <w:p>
      <w:pPr>
        <w:spacing w:after="0" w:line="229" w:lineRule="exact"/>
        <w:rPr>
          <w:rFonts w:ascii="Arial" w:cs="Arial" w:eastAsia="Arial" w:hAnsi="Arial"/>
          <w:sz w:val="15"/>
          <w:szCs w:val="15"/>
          <w:color w:val="auto"/>
        </w:rPr>
      </w:pPr>
    </w:p>
    <w:p>
      <w:pPr>
        <w:ind w:left="600" w:hanging="298"/>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sales or dispositions to another entity of all or substantially all of our property and assets.</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A1 Warrants</w:t>
      </w:r>
    </w:p>
    <w:p>
      <w:pPr>
        <w:spacing w:after="0" w:line="22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As described above, we have issued Series A1 Warrants to purchase up to 1,388,931 shares of our common stock at an exercise price of $1.82 per share, which warrants expire on or about March 7, 2023. The Series A1 Warrants Shares that may become issuable from time to time upon the exercise of the Series A1 Warrants are being offered pursuant to this prospectus. For more information, see “</w:t>
      </w:r>
      <w:r>
        <w:rPr>
          <w:rFonts w:ascii="Arial" w:cs="Arial" w:eastAsia="Arial" w:hAnsi="Arial"/>
          <w:sz w:val="15"/>
          <w:szCs w:val="15"/>
          <w:i w:val="1"/>
          <w:iCs w:val="1"/>
          <w:color w:val="auto"/>
        </w:rPr>
        <w:t>Description of Warrants – Registration of Series A1 Warrants and Series A1 Warrant Shares</w:t>
      </w:r>
      <w:r>
        <w:rPr>
          <w:rFonts w:ascii="Arial" w:cs="Arial" w:eastAsia="Arial" w:hAnsi="Arial"/>
          <w:sz w:val="15"/>
          <w:szCs w:val="15"/>
          <w:color w:val="auto"/>
        </w:rPr>
        <w:t>” below.</w:t>
      </w:r>
    </w:p>
    <w:p>
      <w:pPr>
        <w:spacing w:after="0" w:line="1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Duration and Exercise Price: </w:t>
      </w:r>
      <w:r>
        <w:rPr>
          <w:rFonts w:ascii="Arial" w:cs="Arial" w:eastAsia="Arial" w:hAnsi="Arial"/>
          <w:sz w:val="16"/>
          <w:szCs w:val="16"/>
          <w:color w:val="auto"/>
        </w:rPr>
        <w:t>The Series A1 Warrants are exercisable for a five-year period commencing on or about March 7, 2018, and have an exercise price of $1.82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Each of Series A1 Warrant may be exercised, in whole or in part, by delivering to the Company a written notice of election to exercise the applicable Series A1</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and delivering to the Company cash payment of the exercise price, if applicable. The exercise price and the number of shares of our common stock issuable upon exercise of the Series A1 Warrants is subject to adjustment in the event of certain subdivisions and combinations, including by any stock split or reverse stock split, stock dividend, recapitalization or otherwise.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 xml:space="preserve">Cashless Exercise: </w:t>
      </w:r>
      <w:r>
        <w:rPr>
          <w:rFonts w:ascii="Arial" w:cs="Arial" w:eastAsia="Arial" w:hAnsi="Arial"/>
          <w:sz w:val="15"/>
          <w:szCs w:val="15"/>
          <w:color w:val="auto"/>
        </w:rPr>
        <w:t>If, at any time during the term of the Series A1 Warrants, the issuance or resale of shares of our common stock upon exercise of the Series A1 Warrants is</w:t>
      </w:r>
      <w:r>
        <w:rPr>
          <w:rFonts w:ascii="Arial" w:cs="Arial" w:eastAsia="Arial" w:hAnsi="Arial"/>
          <w:sz w:val="15"/>
          <w:szCs w:val="15"/>
          <w:i w:val="1"/>
          <w:iCs w:val="1"/>
          <w:color w:val="auto"/>
        </w:rPr>
        <w:t xml:space="preserve"> </w:t>
      </w:r>
      <w:r>
        <w:rPr>
          <w:rFonts w:ascii="Arial" w:cs="Arial" w:eastAsia="Arial" w:hAnsi="Arial"/>
          <w:sz w:val="15"/>
          <w:szCs w:val="15"/>
          <w:color w:val="auto"/>
        </w:rPr>
        <w:t>not covered by an effective registration statement, the holder is permitted to effect a cashless exercise of the Series A1 Warrants (in whole or in part) in which case the holder would receive upon such exercise the net number of shares of common stock determined according to the formula set forth in the Series A1 Warrants. Shares issued pursuant to a cashless exercise would be deemed to have been issued pursuant to the exemption from registration provided by Section 3(a)(9) of the Securities Act, and the shares of common stock issued upon such cashless exercise would take on the characteristics of the Series A1 Warrants being exercised, including, for purposes of Rule 144(d) promulgated under the Securities Act, a holding period beginning from the original issuance date of the Series A1 Warrants.</w:t>
      </w:r>
    </w:p>
    <w:p>
      <w:pPr>
        <w:spacing w:after="0" w:line="16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Adjustment Provisions</w:t>
      </w:r>
      <w:r>
        <w:rPr>
          <w:rFonts w:ascii="Arial" w:cs="Arial" w:eastAsia="Arial" w:hAnsi="Arial"/>
          <w:sz w:val="15"/>
          <w:szCs w:val="15"/>
          <w:color w:val="auto"/>
        </w:rPr>
        <w:t>: The exercise price and the number and type of securities purchasable upon exercise of the Series A1 Warrants are subject to adjustment upon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events, including certain subdivisions, combinations and similar events If we declare any dividend or distribution of assets (including cash, stock or other securities, evidence of indebtedness, purchase rights or other property), each holder of a Series A1 Warrant will be entitled to participate in such distribution to the same extent that the holder would have participated had the applicable Series A1 Warrant been exercised immediately before the record date for the distribution.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Subject to applicable laws, the Series A1 Warrants may be offered for sale, sold, transferred or assigned without our consent. However, as of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there is no established trading market for the Series A1 Warrants and it is not expected that a trading market for the Series A1 Warrants will develop in the future. Without an active trading market, the liquidity of the Series A1 Warrants will be limited.</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We have not and will not apply to list the Series A1 Warrants on Nasdaq Capital Market. We do not intend to list the Series A1 Warrants on any securities exchange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quotation system. Without an active market, the liquidity of the Series A1 Warrants will be limited.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Except as set forth in the Series A1 Warrants or by virtue of such holders’ ownership of shares of our common stock, the holders of the Series A1</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do not have the rights or privileges of holders of our common stock, including any voting rights, until they exercise the Series A1 Warrants.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Limitations on Exercise: </w:t>
      </w:r>
      <w:r>
        <w:rPr>
          <w:rFonts w:ascii="Arial" w:cs="Arial" w:eastAsia="Arial" w:hAnsi="Arial"/>
          <w:sz w:val="16"/>
          <w:szCs w:val="16"/>
          <w:color w:val="auto"/>
        </w:rPr>
        <w:t>The exercise of the Series A1 Warrants may be limited in certain circumstances if, after giving effect to such exercise, the holder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would beneficially own (as determined in accordance with the terms of the Series A1 Warrants) more than 4.99% (or, at the election of the holder, 9.99%) of our outstanding common stock immediately after giving effect to the exercise.</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i w:val="1"/>
          <w:iCs w:val="1"/>
          <w:color w:val="auto"/>
        </w:rPr>
        <w:t xml:space="preserve">Fundamental Transactions: </w:t>
      </w:r>
      <w:r>
        <w:rPr>
          <w:rFonts w:ascii="Arial" w:cs="Arial" w:eastAsia="Arial" w:hAnsi="Arial"/>
          <w:sz w:val="15"/>
          <w:szCs w:val="15"/>
          <w:color w:val="auto"/>
        </w:rPr>
        <w:t>In the event of certain fundamental transactions, as described in the Series A1 Warrants and generally including any merger or consolidation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or into another entity, the holders of the Series A1 Warrants shall thereafter have the right to exercise the applicable Series A1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Series A1 Warrant. In the event of a Change of Control (as defined in the Series A1 Warrants) (other than a Change of Control which was not approved by the Board of Directors, as to which this right shall not apply), at the request of the holder delivered before the 30th day after such Change of Control, a holder of a Series A1 Warrant will have the right to require us or any successor entity to purchase the holder’s Series A1 Warrant for the Black-Scholes Value of the remaining unexercised portion of the Series A1 Warrant on the effective date of such Change of Control (determined in accordance with a formula specified in the Series A1 Warrants), payable in cash; provided, that if the applicable Change of Control was not approved by our Board of Directors,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 any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stock or other securities, property, options, evidence of indebtedness or any other assets), then, subject to certain limitation on exercise described in the Series A1 Warrants, each holder of a Series A1 Warrant shall receive the distributed assets that such holder would have been entitled to receive in the distribution had the holder exercised the Series A1 Warrant immediately prior to the record date for the distribution.</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i w:val="1"/>
          <w:iCs w:val="1"/>
          <w:color w:val="auto"/>
        </w:rPr>
        <w:t>Registration of Series A1 Warrants and Series A1 Warrant Shares</w:t>
      </w:r>
      <w:r>
        <w:rPr>
          <w:rFonts w:ascii="Arial" w:cs="Arial" w:eastAsia="Arial" w:hAnsi="Arial"/>
          <w:sz w:val="15"/>
          <w:szCs w:val="15"/>
          <w:color w:val="auto"/>
        </w:rPr>
        <w:t>. The Series A1 Warrants and the Series A1 Warrant Shares were previously registered pursuant to the Prior</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and a prospectus supplement filed with the SEC on August 31, 2017 pursuant to Rule 424(b)(5) under the Securities Act. Pursuant to Rule 415(a)(6) and Rule 429 under the Securities Act, the offering of the Series A1 Warrant Shares will be registered pursuant to this registration statement.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UNITS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specified in the applicable prospectus supplement, we may issue units consisting of one or more shares of common stock, shares of our preferred stock, warrants or any combination of such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prospectus supplement will specify the following terms of any units in respect of which this prospectus is being delivered:</w:t>
      </w:r>
    </w:p>
    <w:p>
      <w:pPr>
        <w:spacing w:after="0" w:line="218" w:lineRule="exact"/>
        <w:rPr>
          <w:sz w:val="20"/>
          <w:szCs w:val="20"/>
          <w:color w:val="auto"/>
        </w:rPr>
      </w:pPr>
    </w:p>
    <w:p>
      <w:pPr>
        <w:ind w:left="600" w:hanging="298"/>
        <w:spacing w:after="0" w:line="292"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description of the terms of any unit agreement governing the units;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appropriate, a discussion of material U.S. federal income tax considerations; and</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CERTAIN PROVISIONS OF NEVADA LAW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ARTICLES OF 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Interested Persons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Under the Nevada Revised Statutes (the </w:t>
      </w:r>
      <w:r>
        <w:rPr>
          <w:rFonts w:ascii="Arial" w:cs="Arial" w:eastAsia="Arial" w:hAnsi="Arial"/>
          <w:sz w:val="16"/>
          <w:szCs w:val="16"/>
          <w:i w:val="1"/>
          <w:iCs w:val="1"/>
          <w:color w:val="auto"/>
        </w:rPr>
        <w:t>NRS</w:t>
      </w:r>
      <w:r>
        <w:rPr>
          <w:rFonts w:ascii="Arial" w:cs="Arial" w:eastAsia="Arial" w:hAnsi="Arial"/>
          <w:sz w:val="16"/>
          <w:szCs w:val="16"/>
          <w:color w:val="auto"/>
        </w:rPr>
        <w:t>)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71" w:lineRule="exact"/>
        <w:rPr>
          <w:sz w:val="20"/>
          <w:szCs w:val="20"/>
          <w:color w:val="auto"/>
        </w:rPr>
      </w:pPr>
    </w:p>
    <w:p>
      <w:pPr>
        <w:ind w:left="600" w:hanging="298"/>
        <w:spacing w:after="0" w:line="292"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not known to the director or officer at the time the transaction is brought to the board of directors for action; or</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transaction was fair to the Company at the time it is authorized or approved.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 Share Acquisition Provisions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Combinations with Interested Stockholders</w:t>
      </w:r>
    </w:p>
    <w:p>
      <w:pPr>
        <w:spacing w:after="0" w:line="22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PLAN OF DISTRIBUTION</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192" w:lineRule="exact"/>
        <w:rPr>
          <w:sz w:val="20"/>
          <w:szCs w:val="20"/>
          <w:color w:val="auto"/>
        </w:rPr>
      </w:pPr>
    </w:p>
    <w:p>
      <w:pPr>
        <w:ind w:left="600" w:hanging="298"/>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name or names of any underwriters or agents, if applicable;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will receive from the sale;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agency fees or underwriting discounts and other items constituting agents’ or underwriters’ compensation;</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securities exchange or market on which the securities may be listed.</w:t>
      </w:r>
    </w:p>
    <w:p>
      <w:pPr>
        <w:spacing w:after="0" w:line="21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155" w:lineRule="exact"/>
        <w:rPr>
          <w:sz w:val="20"/>
          <w:szCs w:val="20"/>
          <w:color w:val="auto"/>
        </w:rPr>
      </w:pPr>
    </w:p>
    <w:p>
      <w:pPr>
        <w:ind w:left="600" w:hanging="298"/>
        <w:spacing w:after="0" w:line="292"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or through the facilities of the Nasdaq Capital Market or any other securities exchange or quotation or trading service on which such securities may be listed, quoted or traded at the time of sale; and/or</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or through a market maker otherwise than on the Nasdaq Capital Market or such other securities exchanges or quotation or trading services.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Such at-the-market offerings, if any, may be conducted by underwriters acting as principal or agent.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Only underwriters named in a prospectus supplement are underwriters of the securities offered by the prospectus supplement.</w:t>
      </w: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Any underwriter may engage in overallotment, stabilizing transactions, short covering transactions and penalty bids in accordance with Regulation M under the Securities Exchange Act of 1934, as amended (the “</w:t>
      </w:r>
      <w:r>
        <w:rPr>
          <w:rFonts w:ascii="Arial" w:cs="Arial" w:eastAsia="Arial" w:hAnsi="Arial"/>
          <w:sz w:val="15"/>
          <w:szCs w:val="15"/>
          <w:i w:val="1"/>
          <w:iCs w:val="1"/>
          <w:color w:val="auto"/>
        </w:rPr>
        <w:t>Exchange Act</w:t>
      </w:r>
      <w:r>
        <w:rPr>
          <w:rFonts w:ascii="Arial" w:cs="Arial" w:eastAsia="Arial" w:hAnsi="Arial"/>
          <w:sz w:val="15"/>
          <w:szCs w:val="15"/>
          <w:color w:val="auto"/>
        </w:rPr>
        <w: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this offering will be passed upon for us by Disclosure Law Group, a Professional Corporation, of San Diego, California.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2019,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Our SEC filings are available, at no charge, to the public at the SEC’s website at http://www.sec.gov.</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6"/>
          <w:szCs w:val="16"/>
          <w:i w:val="1"/>
          <w:iCs w:val="1"/>
          <w:u w:val="single" w:color="auto"/>
          <w:color w:val="0000EE"/>
        </w:rPr>
      </w:pPr>
      <w:hyperlink w:anchor="page21">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18" w:lineRule="exact"/>
        <w:rPr>
          <w:sz w:val="20"/>
          <w:szCs w:val="20"/>
          <w:color w:val="auto"/>
        </w:rPr>
      </w:pPr>
    </w:p>
    <w:p>
      <w:pPr>
        <w:ind w:left="600" w:hanging="29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2019, filed on June 25,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Quarterly Report on Form 10-Q for the year ended June 30, 2019, filed on August 13,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Current Report on Form 8-K, filed on April 4,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Current Report on Form 8-K, filed on May 2,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Current Report on Form 8-K, filed on June 21,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Current Report on Form 8-K, filed on July 23,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Current Report on Form 8-K, filed on August 16,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Current Report on Form 8-K, filed on August 23,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Current Report on Form 8-K, filed on September 6,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Current Report on Form 8-K, filed on September 25, 2019; and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55"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ind w:left="3940"/>
        <w:spacing w:after="0"/>
        <w:rPr>
          <w:sz w:val="20"/>
          <w:szCs w:val="20"/>
          <w:color w:val="auto"/>
        </w:rPr>
      </w:pPr>
      <w:r>
        <w:rPr>
          <w:rFonts w:ascii="Arial" w:cs="Arial" w:eastAsia="Arial" w:hAnsi="Arial"/>
          <w:sz w:val="16"/>
          <w:szCs w:val="16"/>
          <w:b w:val="1"/>
          <w:bCs w:val="1"/>
          <w:color w:val="auto"/>
        </w:rPr>
        <w:t>3,870,077 Shares</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410845</wp:posOffset>
            </wp:positionV>
            <wp:extent cx="1268095" cy="885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68095" cy="88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_______________________________</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Prospectus Supplement</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January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1198880</wp:posOffset>
            </wp:positionV>
            <wp:extent cx="725614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sectPr>
      <w:pgSz w:w="11900" w:h="16838" w:orient="portrait"/>
      <w:cols w:equalWidth="0" w:num="1">
        <w:col w:w="9019"/>
      </w:cols>
      <w:pgMar w:left="1440" w:top="9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2020-02-17T21:28:57Z</dcterms:created>
  <dcterms:modified xsi:type="dcterms:W3CDTF">2020-02-17T21:28:57Z</dcterms:modified>
</cp:coreProperties>
</file>