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-8890</wp:posOffset>
            </wp:positionV>
            <wp:extent cx="13398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80340"/>
                    </a:xfrm>
                    <a:prstGeom prst="rect">
                      <a:avLst/>
                    </a:prstGeom>
                    <a:noFill/>
                  </pic:spPr>
                </pic:pic>
              </a:graphicData>
            </a:graphic>
          </wp:anchor>
        </w:drawing>
      </w:r>
    </w:p>
    <w:p>
      <w:pPr>
        <w:jc w:val="both"/>
        <w:ind w:left="320" w:right="320" w:hanging="249"/>
        <w:spacing w:after="0" w:line="190" w:lineRule="auto"/>
        <w:tabs>
          <w:tab w:leader="none" w:pos="32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jc w:val="center"/>
              <w:ind w:right="361"/>
              <w:spacing w:after="0" w:line="134"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1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61"/>
              <w:spacing w:after="0" w:line="178"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5184775</wp:posOffset>
            </wp:positionH>
            <wp:positionV relativeFrom="paragraph">
              <wp:posOffset>-591820</wp:posOffset>
            </wp:positionV>
            <wp:extent cx="56515" cy="605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15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-591820</wp:posOffset>
            </wp:positionV>
            <wp:extent cx="5651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1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-1728470</wp:posOffset>
            </wp:positionH>
            <wp:positionV relativeFrom="paragraph">
              <wp:posOffset>20955</wp:posOffset>
            </wp:positionV>
            <wp:extent cx="7050405" cy="5229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5229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100" w:space="600"/>
            <w:col w:w="8380"/>
          </w:cols>
          <w:pgMar w:left="460" w:top="218"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COMMODORE CAPITAL LP</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(Last)</w:t>
            </w:r>
          </w:p>
        </w:tc>
        <w:tc>
          <w:tcPr>
            <w:tcW w:w="1000" w:type="dxa"/>
            <w:vAlign w:val="bottom"/>
          </w:tcPr>
          <w:p>
            <w:pPr>
              <w:ind w:left="160"/>
              <w:spacing w:after="0"/>
              <w:rPr>
                <w:sz w:val="20"/>
                <w:szCs w:val="20"/>
                <w:color w:val="auto"/>
              </w:rPr>
            </w:pPr>
            <w:r>
              <w:rPr>
                <w:rFonts w:ascii="Arial" w:cs="Arial" w:eastAsia="Arial" w:hAnsi="Arial"/>
                <w:sz w:val="12"/>
                <w:szCs w:val="12"/>
                <w:color w:val="auto"/>
              </w:rPr>
              <w:t>(First)</w:t>
            </w:r>
          </w:p>
        </w:tc>
        <w:tc>
          <w:tcPr>
            <w:tcW w:w="1580" w:type="dxa"/>
            <w:vAlign w:val="bottom"/>
          </w:tcPr>
          <w:p>
            <w:pPr>
              <w:ind w:left="380"/>
              <w:spacing w:after="0"/>
              <w:rPr>
                <w:sz w:val="20"/>
                <w:szCs w:val="20"/>
                <w:color w:val="auto"/>
              </w:rPr>
            </w:pPr>
            <w:r>
              <w:rPr>
                <w:rFonts w:ascii="Arial" w:cs="Arial" w:eastAsia="Arial" w:hAnsi="Arial"/>
                <w:sz w:val="12"/>
                <w:szCs w:val="12"/>
                <w:color w:val="auto"/>
              </w:rPr>
              <w:t>(Middle)</w:t>
            </w:r>
          </w:p>
        </w:tc>
      </w:tr>
      <w:tr>
        <w:trPr>
          <w:trHeight w:val="254"/>
        </w:trPr>
        <w:tc>
          <w:tcPr>
            <w:tcW w:w="20" w:type="dxa"/>
            <w:vAlign w:val="bottom"/>
          </w:tcPr>
          <w:p>
            <w:pPr>
              <w:spacing w:after="0"/>
              <w:rPr>
                <w:sz w:val="22"/>
                <w:szCs w:val="22"/>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0000FF"/>
              </w:rPr>
              <w:t>444 MADISON AVENUE</w:t>
            </w:r>
          </w:p>
        </w:tc>
        <w:tc>
          <w:tcPr>
            <w:tcW w:w="1580" w:type="dxa"/>
            <w:vAlign w:val="bottom"/>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6"/>
                <w:szCs w:val="16"/>
                <w:color w:val="0000FF"/>
              </w:rPr>
              <w:t>35TH FLOOR</w:t>
            </w:r>
          </w:p>
        </w:tc>
        <w:tc>
          <w:tcPr>
            <w:tcW w:w="10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43"/>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6"/>
                <w:szCs w:val="16"/>
                <w:color w:val="0000FF"/>
              </w:rPr>
              <w:t>NEW YORK</w:t>
            </w:r>
          </w:p>
        </w:tc>
        <w:tc>
          <w:tcPr>
            <w:tcW w:w="1000" w:type="dxa"/>
            <w:vAlign w:val="bottom"/>
          </w:tcPr>
          <w:p>
            <w:pPr>
              <w:ind w:left="160"/>
              <w:spacing w:after="0"/>
              <w:rPr>
                <w:sz w:val="20"/>
                <w:szCs w:val="20"/>
                <w:color w:val="auto"/>
              </w:rPr>
            </w:pPr>
            <w:r>
              <w:rPr>
                <w:rFonts w:ascii="Arial" w:cs="Arial" w:eastAsia="Arial" w:hAnsi="Arial"/>
                <w:sz w:val="16"/>
                <w:szCs w:val="16"/>
                <w:color w:val="0000FF"/>
              </w:rPr>
              <w:t>NY</w:t>
            </w:r>
          </w:p>
        </w:tc>
        <w:tc>
          <w:tcPr>
            <w:tcW w:w="1580" w:type="dxa"/>
            <w:vAlign w:val="bottom"/>
          </w:tcPr>
          <w:p>
            <w:pPr>
              <w:ind w:left="380"/>
              <w:spacing w:after="0"/>
              <w:rPr>
                <w:sz w:val="20"/>
                <w:szCs w:val="20"/>
                <w:color w:val="auto"/>
              </w:rPr>
            </w:pPr>
            <w:r>
              <w:rPr>
                <w:rFonts w:ascii="Arial" w:cs="Arial" w:eastAsia="Arial" w:hAnsi="Arial"/>
                <w:sz w:val="16"/>
                <w:szCs w:val="16"/>
                <w:color w:val="0000FF"/>
              </w:rPr>
              <w:t>10022</w:t>
            </w:r>
          </w:p>
        </w:tc>
      </w:tr>
      <w:tr>
        <w:trPr>
          <w:trHeight w:val="141"/>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8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(City)</w:t>
            </w:r>
          </w:p>
        </w:tc>
        <w:tc>
          <w:tcPr>
            <w:tcW w:w="1000" w:type="dxa"/>
            <w:vAlign w:val="bottom"/>
          </w:tcPr>
          <w:p>
            <w:pPr>
              <w:ind w:left="160"/>
              <w:spacing w:after="0"/>
              <w:rPr>
                <w:sz w:val="20"/>
                <w:szCs w:val="20"/>
                <w:color w:val="auto"/>
              </w:rPr>
            </w:pPr>
            <w:r>
              <w:rPr>
                <w:rFonts w:ascii="Arial" w:cs="Arial" w:eastAsia="Arial" w:hAnsi="Arial"/>
                <w:sz w:val="12"/>
                <w:szCs w:val="12"/>
                <w:color w:val="auto"/>
              </w:rPr>
              <w:t>(State)</w:t>
            </w:r>
          </w:p>
        </w:tc>
        <w:tc>
          <w:tcPr>
            <w:tcW w:w="1580" w:type="dxa"/>
            <w:vAlign w:val="bottom"/>
          </w:tcPr>
          <w:p>
            <w:pPr>
              <w:ind w:left="38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780" w:type="dxa"/>
            <w:vAlign w:val="bottom"/>
            <w:gridSpan w:val="3"/>
          </w:tcPr>
          <w:p>
            <w:pPr>
              <w:spacing w:after="0" w:line="129" w:lineRule="exact"/>
              <w:rPr>
                <w:rFonts w:ascii="Arial" w:cs="Arial" w:eastAsia="Arial" w:hAnsi="Arial"/>
                <w:sz w:val="14"/>
                <w:szCs w:val="14"/>
                <w:color w:val="0000EE"/>
              </w:rPr>
            </w:pPr>
            <w:hyperlink r:id="rId13">
              <w:r>
                <w:rPr>
                  <w:rFonts w:ascii="Arial" w:cs="Arial" w:eastAsia="Arial" w:hAnsi="Arial"/>
                  <w:sz w:val="14"/>
                  <w:szCs w:val="14"/>
                  <w:color w:val="0000EE"/>
                </w:rPr>
                <w:t xml:space="preserve">Vistagen Therapeutics,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VTGN</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2"/>
                <w:szCs w:val="12"/>
                <w:color w:val="auto"/>
              </w:rPr>
              <w:t>Director</w:t>
            </w:r>
          </w:p>
        </w:tc>
        <w:tc>
          <w:tcPr>
            <w:tcW w:w="1640" w:type="dxa"/>
            <w:vAlign w:val="bottom"/>
            <w:vMerge w:val="restart"/>
          </w:tcPr>
          <w:p>
            <w:pPr>
              <w:ind w:left="180"/>
              <w:spacing w:after="0" w:line="15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1"/>
        </w:trPr>
        <w:tc>
          <w:tcPr>
            <w:tcW w:w="2200" w:type="dxa"/>
            <w:vAlign w:val="bottom"/>
            <w:gridSpan w:val="3"/>
          </w:tcPr>
          <w:p>
            <w:pPr>
              <w:ind w:left="60"/>
              <w:spacing w:after="0"/>
              <w:rPr>
                <w:sz w:val="20"/>
                <w:szCs w:val="20"/>
                <w:color w:val="auto"/>
              </w:rPr>
            </w:pPr>
            <w:r>
              <w:rPr>
                <w:rFonts w:ascii="Arial" w:cs="Arial" w:eastAsia="Arial" w:hAnsi="Arial"/>
                <w:sz w:val="16"/>
                <w:szCs w:val="16"/>
                <w:color w:val="0000FF"/>
              </w:rPr>
              <w:t>10/04/2023</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below)</w:t>
            </w:r>
          </w:p>
        </w:tc>
        <w:tc>
          <w:tcPr>
            <w:tcW w:w="1640" w:type="dxa"/>
            <w:vAlign w:val="bottom"/>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6" w:lineRule="exact"/>
        <w:rPr>
          <w:sz w:val="24"/>
          <w:szCs w:val="24"/>
          <w:color w:val="auto"/>
        </w:rPr>
      </w:pPr>
    </w:p>
    <w:p>
      <w:pPr>
        <w:ind w:left="320" w:right="480"/>
        <w:spacing w:after="0" w:line="25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1840" w:type="dxa"/>
            <w:vAlign w:val="bottom"/>
          </w:tcPr>
          <w:p>
            <w:pPr>
              <w:ind w:left="880"/>
              <w:spacing w:after="0" w:line="119"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840" w:type="dxa"/>
            <w:vAlign w:val="bottom"/>
          </w:tcPr>
          <w:p>
            <w:pPr>
              <w:ind w:left="880"/>
              <w:spacing w:after="0" w:line="122"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5"/>
                <w:szCs w:val="5"/>
                <w:color w:val="auto"/>
              </w:rPr>
            </w:pPr>
          </w:p>
        </w:tc>
        <w:tc>
          <w:tcPr>
            <w:tcW w:w="820" w:type="dxa"/>
            <w:vAlign w:val="bottom"/>
            <w:vMerge w:val="restart"/>
          </w:tcPr>
          <w:p>
            <w:pPr>
              <w:ind w:left="1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240" w:type="dxa"/>
            <w:vAlign w:val="bottom"/>
          </w:tcPr>
          <w:p>
            <w:pPr>
              <w:spacing w:after="0"/>
              <w:rPr>
                <w:sz w:val="10"/>
                <w:szCs w:val="10"/>
                <w:color w:val="auto"/>
              </w:rPr>
            </w:pP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80"/>
              <w:spacing w:after="0"/>
              <w:rPr>
                <w:sz w:val="20"/>
                <w:szCs w:val="20"/>
                <w:color w:val="auto"/>
              </w:rPr>
            </w:pPr>
            <w:r>
              <w:rPr>
                <w:rFonts w:ascii="Arial" w:cs="Arial" w:eastAsia="Arial" w:hAnsi="Arial"/>
                <w:sz w:val="12"/>
                <w:szCs w:val="12"/>
                <w:color w:val="0000FF"/>
              </w:rPr>
              <w:t>Pre-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4"/>
        </w:trPr>
        <w:tc>
          <w:tcPr>
            <w:tcW w:w="660" w:type="dxa"/>
            <w:vAlign w:val="bottom"/>
          </w:tcPr>
          <w:p>
            <w:pPr>
              <w:ind w:left="80"/>
              <w:spacing w:after="0" w:line="134" w:lineRule="exact"/>
              <w:rPr>
                <w:sz w:val="20"/>
                <w:szCs w:val="20"/>
                <w:color w:val="auto"/>
              </w:rPr>
            </w:pPr>
            <w:r>
              <w:rPr>
                <w:rFonts w:ascii="Arial" w:cs="Arial" w:eastAsia="Arial" w:hAnsi="Arial"/>
                <w:sz w:val="12"/>
                <w:szCs w:val="12"/>
                <w:color w:val="0000FF"/>
              </w:rPr>
              <w:t>Funded</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color w:val="0000FF"/>
                <w:w w:val="97"/>
              </w:rPr>
              <w:t>2,788,620</w:t>
            </w:r>
            <w:r>
              <w:rPr>
                <w:rFonts w:ascii="Arial" w:cs="Arial" w:eastAsia="Arial" w:hAnsi="Arial"/>
                <w:sz w:val="20"/>
                <w:szCs w:val="20"/>
                <w:color w:val="008000"/>
                <w:w w:val="97"/>
                <w:vertAlign w:val="superscript"/>
              </w:rPr>
              <w:t>(1)</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0000FF"/>
                <w:w w:val="92"/>
              </w:rPr>
              <w:t>2,788,620</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color w:val="0000FF"/>
                <w:w w:val="99"/>
              </w:rPr>
              <w:t>Commodore</w:t>
            </w:r>
          </w:p>
        </w:tc>
        <w:tc>
          <w:tcPr>
            <w:tcW w:w="0" w:type="dxa"/>
            <w:vAlign w:val="bottom"/>
          </w:tcPr>
          <w:p>
            <w:pPr>
              <w:spacing w:after="0"/>
              <w:rPr>
                <w:sz w:val="1"/>
                <w:szCs w:val="1"/>
                <w:color w:val="auto"/>
              </w:rPr>
            </w:pPr>
          </w:p>
        </w:tc>
      </w:tr>
      <w:tr>
        <w:trPr>
          <w:trHeight w:val="143"/>
        </w:trPr>
        <w:tc>
          <w:tcPr>
            <w:tcW w:w="660" w:type="dxa"/>
            <w:vAlign w:val="bottom"/>
          </w:tcPr>
          <w:p>
            <w:pPr>
              <w:ind w:left="80"/>
              <w:spacing w:after="0"/>
              <w:rPr>
                <w:sz w:val="20"/>
                <w:szCs w:val="20"/>
                <w:color w:val="auto"/>
              </w:rPr>
            </w:pPr>
            <w:r>
              <w:rPr>
                <w:rFonts w:ascii="Arial" w:cs="Arial" w:eastAsia="Arial" w:hAnsi="Arial"/>
                <w:sz w:val="12"/>
                <w:szCs w:val="12"/>
                <w:color w:val="0000FF"/>
              </w:rPr>
              <w:t>Warrants</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0.001</w:t>
            </w:r>
          </w:p>
        </w:tc>
        <w:tc>
          <w:tcPr>
            <w:tcW w:w="1020" w:type="dxa"/>
            <w:vAlign w:val="bottom"/>
          </w:tcPr>
          <w:p>
            <w:pPr>
              <w:jc w:val="center"/>
              <w:spacing w:after="0"/>
              <w:rPr>
                <w:sz w:val="20"/>
                <w:szCs w:val="20"/>
                <w:color w:val="auto"/>
              </w:rPr>
            </w:pPr>
            <w:r>
              <w:rPr>
                <w:rFonts w:ascii="Arial" w:cs="Arial" w:eastAsia="Arial" w:hAnsi="Arial"/>
                <w:sz w:val="12"/>
                <w:szCs w:val="12"/>
                <w:color w:val="0000FF"/>
                <w:w w:val="89"/>
              </w:rPr>
              <w:t>10/04/2023</w:t>
            </w:r>
          </w:p>
        </w:tc>
        <w:tc>
          <w:tcPr>
            <w:tcW w:w="1020" w:type="dxa"/>
            <w:vAlign w:val="bottom"/>
          </w:tcPr>
          <w:p>
            <w:pPr>
              <w:spacing w:after="0"/>
              <w:rPr>
                <w:sz w:val="12"/>
                <w:szCs w:val="1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ind w:left="100"/>
              <w:spacing w:after="0"/>
              <w:rPr>
                <w:sz w:val="20"/>
                <w:szCs w:val="20"/>
                <w:color w:val="auto"/>
              </w:rPr>
            </w:pPr>
            <w:r>
              <w:rPr>
                <w:rFonts w:ascii="Arial" w:cs="Arial" w:eastAsia="Arial" w:hAnsi="Arial"/>
                <w:sz w:val="12"/>
                <w:szCs w:val="12"/>
                <w:color w:val="0000FF"/>
              </w:rPr>
              <w:t>10/04/2023</w:t>
            </w:r>
          </w:p>
        </w:tc>
        <w:tc>
          <w:tcPr>
            <w:tcW w:w="80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880" w:type="dxa"/>
            <w:vAlign w:val="bottom"/>
          </w:tcPr>
          <w:p>
            <w:pPr>
              <w:ind w:left="200"/>
              <w:spacing w:after="0"/>
              <w:rPr>
                <w:sz w:val="20"/>
                <w:szCs w:val="20"/>
                <w:color w:val="auto"/>
              </w:rPr>
            </w:pPr>
            <w:r>
              <w:rPr>
                <w:rFonts w:ascii="Arial" w:cs="Arial" w:eastAsia="Arial" w:hAnsi="Arial"/>
                <w:sz w:val="12"/>
                <w:szCs w:val="12"/>
                <w:color w:val="0000FF"/>
              </w:rPr>
              <w:t>2,788,620</w:t>
            </w:r>
          </w:p>
        </w:tc>
        <w:tc>
          <w:tcPr>
            <w:tcW w:w="700" w:type="dxa"/>
            <w:vAlign w:val="bottom"/>
          </w:tcPr>
          <w:p>
            <w:pPr>
              <w:ind w:left="320"/>
              <w:spacing w:after="0"/>
              <w:rPr>
                <w:sz w:val="20"/>
                <w:szCs w:val="20"/>
                <w:color w:val="auto"/>
              </w:rPr>
            </w:pPr>
            <w:r>
              <w:rPr>
                <w:rFonts w:ascii="Arial" w:cs="Arial" w:eastAsia="Arial" w:hAnsi="Arial"/>
                <w:sz w:val="12"/>
                <w:szCs w:val="12"/>
                <w:color w:val="0000FF"/>
              </w:rPr>
              <w:t>I</w:t>
            </w:r>
          </w:p>
        </w:tc>
        <w:tc>
          <w:tcPr>
            <w:tcW w:w="740" w:type="dxa"/>
            <w:vAlign w:val="bottom"/>
          </w:tcPr>
          <w:p>
            <w:pPr>
              <w:ind w:left="6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ind w:left="160"/>
              <w:spacing w:after="0" w:line="122"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2"/>
                <w:szCs w:val="12"/>
                <w:color w:val="0000FF"/>
              </w:rPr>
              <w:t>Master</w:t>
            </w:r>
          </w:p>
        </w:tc>
        <w:tc>
          <w:tcPr>
            <w:tcW w:w="0" w:type="dxa"/>
            <w:vAlign w:val="bottom"/>
          </w:tcPr>
          <w:p>
            <w:pPr>
              <w:spacing w:after="0"/>
              <w:rPr>
                <w:sz w:val="1"/>
                <w:szCs w:val="1"/>
                <w:color w:val="auto"/>
              </w:rPr>
            </w:pPr>
          </w:p>
        </w:tc>
      </w:tr>
      <w:tr>
        <w:trPr>
          <w:trHeight w:val="224"/>
        </w:trPr>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2"/>
                <w:szCs w:val="12"/>
                <w:color w:val="0000FF"/>
              </w:rPr>
              <w:t>Buy)</w:t>
            </w:r>
          </w:p>
        </w:tc>
        <w:tc>
          <w:tcPr>
            <w:tcW w:w="7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60"/>
              <w:spacing w:after="0" w:line="219"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174"/>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Tranche 1</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color w:val="0000FF"/>
                <w:w w:val="99"/>
              </w:rPr>
              <w:t>Commodore</w:t>
            </w:r>
          </w:p>
        </w:tc>
        <w:tc>
          <w:tcPr>
            <w:tcW w:w="0" w:type="dxa"/>
            <w:vAlign w:val="bottom"/>
          </w:tcPr>
          <w:p>
            <w:pPr>
              <w:spacing w:after="0"/>
              <w:rPr>
                <w:sz w:val="1"/>
                <w:szCs w:val="1"/>
                <w:color w:val="auto"/>
              </w:rPr>
            </w:pPr>
          </w:p>
        </w:tc>
      </w:tr>
      <w:tr>
        <w:trPr>
          <w:trHeight w:val="61"/>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Warrants</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80"/>
              <w:spacing w:after="0" w:line="204" w:lineRule="exact"/>
              <w:rPr>
                <w:sz w:val="20"/>
                <w:szCs w:val="20"/>
                <w:color w:val="auto"/>
              </w:rPr>
            </w:pPr>
            <w:r>
              <w:rPr>
                <w:rFonts w:ascii="Arial" w:cs="Arial" w:eastAsia="Arial" w:hAnsi="Arial"/>
                <w:sz w:val="12"/>
                <w:szCs w:val="12"/>
                <w:color w:val="0000FF"/>
                <w:w w:val="97"/>
              </w:rPr>
              <w:t>1,394,310</w:t>
            </w:r>
            <w:r>
              <w:rPr>
                <w:rFonts w:ascii="Arial" w:cs="Arial" w:eastAsia="Arial" w:hAnsi="Arial"/>
                <w:sz w:val="20"/>
                <w:szCs w:val="20"/>
                <w:color w:val="008000"/>
                <w:w w:val="97"/>
                <w:vertAlign w:val="superscript"/>
              </w:rPr>
              <w:t>(1)</w:t>
            </w: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0000FF"/>
                <w:w w:val="92"/>
              </w:rPr>
              <w:t>1,394,310</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66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5.38</w:t>
            </w:r>
          </w:p>
        </w:tc>
        <w:tc>
          <w:tcPr>
            <w:tcW w:w="1020" w:type="dxa"/>
            <w:vAlign w:val="bottom"/>
          </w:tcPr>
          <w:p>
            <w:pPr>
              <w:jc w:val="center"/>
              <w:spacing w:after="0"/>
              <w:rPr>
                <w:sz w:val="20"/>
                <w:szCs w:val="20"/>
                <w:color w:val="auto"/>
              </w:rPr>
            </w:pPr>
            <w:r>
              <w:rPr>
                <w:rFonts w:ascii="Arial" w:cs="Arial" w:eastAsia="Arial" w:hAnsi="Arial"/>
                <w:sz w:val="12"/>
                <w:szCs w:val="12"/>
                <w:color w:val="0000FF"/>
                <w:w w:val="89"/>
              </w:rPr>
              <w:t>10/04/2023</w:t>
            </w:r>
          </w:p>
        </w:tc>
        <w:tc>
          <w:tcPr>
            <w:tcW w:w="1020" w:type="dxa"/>
            <w:vAlign w:val="bottom"/>
          </w:tcPr>
          <w:p>
            <w:pPr>
              <w:spacing w:after="0"/>
              <w:rPr>
                <w:sz w:val="12"/>
                <w:szCs w:val="1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ind w:left="100"/>
              <w:spacing w:after="0"/>
              <w:rPr>
                <w:sz w:val="20"/>
                <w:szCs w:val="20"/>
                <w:color w:val="auto"/>
              </w:rPr>
            </w:pPr>
            <w:r>
              <w:rPr>
                <w:rFonts w:ascii="Arial" w:cs="Arial" w:eastAsia="Arial" w:hAnsi="Arial"/>
                <w:sz w:val="12"/>
                <w:szCs w:val="12"/>
                <w:color w:val="0000FF"/>
              </w:rPr>
              <w:t>10/04/2023</w:t>
            </w:r>
          </w:p>
        </w:tc>
        <w:tc>
          <w:tcPr>
            <w:tcW w:w="80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880" w:type="dxa"/>
            <w:vAlign w:val="bottom"/>
          </w:tcPr>
          <w:p>
            <w:pPr>
              <w:ind w:left="200"/>
              <w:spacing w:after="0"/>
              <w:rPr>
                <w:sz w:val="20"/>
                <w:szCs w:val="20"/>
                <w:color w:val="auto"/>
              </w:rPr>
            </w:pPr>
            <w:r>
              <w:rPr>
                <w:rFonts w:ascii="Arial" w:cs="Arial" w:eastAsia="Arial" w:hAnsi="Arial"/>
                <w:sz w:val="12"/>
                <w:szCs w:val="12"/>
                <w:color w:val="0000FF"/>
              </w:rPr>
              <w:t>1,394,310</w:t>
            </w:r>
          </w:p>
        </w:tc>
        <w:tc>
          <w:tcPr>
            <w:tcW w:w="700" w:type="dxa"/>
            <w:vAlign w:val="bottom"/>
          </w:tcPr>
          <w:p>
            <w:pPr>
              <w:ind w:left="320"/>
              <w:spacing w:after="0"/>
              <w:rPr>
                <w:sz w:val="20"/>
                <w:szCs w:val="20"/>
                <w:color w:val="auto"/>
              </w:rPr>
            </w:pPr>
            <w:r>
              <w:rPr>
                <w:rFonts w:ascii="Arial" w:cs="Arial" w:eastAsia="Arial" w:hAnsi="Arial"/>
                <w:sz w:val="12"/>
                <w:szCs w:val="12"/>
                <w:color w:val="0000FF"/>
              </w:rPr>
              <w:t>I</w:t>
            </w:r>
          </w:p>
        </w:tc>
        <w:tc>
          <w:tcPr>
            <w:tcW w:w="740" w:type="dxa"/>
            <w:vAlign w:val="bottom"/>
          </w:tcPr>
          <w:p>
            <w:pPr>
              <w:ind w:left="6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64"/>
        </w:trPr>
        <w:tc>
          <w:tcPr>
            <w:tcW w:w="660" w:type="dxa"/>
            <w:vAlign w:val="bottom"/>
          </w:tcPr>
          <w:p>
            <w:pPr>
              <w:ind w:left="80"/>
              <w:spacing w:after="0" w:line="65" w:lineRule="exact"/>
              <w:rPr>
                <w:sz w:val="20"/>
                <w:szCs w:val="20"/>
                <w:color w:val="auto"/>
              </w:rPr>
            </w:pPr>
            <w:r>
              <w:rPr>
                <w:rFonts w:ascii="Arial" w:cs="Arial" w:eastAsia="Arial" w:hAnsi="Arial"/>
                <w:sz w:val="7"/>
                <w:szCs w:val="7"/>
                <w:color w:val="0000FF"/>
              </w:rPr>
              <w:t>(Right to</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ind w:left="160"/>
              <w:spacing w:after="0" w:line="65" w:lineRule="exact"/>
              <w:rPr>
                <w:sz w:val="20"/>
                <w:szCs w:val="20"/>
                <w:color w:val="auto"/>
              </w:rPr>
            </w:pPr>
            <w:r>
              <w:rPr>
                <w:rFonts w:ascii="Arial" w:cs="Arial" w:eastAsia="Arial" w:hAnsi="Arial"/>
                <w:sz w:val="7"/>
                <w:szCs w:val="7"/>
                <w:color w:val="0000FF"/>
              </w:rPr>
              <w:t>Stock</w:t>
            </w: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Master</w:t>
            </w:r>
          </w:p>
        </w:tc>
        <w:tc>
          <w:tcPr>
            <w:tcW w:w="0" w:type="dxa"/>
            <w:vAlign w:val="bottom"/>
          </w:tcPr>
          <w:p>
            <w:pPr>
              <w:spacing w:after="0"/>
              <w:rPr>
                <w:sz w:val="1"/>
                <w:szCs w:val="1"/>
                <w:color w:val="auto"/>
              </w:rPr>
            </w:pPr>
          </w:p>
        </w:tc>
      </w:tr>
      <w:tr>
        <w:trPr>
          <w:trHeight w:val="57"/>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vMerge w:val="restart"/>
          </w:tcPr>
          <w:p>
            <w:pPr>
              <w:ind w:left="60"/>
              <w:spacing w:after="0" w:line="220"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127"/>
        </w:trPr>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Tranche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color w:val="0000FF"/>
                <w:w w:val="99"/>
              </w:rPr>
              <w:t>Commodore</w:t>
            </w:r>
          </w:p>
        </w:tc>
        <w:tc>
          <w:tcPr>
            <w:tcW w:w="0" w:type="dxa"/>
            <w:vAlign w:val="bottom"/>
          </w:tcPr>
          <w:p>
            <w:pPr>
              <w:spacing w:after="0"/>
              <w:rPr>
                <w:sz w:val="1"/>
                <w:szCs w:val="1"/>
                <w:color w:val="auto"/>
              </w:rPr>
            </w:pPr>
          </w:p>
        </w:tc>
      </w:tr>
      <w:tr>
        <w:trPr>
          <w:trHeight w:val="61"/>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Warrants</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80"/>
              <w:spacing w:after="0" w:line="204" w:lineRule="exact"/>
              <w:rPr>
                <w:sz w:val="20"/>
                <w:szCs w:val="20"/>
                <w:color w:val="auto"/>
              </w:rPr>
            </w:pPr>
            <w:r>
              <w:rPr>
                <w:rFonts w:ascii="Arial" w:cs="Arial" w:eastAsia="Arial" w:hAnsi="Arial"/>
                <w:sz w:val="12"/>
                <w:szCs w:val="12"/>
                <w:color w:val="0000FF"/>
                <w:w w:val="97"/>
              </w:rPr>
              <w:t>1,690,014</w:t>
            </w:r>
            <w:r>
              <w:rPr>
                <w:rFonts w:ascii="Arial" w:cs="Arial" w:eastAsia="Arial" w:hAnsi="Arial"/>
                <w:sz w:val="20"/>
                <w:szCs w:val="20"/>
                <w:color w:val="008000"/>
                <w:w w:val="97"/>
                <w:vertAlign w:val="superscript"/>
              </w:rPr>
              <w:t>(1)</w:t>
            </w: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restart"/>
          </w:tcPr>
          <w:p>
            <w:pPr>
              <w:jc w:val="center"/>
              <w:spacing w:after="0" w:line="204" w:lineRule="exact"/>
              <w:rPr>
                <w:sz w:val="20"/>
                <w:szCs w:val="20"/>
                <w:color w:val="auto"/>
              </w:rPr>
            </w:pPr>
            <w:r>
              <w:rPr>
                <w:rFonts w:ascii="Arial" w:cs="Arial" w:eastAsia="Arial" w:hAnsi="Arial"/>
                <w:sz w:val="12"/>
                <w:szCs w:val="12"/>
                <w:color w:val="0000FF"/>
                <w:w w:val="86"/>
              </w:rPr>
              <w:t>10/04/2028</w:t>
            </w:r>
            <w:r>
              <w:rPr>
                <w:rFonts w:ascii="Arial" w:cs="Arial" w:eastAsia="Arial" w:hAnsi="Arial"/>
                <w:sz w:val="20"/>
                <w:szCs w:val="20"/>
                <w:color w:val="008000"/>
                <w:w w:val="86"/>
                <w:vertAlign w:val="superscript"/>
              </w:rPr>
              <w:t>(6)</w:t>
            </w:r>
          </w:p>
        </w:tc>
        <w:tc>
          <w:tcPr>
            <w:tcW w:w="60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0000FF"/>
                <w:w w:val="92"/>
              </w:rPr>
              <w:t>1,690,014</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66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8.877</w:t>
            </w:r>
          </w:p>
        </w:tc>
        <w:tc>
          <w:tcPr>
            <w:tcW w:w="1020" w:type="dxa"/>
            <w:vAlign w:val="bottom"/>
          </w:tcPr>
          <w:p>
            <w:pPr>
              <w:jc w:val="center"/>
              <w:spacing w:after="0"/>
              <w:rPr>
                <w:sz w:val="20"/>
                <w:szCs w:val="20"/>
                <w:color w:val="auto"/>
              </w:rPr>
            </w:pPr>
            <w:r>
              <w:rPr>
                <w:rFonts w:ascii="Arial" w:cs="Arial" w:eastAsia="Arial" w:hAnsi="Arial"/>
                <w:sz w:val="12"/>
                <w:szCs w:val="12"/>
                <w:color w:val="0000FF"/>
                <w:w w:val="89"/>
              </w:rPr>
              <w:t>10/04/2023</w:t>
            </w:r>
          </w:p>
        </w:tc>
        <w:tc>
          <w:tcPr>
            <w:tcW w:w="1020" w:type="dxa"/>
            <w:vAlign w:val="bottom"/>
          </w:tcPr>
          <w:p>
            <w:pPr>
              <w:spacing w:after="0"/>
              <w:rPr>
                <w:sz w:val="12"/>
                <w:szCs w:val="1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ind w:left="100"/>
              <w:spacing w:after="0"/>
              <w:rPr>
                <w:sz w:val="20"/>
                <w:szCs w:val="20"/>
                <w:color w:val="auto"/>
              </w:rPr>
            </w:pPr>
            <w:r>
              <w:rPr>
                <w:rFonts w:ascii="Arial" w:cs="Arial" w:eastAsia="Arial" w:hAnsi="Arial"/>
                <w:sz w:val="12"/>
                <w:szCs w:val="12"/>
                <w:color w:val="0000FF"/>
              </w:rPr>
              <w:t>10/04/2023</w:t>
            </w:r>
          </w:p>
        </w:tc>
        <w:tc>
          <w:tcPr>
            <w:tcW w:w="8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880" w:type="dxa"/>
            <w:vAlign w:val="bottom"/>
          </w:tcPr>
          <w:p>
            <w:pPr>
              <w:ind w:left="200"/>
              <w:spacing w:after="0"/>
              <w:rPr>
                <w:sz w:val="20"/>
                <w:szCs w:val="20"/>
                <w:color w:val="auto"/>
              </w:rPr>
            </w:pPr>
            <w:r>
              <w:rPr>
                <w:rFonts w:ascii="Arial" w:cs="Arial" w:eastAsia="Arial" w:hAnsi="Arial"/>
                <w:sz w:val="12"/>
                <w:szCs w:val="12"/>
                <w:color w:val="0000FF"/>
              </w:rPr>
              <w:t>1,690,014</w:t>
            </w:r>
          </w:p>
        </w:tc>
        <w:tc>
          <w:tcPr>
            <w:tcW w:w="700" w:type="dxa"/>
            <w:vAlign w:val="bottom"/>
          </w:tcPr>
          <w:p>
            <w:pPr>
              <w:ind w:left="320"/>
              <w:spacing w:after="0"/>
              <w:rPr>
                <w:sz w:val="20"/>
                <w:szCs w:val="20"/>
                <w:color w:val="auto"/>
              </w:rPr>
            </w:pPr>
            <w:r>
              <w:rPr>
                <w:rFonts w:ascii="Arial" w:cs="Arial" w:eastAsia="Arial" w:hAnsi="Arial"/>
                <w:sz w:val="12"/>
                <w:szCs w:val="12"/>
                <w:color w:val="0000FF"/>
              </w:rPr>
              <w:t>I</w:t>
            </w:r>
          </w:p>
        </w:tc>
        <w:tc>
          <w:tcPr>
            <w:tcW w:w="740" w:type="dxa"/>
            <w:vAlign w:val="bottom"/>
          </w:tcPr>
          <w:p>
            <w:pPr>
              <w:ind w:left="6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10"/>
        </w:trPr>
        <w:tc>
          <w:tcPr>
            <w:tcW w:w="660" w:type="dxa"/>
            <w:vAlign w:val="bottom"/>
          </w:tcPr>
          <w:p>
            <w:pPr>
              <w:ind w:left="80"/>
              <w:spacing w:after="0" w:line="110" w:lineRule="exact"/>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ind w:left="60"/>
              <w:spacing w:after="0" w:line="74" w:lineRule="exact"/>
              <w:rPr>
                <w:sz w:val="20"/>
                <w:szCs w:val="20"/>
                <w:color w:val="auto"/>
              </w:rPr>
            </w:pPr>
            <w:r>
              <w:rPr>
                <w:rFonts w:ascii="Arial" w:cs="Arial" w:eastAsia="Arial" w:hAnsi="Arial"/>
                <w:sz w:val="8"/>
                <w:szCs w:val="8"/>
                <w:color w:val="0000FF"/>
              </w:rPr>
              <w:t>Master</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5280" w:type="dxa"/>
            <w:vAlign w:val="bottom"/>
          </w:tcPr>
          <w:p>
            <w:pPr>
              <w:spacing w:after="0"/>
              <w:rPr>
                <w:sz w:val="20"/>
                <w:szCs w:val="20"/>
                <w:color w:val="auto"/>
              </w:rPr>
            </w:pPr>
            <w:r>
              <w:rPr>
                <w:rFonts w:ascii="Arial" w:cs="Arial" w:eastAsia="Arial" w:hAnsi="Arial"/>
                <w:sz w:val="12"/>
                <w:szCs w:val="12"/>
                <w:color w:val="0000FF"/>
              </w:rPr>
              <w:t>Buy)</w:t>
            </w:r>
          </w:p>
        </w:tc>
        <w:tc>
          <w:tcPr>
            <w:tcW w:w="5300" w:type="dxa"/>
            <w:vAlign w:val="bottom"/>
            <w:vMerge w:val="restart"/>
          </w:tcPr>
          <w:p>
            <w:pPr>
              <w:ind w:left="5040"/>
              <w:spacing w:after="0"/>
              <w:rPr>
                <w:sz w:val="20"/>
                <w:szCs w:val="20"/>
                <w:color w:val="auto"/>
              </w:rPr>
            </w:pPr>
            <w:r>
              <w:rPr>
                <w:rFonts w:ascii="Arial" w:cs="Arial" w:eastAsia="Arial" w:hAnsi="Arial"/>
                <w:sz w:val="24"/>
                <w:szCs w:val="24"/>
                <w:color w:val="0000FF"/>
                <w:w w:val="75"/>
                <w:vertAlign w:val="subscript"/>
              </w:rPr>
              <w:t>LP</w:t>
            </w:r>
            <w:r>
              <w:rPr>
                <w:rFonts w:ascii="Arial" w:cs="Arial" w:eastAsia="Arial" w:hAnsi="Arial"/>
                <w:sz w:val="10"/>
                <w:szCs w:val="10"/>
                <w:color w:val="008000"/>
                <w:w w:val="75"/>
              </w:rPr>
              <w:t>(4)</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36" w:lineRule="exact"/>
        <w:rPr>
          <w:sz w:val="24"/>
          <w:szCs w:val="24"/>
          <w:color w:val="auto"/>
        </w:rPr>
      </w:pPr>
    </w:p>
    <w:p>
      <w:pPr>
        <w:ind w:left="40" w:right="200" w:hanging="6"/>
        <w:spacing w:after="0" w:line="267" w:lineRule="auto"/>
        <w:tabs>
          <w:tab w:leader="none" w:pos="16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October 4, 2023, Vistagen Therapeutics, Inc. (the "Issuer") closed an offering of 15,010,810 shares of its common stock, $0.001 par value per share ("Common Stock") with accompanying common warrants to purchase up to 9,294,022 shares of Common Stock (or pre-funded warrants to purchase up to 9,294,022 shares of Common Stock in lieu thereof) (the "Tranche 1 Warrants") and accompanying common warrants to purchase up to 11,265,086 shares of Common Stock (or pre-funded warrants to purchase up to 11,265,086 shares of Common Stock in lieu thereof) (the "Tranche 2 Warrants"). In lieu of shares of Common Stock, the Issuer offered pre-funded warrants to purchase up to 3,577,240 shares of Common Stock (the "Pre-Funded Warrants") with accompanying Tranche 1 Warrants and accompanying Tranche 2 Warrants. As a result of the offering and certain ownership limitations described below, Commodore Capital LP ("Commodore Capital") is no longer a 10% beneficial owner of the Issuer.</w:t>
      </w:r>
    </w:p>
    <w:p>
      <w:pPr>
        <w:spacing w:after="0" w:line="14" w:lineRule="exact"/>
        <w:rPr>
          <w:rFonts w:ascii="Arial" w:cs="Arial" w:eastAsia="Arial" w:hAnsi="Arial"/>
          <w:sz w:val="11"/>
          <w:szCs w:val="11"/>
          <w:color w:val="008000"/>
        </w:rPr>
      </w:pPr>
    </w:p>
    <w:p>
      <w:pPr>
        <w:ind w:left="40" w:right="200" w:hanging="6"/>
        <w:spacing w:after="0" w:line="242"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Pre-Funded Warrants are exercisable from the date of issuance until fully exercised. The Pre-funded Warrants contain an exercise limitation prohibiting Commodore Capital Master LP ("Commodore Master") from exercising the Pre-Funded Warrants until such time as the holder, together with certain related parties, would not beneficially own after any such exercise more than 9.99% of the then issued and outstanding Common Stock. Due to this blocker, the Pre-funded Warrants owned by Commodore Master are not fully exercisable at this time. The blocker percentage may be increased up to 19.99% or decreased by Commodore Master upon 61 days' notice to the Issuer.</w:t>
      </w:r>
    </w:p>
    <w:p>
      <w:pPr>
        <w:spacing w:after="0" w:line="28"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Issuer offered Pre-Funded Warrants at a combined offering price of $5.379 per Pre-Funded Warrant, accompanying Tranche 1 Warrant, and accompanying Tranche 2 Warrant.</w:t>
      </w:r>
    </w:p>
    <w:p>
      <w:pPr>
        <w:spacing w:after="0" w:line="44" w:lineRule="exact"/>
        <w:rPr>
          <w:rFonts w:ascii="Arial" w:cs="Arial" w:eastAsia="Arial" w:hAnsi="Arial"/>
          <w:sz w:val="12"/>
          <w:szCs w:val="12"/>
          <w:color w:val="008000"/>
        </w:rPr>
      </w:pPr>
    </w:p>
    <w:p>
      <w:pPr>
        <w:ind w:left="40" w:right="220" w:hanging="6"/>
        <w:spacing w:after="0" w:line="242"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held directly by Commodore Master. Commodore Capital is the investment manager to Commodore Master. Michael Kramarz and Robert Egen Atkinson are the managing partners of Commodore Capital and exercise investment and dispositive power over the securities held by Commodore Master. Each of Commodore Capital, Dr. Kramarz and Dr. Atkinson disclaim beneficial ownership of such securities, except to the extent of their pecuniary interest therein. This report shall not be deemed an admission that Commodore Capital, Commodore Master, Dr. Kramarz and Dr. Atkinson or any other person is the beneficial owner of the securities reported herein for purposes of Section 16 of the Securities Exchange Act of 1934, as amended, or for any other purpose.</w:t>
      </w:r>
    </w:p>
    <w:p>
      <w:pPr>
        <w:spacing w:after="0" w:line="28" w:lineRule="exact"/>
        <w:rPr>
          <w:rFonts w:ascii="Arial" w:cs="Arial" w:eastAsia="Arial" w:hAnsi="Arial"/>
          <w:sz w:val="12"/>
          <w:szCs w:val="12"/>
          <w:color w:val="008000"/>
        </w:rPr>
      </w:pPr>
    </w:p>
    <w:p>
      <w:pPr>
        <w:ind w:left="40" w:right="260" w:hanging="6"/>
        <w:spacing w:after="0"/>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Tranche 1 Warrants are exercisable from the date of issuance and expire 60 days after the later of (i) the date on which the Issuer first publicly discloses, whether by press release or Form 8-K filing, the top-line data for its PALISADE-3 study and (ii) the date on which the Issuer first publicly discloses, whether by press release or Form 8-K filing, the top-line data for its PALISADE-4 study. The Tranche 1 Warrants contain an exercise limitation prohibiting Commodore Master from exercising the Tranche 1 Warrants until such time as the holder, together with certain related parties, would not beneficially own after any such exercise more than 9.99% of the then issued and outstanding Common Stock. Due to this blocker, the Tranche 1 Warrants owned by Commodore Master are not fully exercisable at this time. The blocker percentage may be increased up to 19.99% or decreased by Commodore Master upon 61 days' notice to the Issuer.</w:t>
      </w:r>
    </w:p>
    <w:p>
      <w:pPr>
        <w:spacing w:after="0" w:line="28" w:lineRule="exact"/>
        <w:rPr>
          <w:rFonts w:ascii="Arial" w:cs="Arial" w:eastAsia="Arial" w:hAnsi="Arial"/>
          <w:sz w:val="12"/>
          <w:szCs w:val="12"/>
          <w:color w:val="008000"/>
        </w:rPr>
      </w:pPr>
    </w:p>
    <w:p>
      <w:pPr>
        <w:ind w:left="40" w:right="340" w:hanging="6"/>
        <w:spacing w:after="0" w:line="280" w:lineRule="auto"/>
        <w:tabs>
          <w:tab w:leader="none" w:pos="16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Tranche 2 Warrants are exercisable from the date of issuance and expire on October 4, 2028. The Tranche 2 Warrants contain an exercise limitation prohibiting Commodore Master from exercising the Tranche 2 Warrants until such time as the holder, together with certain related parties, would not beneficially own after any such exercise more than 9.99% of the then issued and outstanding Common Stock. Due to this blocker, the Tranche 2 Warrants owned by Commodore Master are not fully exercisable at this time. The blocker percentage may be increased up to 19.99% or decreased by Commodore Master upon 61 days' notice to the Issuer.</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w w:val="98"/>
              </w:rPr>
              <w:t>/s/ Michael Kramarz, Managing</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10/06/2023</w:t>
            </w:r>
          </w:p>
        </w:tc>
        <w:tc>
          <w:tcPr>
            <w:tcW w:w="0" w:type="dxa"/>
            <w:vAlign w:val="bottom"/>
          </w:tcPr>
          <w:p>
            <w:pPr>
              <w:spacing w:after="0"/>
              <w:rPr>
                <w:sz w:val="1"/>
                <w:szCs w:val="1"/>
                <w:color w:val="auto"/>
              </w:rPr>
            </w:pPr>
          </w:p>
        </w:tc>
      </w:tr>
      <w:tr>
        <w:trPr>
          <w:trHeight w:val="82"/>
        </w:trPr>
        <w:tc>
          <w:tcPr>
            <w:tcW w:w="460" w:type="dxa"/>
            <w:vAlign w:val="bottom"/>
            <w:tcBorders>
              <w:top w:val="single" w:sz="8" w:color="auto"/>
              <w:bottom w:val="single" w:sz="8" w:color="auto"/>
            </w:tcBorders>
            <w:vMerge w:val="restart"/>
          </w:tcPr>
          <w:p>
            <w:pPr>
              <w:spacing w:after="0" w:line="175" w:lineRule="exact"/>
              <w:rPr>
                <w:sz w:val="20"/>
                <w:szCs w:val="20"/>
                <w:color w:val="auto"/>
              </w:rPr>
            </w:pPr>
            <w:r>
              <w:rPr>
                <w:rFonts w:ascii="Arial" w:cs="Arial" w:eastAsia="Arial" w:hAnsi="Arial"/>
                <w:sz w:val="16"/>
                <w:szCs w:val="16"/>
                <w:color w:val="0000FF"/>
                <w:w w:val="83"/>
              </w:rPr>
              <w:t>Partner</w:t>
            </w:r>
          </w:p>
        </w:tc>
        <w:tc>
          <w:tcPr>
            <w:tcW w:w="1560" w:type="dxa"/>
            <w:vAlign w:val="bottom"/>
            <w:tcBorders>
              <w:top w:val="single" w:sz="8" w:color="auto"/>
              <w:bottom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460" w:type="dxa"/>
            <w:vAlign w:val="bottom"/>
            <w:tcBorders>
              <w:bottom w:val="single" w:sz="8" w:color="auto"/>
            </w:tcBorders>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20" w:hanging="6"/>
        <w:spacing w:after="0" w:line="315"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942"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2023-10-06T15:12:51Z</dcterms:created>
  <dcterms:modified xsi:type="dcterms:W3CDTF">2023-10-06T15:12:51Z</dcterms:modified>
</cp:coreProperties>
</file>