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152400</wp:posOffset>
            </wp:positionH>
            <wp:positionV relativeFrom="page">
              <wp:posOffset>280035</wp:posOffset>
            </wp:positionV>
            <wp:extent cx="72561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31750"/>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375920</wp:posOffset>
            </wp:positionV>
            <wp:extent cx="7256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145" cy="8255"/>
                    </a:xfrm>
                    <a:prstGeom prst="rect">
                      <a:avLst/>
                    </a:prstGeom>
                    <a:noFill/>
                  </pic:spPr>
                </pic:pic>
              </a:graphicData>
            </a:graphic>
          </wp:anchor>
        </w:drawing>
        <w:t>As filed with the Securities and Exchange Commission on September 30, 2019</w:t>
      </w:r>
    </w:p>
    <w:p>
      <w:pPr>
        <w:spacing w:after="0" w:line="21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S-3</w:t>
      </w: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01"/>
        </w:trPr>
        <w:tc>
          <w:tcPr>
            <w:tcW w:w="1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0" w:type="dxa"/>
            <w:vAlign w:val="bottom"/>
            <w:gridSpan w:val="4"/>
          </w:tcPr>
          <w:p>
            <w:pPr>
              <w:jc w:val="center"/>
              <w:ind w:right="1980"/>
              <w:spacing w:after="0"/>
              <w:rPr>
                <w:sz w:val="20"/>
                <w:szCs w:val="20"/>
                <w:color w:val="auto"/>
              </w:rPr>
            </w:pPr>
            <w:r>
              <w:rPr>
                <w:rFonts w:ascii="Arial" w:cs="Arial" w:eastAsia="Arial" w:hAnsi="Arial"/>
                <w:sz w:val="16"/>
                <w:szCs w:val="16"/>
                <w:color w:val="auto"/>
                <w:w w:val="96"/>
              </w:rPr>
              <w:t>REGISTRATION STATEMENT</w:t>
            </w:r>
          </w:p>
        </w:tc>
      </w:tr>
      <w:tr>
        <w:trPr>
          <w:trHeight w:val="207"/>
        </w:trPr>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0" w:type="dxa"/>
            <w:vAlign w:val="bottom"/>
            <w:gridSpan w:val="4"/>
          </w:tcPr>
          <w:p>
            <w:pPr>
              <w:jc w:val="center"/>
              <w:ind w:right="1980"/>
              <w:spacing w:after="0"/>
              <w:rPr>
                <w:sz w:val="20"/>
                <w:szCs w:val="20"/>
                <w:color w:val="auto"/>
              </w:rPr>
            </w:pPr>
            <w:r>
              <w:rPr>
                <w:rFonts w:ascii="Arial" w:cs="Arial" w:eastAsia="Arial" w:hAnsi="Arial"/>
                <w:sz w:val="16"/>
                <w:szCs w:val="16"/>
                <w:color w:val="auto"/>
                <w:w w:val="96"/>
              </w:rPr>
              <w:t>UNDER THE SECURITIES ACT OF 1933</w:t>
            </w:r>
          </w:p>
        </w:tc>
      </w:tr>
      <w:tr>
        <w:trPr>
          <w:trHeight w:val="395"/>
        </w:trPr>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780" w:type="dxa"/>
            <w:vAlign w:val="bottom"/>
            <w:gridSpan w:val="3"/>
          </w:tcPr>
          <w:p>
            <w:pPr>
              <w:jc w:val="center"/>
              <w:ind w:right="3780"/>
              <w:spacing w:after="0"/>
              <w:rPr>
                <w:sz w:val="20"/>
                <w:szCs w:val="20"/>
                <w:color w:val="auto"/>
              </w:rPr>
            </w:pPr>
            <w:r>
              <w:rPr>
                <w:rFonts w:ascii="Arial" w:cs="Arial" w:eastAsia="Arial" w:hAnsi="Arial"/>
                <w:sz w:val="16"/>
                <w:szCs w:val="16"/>
                <w:b w:val="1"/>
                <w:bCs w:val="1"/>
                <w:color w:val="auto"/>
                <w:w w:val="93"/>
              </w:rPr>
              <w:t>VistaGen Therapeutics, Inc.</w:t>
            </w:r>
          </w:p>
        </w:tc>
      </w:tr>
      <w:tr>
        <w:trPr>
          <w:trHeight w:val="207"/>
        </w:trPr>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0" w:type="dxa"/>
            <w:vAlign w:val="bottom"/>
            <w:gridSpan w:val="4"/>
          </w:tcPr>
          <w:p>
            <w:pPr>
              <w:jc w:val="center"/>
              <w:ind w:right="1980"/>
              <w:spacing w:after="0"/>
              <w:rPr>
                <w:sz w:val="20"/>
                <w:szCs w:val="20"/>
                <w:color w:val="auto"/>
              </w:rPr>
            </w:pPr>
            <w:r>
              <w:rPr>
                <w:rFonts w:ascii="Arial" w:cs="Arial" w:eastAsia="Arial" w:hAnsi="Arial"/>
                <w:sz w:val="16"/>
                <w:szCs w:val="16"/>
                <w:color w:val="auto"/>
                <w:w w:val="93"/>
              </w:rPr>
              <w:t>(Exact Name Of Registrant As Specified In Its Charter)</w:t>
            </w:r>
          </w:p>
        </w:tc>
      </w:tr>
      <w:tr>
        <w:trPr>
          <w:trHeight w:val="366"/>
        </w:trPr>
        <w:tc>
          <w:tcPr>
            <w:tcW w:w="18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4"/>
              </w:rPr>
              <w:t>Nevada</w:t>
            </w:r>
          </w:p>
        </w:tc>
        <w:tc>
          <w:tcPr>
            <w:tcW w:w="1820" w:type="dxa"/>
            <w:vAlign w:val="bottom"/>
          </w:tcPr>
          <w:p>
            <w:pPr>
              <w:spacing w:after="0"/>
              <w:rPr>
                <w:sz w:val="24"/>
                <w:szCs w:val="24"/>
                <w:color w:val="auto"/>
              </w:rPr>
            </w:pPr>
          </w:p>
        </w:tc>
        <w:tc>
          <w:tcPr>
            <w:tcW w:w="578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20-5093315</w:t>
            </w:r>
          </w:p>
        </w:tc>
      </w:tr>
      <w:tr>
        <w:trPr>
          <w:trHeight w:val="20"/>
        </w:trPr>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160" w:type="dxa"/>
            <w:vAlign w:val="bottom"/>
            <w:gridSpan w:val="3"/>
          </w:tcPr>
          <w:p>
            <w:pPr>
              <w:jc w:val="center"/>
              <w:spacing w:after="0"/>
              <w:rPr>
                <w:sz w:val="20"/>
                <w:szCs w:val="20"/>
                <w:color w:val="auto"/>
              </w:rPr>
            </w:pPr>
            <w:r>
              <w:rPr>
                <w:rFonts w:ascii="Arial" w:cs="Arial" w:eastAsia="Arial" w:hAnsi="Arial"/>
                <w:sz w:val="16"/>
                <w:szCs w:val="16"/>
                <w:color w:val="auto"/>
                <w:w w:val="94"/>
              </w:rPr>
              <w:t>(State or other jurisdiction of</w:t>
            </w:r>
          </w:p>
        </w:tc>
        <w:tc>
          <w:tcPr>
            <w:tcW w:w="5780" w:type="dxa"/>
            <w:vAlign w:val="bottom"/>
            <w:gridSpan w:val="3"/>
          </w:tcPr>
          <w:p>
            <w:pPr>
              <w:jc w:val="center"/>
              <w:ind w:left="1838"/>
              <w:spacing w:after="0"/>
              <w:rPr>
                <w:sz w:val="20"/>
                <w:szCs w:val="20"/>
                <w:color w:val="auto"/>
              </w:rPr>
            </w:pPr>
            <w:r>
              <w:rPr>
                <w:rFonts w:ascii="Arial" w:cs="Arial" w:eastAsia="Arial" w:hAnsi="Arial"/>
                <w:sz w:val="16"/>
                <w:szCs w:val="16"/>
                <w:color w:val="auto"/>
                <w:w w:val="93"/>
              </w:rPr>
              <w:t>(I.R.S. Employer</w:t>
            </w:r>
          </w:p>
        </w:tc>
      </w:tr>
      <w:tr>
        <w:trPr>
          <w:trHeight w:val="207"/>
        </w:trPr>
        <w:tc>
          <w:tcPr>
            <w:tcW w:w="4160" w:type="dxa"/>
            <w:vAlign w:val="bottom"/>
            <w:gridSpan w:val="3"/>
          </w:tcPr>
          <w:p>
            <w:pPr>
              <w:jc w:val="center"/>
              <w:spacing w:after="0"/>
              <w:rPr>
                <w:sz w:val="20"/>
                <w:szCs w:val="20"/>
                <w:color w:val="auto"/>
              </w:rPr>
            </w:pPr>
            <w:r>
              <w:rPr>
                <w:rFonts w:ascii="Arial" w:cs="Arial" w:eastAsia="Arial" w:hAnsi="Arial"/>
                <w:sz w:val="16"/>
                <w:szCs w:val="16"/>
                <w:color w:val="auto"/>
                <w:w w:val="95"/>
              </w:rPr>
              <w:t>incorporation or organization)</w:t>
            </w:r>
          </w:p>
        </w:tc>
        <w:tc>
          <w:tcPr>
            <w:tcW w:w="5780" w:type="dxa"/>
            <w:vAlign w:val="bottom"/>
            <w:gridSpan w:val="3"/>
          </w:tcPr>
          <w:p>
            <w:pPr>
              <w:jc w:val="center"/>
              <w:ind w:left="1838"/>
              <w:spacing w:after="0"/>
              <w:rPr>
                <w:sz w:val="20"/>
                <w:szCs w:val="20"/>
                <w:color w:val="auto"/>
              </w:rPr>
            </w:pPr>
            <w:r>
              <w:rPr>
                <w:rFonts w:ascii="Arial" w:cs="Arial" w:eastAsia="Arial" w:hAnsi="Arial"/>
                <w:sz w:val="16"/>
                <w:szCs w:val="16"/>
                <w:color w:val="auto"/>
                <w:w w:val="95"/>
              </w:rPr>
              <w:t>Identification Number)</w:t>
            </w:r>
          </w:p>
        </w:tc>
      </w:tr>
      <w:tr>
        <w:trPr>
          <w:trHeight w:val="391"/>
        </w:trPr>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780" w:type="dxa"/>
            <w:vAlign w:val="bottom"/>
            <w:gridSpan w:val="3"/>
          </w:tcPr>
          <w:p>
            <w:pPr>
              <w:jc w:val="center"/>
              <w:ind w:left="1858"/>
              <w:spacing w:after="0"/>
              <w:rPr>
                <w:sz w:val="20"/>
                <w:szCs w:val="20"/>
                <w:color w:val="auto"/>
              </w:rPr>
            </w:pPr>
            <w:r>
              <w:rPr>
                <w:rFonts w:ascii="Arial" w:cs="Arial" w:eastAsia="Arial" w:hAnsi="Arial"/>
                <w:sz w:val="16"/>
                <w:szCs w:val="16"/>
                <w:b w:val="1"/>
                <w:bCs w:val="1"/>
                <w:color w:val="auto"/>
                <w:w w:val="92"/>
              </w:rPr>
              <w:t>Shawn K. Singh</w:t>
            </w:r>
          </w:p>
        </w:tc>
      </w:tr>
      <w:tr>
        <w:trPr>
          <w:trHeight w:val="201"/>
        </w:trPr>
        <w:tc>
          <w:tcPr>
            <w:tcW w:w="1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780" w:type="dxa"/>
            <w:vAlign w:val="bottom"/>
            <w:gridSpan w:val="3"/>
          </w:tcPr>
          <w:p>
            <w:pPr>
              <w:jc w:val="center"/>
              <w:ind w:left="1858"/>
              <w:spacing w:after="0"/>
              <w:rPr>
                <w:sz w:val="20"/>
                <w:szCs w:val="20"/>
                <w:color w:val="auto"/>
              </w:rPr>
            </w:pPr>
            <w:r>
              <w:rPr>
                <w:rFonts w:ascii="Arial" w:cs="Arial" w:eastAsia="Arial" w:hAnsi="Arial"/>
                <w:sz w:val="16"/>
                <w:szCs w:val="16"/>
                <w:b w:val="1"/>
                <w:bCs w:val="1"/>
                <w:color w:val="auto"/>
                <w:w w:val="93"/>
              </w:rPr>
              <w:t>Chief Executive Officer</w:t>
            </w:r>
          </w:p>
        </w:tc>
      </w:tr>
      <w:tr>
        <w:trPr>
          <w:trHeight w:val="201"/>
        </w:trPr>
        <w:tc>
          <w:tcPr>
            <w:tcW w:w="4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VistaGen Therapeutics, Inc.</w:t>
            </w:r>
          </w:p>
        </w:tc>
        <w:tc>
          <w:tcPr>
            <w:tcW w:w="5780" w:type="dxa"/>
            <w:vAlign w:val="bottom"/>
            <w:gridSpan w:val="3"/>
          </w:tcPr>
          <w:p>
            <w:pPr>
              <w:jc w:val="center"/>
              <w:ind w:left="1838"/>
              <w:spacing w:after="0"/>
              <w:rPr>
                <w:sz w:val="20"/>
                <w:szCs w:val="20"/>
                <w:color w:val="auto"/>
              </w:rPr>
            </w:pPr>
            <w:r>
              <w:rPr>
                <w:rFonts w:ascii="Arial" w:cs="Arial" w:eastAsia="Arial" w:hAnsi="Arial"/>
                <w:sz w:val="16"/>
                <w:szCs w:val="16"/>
                <w:b w:val="1"/>
                <w:bCs w:val="1"/>
                <w:color w:val="auto"/>
                <w:w w:val="92"/>
              </w:rPr>
              <w:t>VistaGen Therapeutics, Inc.</w:t>
            </w:r>
          </w:p>
        </w:tc>
      </w:tr>
      <w:tr>
        <w:trPr>
          <w:trHeight w:val="201"/>
        </w:trPr>
        <w:tc>
          <w:tcPr>
            <w:tcW w:w="4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343 Allerton Avenue</w:t>
            </w:r>
          </w:p>
        </w:tc>
        <w:tc>
          <w:tcPr>
            <w:tcW w:w="5780" w:type="dxa"/>
            <w:vAlign w:val="bottom"/>
            <w:gridSpan w:val="3"/>
          </w:tcPr>
          <w:p>
            <w:pPr>
              <w:jc w:val="center"/>
              <w:ind w:left="1838"/>
              <w:spacing w:after="0"/>
              <w:rPr>
                <w:sz w:val="20"/>
                <w:szCs w:val="20"/>
                <w:color w:val="auto"/>
              </w:rPr>
            </w:pPr>
            <w:r>
              <w:rPr>
                <w:rFonts w:ascii="Arial" w:cs="Arial" w:eastAsia="Arial" w:hAnsi="Arial"/>
                <w:sz w:val="16"/>
                <w:szCs w:val="16"/>
                <w:b w:val="1"/>
                <w:bCs w:val="1"/>
                <w:color w:val="auto"/>
                <w:w w:val="92"/>
              </w:rPr>
              <w:t>343 Allerton Avenue</w:t>
            </w:r>
          </w:p>
        </w:tc>
      </w:tr>
      <w:tr>
        <w:trPr>
          <w:trHeight w:val="201"/>
        </w:trPr>
        <w:tc>
          <w:tcPr>
            <w:tcW w:w="4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South San Francisco, California 94080</w:t>
            </w:r>
          </w:p>
        </w:tc>
        <w:tc>
          <w:tcPr>
            <w:tcW w:w="5780" w:type="dxa"/>
            <w:vAlign w:val="bottom"/>
            <w:gridSpan w:val="3"/>
          </w:tcPr>
          <w:p>
            <w:pPr>
              <w:jc w:val="center"/>
              <w:ind w:left="1858"/>
              <w:spacing w:after="0"/>
              <w:rPr>
                <w:sz w:val="20"/>
                <w:szCs w:val="20"/>
                <w:color w:val="auto"/>
              </w:rPr>
            </w:pPr>
            <w:r>
              <w:rPr>
                <w:rFonts w:ascii="Arial" w:cs="Arial" w:eastAsia="Arial" w:hAnsi="Arial"/>
                <w:sz w:val="16"/>
                <w:szCs w:val="16"/>
                <w:b w:val="1"/>
                <w:bCs w:val="1"/>
                <w:color w:val="auto"/>
                <w:w w:val="92"/>
              </w:rPr>
              <w:t>South San Francisco, California 94080</w:t>
            </w:r>
          </w:p>
        </w:tc>
      </w:tr>
      <w:tr>
        <w:trPr>
          <w:trHeight w:val="205"/>
        </w:trPr>
        <w:tc>
          <w:tcPr>
            <w:tcW w:w="4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(650) 577-3600</w:t>
            </w:r>
          </w:p>
        </w:tc>
        <w:tc>
          <w:tcPr>
            <w:tcW w:w="5780" w:type="dxa"/>
            <w:vAlign w:val="bottom"/>
            <w:gridSpan w:val="3"/>
          </w:tcPr>
          <w:p>
            <w:pPr>
              <w:jc w:val="right"/>
              <w:ind w:right="1420"/>
              <w:spacing w:after="0"/>
              <w:rPr>
                <w:sz w:val="20"/>
                <w:szCs w:val="20"/>
                <w:color w:val="auto"/>
              </w:rPr>
            </w:pPr>
            <w:r>
              <w:rPr>
                <w:rFonts w:ascii="Arial" w:cs="Arial" w:eastAsia="Arial" w:hAnsi="Arial"/>
                <w:sz w:val="16"/>
                <w:szCs w:val="16"/>
                <w:b w:val="1"/>
                <w:bCs w:val="1"/>
                <w:color w:val="auto"/>
              </w:rPr>
              <w:t>(650) 577-3600</w:t>
            </w:r>
          </w:p>
        </w:tc>
      </w:tr>
      <w:tr>
        <w:trPr>
          <w:trHeight w:val="201"/>
        </w:trPr>
        <w:tc>
          <w:tcPr>
            <w:tcW w:w="4160" w:type="dxa"/>
            <w:vAlign w:val="bottom"/>
            <w:gridSpan w:val="3"/>
          </w:tcPr>
          <w:p>
            <w:pPr>
              <w:jc w:val="center"/>
              <w:spacing w:after="0"/>
              <w:rPr>
                <w:sz w:val="20"/>
                <w:szCs w:val="20"/>
                <w:color w:val="auto"/>
              </w:rPr>
            </w:pPr>
            <w:r>
              <w:rPr>
                <w:rFonts w:ascii="Arial" w:cs="Arial" w:eastAsia="Arial" w:hAnsi="Arial"/>
                <w:sz w:val="16"/>
                <w:szCs w:val="16"/>
                <w:color w:val="auto"/>
                <w:w w:val="92"/>
              </w:rPr>
              <w:t>(Address, including zip code, and telephone number,</w:t>
            </w:r>
          </w:p>
        </w:tc>
        <w:tc>
          <w:tcPr>
            <w:tcW w:w="5780" w:type="dxa"/>
            <w:vAlign w:val="bottom"/>
            <w:gridSpan w:val="3"/>
          </w:tcPr>
          <w:p>
            <w:pPr>
              <w:jc w:val="center"/>
              <w:ind w:left="1838"/>
              <w:spacing w:after="0"/>
              <w:rPr>
                <w:sz w:val="20"/>
                <w:szCs w:val="20"/>
                <w:color w:val="auto"/>
              </w:rPr>
            </w:pPr>
            <w:r>
              <w:rPr>
                <w:rFonts w:ascii="Arial" w:cs="Arial" w:eastAsia="Arial" w:hAnsi="Arial"/>
                <w:sz w:val="16"/>
                <w:szCs w:val="16"/>
                <w:color w:val="auto"/>
                <w:w w:val="91"/>
              </w:rPr>
              <w:t>(Name, address, including zip code, and telephone number,</w:t>
            </w:r>
          </w:p>
        </w:tc>
      </w:tr>
      <w:tr>
        <w:trPr>
          <w:trHeight w:val="207"/>
        </w:trPr>
        <w:tc>
          <w:tcPr>
            <w:tcW w:w="4160" w:type="dxa"/>
            <w:vAlign w:val="bottom"/>
            <w:gridSpan w:val="3"/>
          </w:tcPr>
          <w:p>
            <w:pPr>
              <w:jc w:val="center"/>
              <w:spacing w:after="0"/>
              <w:rPr>
                <w:sz w:val="20"/>
                <w:szCs w:val="20"/>
                <w:color w:val="auto"/>
              </w:rPr>
            </w:pPr>
            <w:r>
              <w:rPr>
                <w:rFonts w:ascii="Arial" w:cs="Arial" w:eastAsia="Arial" w:hAnsi="Arial"/>
                <w:sz w:val="16"/>
                <w:szCs w:val="16"/>
                <w:color w:val="auto"/>
                <w:w w:val="93"/>
              </w:rPr>
              <w:t>including area code of Registrant’s principal executive offices),</w:t>
            </w:r>
          </w:p>
        </w:tc>
        <w:tc>
          <w:tcPr>
            <w:tcW w:w="5780" w:type="dxa"/>
            <w:vAlign w:val="bottom"/>
            <w:gridSpan w:val="3"/>
          </w:tcPr>
          <w:p>
            <w:pPr>
              <w:jc w:val="center"/>
              <w:ind w:left="1858"/>
              <w:spacing w:after="0"/>
              <w:rPr>
                <w:sz w:val="20"/>
                <w:szCs w:val="20"/>
                <w:color w:val="auto"/>
              </w:rPr>
            </w:pPr>
            <w:r>
              <w:rPr>
                <w:rFonts w:ascii="Arial" w:cs="Arial" w:eastAsia="Arial" w:hAnsi="Arial"/>
                <w:sz w:val="16"/>
                <w:szCs w:val="16"/>
                <w:color w:val="auto"/>
                <w:w w:val="92"/>
              </w:rPr>
              <w:t>including area code, of agent for service)</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From time to time after the effective date of this 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(Approximate date of commencement of proposed sale to public)</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Copies of all communications, including all communications sent to the agent for service, should be sent to:</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Shawn K. Singh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Chief Executive Officer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Daniel W. Rumsey, Esq.</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Jessica R. Sudweeks, Esq.</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Disclosure Law Group,</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 Professional Corporation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655 West Broadway, Suite 870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San Diego, California 92101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 (619) 272-7050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Fax: (619) 330-2101</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18" w:lineRule="exact"/>
        <w:rPr>
          <w:sz w:val="24"/>
          <w:szCs w:val="24"/>
          <w:color w:val="auto"/>
        </w:rPr>
      </w:pPr>
    </w:p>
    <w:p>
      <w:pPr>
        <w:spacing w:after="0" w:line="29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of the Securities Act of 1933, other than securities offered only in connection with dividend or interest reinvestment plans,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256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303530</wp:posOffset>
            </wp:positionV>
            <wp:extent cx="725614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14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510540</wp:posOffset>
            </wp:positionV>
            <wp:extent cx="72561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 w:name="page2"/>
    <w:bookmarkEnd w:id="1"/>
    <w:p>
      <w:pPr>
        <w:jc w:val="both"/>
        <w:spacing w:after="0" w:line="292"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If this Form is a registration statement pursuant to General Instruction I.D. or a post-effective amendment thereto that shall become effective upon filing with the Commission pursuant to Rule 462(e) under the Securities Act, please check the following box. [ ]</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If this Form is a post-effective amendment to a registration statement filed pursuant to General Instruction I.D. filed to register additional securities or additional classes of securities pursuant to Rule 413(b) under the Securities Act, please check the following box. [ ]</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33" w:right="239" w:bottom="1440" w:gutter="0" w:footer="0" w:header="0"/>
        </w:sectPr>
      </w:pPr>
    </w:p>
    <w:p>
      <w:pPr>
        <w:spacing w:after="0" w:line="167" w:lineRule="exact"/>
        <w:rPr>
          <w:sz w:val="20"/>
          <w:szCs w:val="20"/>
          <w:color w:val="auto"/>
        </w:rPr>
      </w:pPr>
    </w:p>
    <w:p>
      <w:pPr>
        <w:spacing w:after="0" w:line="368"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Accelerated filer</w:t>
        <w:tab/>
        <w:t>[ ]</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4">
            <w:col w:w="1460" w:space="80"/>
            <w:col w:w="3340" w:space="720"/>
            <w:col w:w="1780" w:space="80"/>
            <w:col w:w="3960"/>
          </w:cols>
          <w:pgMar w:left="240" w:top="733" w:right="239" w:bottom="1440" w:gutter="0" w:footer="0" w:header="0"/>
          <w:type w:val="continuous"/>
        </w:sectPr>
      </w:pPr>
    </w:p>
    <w:p>
      <w:pPr>
        <w:spacing w:after="0" w:line="1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Section 7(a)(2)(B) of the Securities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487045</wp:posOffset>
            </wp:positionV>
            <wp:extent cx="72561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34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CALCULATION OF REGISTRATION FEE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Proposed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Proposed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vMerge w:val="restart"/>
          </w:tcPr>
          <w:p>
            <w:pPr>
              <w:jc w:val="center"/>
              <w:ind w:left="1738"/>
              <w:spacing w:after="0"/>
              <w:rPr>
                <w:sz w:val="20"/>
                <w:szCs w:val="20"/>
                <w:color w:val="auto"/>
              </w:rPr>
            </w:pPr>
            <w:r>
              <w:rPr>
                <w:rFonts w:ascii="Arial" w:cs="Arial" w:eastAsia="Arial" w:hAnsi="Arial"/>
                <w:sz w:val="16"/>
                <w:szCs w:val="16"/>
                <w:b w:val="1"/>
                <w:bCs w:val="1"/>
                <w:color w:val="auto"/>
                <w:w w:val="89"/>
              </w:rPr>
              <w:t>Title of each class of securities to</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Aggregate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Amount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Amount to be</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Offering Price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Offering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00" w:type="dxa"/>
            <w:vAlign w:val="bottom"/>
          </w:tcPr>
          <w:p>
            <w:pPr>
              <w:jc w:val="center"/>
              <w:ind w:left="1718"/>
              <w:spacing w:after="0"/>
              <w:rPr>
                <w:sz w:val="20"/>
                <w:szCs w:val="20"/>
                <w:color w:val="auto"/>
              </w:rPr>
            </w:pPr>
            <w:r>
              <w:rPr>
                <w:rFonts w:ascii="Arial" w:cs="Arial" w:eastAsia="Arial" w:hAnsi="Arial"/>
                <w:sz w:val="16"/>
                <w:szCs w:val="16"/>
                <w:b w:val="1"/>
                <w:bCs w:val="1"/>
                <w:color w:val="auto"/>
                <w:w w:val="89"/>
              </w:rPr>
              <w:t>be registered</w:t>
            </w:r>
          </w:p>
        </w:tc>
        <w:tc>
          <w:tcPr>
            <w:tcW w:w="198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line="214" w:lineRule="exact"/>
              <w:rPr>
                <w:sz w:val="20"/>
                <w:szCs w:val="20"/>
                <w:color w:val="auto"/>
              </w:rPr>
            </w:pPr>
            <w:r>
              <w:rPr>
                <w:rFonts w:ascii="Arial" w:cs="Arial" w:eastAsia="Arial" w:hAnsi="Arial"/>
                <w:sz w:val="16"/>
                <w:szCs w:val="16"/>
                <w:b w:val="1"/>
                <w:bCs w:val="1"/>
                <w:color w:val="auto"/>
                <w:w w:val="84"/>
              </w:rPr>
              <w:t>Registered</w:t>
            </w:r>
            <w:r>
              <w:rPr>
                <w:rFonts w:ascii="Arial" w:cs="Arial" w:eastAsia="Arial" w:hAnsi="Arial"/>
                <w:sz w:val="22"/>
                <w:szCs w:val="22"/>
                <w:b w:val="1"/>
                <w:bCs w:val="1"/>
                <w:color w:val="auto"/>
                <w:w w:val="84"/>
                <w:vertAlign w:val="superscript"/>
              </w:rPr>
              <w:t>(1)(2)</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6"/>
                <w:szCs w:val="16"/>
                <w:b w:val="1"/>
                <w:bCs w:val="1"/>
                <w:color w:val="auto"/>
                <w:w w:val="88"/>
              </w:rPr>
              <w:t>Per Unit</w:t>
            </w:r>
            <w:r>
              <w:rPr>
                <w:rFonts w:ascii="Arial" w:cs="Arial" w:eastAsia="Arial" w:hAnsi="Arial"/>
                <w:sz w:val="22"/>
                <w:szCs w:val="22"/>
                <w:b w:val="1"/>
                <w:bCs w:val="1"/>
                <w:color w:val="auto"/>
                <w:w w:val="88"/>
                <w:vertAlign w:val="superscript"/>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62"/>
              <w:spacing w:after="0" w:line="214" w:lineRule="exact"/>
              <w:rPr>
                <w:sz w:val="20"/>
                <w:szCs w:val="20"/>
                <w:color w:val="auto"/>
              </w:rPr>
            </w:pPr>
            <w:r>
              <w:rPr>
                <w:rFonts w:ascii="Arial" w:cs="Arial" w:eastAsia="Arial" w:hAnsi="Arial"/>
                <w:sz w:val="24"/>
                <w:szCs w:val="24"/>
                <w:b w:val="1"/>
                <w:bCs w:val="1"/>
                <w:color w:val="auto"/>
                <w:w w:val="97"/>
                <w:vertAlign w:val="subscript"/>
              </w:rPr>
              <w:t>Price</w:t>
            </w:r>
            <w:r>
              <w:rPr>
                <w:rFonts w:ascii="Arial" w:cs="Arial" w:eastAsia="Arial" w:hAnsi="Arial"/>
                <w:sz w:val="10"/>
                <w:szCs w:val="10"/>
                <w:b w:val="1"/>
                <w:bCs w:val="1"/>
                <w:color w:val="auto"/>
                <w:w w:val="97"/>
              </w:rPr>
              <w:t>(1)(3)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6"/>
                <w:szCs w:val="16"/>
                <w:b w:val="1"/>
                <w:bCs w:val="1"/>
                <w:color w:val="auto"/>
                <w:w w:val="83"/>
              </w:rPr>
              <w:t>Fee</w:t>
            </w:r>
            <w:r>
              <w:rPr>
                <w:rFonts w:ascii="Arial" w:cs="Arial" w:eastAsia="Arial" w:hAnsi="Arial"/>
                <w:sz w:val="22"/>
                <w:szCs w:val="22"/>
                <w:b w:val="1"/>
                <w:bCs w:val="1"/>
                <w:color w:val="auto"/>
                <w:w w:val="83"/>
                <w:vertAlign w:val="superscript"/>
              </w:rPr>
              <w:t>(4)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Common Stock, par value $0.001 per share</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Preferred Stock, par value $0.001 per share</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Units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150,000,000</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150,000,000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18,180.00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580" w:hanging="580"/>
        <w:spacing w:after="0" w:line="283"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covers the registration of such indeterminate number of shares of common stock, such indeterminate number of shares of preferred stock; such indeterminate number of warrants to purchase shares of common stock, shares of preferred stock and /or units; and such indeterminate number of units as may be sold by the registrant from time to time, which together shall have an aggregate initial offering price not to exceed $150,000,000. Any securities registered hereunder may be sold separately, together or as units with any other securities registered. Any unit sold hereunder will represent an interest in two or more other securities, which may or may not be separable from one another. The securities registered hereunder also include such indeterminate number of shares of common stock and preferred stock, and such indeterminate number of warrants, as may be issued upon the conversion of, or exchange for, preferred stock; upon the exercise of warrants; or pursuant to the customary anti-dilution provisions of any such securities (e.g., stock-splits, stock dividends and the like). Separate consideration may or may not be received for securities that are issuable upon conversion of, or in exchange for, or upon exercise of, convertible or exchangeable securities. In addition, pursuant to Rule 416 under the Securities Act of 1933, as amended (the “</w:t>
      </w:r>
      <w:r>
        <w:rPr>
          <w:rFonts w:ascii="Arial" w:cs="Arial" w:eastAsia="Arial" w:hAnsi="Arial"/>
          <w:sz w:val="15"/>
          <w:szCs w:val="15"/>
          <w:i w:val="1"/>
          <w:iCs w:val="1"/>
          <w:color w:val="auto"/>
        </w:rPr>
        <w:t>Securities Act</w:t>
      </w:r>
      <w:r>
        <w:rPr>
          <w:rFonts w:ascii="Arial" w:cs="Arial" w:eastAsia="Arial" w:hAnsi="Arial"/>
          <w:sz w:val="15"/>
          <w:szCs w:val="15"/>
          <w:color w:val="auto"/>
        </w:rPr>
        <w:t>”), the securities being registered hereunder include such indeterminate number of shares of common stock or preferred stock as may be issuable with respect to the shares being registered hereunder as a result of stock splits, stock dividends, or similar transactions effected without the receipt of consideration which result in an increase in the number of our outstanding shares of common stock or preferred stock.</w:t>
      </w:r>
    </w:p>
    <w:p>
      <w:pPr>
        <w:spacing w:after="0" w:line="171" w:lineRule="exact"/>
        <w:rPr>
          <w:rFonts w:ascii="Arial" w:cs="Arial" w:eastAsia="Arial" w:hAnsi="Arial"/>
          <w:sz w:val="15"/>
          <w:szCs w:val="15"/>
          <w:color w:val="auto"/>
        </w:rPr>
      </w:pPr>
    </w:p>
    <w:p>
      <w:pPr>
        <w:jc w:val="both"/>
        <w:ind w:left="580" w:hanging="580"/>
        <w:spacing w:after="0" w:line="289"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common stock to be issued pursuant to this registration statement may include the issuance of up to 1,388,931 shares of common stock (the “</w:t>
      </w:r>
      <w:r>
        <w:rPr>
          <w:rFonts w:ascii="Arial" w:cs="Arial" w:eastAsia="Arial" w:hAnsi="Arial"/>
          <w:sz w:val="15"/>
          <w:szCs w:val="15"/>
          <w:i w:val="1"/>
          <w:iCs w:val="1"/>
          <w:color w:val="auto"/>
        </w:rPr>
        <w:t>Series A1 Warrant</w:t>
      </w:r>
      <w:r>
        <w:rPr>
          <w:rFonts w:ascii="Arial" w:cs="Arial" w:eastAsia="Arial" w:hAnsi="Arial"/>
          <w:sz w:val="15"/>
          <w:szCs w:val="15"/>
          <w:color w:val="auto"/>
        </w:rPr>
        <w:t xml:space="preserve"> </w:t>
      </w:r>
      <w:r>
        <w:rPr>
          <w:rFonts w:ascii="Arial" w:cs="Arial" w:eastAsia="Arial" w:hAnsi="Arial"/>
          <w:sz w:val="15"/>
          <w:szCs w:val="15"/>
          <w:i w:val="1"/>
          <w:iCs w:val="1"/>
          <w:color w:val="auto"/>
        </w:rPr>
        <w:t>Shares</w:t>
      </w:r>
      <w:r>
        <w:rPr>
          <w:rFonts w:ascii="Arial" w:cs="Arial" w:eastAsia="Arial" w:hAnsi="Arial"/>
          <w:sz w:val="15"/>
          <w:szCs w:val="15"/>
          <w:color w:val="auto"/>
        </w:rPr>
        <w:t>”) issuable pursuant to the potential future exercise of currently outstanding Series A1 warrants (the “</w:t>
      </w:r>
      <w:r>
        <w:rPr>
          <w:rFonts w:ascii="Arial" w:cs="Arial" w:eastAsia="Arial" w:hAnsi="Arial"/>
          <w:sz w:val="15"/>
          <w:szCs w:val="15"/>
          <w:i w:val="1"/>
          <w:iCs w:val="1"/>
          <w:color w:val="auto"/>
        </w:rPr>
        <w:t>Series A1 Warrants</w:t>
      </w:r>
      <w:r>
        <w:rPr>
          <w:rFonts w:ascii="Arial" w:cs="Arial" w:eastAsia="Arial" w:hAnsi="Arial"/>
          <w:sz w:val="15"/>
          <w:szCs w:val="15"/>
          <w:color w:val="auto"/>
        </w:rPr>
        <w:t>”) with an exercise price of $1.82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and a term expiring on or about March 7, 2023, the date which is five years from the date of issuance. The Series A1 Warrants and the Series A1 Warrant Shares were previously registered on the registrant’s registration statement on Form S-3 (File No. 333-215671) (the “</w:t>
      </w:r>
      <w:r>
        <w:rPr>
          <w:rFonts w:ascii="Arial" w:cs="Arial" w:eastAsia="Arial" w:hAnsi="Arial"/>
          <w:sz w:val="15"/>
          <w:szCs w:val="15"/>
          <w:i w:val="1"/>
          <w:iCs w:val="1"/>
          <w:color w:val="auto"/>
        </w:rPr>
        <w:t>Prior Registration Statement</w:t>
      </w:r>
      <w:r>
        <w:rPr>
          <w:rFonts w:ascii="Arial" w:cs="Arial" w:eastAsia="Arial" w:hAnsi="Arial"/>
          <w:sz w:val="15"/>
          <w:szCs w:val="15"/>
          <w:color w:val="auto"/>
        </w:rPr>
        <w:t>”), which was originally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on January 23, 2017 and declared effective by the SEC on July 27, 2017. Pursuant to Rule 415(a)(6) and Rule 429 under the Securities Act, the offering of the Series A1 Warrant Shares will be registered pursuant to this registration statement.</w:t>
      </w:r>
    </w:p>
    <w:p>
      <w:pPr>
        <w:spacing w:after="0" w:line="160" w:lineRule="exact"/>
        <w:rPr>
          <w:rFonts w:ascii="Arial" w:cs="Arial" w:eastAsia="Arial" w:hAnsi="Arial"/>
          <w:sz w:val="15"/>
          <w:szCs w:val="15"/>
          <w:color w:val="auto"/>
        </w:rPr>
      </w:pPr>
    </w:p>
    <w:p>
      <w:pPr>
        <w:jc w:val="both"/>
        <w:ind w:left="580" w:hanging="580"/>
        <w:spacing w:after="0" w:line="295"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in accordance with Rule 457(o) of the Securities Act. The proposed maximum aggregate offering price per class of security will be determined, from time to time, by the registrant in connection with, and at the time of, the issuance of the securities registered pursuant to this registration statement and is not specified as to each class of security pursuant to General Instruction II.D. of Form S-3. The proposed maximum initial offering prices per unit will be determined, from time to time, by the registrant in connection with, and at the time of, the issuance of the securities.</w:t>
      </w:r>
    </w:p>
    <w:p>
      <w:pPr>
        <w:spacing w:after="0" w:line="156" w:lineRule="exact"/>
        <w:rPr>
          <w:rFonts w:ascii="Arial" w:cs="Arial" w:eastAsia="Arial" w:hAnsi="Arial"/>
          <w:sz w:val="15"/>
          <w:szCs w:val="15"/>
          <w:color w:val="auto"/>
        </w:rPr>
      </w:pPr>
    </w:p>
    <w:p>
      <w:pPr>
        <w:jc w:val="both"/>
        <w:ind w:left="580" w:hanging="580"/>
        <w:spacing w:after="0" w:line="284" w:lineRule="auto"/>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457(o) under the Securities Act, the registration fee is calculated based on the proposed maximum offering price of the securities being registered. Pursuant to Rule 415(a)(6) under the Securities Act, this registration statement covers a total of $82,220,224 of securities that were previously registered pursuant to the Prior Registration Statement, but which remain unsold as of the date hereof (the “</w:t>
      </w:r>
      <w:r>
        <w:rPr>
          <w:rFonts w:ascii="Arial" w:cs="Arial" w:eastAsia="Arial" w:hAnsi="Arial"/>
          <w:sz w:val="15"/>
          <w:szCs w:val="15"/>
          <w:i w:val="1"/>
          <w:iCs w:val="1"/>
          <w:color w:val="auto"/>
        </w:rPr>
        <w:t>Unsold Securities</w:t>
      </w:r>
      <w:r>
        <w:rPr>
          <w:rFonts w:ascii="Arial" w:cs="Arial" w:eastAsia="Arial" w:hAnsi="Arial"/>
          <w:sz w:val="15"/>
          <w:szCs w:val="15"/>
          <w:color w:val="auto"/>
        </w:rPr>
        <w:t>”). The Unsold Securities are being carried forward to and registered on this registration statement. In connection with the registration of the Unsold Securities on the Prior Registration Statement, the registrant previously paid a registration fee of $9,978.99.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Accordingly, the Registrant is paying a registration fee of $8,201.01 with the filing of this registration statement. If the registrant sells any of the Unsold Securities pursuant to the Prior Registration Statement after the date of the initial filing, and prior to the date of effectiveness, of this registration statement, the registrant will file a pre-effective amendment to this registration statement, which will reduce the number of Unsold Securities included on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256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622935</wp:posOffset>
            </wp:positionV>
            <wp:extent cx="725614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3" w:name="page4"/>
    <w:bookmarkEnd w:id="3"/>
    <w:p>
      <w:pPr>
        <w:jc w:val="both"/>
        <w:ind w:left="120" w:right="100"/>
        <w:spacing w:after="0" w:line="279" w:lineRule="auto"/>
        <w:rPr>
          <w:sz w:val="20"/>
          <w:szCs w:val="20"/>
          <w:color w:val="auto"/>
        </w:rPr>
      </w:pPr>
      <w:r>
        <w:rPr>
          <w:rFonts w:ascii="Arial" w:cs="Arial" w:eastAsia="Arial" w:hAnsi="Arial"/>
          <w:sz w:val="16"/>
          <w:szCs w:val="16"/>
          <w:b w:val="1"/>
          <w:bCs w:val="1"/>
          <w:color w:val="FF0000"/>
        </w:rPr>
        <w:drawing>
          <wp:anchor simplePos="0" relativeHeight="251657728" behindDoc="1" locked="0" layoutInCell="0" allowOverlap="1">
            <wp:simplePos x="0" y="0"/>
            <wp:positionH relativeFrom="page">
              <wp:posOffset>152400</wp:posOffset>
            </wp:positionH>
            <wp:positionV relativeFrom="page">
              <wp:posOffset>344170</wp:posOffset>
            </wp:positionV>
            <wp:extent cx="7256145" cy="654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65405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75" w:lineRule="exact"/>
        <w:rPr>
          <w:sz w:val="20"/>
          <w:szCs w:val="20"/>
          <w:color w:val="auto"/>
        </w:rPr>
      </w:pPr>
    </w:p>
    <w:p>
      <w:pPr>
        <w:ind w:left="40"/>
        <w:spacing w:after="0"/>
        <w:tabs>
          <w:tab w:leader="none" w:pos="4500" w:val="left"/>
          <w:tab w:leader="none" w:pos="9180" w:val="left"/>
        </w:tabs>
        <w:rPr>
          <w:sz w:val="20"/>
          <w:szCs w:val="20"/>
          <w:color w:val="auto"/>
        </w:rPr>
      </w:pPr>
      <w:r>
        <w:rPr>
          <w:rFonts w:ascii="Arial" w:cs="Arial" w:eastAsia="Arial" w:hAnsi="Arial"/>
          <w:sz w:val="16"/>
          <w:szCs w:val="16"/>
          <w:b w:val="1"/>
          <w:bCs w:val="1"/>
          <w:color w:val="FF0000"/>
        </w:rPr>
        <w:t>PRELIMINARY PROSPECTUS</w:t>
      </w:r>
      <w:r>
        <w:rPr>
          <w:sz w:val="20"/>
          <w:szCs w:val="20"/>
          <w:color w:val="auto"/>
        </w:rPr>
        <w:tab/>
      </w:r>
      <w:r>
        <w:rPr>
          <w:rFonts w:ascii="Arial" w:cs="Arial" w:eastAsia="Arial" w:hAnsi="Arial"/>
          <w:sz w:val="16"/>
          <w:szCs w:val="16"/>
          <w:b w:val="1"/>
          <w:bCs w:val="1"/>
          <w:color w:val="FF0000"/>
        </w:rPr>
        <w:t>SUBJECT TO COMPLETION</w:t>
      </w:r>
      <w:r>
        <w:rPr>
          <w:sz w:val="20"/>
          <w:szCs w:val="20"/>
          <w:color w:val="auto"/>
        </w:rPr>
        <w:tab/>
      </w:r>
      <w:r>
        <w:rPr>
          <w:rFonts w:ascii="Arial" w:cs="Arial" w:eastAsia="Arial" w:hAnsi="Arial"/>
          <w:sz w:val="15"/>
          <w:szCs w:val="15"/>
          <w:b w:val="1"/>
          <w:bCs w:val="1"/>
          <w:color w:val="FF0000"/>
        </w:rPr>
        <w:t>DATED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274320</wp:posOffset>
            </wp:positionV>
            <wp:extent cx="988695" cy="629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8695" cy="62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$150,000,000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From time to time, we may offer and sell, in one or more offerings, up to approximately $147.1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(as defined herein) are also being offered pursuant to this prospectus.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common stock is listed on the Nasdaq Capital Market under the symbol “VTGN.” On September 27, 2019, the closing price of our common stock on the Nasdaq Capital Market was $1.14 per share.</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this prospectus.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September 30, 2019, the aggregate market value of our outstanding common stock held by non-affiliates was approximately $54,677,141, which was calculated in accordance with General Instruction I.B.6 of Form S-3, based on 42,385,381 shares of outstanding common stock held by non-affiliates, at a price per share of $1.29, the closing sale price of our common stock reported on the Nasdaq Capital Market on September 20, 2019.</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$75.0 million. During the twelve (12) calendar months prior to and including the date of this prospectus, we have offered and sold $11.5 million of securities pursuant to General Instruction I.B.6 of Form S-3. As a result, we are currently eligible to offer and sell up to an aggregate of approximately $6.7 million of our securities pursuant to General Instruction I.B.6. of Form S-3.</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6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ind w:left="4360"/>
              <w:spacing w:after="0"/>
              <w:rPr>
                <w:sz w:val="20"/>
                <w:szCs w:val="20"/>
                <w:color w:val="auto"/>
              </w:rPr>
            </w:pPr>
            <w:r>
              <w:rPr>
                <w:rFonts w:ascii="Arial" w:cs="Arial" w:eastAsia="Arial" w:hAnsi="Arial"/>
                <w:sz w:val="16"/>
                <w:szCs w:val="16"/>
                <w:b w:val="1"/>
                <w:bCs w:val="1"/>
                <w:color w:val="auto"/>
                <w:w w:val="94"/>
              </w:rPr>
              <w:t>The date of this prospectus is</w:t>
            </w:r>
          </w:p>
        </w:tc>
        <w:tc>
          <w:tcPr>
            <w:tcW w:w="4900" w:type="dxa"/>
            <w:vAlign w:val="bottom"/>
          </w:tcPr>
          <w:p>
            <w:pPr>
              <w:jc w:val="right"/>
              <w:ind w:right="4258"/>
              <w:spacing w:after="0"/>
              <w:rPr>
                <w:sz w:val="20"/>
                <w:szCs w:val="20"/>
                <w:color w:val="auto"/>
              </w:rPr>
            </w:pPr>
            <w:r>
              <w:rPr>
                <w:rFonts w:ascii="Arial" w:cs="Arial" w:eastAsia="Arial" w:hAnsi="Arial"/>
                <w:sz w:val="16"/>
                <w:szCs w:val="16"/>
                <w:b w:val="1"/>
                <w:bCs w:val="1"/>
                <w:color w:val="auto"/>
              </w:rPr>
              <w:t>, 2019</w:t>
            </w:r>
          </w:p>
        </w:tc>
      </w:tr>
      <w:tr>
        <w:trPr>
          <w:trHeight w:val="811"/>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rPr>
              <w:t>VISTAGEN THERAPEUTICS, INC.</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rPr>
              <w:t>TABLE OF CONTENTS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80" w:type="dxa"/>
            <w:vAlign w:val="bottom"/>
          </w:tcPr>
          <w:p>
            <w:pPr>
              <w:ind w:left="18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6">
              <w:r>
                <w:rPr>
                  <w:rFonts w:ascii="Arial" w:cs="Arial" w:eastAsia="Arial" w:hAnsi="Arial"/>
                  <w:sz w:val="16"/>
                  <w:szCs w:val="16"/>
                  <w:color w:val="0000EE"/>
                </w:rPr>
                <w:t>About This Prospectus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7">
              <w:r>
                <w:rPr>
                  <w:rFonts w:ascii="Arial" w:cs="Arial" w:eastAsia="Arial" w:hAnsi="Arial"/>
                  <w:sz w:val="16"/>
                  <w:szCs w:val="16"/>
                  <w:color w:val="0000EE"/>
                </w:rPr>
                <w:t>Company Overview</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11">
              <w:r>
                <w:rPr>
                  <w:rFonts w:ascii="Arial" w:cs="Arial" w:eastAsia="Arial" w:hAnsi="Arial"/>
                  <w:sz w:val="16"/>
                  <w:szCs w:val="16"/>
                  <w:color w:val="0000EE"/>
                </w:rPr>
                <w:t>Risk Factors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12">
              <w:r>
                <w:rPr>
                  <w:rFonts w:ascii="Arial" w:cs="Arial" w:eastAsia="Arial" w:hAnsi="Arial"/>
                  <w:sz w:val="16"/>
                  <w:szCs w:val="16"/>
                  <w:color w:val="0000EE"/>
                </w:rPr>
                <w:t>Cautionary Notes Regarding Forward-Looking Statements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13">
              <w:r>
                <w:rPr>
                  <w:rFonts w:ascii="Arial" w:cs="Arial" w:eastAsia="Arial" w:hAnsi="Arial"/>
                  <w:sz w:val="16"/>
                  <w:szCs w:val="16"/>
                  <w:color w:val="0000EE"/>
                </w:rPr>
                <w:t>Use of Proceeds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14">
              <w:r>
                <w:rPr>
                  <w:rFonts w:ascii="Arial" w:cs="Arial" w:eastAsia="Arial" w:hAnsi="Arial"/>
                  <w:sz w:val="16"/>
                  <w:szCs w:val="16"/>
                  <w:color w:val="0000EE"/>
                </w:rPr>
                <w:t>Description of our Capital Stock</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0">
              <w:r>
                <w:rPr>
                  <w:rFonts w:ascii="Arial" w:cs="Arial" w:eastAsia="Arial" w:hAnsi="Arial"/>
                  <w:sz w:val="16"/>
                  <w:szCs w:val="16"/>
                  <w:color w:val="0000EE"/>
                </w:rPr>
                <w:t>Description of our Warrants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3">
              <w:r>
                <w:rPr>
                  <w:rFonts w:ascii="Arial" w:cs="Arial" w:eastAsia="Arial" w:hAnsi="Arial"/>
                  <w:sz w:val="16"/>
                  <w:szCs w:val="16"/>
                  <w:color w:val="0000EE"/>
                </w:rPr>
                <w:t>Description of our Units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4">
              <w:r>
                <w:rPr>
                  <w:rFonts w:ascii="Arial" w:cs="Arial" w:eastAsia="Arial" w:hAnsi="Arial"/>
                  <w:sz w:val="16"/>
                  <w:szCs w:val="16"/>
                  <w:color w:val="0000EE"/>
                </w:rPr>
                <w:t>Description of Certain Provisions of Nevada Law and our Articles of Incorporation and Bylaws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5">
              <w:r>
                <w:rPr>
                  <w:rFonts w:ascii="Arial" w:cs="Arial" w:eastAsia="Arial" w:hAnsi="Arial"/>
                  <w:sz w:val="16"/>
                  <w:szCs w:val="16"/>
                  <w:color w:val="0000EE"/>
                </w:rPr>
                <w:t>Plan of Distribution</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6">
              <w:r>
                <w:rPr>
                  <w:rFonts w:ascii="Arial" w:cs="Arial" w:eastAsia="Arial" w:hAnsi="Arial"/>
                  <w:sz w:val="16"/>
                  <w:szCs w:val="16"/>
                  <w:color w:val="0000EE"/>
                </w:rPr>
                <w:t>Legal Matters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6">
              <w:r>
                <w:rPr>
                  <w:rFonts w:ascii="Arial" w:cs="Arial" w:eastAsia="Arial" w:hAnsi="Arial"/>
                  <w:sz w:val="16"/>
                  <w:szCs w:val="16"/>
                  <w:color w:val="0000EE"/>
                </w:rPr>
                <w:t>Experts</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820" w:type="dxa"/>
            <w:vAlign w:val="bottom"/>
            <w:gridSpan w:val="15"/>
            <w:shd w:val="clear" w:color="auto" w:fill="CCEEFF"/>
          </w:tcPr>
          <w:p>
            <w:pPr>
              <w:spacing w:after="0" w:line="163" w:lineRule="exact"/>
              <w:rPr>
                <w:rFonts w:ascii="Arial" w:cs="Arial" w:eastAsia="Arial" w:hAnsi="Arial"/>
                <w:sz w:val="16"/>
                <w:szCs w:val="16"/>
                <w:color w:val="0000EE"/>
              </w:rPr>
            </w:pPr>
            <w:hyperlink w:anchor="page26">
              <w:r>
                <w:rPr>
                  <w:rFonts w:ascii="Arial" w:cs="Arial" w:eastAsia="Arial" w:hAnsi="Arial"/>
                  <w:sz w:val="16"/>
                  <w:szCs w:val="16"/>
                  <w:color w:val="0000EE"/>
                </w:rPr>
                <w:t>Where You Can Find More Information</w:t>
              </w:r>
            </w:hyperlink>
          </w:p>
        </w:tc>
        <w:tc>
          <w:tcPr>
            <w:tcW w:w="2580" w:type="dxa"/>
            <w:vAlign w:val="bottom"/>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300" w:type="dxa"/>
            <w:vAlign w:val="bottom"/>
            <w:tcBorders>
              <w:bottom w:val="single" w:sz="8" w:color="0000EE"/>
            </w:tcBorders>
            <w:gridSpan w:val="12"/>
            <w:shd w:val="clear" w:color="auto" w:fill="CCEEFF"/>
          </w:tcPr>
          <w:p>
            <w:pPr>
              <w:spacing w:after="0" w:line="163" w:lineRule="exact"/>
              <w:rPr>
                <w:rFonts w:ascii="Arial" w:cs="Arial" w:eastAsia="Arial" w:hAnsi="Arial"/>
                <w:sz w:val="16"/>
                <w:szCs w:val="16"/>
                <w:color w:val="0000EE"/>
                <w:w w:val="93"/>
              </w:rPr>
            </w:pPr>
            <w:hyperlink w:anchor="page27">
              <w:r>
                <w:rPr>
                  <w:rFonts w:ascii="Arial" w:cs="Arial" w:eastAsia="Arial" w:hAnsi="Arial"/>
                  <w:sz w:val="16"/>
                  <w:szCs w:val="16"/>
                  <w:color w:val="0000EE"/>
                  <w:w w:val="93"/>
                </w:rPr>
                <w:t>Incorporation of Certain Information by Reference</w:t>
              </w:r>
            </w:hyperlink>
          </w:p>
        </w:tc>
        <w:tc>
          <w:tcPr>
            <w:tcW w:w="5520" w:type="dxa"/>
            <w:vAlign w:val="bottom"/>
            <w:tcBorders>
              <w:bottom w:val="single" w:sz="8" w:color="CCEEFF"/>
            </w:tcBorders>
            <w:gridSpan w:val="3"/>
            <w:shd w:val="clear" w:color="auto" w:fill="CCEEFF"/>
          </w:tcPr>
          <w:p>
            <w:pPr>
              <w:spacing w:after="0"/>
              <w:rPr>
                <w:sz w:val="15"/>
                <w:szCs w:val="15"/>
                <w:color w:val="auto"/>
              </w:rPr>
            </w:pPr>
          </w:p>
        </w:tc>
        <w:tc>
          <w:tcPr>
            <w:tcW w:w="2580" w:type="dxa"/>
            <w:vAlign w:val="bottom"/>
            <w:tcBorders>
              <w:bottom w:val="single" w:sz="8" w:color="CCEEFF"/>
            </w:tcBorders>
            <w:shd w:val="clear" w:color="auto" w:fill="CCEEFF"/>
          </w:tcPr>
          <w:p>
            <w:pPr>
              <w:jc w:val="center"/>
              <w:ind w:left="1378"/>
              <w:spacing w:after="0" w:line="163" w:lineRule="exact"/>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22" w:lineRule="exact"/>
        <w:rPr>
          <w:sz w:val="20"/>
          <w:szCs w:val="20"/>
          <w:color w:val="auto"/>
        </w:rPr>
      </w:pPr>
    </w:p>
    <w:p>
      <w:pPr>
        <w:jc w:val="both"/>
        <w:ind w:right="100"/>
        <w:spacing w:after="0" w:line="316" w:lineRule="auto"/>
        <w:rPr>
          <w:sz w:val="20"/>
          <w:szCs w:val="20"/>
          <w:color w:val="auto"/>
        </w:rPr>
      </w:pPr>
      <w:r>
        <w:rPr>
          <w:rFonts w:ascii="Arial" w:cs="Arial" w:eastAsia="Arial" w:hAnsi="Arial"/>
          <w:sz w:val="14"/>
          <w:szCs w:val="14"/>
          <w:color w:val="auto"/>
        </w:rPr>
        <w:t>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PROSPECTUS MAY NOT BE USED TO CONSUMMATE A SALE OF SECURITIES UNLESS IT IS ACCOMPANIED BY A PROSPECTUS SUPPLEMENT.</w:t>
      </w:r>
    </w:p>
    <w:p>
      <w:pPr>
        <w:spacing w:after="0" w:line="222" w:lineRule="exact"/>
        <w:rPr>
          <w:sz w:val="20"/>
          <w:szCs w:val="20"/>
          <w:color w:val="auto"/>
        </w:rPr>
      </w:pPr>
    </w:p>
    <w:p>
      <w:pPr>
        <w:jc w:val="both"/>
        <w:ind w:right="100"/>
        <w:spacing w:after="0" w:line="313"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7"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COMPANY OVERVIEW</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including the section titled “Risk Factors” on page 6, before deciding whether to purchase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the leading cause of disability globally, affecting approximately 16 million adults in the United States and nearly 300 million people worldwide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AV-101 is currently in Phase 2 development in the U.S. as an add-on treatment (together with current FDA-approved antidepressants (SSRIs and SNRIs)) for adult patients with MDD who have an inadequate response to their current antideperssant. The FDA has granted Fast Track designation for development of AV-101 as an add-on, or adjunctive, treatment for MDD. We believe AV-101 has potential as a novel treatment for multile additional CNS indivcations, including as a non-opioid treatment for chronic neuropathic pain, for which the FDA has granted a second AV-101 Fast Track designation, as well as a novel oral therapy for levodopa-induced dyskinesia associated with Parkinson’s disease therapy and suicidal ideation.</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second product candidate, 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In an exploratory 30-patient Phase 2a clinical study, PH10 was well-tolerated and, at microgram doses, demonstrated rapid-onset antidepressant effects,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psychological side effects or safety concerns. Based on positive results from this exploratory Phase 2a study, we are planning Phase 2b clinical development of PH10 in 2020, initially as a new stand-alone treatment for MDD. With its exceptional safety profile during clinical development to date, PH10 also has potential to change the current paradigm for treatment of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Our third product candidate, PH94B, is also a novel, rapid-acting CNS neuroactive nasal spray administered in microgram doses. We are developing PH94B initially for treatment of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which affects over 19 million Americans and is the third most common psychiatric condition after depression and substance abuse according to the NIH.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However, for treatment of both MDD and SAD, current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have slow onset of effect (often several weeks to months) and significant side effects that may make them inadequate treatment alternatives for many individuals affected by MDD and SAD.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but without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post-tramautic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addition to our current CNS product candidates, we have pipeline-enabling programs through our wholly-owned subsidiary,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discover, rescue, develop and commercialize proprietary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CNS and other diseases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xml:space="preserve">) involving hPSC-derived blood, cartilage, heart and liver cells. Our internal drug rescue programs are designed to utilize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w:t>
      </w:r>
      <w:r>
        <w:rPr>
          <w:rFonts w:ascii="Arial" w:cs="Arial" w:eastAsia="Arial" w:hAnsi="Arial"/>
          <w:sz w:val="15"/>
          <w:szCs w:val="15"/>
          <w:i w:val="1"/>
          <w:iCs w:val="1"/>
          <w:color w:val="auto"/>
        </w:rPr>
        <w:t>3D</w:t>
      </w:r>
      <w:r>
        <w:rPr>
          <w:rFonts w:ascii="Arial" w:cs="Arial" w:eastAsia="Arial" w:hAnsi="Arial"/>
          <w:sz w:val="15"/>
          <w:szCs w:val="15"/>
          <w:color w:val="auto"/>
        </w:rPr>
        <w:t>, our customized cardiac bioassay system, to discover and develop small molecule NCEs for our CNS pipeline or for out-licensing. To advance potential RM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cardiac stem cell technology, we have sublicensed to BlueRock Therapeutics LP, a next generation cell therapy and RM company recently acquired by Bayer AG (</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a manner similar to the BlueRock Agreement, we may pursue additional collaborations or licensing transactions involving blood, cartilage, and/or liver cells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hPSCs for cell-based therapy, cell repair therapy, RM and/or tissue engineering.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6 of this prospectus for a discussion of the factors you should carefully consider before deciding to purchase securities that may be offered by this prospectus.</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Additional risks and uncertainties not presently known to us or that we currently deem immaterial may also impair our business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our Series A1 Warrants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might fluctuate significantly, which could reduce the value of our Series A1 Warrants.</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common stock is listed for trading on the Nasdaq Capital Market under the symbol “VTGN.” Our stock price has been and could continue to be subject to wide fluctuations in response to a variety of factors, including the following:</w:t>
      </w:r>
    </w:p>
    <w:p>
      <w:pPr>
        <w:spacing w:after="0" w:line="155" w:lineRule="exact"/>
        <w:rPr>
          <w:sz w:val="20"/>
          <w:szCs w:val="20"/>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plans for, progress of or results from nonclinical and clinical development activities related to our product candidates;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failure of the FDA or other regulatory authority to approve our product candidates;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success or failure of other CNS therapies;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announcements regarding our intellectual property portfolio;</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 of our product candidates, if approved, to achieve commercial success;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market conditions and overall fluctuations in U.S. equity markets;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our financial guidance or securities analysts’ estimates of our financial performance;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raise additional capital and the terms on which we can raise it;</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establishment of short positions by holders or non-holders of our stock or warrants;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discussion of us or our stock price by the press and by online investor communities;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and uncertainties described in these risk factors, and the risk factors incorporated by reference into this prospectus.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Series A1 Warrants.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our Series A1 Warrants and the liquidity of our Series A1 Warrants may be limited.</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There is no established public trading market for our Series A1 Warrants, and we do not expect a market to develop. In addition, we do not intend to apply for the listing of our Series A1 Warrants on any national securities exchange or other trading market. Without an active market, we expect the liquidity of our Series A1 Warrants will be limited, which may negatively impact the value of our Series A1 Warrants.</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Holders of our Series A1 Warrants will generally not have rights as a common stockholder until such holders exercise their Series A1 Warrants and acquire our common stock.</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Except as set forth in our Series A1 Warrants, holders of our Series A1 Warrants will generally not have rights with respect to the Series A1 Warrant Shares underlying the Series A1 Warrants. Upon exercise of the Series A1 Warrants, the holders thereof will be entitled to exercise the rights of a common stockholder only as to matters for which the record date occurs after the exercise date.</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Due to the speculative nature of our Series A1 Warrants, there is no guarantee that it will ever be profitable for holders of our Series A1 Warrants to exercise their Series A1 Warrants.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Holders of Series A1 Warrants may exercise their right to acquire the Series A Warrant Shares by paying an exercise price of $1.82 per share prior to their expiration on or about March 7, 2023, after which date any unexercised Series A1 Warrants will expire and have no further value. There can be no assurance that the market price of our common stock will ever equal or exceed the exercise price of the Series A1 Warrants, and, consequently, whether it will ever be profitable for holders to exercise their Series A1 Warrants.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holders or beneficial holders of our common stock may not be permitted to exercise Series A1 Warrants that they hold.</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terms of the Series A1 Warrants prohibit holders from exercising their Series A1 Warrants if doing so would result in such holders (together with such holders’ affiliates) beneficially owning more than 4.99% (which threshold may be decreased or increased, but not above 9.99%, at the election of the holders upon prior written notice to us) of the number of shares of common stock outstanding immediately after giving effect to the exercise, as such percentage ownership is determined in accordance with the terms of the Series A1 Warrants. As a result, holders of the Series A1 Warrants may not be able to exercise our Series A1 Warrants for Series A1 Warrant Shares at a time when it would be financially beneficial for them to do so.</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We have broad discretion to determine how any funds received in connection with any offering will be used, and may use them in ways that may not enhance our operating results or the price of our common stock.</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management will have broad discretion over the use of proceeds received from any offering pursuant to this registration statement, including upon the exercise of the Series A1 Warrants, and we could spend the proceeds in ways in which our investors do not agree or that do not yield a favorable return. If we do not invest or apply the proceeds of any offering in ways that improve our operating results, we may fail to achieve expected financial results, which could cause the market price of our common stock and the value of our Series A1 Warrants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cash dividends.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never declared or paid cash dividends on our common stock or other securities.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5"/>
          <w:szCs w:val="15"/>
          <w:i w:val="1"/>
          <w:iCs w:val="1"/>
          <w:color w:val="auto"/>
        </w:rPr>
        <w:t>Risk Factors</w:t>
      </w:r>
      <w:r>
        <w:rPr>
          <w:rFonts w:ascii="Arial" w:cs="Arial" w:eastAsia="Arial" w:hAnsi="Arial"/>
          <w:sz w:val="15"/>
          <w:szCs w:val="15"/>
          <w:color w:val="auto"/>
        </w:rPr>
        <w:t>” on page 6 of this prospectus and in our Annual Report on Form 10-K for the fiscal year ended March 31, 2019, our Quarterly Report on Form 10-Q for the period ended June 30, 2019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5"/>
          <w:szCs w:val="15"/>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This prospectus and the documents incorporated by reference herein contain forward-looking statements that involve substantial risks and uncertainties. All statements, other than statements of historical facts, contained in this prospectus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7" w:lineRule="exact"/>
        <w:rPr>
          <w:sz w:val="20"/>
          <w:szCs w:val="20"/>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 and clinical and nonclinical development objectives;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7" w:lineRule="exact"/>
        <w:rPr>
          <w:rFonts w:ascii="Arial" w:cs="Arial" w:eastAsia="Arial" w:hAnsi="Arial"/>
          <w:sz w:val="16"/>
          <w:szCs w:val="16"/>
          <w:color w:val="auto"/>
        </w:rPr>
      </w:pPr>
    </w:p>
    <w:p>
      <w:pPr>
        <w:jc w:val="both"/>
        <w:ind w:left="600" w:hanging="298"/>
        <w:spacing w:after="0" w:line="277"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among other things, AV-101, initially as an add-on treatment for MDD, and subsequently as a treatment for additional diseases and disorders involving the CNS, PH94B, initially, as a treatment for SAD and PH10, initially, as a stand-alone treatment for MDD;</w:t>
      </w:r>
    </w:p>
    <w:p>
      <w:pPr>
        <w:spacing w:after="0" w:line="166"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U.S. and foreign countries;</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protection for our core assets, including our product candidates;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enter and serve those markets;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key scientific, clinical or nonclinical development, regulatory, and/or management personnel, internally or from one or more of our third-party collaborators; and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this prospectus and the documents incorporated by reference herein.</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sections in this prospectus and the documents incorporated by reference herein,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You should read this prospectus,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Unless otherwise provided in the applicable prospectus supplement, we intend to use the net proceeds from the sale of the securities under this prospectus primarily for research and development expenses associated with continuing development of AV-101, PH10, PH94B, potential drug rescue candidates, and for other working capital and capital expenditures. We may use a portion of the net proceeds to fund production of, and nonclinical and clinical studies related to Phase 2 and Phase 3 development of, AV-101, PH10 and PH94B and our other drug candidates.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authorized capital stock consists of 175.0 million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 million shares of preferred stock, $0.001 par value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The following is a description of our common stock and certain provisions of our Restated Articles of Incorporation (“</w:t>
      </w:r>
      <w:r>
        <w:rPr>
          <w:rFonts w:ascii="Arial" w:cs="Arial" w:eastAsia="Arial" w:hAnsi="Arial"/>
          <w:sz w:val="16"/>
          <w:szCs w:val="16"/>
          <w:i w:val="1"/>
          <w:iCs w:val="1"/>
          <w:color w:val="auto"/>
        </w:rPr>
        <w:t>Articles”</w:t>
      </w:r>
      <w:r>
        <w:rPr>
          <w:rFonts w:ascii="Arial" w:cs="Arial" w:eastAsia="Arial" w:hAnsi="Arial"/>
          <w:sz w:val="16"/>
          <w:szCs w:val="16"/>
          <w:color w:val="auto"/>
        </w:rPr>
        <w:t>),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issued and outstanding, or reserved for issuance:</w:t>
      </w:r>
    </w:p>
    <w:p>
      <w:pPr>
        <w:spacing w:after="0" w:line="218" w:lineRule="exact"/>
        <w:rPr>
          <w:sz w:val="20"/>
          <w:szCs w:val="20"/>
          <w:color w:val="auto"/>
        </w:rPr>
      </w:pPr>
    </w:p>
    <w:p>
      <w:pPr>
        <w:ind w:left="600" w:hanging="298"/>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42,622,965 shares of common stock held by approximately 6,000 stockholders of record;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1,160,240 shares of common stock reserved for issuance upon conversion of 1,160,240 shares of our Series B Preferred held by two institutional investors;</w:t>
      </w:r>
    </w:p>
    <w:p>
      <w:pPr>
        <w:spacing w:after="0" w:line="229" w:lineRule="exact"/>
        <w:rPr>
          <w:rFonts w:ascii="Arial" w:cs="Arial" w:eastAsia="Arial" w:hAnsi="Arial"/>
          <w:sz w:val="15"/>
          <w:szCs w:val="15"/>
          <w:color w:val="auto"/>
        </w:rPr>
      </w:pPr>
    </w:p>
    <w:p>
      <w:pPr>
        <w:ind w:left="600" w:hanging="298"/>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9" w:lineRule="exact"/>
        <w:rPr>
          <w:rFonts w:ascii="Arial" w:cs="Arial" w:eastAsia="Arial" w:hAnsi="Arial"/>
          <w:sz w:val="15"/>
          <w:szCs w:val="15"/>
          <w:color w:val="auto"/>
        </w:rPr>
      </w:pPr>
    </w:p>
    <w:p>
      <w:pPr>
        <w:ind w:left="600" w:hanging="298"/>
        <w:spacing w:after="0" w:line="29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7,844,838 shares of common stock reserved for issuance upon exercise of outstanding stock options under our Amended and Restated 2016 Stock Incentive Plan, with a weighted average exercise price of $1.76 per share;</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170,000 shares of common stock reserved for issuance upon exercise of outstanding stock options under our 2019 Omnibus Equity Incentive Plan, with a weighted average exercise price of $1.00 per share, and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w:t>
      </w:r>
    </w:p>
    <w:p>
      <w:pPr>
        <w:spacing w:after="0" w:line="21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2017 Public Offering and Series A1 Warrant Shares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22"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At September 30, 2019,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368"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September 30, 2019,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 the date of either a Voluntary Conversion or Automatic Conversion solely in that number of shares of Common Stock equal to the Accrued Dividend.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At September 30, 2019,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8" w:lineRule="exact"/>
        <w:rPr>
          <w:sz w:val="20"/>
          <w:szCs w:val="20"/>
          <w:color w:val="auto"/>
        </w:rPr>
      </w:pPr>
    </w:p>
    <w:p>
      <w:pPr>
        <w:jc w:val="both"/>
        <w:spacing w:after="0" w:line="368"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2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5" w:lineRule="exact"/>
        <w:rPr>
          <w:sz w:val="20"/>
          <w:szCs w:val="20"/>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5" w:lineRule="exact"/>
        <w:rPr>
          <w:sz w:val="20"/>
          <w:szCs w:val="20"/>
          <w:color w:val="auto"/>
        </w:rPr>
      </w:pPr>
    </w:p>
    <w:p>
      <w:pPr>
        <w:ind w:left="600" w:hanging="29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7" w:lineRule="exact"/>
        <w:rPr>
          <w:rFonts w:ascii="Arial" w:cs="Arial" w:eastAsia="Arial" w:hAnsi="Arial"/>
          <w:sz w:val="16"/>
          <w:szCs w:val="16"/>
          <w:color w:val="auto"/>
        </w:rPr>
      </w:pPr>
    </w:p>
    <w:p>
      <w:pPr>
        <w:jc w:val="both"/>
        <w:ind w:left="600" w:hanging="298"/>
        <w:spacing w:after="0" w:line="277"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6" w:lineRule="exact"/>
        <w:rPr>
          <w:rFonts w:ascii="Arial" w:cs="Arial" w:eastAsia="Arial" w:hAnsi="Arial"/>
          <w:sz w:val="16"/>
          <w:szCs w:val="16"/>
          <w:color w:val="auto"/>
        </w:rPr>
      </w:pPr>
    </w:p>
    <w:p>
      <w:pPr>
        <w:ind w:left="600" w:hanging="29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8" w:lineRule="exact"/>
        <w:rPr>
          <w:sz w:val="20"/>
          <w:szCs w:val="20"/>
          <w:color w:val="auto"/>
        </w:rPr>
      </w:pPr>
    </w:p>
    <w:p>
      <w:pPr>
        <w:ind w:left="600" w:hanging="298"/>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9" w:lineRule="exact"/>
        <w:rPr>
          <w:rFonts w:ascii="Arial" w:cs="Arial" w:eastAsia="Arial" w:hAnsi="Arial"/>
          <w:sz w:val="15"/>
          <w:szCs w:val="15"/>
          <w:color w:val="auto"/>
        </w:rPr>
      </w:pPr>
    </w:p>
    <w:p>
      <w:pPr>
        <w:ind w:left="600" w:hanging="298"/>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7" w:lineRule="exact"/>
        <w:rPr>
          <w:sz w:val="20"/>
          <w:szCs w:val="20"/>
          <w:color w:val="auto"/>
        </w:rPr>
      </w:pPr>
    </w:p>
    <w:p>
      <w:pPr>
        <w:ind w:left="600" w:hanging="298"/>
        <w:spacing w:after="0" w:line="292"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1"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8" w:lineRule="exact"/>
        <w:rPr>
          <w:sz w:val="20"/>
          <w:szCs w:val="20"/>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9" w:lineRule="exact"/>
        <w:rPr>
          <w:rFonts w:ascii="Arial" w:cs="Arial" w:eastAsia="Arial" w:hAnsi="Arial"/>
          <w:sz w:val="15"/>
          <w:szCs w:val="15"/>
          <w:color w:val="auto"/>
        </w:rPr>
      </w:pPr>
    </w:p>
    <w:p>
      <w:pPr>
        <w:ind w:left="600" w:hanging="29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Form more information, see “</w:t>
      </w:r>
      <w:r>
        <w:rPr>
          <w:rFonts w:ascii="Arial" w:cs="Arial" w:eastAsia="Arial" w:hAnsi="Arial"/>
          <w:sz w:val="15"/>
          <w:szCs w:val="15"/>
          <w:i w:val="1"/>
          <w:iCs w:val="1"/>
          <w:color w:val="auto"/>
        </w:rPr>
        <w:t>Decription of Warrants – Registration of Series A1 Warrants and Series A1 Warrant Shares</w:t>
      </w:r>
      <w:r>
        <w:rPr>
          <w:rFonts w:ascii="Arial" w:cs="Arial" w:eastAsia="Arial" w:hAnsi="Arial"/>
          <w:sz w:val="15"/>
          <w:szCs w:val="15"/>
          <w:color w:val="auto"/>
        </w:rPr>
        <w:t>” below.</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Except as set forth in the Series A1 Warrants or by virtue of such holders’ ownership of shares of our common stock, the holders of the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do not have the rights or privileges of holders of our common stock, including any voting rights, until they exercise the Series A1 Warrants.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Fundamental Transactions: </w:t>
      </w:r>
      <w:r>
        <w:rPr>
          <w:rFonts w:ascii="Arial" w:cs="Arial" w:eastAsia="Arial" w:hAnsi="Arial"/>
          <w:sz w:val="15"/>
          <w:szCs w:val="15"/>
          <w:color w:val="auto"/>
        </w:rPr>
        <w:t>In the event of certain fundamental transactions, as described in the Series A1 Warrants and generally including any merger or consolidation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the Board of Directors,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The Series A1 Warrants and the Series A1 Warrant Shares were previously registered pursuant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and a prospectus supplement filed with the SEC on August 31, 2017 pursuant to Rule 424(b)(5) under the Securities Act. Pursuant to Rule 415(a)(6) and Rule 429 under the Securities Act, the offering of the Series A1 Warrant Shares will be registered pursuant to this registration statement.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8" w:lineRule="exact"/>
        <w:rPr>
          <w:sz w:val="20"/>
          <w:szCs w:val="20"/>
          <w:color w:val="auto"/>
        </w:rPr>
      </w:pPr>
    </w:p>
    <w:p>
      <w:pPr>
        <w:ind w:left="600" w:hanging="298"/>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ARTICLES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1" w:lineRule="exact"/>
        <w:rPr>
          <w:sz w:val="20"/>
          <w:szCs w:val="20"/>
          <w:color w:val="auto"/>
        </w:rPr>
      </w:pPr>
    </w:p>
    <w:p>
      <w:pPr>
        <w:ind w:left="600" w:hanging="298"/>
        <w:spacing w:after="0" w:line="29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55"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to the board of directors for action; or</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transaction was fair to the Company at the time it is authorized or approved.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Share Acquisition Provisions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Combinations with Interested Stockholders</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2" w:lineRule="exact"/>
        <w:rPr>
          <w:sz w:val="20"/>
          <w:szCs w:val="20"/>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55" w:lineRule="exact"/>
        <w:rPr>
          <w:sz w:val="20"/>
          <w:szCs w:val="20"/>
          <w:color w:val="auto"/>
        </w:rPr>
      </w:pPr>
    </w:p>
    <w:p>
      <w:pPr>
        <w:ind w:left="600" w:hanging="298"/>
        <w:spacing w:after="0" w:line="292"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55" w:lineRule="exact"/>
        <w:rPr>
          <w:rFonts w:ascii="Arial" w:cs="Arial" w:eastAsia="Arial" w:hAnsi="Arial"/>
          <w:sz w:val="16"/>
          <w:szCs w:val="16"/>
          <w:color w:val="auto"/>
        </w:rPr>
      </w:pPr>
    </w:p>
    <w:p>
      <w:pPr>
        <w:ind w:left="600" w:hanging="298"/>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8" w:lineRule="exact"/>
        <w:rPr>
          <w:sz w:val="20"/>
          <w:szCs w:val="20"/>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17" w:lineRule="exact"/>
        <w:rPr>
          <w:rFonts w:ascii="Arial" w:cs="Arial" w:eastAsia="Arial" w:hAnsi="Arial"/>
          <w:sz w:val="16"/>
          <w:szCs w:val="16"/>
          <w:color w:val="auto"/>
        </w:rPr>
      </w:pPr>
    </w:p>
    <w:p>
      <w:pPr>
        <w:ind w:left="600" w:hanging="298"/>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 and</w:t>
      </w:r>
    </w:p>
    <w:p>
      <w:pPr>
        <w:spacing w:after="0" w:line="217" w:lineRule="exact"/>
        <w:rPr>
          <w:rFonts w:ascii="Arial" w:cs="Arial" w:eastAsia="Arial" w:hAnsi="Arial"/>
          <w:sz w:val="16"/>
          <w:szCs w:val="16"/>
          <w:color w:val="auto"/>
        </w:rPr>
      </w:pPr>
    </w:p>
    <w:p>
      <w:pPr>
        <w:ind w:left="600" w:hanging="298"/>
        <w:spacing w:after="0" w:line="292"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274320</wp:posOffset>
            </wp:positionV>
            <wp:extent cx="988695" cy="629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8695" cy="62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$150,000,000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COMMON STOCK</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PREFERRED STOCK</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WARRANTS</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OTHER EXPENSES OF ISSUANCE AND DISTRIBUTION</w:t>
      </w: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and FINRA registration fees.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60" w:type="dxa"/>
            <w:vAlign w:val="bottom"/>
          </w:tcPr>
          <w:p>
            <w:pPr>
              <w:jc w:val="right"/>
              <w:ind w:right="318"/>
              <w:spacing w:after="0"/>
              <w:rPr>
                <w:sz w:val="20"/>
                <w:szCs w:val="20"/>
                <w:color w:val="auto"/>
              </w:rPr>
            </w:pPr>
            <w:r>
              <w:rPr>
                <w:rFonts w:ascii="Arial" w:cs="Arial" w:eastAsia="Arial" w:hAnsi="Arial"/>
                <w:sz w:val="16"/>
                <w:szCs w:val="16"/>
                <w:b w:val="1"/>
                <w:bCs w:val="1"/>
                <w:color w:val="auto"/>
              </w:rPr>
              <w:t>Amount</w:t>
            </w:r>
          </w:p>
        </w:tc>
      </w:tr>
      <w:tr>
        <w:trPr>
          <w:trHeight w:val="20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8,201</w:t>
            </w:r>
          </w:p>
        </w:tc>
      </w:tr>
      <w:tr>
        <w:trPr>
          <w:trHeight w:val="201"/>
        </w:trPr>
        <w:tc>
          <w:tcPr>
            <w:tcW w:w="7520" w:type="dxa"/>
            <w:vAlign w:val="bottom"/>
          </w:tcPr>
          <w:p>
            <w:pPr>
              <w:spacing w:after="0"/>
              <w:rPr>
                <w:sz w:val="20"/>
                <w:szCs w:val="20"/>
                <w:color w:val="auto"/>
              </w:rPr>
            </w:pPr>
            <w:r>
              <w:rPr>
                <w:rFonts w:ascii="Arial" w:cs="Arial" w:eastAsia="Arial" w:hAnsi="Arial"/>
                <w:sz w:val="16"/>
                <w:szCs w:val="16"/>
                <w:color w:val="auto"/>
              </w:rPr>
              <w:t>FINRA registration fee</w:t>
            </w:r>
          </w:p>
        </w:tc>
        <w:tc>
          <w:tcPr>
            <w:tcW w:w="2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01"/>
        </w:trPr>
        <w:tc>
          <w:tcPr>
            <w:tcW w:w="752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2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Printing and miscellaneous fees and expenses</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07"/>
        </w:trPr>
        <w:tc>
          <w:tcPr>
            <w:tcW w:w="7520" w:type="dxa"/>
            <w:vAlign w:val="bottom"/>
          </w:tcPr>
          <w:p>
            <w:pPr>
              <w:spacing w:after="0"/>
              <w:rPr>
                <w:sz w:val="20"/>
                <w:szCs w:val="20"/>
                <w:color w:val="auto"/>
              </w:rPr>
            </w:pPr>
            <w:r>
              <w:rPr>
                <w:rFonts w:ascii="Arial" w:cs="Arial" w:eastAsia="Arial" w:hAnsi="Arial"/>
                <w:sz w:val="16"/>
                <w:szCs w:val="16"/>
                <w:color w:val="auto"/>
              </w:rPr>
              <w:t>Total</w:t>
            </w:r>
          </w:p>
        </w:tc>
        <w:tc>
          <w:tcPr>
            <w:tcW w:w="28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93"/>
        </w:trPr>
        <w:tc>
          <w:tcPr>
            <w:tcW w:w="7520" w:type="dxa"/>
            <w:vAlign w:val="bottom"/>
          </w:tcPr>
          <w:p>
            <w:pPr>
              <w:spacing w:after="0"/>
              <w:rPr>
                <w:sz w:val="20"/>
                <w:szCs w:val="20"/>
                <w:color w:val="auto"/>
              </w:rPr>
            </w:pPr>
            <w:r>
              <w:rPr>
                <w:rFonts w:ascii="Arial" w:cs="Arial" w:eastAsia="Arial" w:hAnsi="Arial"/>
                <w:sz w:val="16"/>
                <w:szCs w:val="16"/>
                <w:color w:val="auto"/>
              </w:rPr>
              <w:t>* To be included by amendment.</w:t>
            </w: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2"/>
        </w:trPr>
        <w:tc>
          <w:tcPr>
            <w:tcW w:w="7520" w:type="dxa"/>
            <w:vAlign w:val="bottom"/>
          </w:tcPr>
          <w:p>
            <w:pPr>
              <w:spacing w:after="0"/>
              <w:rPr>
                <w:sz w:val="20"/>
                <w:szCs w:val="20"/>
                <w:color w:val="auto"/>
              </w:rPr>
            </w:pPr>
            <w:r>
              <w:rPr>
                <w:rFonts w:ascii="Arial" w:cs="Arial" w:eastAsia="Arial" w:hAnsi="Arial"/>
                <w:sz w:val="16"/>
                <w:szCs w:val="16"/>
                <w:b w:val="1"/>
                <w:bCs w:val="1"/>
                <w:color w:val="auto"/>
              </w:rPr>
              <w:t>ITEM 15. INDEMNIFICATION OF OFFICERS AND DIRECTORS</w:t>
            </w: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of liability and indemnification</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bylaws provide that we will indemnify our directors, officers and employees to the fullest extent permitted by the Nevada Revised Statutes (</w:t>
      </w:r>
      <w:r>
        <w:rPr>
          <w:rFonts w:ascii="Arial" w:cs="Arial" w:eastAsia="Arial" w:hAnsi="Arial"/>
          <w:sz w:val="14"/>
          <w:szCs w:val="14"/>
          <w:i w:val="1"/>
          <w:iCs w:val="1"/>
          <w:color w:val="auto"/>
        </w:rPr>
        <w:t>NRS</w:t>
      </w:r>
      <w:r>
        <w:rPr>
          <w:rFonts w:ascii="Arial" w:cs="Arial" w:eastAsia="Arial" w:hAnsi="Arial"/>
          <w:sz w:val="14"/>
          <w:szCs w:val="14"/>
          <w:color w:val="auto"/>
        </w:rPr>
        <w:t>).</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1.1*</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rPr>
              <w:t>Form of Underwriting Agreement</w:t>
            </w:r>
          </w:p>
        </w:tc>
      </w:t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1.2*</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rPr>
              <w:t>Form of Placement Agent Agreement</w:t>
            </w:r>
          </w:p>
        </w:tc>
      </w:t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4.1*</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w w:val="92"/>
              </w:rPr>
              <w:t>Form of any certificate of designation with respect to any preferred stock issued hereunder and the related form of preferred stock certificate</w:t>
            </w:r>
          </w:p>
        </w:tc>
      </w:t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4.2*</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rPr>
              <w:t>Form of any warrant agreement with respect to each particular series of warrants issued hereunder</w:t>
            </w:r>
          </w:p>
        </w:tc>
      </w:t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4.3*</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rPr>
              <w:t>Form of any warrant agency agreement with respect to each particular series of warrants issued hereunder</w:t>
            </w:r>
          </w:p>
        </w:tc>
      </w:t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4.4*</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rPr>
              <w:t>Form of any unit agreement with respect to any unit issued hereunder</w:t>
            </w:r>
          </w:p>
        </w:tc>
      </w:tr>
      <w:tr>
        <w:trPr>
          <w:trHeight w:val="201"/>
        </w:trPr>
        <w:tc>
          <w:tcPr>
            <w:tcW w:w="280" w:type="dxa"/>
            <w:vAlign w:val="bottom"/>
          </w:tcPr>
          <w:p>
            <w:pPr>
              <w:spacing w:after="0"/>
              <w:rPr>
                <w:sz w:val="20"/>
                <w:szCs w:val="20"/>
                <w:color w:val="auto"/>
              </w:rPr>
            </w:pPr>
            <w:r>
              <w:rPr>
                <w:rFonts w:ascii="Arial" w:cs="Arial" w:eastAsia="Arial" w:hAnsi="Arial"/>
                <w:sz w:val="16"/>
                <w:szCs w:val="16"/>
                <w:color w:val="auto"/>
                <w:w w:val="91"/>
              </w:rPr>
              <w:t>5.1*</w:t>
            </w:r>
          </w:p>
        </w:tc>
        <w:tc>
          <w:tcPr>
            <w:tcW w:w="480" w:type="dxa"/>
            <w:vAlign w:val="bottom"/>
          </w:tcPr>
          <w:p>
            <w:pPr>
              <w:spacing w:after="0"/>
              <w:rPr>
                <w:sz w:val="17"/>
                <w:szCs w:val="17"/>
                <w:color w:val="auto"/>
              </w:rPr>
            </w:pPr>
          </w:p>
        </w:tc>
        <w:tc>
          <w:tcPr>
            <w:tcW w:w="9560" w:type="dxa"/>
            <w:vAlign w:val="bottom"/>
          </w:tcPr>
          <w:p>
            <w:pPr>
              <w:ind w:left="380"/>
              <w:spacing w:after="0"/>
              <w:rPr>
                <w:sz w:val="20"/>
                <w:szCs w:val="20"/>
                <w:color w:val="auto"/>
              </w:rPr>
            </w:pPr>
            <w:r>
              <w:rPr>
                <w:rFonts w:ascii="Arial" w:cs="Arial" w:eastAsia="Arial" w:hAnsi="Arial"/>
                <w:sz w:val="16"/>
                <w:szCs w:val="16"/>
                <w:color w:val="auto"/>
              </w:rPr>
              <w:t>Opinion of Disclosure Law Group, a Professional Corporation</w:t>
            </w:r>
          </w:p>
        </w:tc>
      </w:tr>
      <w:tr>
        <w:trPr>
          <w:trHeight w:val="201"/>
        </w:trPr>
        <w:tc>
          <w:tcPr>
            <w:tcW w:w="760" w:type="dxa"/>
            <w:vAlign w:val="bottom"/>
            <w:gridSpan w:val="2"/>
          </w:tcPr>
          <w:p>
            <w:pPr>
              <w:spacing w:after="0"/>
              <w:rPr>
                <w:sz w:val="20"/>
                <w:szCs w:val="20"/>
                <w:color w:val="auto"/>
              </w:rPr>
            </w:pPr>
            <w:r>
              <w:rPr>
                <w:rFonts w:ascii="Arial" w:cs="Arial" w:eastAsia="Arial" w:hAnsi="Arial"/>
                <w:sz w:val="16"/>
                <w:szCs w:val="16"/>
                <w:color w:val="auto"/>
              </w:rPr>
              <w:t>23.1*</w:t>
            </w:r>
          </w:p>
        </w:tc>
        <w:tc>
          <w:tcPr>
            <w:tcW w:w="9560" w:type="dxa"/>
            <w:vAlign w:val="bottom"/>
          </w:tcPr>
          <w:p>
            <w:pPr>
              <w:ind w:left="380"/>
              <w:spacing w:after="0"/>
              <w:rPr>
                <w:sz w:val="20"/>
                <w:szCs w:val="20"/>
                <w:color w:val="auto"/>
              </w:rPr>
            </w:pPr>
            <w:r>
              <w:rPr>
                <w:rFonts w:ascii="Arial" w:cs="Arial" w:eastAsia="Arial" w:hAnsi="Arial"/>
                <w:sz w:val="16"/>
                <w:szCs w:val="16"/>
                <w:color w:val="auto"/>
              </w:rPr>
              <w:t>Consent of Disclosure Law Group, a Professional Corporation</w:t>
            </w:r>
          </w:p>
        </w:tc>
      </w:tr>
      <w:tr>
        <w:trPr>
          <w:trHeight w:val="172"/>
        </w:trPr>
        <w:tc>
          <w:tcPr>
            <w:tcW w:w="28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color w:val="auto"/>
                <w:w w:val="83"/>
              </w:rPr>
              <w:t>23.</w:t>
            </w:r>
            <w:r>
              <w:rPr>
                <w:rFonts w:ascii="Arial" w:cs="Arial" w:eastAsia="Arial" w:hAnsi="Arial"/>
                <w:sz w:val="16"/>
                <w:szCs w:val="16"/>
                <w:u w:val="single" w:color="auto"/>
                <w:color w:val="auto"/>
                <w:w w:val="83"/>
              </w:rPr>
              <w:t>2</w:t>
            </w:r>
          </w:p>
        </w:tc>
        <w:tc>
          <w:tcPr>
            <w:tcW w:w="480" w:type="dxa"/>
            <w:vAlign w:val="bottom"/>
          </w:tcPr>
          <w:p>
            <w:pPr>
              <w:spacing w:after="0"/>
              <w:rPr>
                <w:sz w:val="14"/>
                <w:szCs w:val="14"/>
                <w:color w:val="auto"/>
              </w:rPr>
            </w:pPr>
          </w:p>
        </w:tc>
        <w:tc>
          <w:tcPr>
            <w:tcW w:w="9560" w:type="dxa"/>
            <w:vAlign w:val="bottom"/>
          </w:tcPr>
          <w:p>
            <w:pPr>
              <w:ind w:left="380"/>
              <w:spacing w:after="0" w:line="172" w:lineRule="exact"/>
              <w:rPr>
                <w:sz w:val="20"/>
                <w:szCs w:val="20"/>
                <w:color w:val="auto"/>
              </w:rPr>
            </w:pPr>
            <w:r>
              <w:rPr>
                <w:rFonts w:ascii="Arial" w:cs="Arial" w:eastAsia="Arial" w:hAnsi="Arial"/>
                <w:sz w:val="16"/>
                <w:szCs w:val="16"/>
                <w:color w:val="auto"/>
              </w:rPr>
              <w:t>Consent of Independent Registered Public Accounting Firm – OUM &amp; Co., LLP, filed herewith</w:t>
            </w:r>
          </w:p>
        </w:tc>
      </w:tr>
    </w:tbl>
    <w:p>
      <w:pPr>
        <w:spacing w:after="0" w:line="16" w:lineRule="exact"/>
        <w:rPr>
          <w:sz w:val="20"/>
          <w:szCs w:val="20"/>
          <w:color w:val="auto"/>
        </w:rPr>
      </w:pPr>
    </w:p>
    <w:p>
      <w:pPr>
        <w:ind w:left="1140" w:hanging="1140"/>
        <w:spacing w:after="0"/>
        <w:tabs>
          <w:tab w:leader="none" w:pos="1140" w:val="left"/>
        </w:tabs>
        <w:numPr>
          <w:ilvl w:val="0"/>
          <w:numId w:val="15"/>
        </w:numPr>
        <w:rPr>
          <w:rFonts w:ascii="Arial" w:cs="Arial" w:eastAsia="Arial" w:hAnsi="Arial"/>
          <w:sz w:val="16"/>
          <w:szCs w:val="16"/>
          <w:u w:val="single" w:color="auto"/>
          <w:color w:val="auto"/>
        </w:rPr>
      </w:pPr>
      <w:r>
        <w:rPr>
          <w:rFonts w:ascii="Arial" w:cs="Arial" w:eastAsia="Arial" w:hAnsi="Arial"/>
          <w:sz w:val="16"/>
          <w:szCs w:val="16"/>
          <w:color w:val="auto"/>
        </w:rPr>
        <w:t>Power of Attorney (located on signature page)</w:t>
      </w:r>
    </w:p>
    <w:p>
      <w:pPr>
        <w:spacing w:after="0" w:line="218" w:lineRule="exact"/>
        <w:rPr>
          <w:sz w:val="20"/>
          <w:szCs w:val="20"/>
          <w:color w:val="auto"/>
        </w:rPr>
      </w:pPr>
    </w:p>
    <w:p>
      <w:pPr>
        <w:ind w:left="240" w:hanging="240"/>
        <w:spacing w:after="0" w:line="292"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be filed, if necessary, by an amendment to this registration statement or incorporation by reference pursuant to a Current Report on Form 8-K in connection with an offering of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17. UNDERTAKINGS</w:t>
      </w:r>
    </w:p>
    <w:p>
      <w:pPr>
        <w:spacing w:after="0" w:line="222" w:lineRule="exact"/>
        <w:rPr>
          <w:sz w:val="20"/>
          <w:szCs w:val="20"/>
          <w:color w:val="auto"/>
        </w:rPr>
      </w:pPr>
    </w:p>
    <w:p>
      <w:pPr>
        <w:ind w:left="220" w:hanging="220"/>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217" w:lineRule="exact"/>
        <w:rPr>
          <w:rFonts w:ascii="Arial" w:cs="Arial" w:eastAsia="Arial" w:hAnsi="Arial"/>
          <w:sz w:val="16"/>
          <w:szCs w:val="16"/>
          <w:color w:val="auto"/>
        </w:rPr>
      </w:pPr>
    </w:p>
    <w:p>
      <w:pPr>
        <w:ind w:left="880" w:hanging="277"/>
        <w:spacing w:after="0"/>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17" w:lineRule="exact"/>
        <w:rPr>
          <w:rFonts w:ascii="Arial" w:cs="Arial" w:eastAsia="Arial" w:hAnsi="Arial"/>
          <w:sz w:val="16"/>
          <w:szCs w:val="16"/>
          <w:color w:val="auto"/>
        </w:rPr>
      </w:pPr>
    </w:p>
    <w:p>
      <w:pPr>
        <w:ind w:left="1440" w:hanging="234"/>
        <w:spacing w:after="0"/>
        <w:tabs>
          <w:tab w:leader="none" w:pos="14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217" w:lineRule="exact"/>
        <w:rPr>
          <w:rFonts w:ascii="Arial" w:cs="Arial" w:eastAsia="Arial" w:hAnsi="Arial"/>
          <w:sz w:val="16"/>
          <w:szCs w:val="16"/>
          <w:color w:val="auto"/>
        </w:rPr>
      </w:pPr>
    </w:p>
    <w:p>
      <w:pPr>
        <w:jc w:val="both"/>
        <w:ind w:left="600" w:firstLine="606"/>
        <w:spacing w:after="0" w:line="268" w:lineRule="auto"/>
        <w:tabs>
          <w:tab w:leader="none" w:pos="1484" w:val="left"/>
        </w:tabs>
        <w:numPr>
          <w:ilvl w:val="2"/>
          <w:numId w:val="1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3" w:lineRule="exact"/>
        <w:rPr>
          <w:rFonts w:ascii="Arial" w:cs="Arial" w:eastAsia="Arial" w:hAnsi="Arial"/>
          <w:sz w:val="16"/>
          <w:szCs w:val="16"/>
          <w:color w:val="auto"/>
        </w:rPr>
      </w:pPr>
    </w:p>
    <w:p>
      <w:pPr>
        <w:jc w:val="both"/>
        <w:ind w:left="600" w:firstLine="606"/>
        <w:spacing w:after="0" w:line="269" w:lineRule="auto"/>
        <w:tabs>
          <w:tab w:leader="none" w:pos="1569" w:val="left"/>
        </w:tabs>
        <w:numPr>
          <w:ilvl w:val="2"/>
          <w:numId w:val="17"/>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do not apply if the information required to be included in a post-effective amendment by those paragraphs is contained in reports filed with or furnished to the Commission by the Registrant pursuant to Section 13 or Section 15(d) of the Exchange Act of 1934 that are incorporated by reference in the registration statement, or is contained in a form of prospectus filed pursuant to Rule 424(b) that is part of the registration statement.</w:t>
      </w:r>
    </w:p>
    <w:p>
      <w:pPr>
        <w:spacing w:after="0" w:line="174" w:lineRule="exact"/>
        <w:rPr>
          <w:rFonts w:ascii="Arial" w:cs="Arial" w:eastAsia="Arial" w:hAnsi="Arial"/>
          <w:sz w:val="16"/>
          <w:szCs w:val="16"/>
          <w:color w:val="auto"/>
        </w:rPr>
      </w:pPr>
    </w:p>
    <w:p>
      <w:pPr>
        <w:ind w:firstLine="603"/>
        <w:spacing w:after="0" w:line="328" w:lineRule="auto"/>
        <w:tabs>
          <w:tab w:leader="none" w:pos="877"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5"/>
          <w:szCs w:val="15"/>
          <w:color w:val="auto"/>
        </w:rPr>
      </w:pPr>
    </w:p>
    <w:p>
      <w:pPr>
        <w:ind w:left="920" w:hanging="317"/>
        <w:spacing w:after="0"/>
        <w:tabs>
          <w:tab w:leader="none" w:pos="9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offering.</w:t>
      </w:r>
    </w:p>
    <w:p>
      <w:pPr>
        <w:spacing w:after="0" w:line="211" w:lineRule="exact"/>
        <w:rPr>
          <w:rFonts w:ascii="Arial" w:cs="Arial" w:eastAsia="Arial" w:hAnsi="Arial"/>
          <w:sz w:val="15"/>
          <w:szCs w:val="15"/>
          <w:color w:val="auto"/>
        </w:rPr>
      </w:pPr>
    </w:p>
    <w:p>
      <w:pPr>
        <w:ind w:left="880" w:hanging="277"/>
        <w:spacing w:after="0"/>
        <w:tabs>
          <w:tab w:leader="none" w:pos="8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217" w:lineRule="exact"/>
        <w:rPr>
          <w:rFonts w:ascii="Arial" w:cs="Arial" w:eastAsia="Arial" w:hAnsi="Arial"/>
          <w:sz w:val="16"/>
          <w:szCs w:val="16"/>
          <w:color w:val="auto"/>
        </w:rPr>
      </w:pPr>
    </w:p>
    <w:p>
      <w:pPr>
        <w:ind w:left="1440" w:hanging="234"/>
        <w:spacing w:after="0"/>
        <w:tabs>
          <w:tab w:leader="none" w:pos="14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If the Registrant is relying on Rule 430B:</w:t>
      </w:r>
    </w:p>
    <w:p>
      <w:pPr>
        <w:spacing w:after="0" w:line="217" w:lineRule="exact"/>
        <w:rPr>
          <w:rFonts w:ascii="Arial" w:cs="Arial" w:eastAsia="Arial" w:hAnsi="Arial"/>
          <w:sz w:val="16"/>
          <w:szCs w:val="16"/>
          <w:color w:val="auto"/>
        </w:rPr>
      </w:pPr>
    </w:p>
    <w:p>
      <w:pPr>
        <w:ind w:left="1200" w:firstLine="609"/>
        <w:spacing w:after="0" w:line="292" w:lineRule="auto"/>
        <w:tabs>
          <w:tab w:leader="none" w:pos="2082" w:val="left"/>
        </w:tabs>
        <w:numPr>
          <w:ilvl w:val="3"/>
          <w:numId w:val="17"/>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ind w:left="1200" w:firstLine="609"/>
        <w:spacing w:after="0" w:line="265" w:lineRule="auto"/>
        <w:tabs>
          <w:tab w:leader="none" w:pos="2071" w:val="left"/>
        </w:tabs>
        <w:numPr>
          <w:ilvl w:val="2"/>
          <w:numId w:val="1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6" w:lineRule="exact"/>
        <w:rPr>
          <w:rFonts w:ascii="Arial" w:cs="Arial" w:eastAsia="Arial" w:hAnsi="Arial"/>
          <w:sz w:val="16"/>
          <w:szCs w:val="16"/>
          <w:color w:val="auto"/>
        </w:rPr>
      </w:pPr>
    </w:p>
    <w:p>
      <w:pPr>
        <w:jc w:val="both"/>
        <w:ind w:left="600" w:firstLine="606"/>
        <w:spacing w:after="0" w:line="289" w:lineRule="auto"/>
        <w:tabs>
          <w:tab w:leader="none" w:pos="15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0" w:lineRule="exact"/>
        <w:rPr>
          <w:rFonts w:ascii="Arial" w:cs="Arial" w:eastAsia="Arial" w:hAnsi="Arial"/>
          <w:sz w:val="15"/>
          <w:szCs w:val="15"/>
          <w:color w:val="auto"/>
        </w:rPr>
      </w:pPr>
    </w:p>
    <w:p>
      <w:pPr>
        <w:jc w:val="both"/>
        <w:ind w:firstLine="603"/>
        <w:spacing w:after="0" w:line="272" w:lineRule="auto"/>
        <w:tabs>
          <w:tab w:leader="none" w:pos="8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0" w:lineRule="exact"/>
        <w:rPr>
          <w:rFonts w:ascii="Arial" w:cs="Arial" w:eastAsia="Arial" w:hAnsi="Arial"/>
          <w:sz w:val="16"/>
          <w:szCs w:val="16"/>
          <w:color w:val="auto"/>
        </w:rPr>
      </w:pPr>
    </w:p>
    <w:p>
      <w:pPr>
        <w:ind w:left="1440" w:hanging="234"/>
        <w:spacing w:after="0"/>
        <w:tabs>
          <w:tab w:leader="none" w:pos="14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17" w:lineRule="exact"/>
        <w:rPr>
          <w:rFonts w:ascii="Arial" w:cs="Arial" w:eastAsia="Arial" w:hAnsi="Arial"/>
          <w:sz w:val="16"/>
          <w:szCs w:val="16"/>
          <w:color w:val="auto"/>
        </w:rPr>
      </w:pPr>
    </w:p>
    <w:p>
      <w:pPr>
        <w:ind w:left="1500" w:hanging="294"/>
        <w:spacing w:after="0"/>
        <w:tabs>
          <w:tab w:leader="none" w:pos="15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w:t>
      </w:r>
    </w:p>
    <w:p>
      <w:pPr>
        <w:spacing w:after="0" w:line="34"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color w:val="auto"/>
        </w:rPr>
        <w:t>registrant;</w:t>
      </w:r>
    </w:p>
    <w:p>
      <w:pPr>
        <w:spacing w:after="0" w:line="211" w:lineRule="exact"/>
        <w:rPr>
          <w:rFonts w:ascii="Arial" w:cs="Arial" w:eastAsia="Arial" w:hAnsi="Arial"/>
          <w:sz w:val="15"/>
          <w:szCs w:val="15"/>
          <w:color w:val="auto"/>
        </w:rPr>
      </w:pPr>
    </w:p>
    <w:p>
      <w:pPr>
        <w:ind w:left="600" w:firstLine="606"/>
        <w:spacing w:after="0" w:line="292" w:lineRule="auto"/>
        <w:tabs>
          <w:tab w:leader="none" w:pos="15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5" w:lineRule="exact"/>
        <w:rPr>
          <w:rFonts w:ascii="Arial" w:cs="Arial" w:eastAsia="Arial" w:hAnsi="Arial"/>
          <w:sz w:val="16"/>
          <w:szCs w:val="16"/>
          <w:color w:val="auto"/>
        </w:rPr>
      </w:pPr>
    </w:p>
    <w:p>
      <w:pPr>
        <w:ind w:left="1520" w:hanging="314"/>
        <w:spacing w:after="0"/>
        <w:tabs>
          <w:tab w:leader="none" w:pos="15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17" w:lineRule="exact"/>
        <w:rPr>
          <w:rFonts w:ascii="Arial" w:cs="Arial" w:eastAsia="Arial" w:hAnsi="Arial"/>
          <w:sz w:val="16"/>
          <w:szCs w:val="16"/>
          <w:color w:val="auto"/>
        </w:rPr>
      </w:pPr>
    </w:p>
    <w:p>
      <w:pPr>
        <w:jc w:val="both"/>
        <w:ind w:firstLine="603"/>
        <w:spacing w:after="0" w:line="272" w:lineRule="auto"/>
        <w:tabs>
          <w:tab w:leader="none" w:pos="94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September 30, 2019.</w:t>
      </w:r>
    </w:p>
    <w:p>
      <w:pPr>
        <w:spacing w:after="0" w:line="163"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VistaGen Therapeutics, Inc..</w:t>
      </w:r>
    </w:p>
    <w:p>
      <w:pPr>
        <w:spacing w:after="0" w:line="210" w:lineRule="exact"/>
        <w:rPr>
          <w:sz w:val="20"/>
          <w:szCs w:val="20"/>
          <w:color w:val="auto"/>
        </w:rPr>
      </w:pPr>
    </w:p>
    <w:tbl>
      <w:tblPr>
        <w:tblLayout w:type="fixed"/>
        <w:tblInd w:w="520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1560" w:type="dxa"/>
            <w:vAlign w:val="bottom"/>
            <w:gridSpan w:val="2"/>
          </w:tcPr>
          <w:p>
            <w:pPr>
              <w:spacing w:after="0"/>
              <w:rPr>
                <w:sz w:val="20"/>
                <w:szCs w:val="20"/>
                <w:color w:val="auto"/>
              </w:rPr>
            </w:pPr>
            <w:r>
              <w:rPr>
                <w:rFonts w:ascii="Arial" w:cs="Arial" w:eastAsia="Arial" w:hAnsi="Arial"/>
                <w:sz w:val="16"/>
                <w:szCs w:val="16"/>
                <w:color w:val="auto"/>
              </w:rPr>
              <w:t>/s/ Shawn K. Singh</w:t>
            </w:r>
          </w:p>
        </w:tc>
      </w:tr>
      <w:tr>
        <w:trPr>
          <w:trHeight w:val="20"/>
        </w:trPr>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Shawn K. Singh, J.D.</w:t>
            </w:r>
          </w:p>
        </w:tc>
      </w:tr>
      <w:tr>
        <w:trPr>
          <w:trHeight w:val="207"/>
        </w:trPr>
        <w:tc>
          <w:tcPr>
            <w:tcW w:w="56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w w:val="94"/>
              </w:rPr>
              <w:t>Chief Executive Officer</w:t>
            </w: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KNOWN ALL MEN BY THESE PRESENTS, that each person whose signature below constitutes and appoints Shawn K. Singh as attorney-in-fact, with power of substitution, for him in any and all capacities, to sign any amendments to this Registration Statement on Form S-3,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6"/>
                <w:szCs w:val="16"/>
                <w:b w:val="1"/>
                <w:bCs w:val="1"/>
                <w:color w:val="auto"/>
              </w:rPr>
              <w:t>Signature</w:t>
            </w:r>
          </w:p>
        </w:tc>
        <w:tc>
          <w:tcPr>
            <w:tcW w:w="5140" w:type="dxa"/>
            <w:vAlign w:val="bottom"/>
          </w:tcPr>
          <w:p>
            <w:pPr>
              <w:ind w:left="3060"/>
              <w:spacing w:after="0"/>
              <w:rPr>
                <w:sz w:val="20"/>
                <w:szCs w:val="20"/>
                <w:color w:val="auto"/>
              </w:rPr>
            </w:pPr>
            <w:r>
              <w:rPr>
                <w:rFonts w:ascii="Arial" w:cs="Arial" w:eastAsia="Arial" w:hAnsi="Arial"/>
                <w:sz w:val="16"/>
                <w:szCs w:val="16"/>
                <w:b w:val="1"/>
                <w:bCs w:val="1"/>
                <w:color w:val="auto"/>
              </w:rPr>
              <w:t>Title</w:t>
            </w:r>
          </w:p>
        </w:tc>
        <w:tc>
          <w:tcPr>
            <w:tcW w:w="2380" w:type="dxa"/>
            <w:vAlign w:val="bottom"/>
          </w:tcPr>
          <w:p>
            <w:pPr>
              <w:jc w:val="center"/>
              <w:ind w:left="978"/>
              <w:spacing w:after="0"/>
              <w:rPr>
                <w:sz w:val="20"/>
                <w:szCs w:val="20"/>
                <w:color w:val="auto"/>
              </w:rPr>
            </w:pPr>
            <w:r>
              <w:rPr>
                <w:rFonts w:ascii="Arial" w:cs="Arial" w:eastAsia="Arial" w:hAnsi="Arial"/>
                <w:sz w:val="16"/>
                <w:szCs w:val="16"/>
                <w:b w:val="1"/>
                <w:bCs w:val="1"/>
                <w:color w:val="auto"/>
                <w:w w:val="92"/>
              </w:rPr>
              <w:t>Date</w:t>
            </w:r>
          </w:p>
        </w:tc>
      </w:tr>
      <w:tr>
        <w:trPr>
          <w:trHeight w:val="366"/>
        </w:trPr>
        <w:tc>
          <w:tcPr>
            <w:tcW w:w="3400" w:type="dxa"/>
            <w:vAlign w:val="bottom"/>
            <w:gridSpan w:val="8"/>
          </w:tcPr>
          <w:p>
            <w:pPr>
              <w:spacing w:after="0"/>
              <w:rPr>
                <w:sz w:val="20"/>
                <w:szCs w:val="20"/>
                <w:color w:val="auto"/>
              </w:rPr>
            </w:pPr>
            <w:r>
              <w:rPr>
                <w:rFonts w:ascii="Arial" w:cs="Arial" w:eastAsia="Arial" w:hAnsi="Arial"/>
                <w:sz w:val="16"/>
                <w:szCs w:val="16"/>
                <w:color w:val="auto"/>
              </w:rPr>
              <w:t>/s/ Shawn K. Singh</w:t>
            </w:r>
          </w:p>
        </w:tc>
        <w:tc>
          <w:tcPr>
            <w:tcW w:w="5140" w:type="dxa"/>
            <w:vAlign w:val="bottom"/>
          </w:tcPr>
          <w:p>
            <w:pPr>
              <w:ind w:left="980"/>
              <w:spacing w:after="0"/>
              <w:rPr>
                <w:sz w:val="20"/>
                <w:szCs w:val="20"/>
                <w:color w:val="auto"/>
              </w:rPr>
            </w:pPr>
            <w:r>
              <w:rPr>
                <w:rFonts w:ascii="Arial" w:cs="Arial" w:eastAsia="Arial" w:hAnsi="Arial"/>
                <w:sz w:val="16"/>
                <w:szCs w:val="16"/>
                <w:color w:val="auto"/>
              </w:rPr>
              <w:t>Chief Executive Officer, and Director</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0"/>
        </w:trPr>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Shawn K. Singh, JD</w:t>
            </w:r>
          </w:p>
        </w:tc>
        <w:tc>
          <w:tcPr>
            <w:tcW w:w="5140" w:type="dxa"/>
            <w:vAlign w:val="bottom"/>
          </w:tcPr>
          <w:p>
            <w:pPr>
              <w:ind w:left="980"/>
              <w:spacing w:after="0"/>
              <w:rPr>
                <w:sz w:val="20"/>
                <w:szCs w:val="20"/>
                <w:color w:val="auto"/>
              </w:rPr>
            </w:pPr>
            <w:r>
              <w:rPr>
                <w:rFonts w:ascii="Arial" w:cs="Arial" w:eastAsia="Arial" w:hAnsi="Arial"/>
                <w:sz w:val="16"/>
                <w:szCs w:val="16"/>
                <w:i w:val="1"/>
                <w:iCs w:val="1"/>
                <w:color w:val="auto"/>
              </w:rPr>
              <w:t>(Principal Executive Officer)</w:t>
            </w:r>
          </w:p>
        </w:tc>
        <w:tc>
          <w:tcPr>
            <w:tcW w:w="2380" w:type="dxa"/>
            <w:vAlign w:val="bottom"/>
          </w:tcPr>
          <w:p>
            <w:pPr>
              <w:spacing w:after="0"/>
              <w:rPr>
                <w:sz w:val="18"/>
                <w:szCs w:val="18"/>
                <w:color w:val="auto"/>
              </w:rPr>
            </w:pPr>
          </w:p>
        </w:tc>
      </w:tr>
      <w:tr>
        <w:trPr>
          <w:trHeight w:val="366"/>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4"/>
              </w:rPr>
              <w:t>/s/ Jerrold D. Dotson</w:t>
            </w:r>
          </w:p>
        </w:tc>
        <w:tc>
          <w:tcPr>
            <w:tcW w:w="2000" w:type="dxa"/>
            <w:vAlign w:val="bottom"/>
            <w:gridSpan w:val="5"/>
          </w:tcPr>
          <w:p>
            <w:pPr>
              <w:spacing w:after="0"/>
              <w:rPr>
                <w:sz w:val="24"/>
                <w:szCs w:val="24"/>
                <w:color w:val="auto"/>
              </w:rPr>
            </w:pPr>
          </w:p>
        </w:tc>
        <w:tc>
          <w:tcPr>
            <w:tcW w:w="5140" w:type="dxa"/>
            <w:vAlign w:val="bottom"/>
          </w:tcPr>
          <w:p>
            <w:pPr>
              <w:ind w:left="980"/>
              <w:spacing w:after="0"/>
              <w:rPr>
                <w:sz w:val="20"/>
                <w:szCs w:val="20"/>
                <w:color w:val="auto"/>
              </w:rPr>
            </w:pPr>
            <w:r>
              <w:rPr>
                <w:rFonts w:ascii="Arial" w:cs="Arial" w:eastAsia="Arial" w:hAnsi="Arial"/>
                <w:sz w:val="16"/>
                <w:szCs w:val="16"/>
                <w:color w:val="auto"/>
              </w:rPr>
              <w:t>Vice President and Chief Financial Officer</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Jerrold D. Dotson</w:t>
            </w:r>
          </w:p>
        </w:tc>
        <w:tc>
          <w:tcPr>
            <w:tcW w:w="5140" w:type="dxa"/>
            <w:vAlign w:val="bottom"/>
          </w:tcPr>
          <w:p>
            <w:pPr>
              <w:ind w:left="980"/>
              <w:spacing w:after="0"/>
              <w:rPr>
                <w:sz w:val="20"/>
                <w:szCs w:val="20"/>
                <w:color w:val="auto"/>
              </w:rPr>
            </w:pPr>
            <w:r>
              <w:rPr>
                <w:rFonts w:ascii="Arial" w:cs="Arial" w:eastAsia="Arial" w:hAnsi="Arial"/>
                <w:sz w:val="16"/>
                <w:szCs w:val="16"/>
                <w:i w:val="1"/>
                <w:iCs w:val="1"/>
                <w:color w:val="auto"/>
              </w:rPr>
              <w:t>(Principal Financial and Accounting Officer)</w:t>
            </w:r>
          </w:p>
        </w:tc>
        <w:tc>
          <w:tcPr>
            <w:tcW w:w="2380" w:type="dxa"/>
            <w:vAlign w:val="bottom"/>
          </w:tcPr>
          <w:p>
            <w:pPr>
              <w:spacing w:after="0"/>
              <w:rPr>
                <w:sz w:val="18"/>
                <w:szCs w:val="18"/>
                <w:color w:val="auto"/>
              </w:rPr>
            </w:pPr>
          </w:p>
        </w:tc>
      </w:tr>
      <w:tr>
        <w:trPr>
          <w:trHeight w:val="366"/>
        </w:trPr>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89"/>
              </w:rPr>
              <w:t>/s/ H. Ralph Snodgrass</w:t>
            </w:r>
          </w:p>
        </w:tc>
        <w:tc>
          <w:tcPr>
            <w:tcW w:w="1900" w:type="dxa"/>
            <w:vAlign w:val="bottom"/>
            <w:gridSpan w:val="3"/>
          </w:tcPr>
          <w:p>
            <w:pPr>
              <w:spacing w:after="0"/>
              <w:rPr>
                <w:sz w:val="24"/>
                <w:szCs w:val="24"/>
                <w:color w:val="auto"/>
              </w:rPr>
            </w:pPr>
          </w:p>
        </w:tc>
        <w:tc>
          <w:tcPr>
            <w:tcW w:w="5140" w:type="dxa"/>
            <w:vAlign w:val="bottom"/>
          </w:tcPr>
          <w:p>
            <w:pPr>
              <w:ind w:left="980"/>
              <w:spacing w:after="0"/>
              <w:rPr>
                <w:sz w:val="20"/>
                <w:szCs w:val="20"/>
                <w:color w:val="auto"/>
              </w:rPr>
            </w:pPr>
            <w:r>
              <w:rPr>
                <w:rFonts w:ascii="Arial" w:cs="Arial" w:eastAsia="Arial" w:hAnsi="Arial"/>
                <w:sz w:val="16"/>
                <w:szCs w:val="16"/>
                <w:color w:val="auto"/>
              </w:rPr>
              <w:t>President, Chief Scientific Officer and Director</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H. Ralph Snodgrass, Ph.D</w:t>
            </w:r>
          </w:p>
        </w:tc>
        <w:tc>
          <w:tcPr>
            <w:tcW w:w="51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66"/>
        </w:trPr>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7"/>
              </w:rPr>
              <w:t>/s/ Jon S. Saxe</w:t>
            </w:r>
          </w:p>
        </w:tc>
        <w:tc>
          <w:tcPr>
            <w:tcW w:w="2440" w:type="dxa"/>
            <w:vAlign w:val="bottom"/>
            <w:gridSpan w:val="7"/>
          </w:tcPr>
          <w:p>
            <w:pPr>
              <w:spacing w:after="0"/>
              <w:rPr>
                <w:sz w:val="24"/>
                <w:szCs w:val="24"/>
                <w:color w:val="auto"/>
              </w:rPr>
            </w:pPr>
          </w:p>
        </w:tc>
        <w:tc>
          <w:tcPr>
            <w:tcW w:w="5140" w:type="dxa"/>
            <w:vAlign w:val="bottom"/>
          </w:tcPr>
          <w:p>
            <w:pPr>
              <w:ind w:left="980"/>
              <w:spacing w:after="0"/>
              <w:rPr>
                <w:sz w:val="20"/>
                <w:szCs w:val="20"/>
                <w:color w:val="auto"/>
              </w:rPr>
            </w:pPr>
            <w:r>
              <w:rPr>
                <w:rFonts w:ascii="Arial" w:cs="Arial" w:eastAsia="Arial" w:hAnsi="Arial"/>
                <w:sz w:val="16"/>
                <w:szCs w:val="16"/>
                <w:color w:val="auto"/>
              </w:rPr>
              <w:t>Chairman of the Board of Directors</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Jon S. Saxe</w:t>
            </w:r>
          </w:p>
        </w:tc>
        <w:tc>
          <w:tcPr>
            <w:tcW w:w="51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66"/>
        </w:trPr>
        <w:tc>
          <w:tcPr>
            <w:tcW w:w="152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w w:val="92"/>
              </w:rPr>
              <w:t>/s/ Brian J. Underdown</w:t>
            </w:r>
          </w:p>
        </w:tc>
        <w:tc>
          <w:tcPr>
            <w:tcW w:w="1880" w:type="dxa"/>
            <w:vAlign w:val="bottom"/>
            <w:gridSpan w:val="2"/>
          </w:tcPr>
          <w:p>
            <w:pPr>
              <w:spacing w:after="0"/>
              <w:rPr>
                <w:sz w:val="24"/>
                <w:szCs w:val="24"/>
                <w:color w:val="auto"/>
              </w:rPr>
            </w:pPr>
          </w:p>
        </w:tc>
        <w:tc>
          <w:tcPr>
            <w:tcW w:w="5140" w:type="dxa"/>
            <w:vAlign w:val="bottom"/>
          </w:tcPr>
          <w:p>
            <w:pPr>
              <w:ind w:left="980"/>
              <w:spacing w:after="0"/>
              <w:rPr>
                <w:sz w:val="20"/>
                <w:szCs w:val="20"/>
                <w:color w:val="auto"/>
              </w:rPr>
            </w:pPr>
            <w:r>
              <w:rPr>
                <w:rFonts w:ascii="Arial" w:cs="Arial" w:eastAsia="Arial" w:hAnsi="Arial"/>
                <w:sz w:val="16"/>
                <w:szCs w:val="16"/>
                <w:color w:val="auto"/>
              </w:rPr>
              <w:t>Director</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Brian J. Underdown, Ph. D</w:t>
            </w:r>
          </w:p>
        </w:tc>
        <w:tc>
          <w:tcPr>
            <w:tcW w:w="51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66"/>
        </w:trPr>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3"/>
              </w:rPr>
              <w:t>/s/ Jerry B. Gin, Ph.D</w:t>
            </w:r>
          </w:p>
        </w:tc>
        <w:tc>
          <w:tcPr>
            <w:tcW w:w="1980" w:type="dxa"/>
            <w:vAlign w:val="bottom"/>
            <w:gridSpan w:val="4"/>
          </w:tcPr>
          <w:p>
            <w:pPr>
              <w:spacing w:after="0"/>
              <w:rPr>
                <w:sz w:val="24"/>
                <w:szCs w:val="24"/>
                <w:color w:val="auto"/>
              </w:rPr>
            </w:pPr>
          </w:p>
        </w:tc>
        <w:tc>
          <w:tcPr>
            <w:tcW w:w="5140" w:type="dxa"/>
            <w:vAlign w:val="bottom"/>
          </w:tcPr>
          <w:p>
            <w:pPr>
              <w:ind w:left="980"/>
              <w:spacing w:after="0"/>
              <w:rPr>
                <w:sz w:val="20"/>
                <w:szCs w:val="20"/>
                <w:color w:val="auto"/>
              </w:rPr>
            </w:pPr>
            <w:r>
              <w:rPr>
                <w:rFonts w:ascii="Arial" w:cs="Arial" w:eastAsia="Arial" w:hAnsi="Arial"/>
                <w:sz w:val="16"/>
                <w:szCs w:val="16"/>
                <w:color w:val="auto"/>
              </w:rPr>
              <w:t>Director</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Jerry B. Gin, Ph.D.</w:t>
            </w:r>
          </w:p>
        </w:tc>
        <w:tc>
          <w:tcPr>
            <w:tcW w:w="51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66"/>
        </w:trPr>
        <w:tc>
          <w:tcPr>
            <w:tcW w:w="158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w w:val="93"/>
              </w:rPr>
              <w:t>/s/ Ann M. Cunningham</w:t>
            </w:r>
          </w:p>
        </w:tc>
        <w:tc>
          <w:tcPr>
            <w:tcW w:w="1820" w:type="dxa"/>
            <w:vAlign w:val="bottom"/>
          </w:tcPr>
          <w:p>
            <w:pPr>
              <w:spacing w:after="0"/>
              <w:rPr>
                <w:sz w:val="24"/>
                <w:szCs w:val="24"/>
                <w:color w:val="auto"/>
              </w:rPr>
            </w:pPr>
          </w:p>
        </w:tc>
        <w:tc>
          <w:tcPr>
            <w:tcW w:w="5140" w:type="dxa"/>
            <w:vAlign w:val="bottom"/>
          </w:tcPr>
          <w:p>
            <w:pPr>
              <w:ind w:left="980"/>
              <w:spacing w:after="0"/>
              <w:rPr>
                <w:sz w:val="20"/>
                <w:szCs w:val="20"/>
                <w:color w:val="auto"/>
              </w:rPr>
            </w:pPr>
            <w:r>
              <w:rPr>
                <w:rFonts w:ascii="Arial" w:cs="Arial" w:eastAsia="Arial" w:hAnsi="Arial"/>
                <w:sz w:val="16"/>
                <w:szCs w:val="16"/>
                <w:color w:val="auto"/>
              </w:rPr>
              <w:t>Director</w:t>
            </w:r>
          </w:p>
        </w:tc>
        <w:tc>
          <w:tcPr>
            <w:tcW w:w="2380" w:type="dxa"/>
            <w:vAlign w:val="bottom"/>
          </w:tcPr>
          <w:p>
            <w:pPr>
              <w:jc w:val="center"/>
              <w:ind w:left="998"/>
              <w:spacing w:after="0"/>
              <w:rPr>
                <w:sz w:val="20"/>
                <w:szCs w:val="20"/>
                <w:color w:val="auto"/>
              </w:rPr>
            </w:pPr>
            <w:r>
              <w:rPr>
                <w:rFonts w:ascii="Arial" w:cs="Arial" w:eastAsia="Arial" w:hAnsi="Arial"/>
                <w:sz w:val="16"/>
                <w:szCs w:val="16"/>
                <w:color w:val="auto"/>
                <w:w w:val="89"/>
              </w:rPr>
              <w:t>September 30, 2019</w:t>
            </w:r>
          </w:p>
        </w:tc>
      </w:tr>
      <w:tr>
        <w:trPr>
          <w:trHeight w:val="216"/>
        </w:trPr>
        <w:tc>
          <w:tcPr>
            <w:tcW w:w="3400" w:type="dxa"/>
            <w:vAlign w:val="bottom"/>
            <w:gridSpan w:val="8"/>
          </w:tcPr>
          <w:p>
            <w:pPr>
              <w:spacing w:after="0"/>
              <w:rPr>
                <w:sz w:val="20"/>
                <w:szCs w:val="20"/>
                <w:color w:val="auto"/>
              </w:rPr>
            </w:pPr>
            <w:r>
              <w:rPr>
                <w:rFonts w:ascii="Arial" w:cs="Arial" w:eastAsia="Arial" w:hAnsi="Arial"/>
                <w:sz w:val="16"/>
                <w:szCs w:val="16"/>
                <w:b w:val="1"/>
                <w:bCs w:val="1"/>
                <w:color w:val="auto"/>
              </w:rPr>
              <w:t>Ann M. Cunningham</w:t>
            </w:r>
          </w:p>
        </w:tc>
        <w:tc>
          <w:tcPr>
            <w:tcW w:w="5140" w:type="dxa"/>
            <w:vAlign w:val="bottom"/>
          </w:tcPr>
          <w:p>
            <w:pPr>
              <w:spacing w:after="0"/>
              <w:rPr>
                <w:sz w:val="18"/>
                <w:szCs w:val="18"/>
                <w:color w:val="auto"/>
              </w:rPr>
            </w:pPr>
          </w:p>
        </w:tc>
        <w:tc>
          <w:tcPr>
            <w:tcW w:w="23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61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CONSENT OF INDEPENDENT REGISTERED PUBLIC ACCOUNTING FIRM</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S-3 of VistaGen Therapeutics, Inc. of our report dated June 25, 2019 (which report expresses an unqualified opinion and includes an explanatory paragraph expressing substantial doubt about the Company’s ability to continue as a going concern), relating to the consolidated financial statements of VistaGen Therapeutics, Inc. appearing in the Company’s Annual Report on Form 10-K for the fiscal year ended March 31, 2019.</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 OUM &amp; CO. LLP</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2561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sectPr>
      <w:pgSz w:w="11900" w:h="16838" w:orient="portrait"/>
      <w:cols w:equalWidth="0" w:num="1">
        <w:col w:w="11420"/>
      </w:cols>
      <w:pgMar w:left="240" w:top="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2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7">
    <w:nsid w:val="7C83E45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8">
    <w:nsid w:val="257130A3"/>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9">
    <w:nsid w:val="62BBD95A"/>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2020-01-09T01:19:22Z</dcterms:created>
  <dcterms:modified xsi:type="dcterms:W3CDTF">2020-01-09T01:19:22Z</dcterms:modified>
</cp:coreProperties>
</file>