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00"/>
        <w:spacing w:after="0"/>
        <w:rPr>
          <w:sz w:val="20"/>
          <w:szCs w:val="20"/>
          <w:color w:val="auto"/>
        </w:rPr>
      </w:pPr>
      <w:r>
        <w:rPr>
          <w:rFonts w:ascii="Arial" w:cs="Arial" w:eastAsia="Arial" w:hAnsi="Arial"/>
          <w:sz w:val="13"/>
          <w:szCs w:val="13"/>
          <w:b w:val="1"/>
          <w:bCs w:val="1"/>
          <w:color w:val="auto"/>
        </w:rPr>
        <w:t>Filed pursuant to Rule 424(b)(4)</w:t>
      </w:r>
    </w:p>
    <w:p>
      <w:pPr>
        <w:spacing w:after="0" w:line="35" w:lineRule="exact"/>
        <w:rPr>
          <w:sz w:val="24"/>
          <w:szCs w:val="24"/>
          <w:color w:val="auto"/>
        </w:rPr>
      </w:pPr>
    </w:p>
    <w:p>
      <w:pPr>
        <w:ind w:left="9100"/>
        <w:spacing w:after="0"/>
        <w:rPr>
          <w:sz w:val="20"/>
          <w:szCs w:val="20"/>
          <w:color w:val="auto"/>
        </w:rPr>
      </w:pPr>
      <w:r>
        <w:rPr>
          <w:rFonts w:ascii="Arial" w:cs="Arial" w:eastAsia="Arial" w:hAnsi="Arial"/>
          <w:sz w:val="12"/>
          <w:szCs w:val="12"/>
          <w:b w:val="1"/>
          <w:bCs w:val="1"/>
          <w:color w:val="auto"/>
        </w:rPr>
        <w:t>Registration Statement No. 333-210152</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3025775</wp:posOffset>
            </wp:positionH>
            <wp:positionV relativeFrom="paragraph">
              <wp:posOffset>114300</wp:posOffset>
            </wp:positionV>
            <wp:extent cx="1237615" cy="817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2,352,942 Shares of Common Stock</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Warrants to Purchase up to 2,352,942 Shares of Common Stock</w:t>
      </w:r>
    </w:p>
    <w:p>
      <w:pPr>
        <w:spacing w:after="0" w:line="198" w:lineRule="exact"/>
        <w:rPr>
          <w:sz w:val="24"/>
          <w:szCs w:val="24"/>
          <w:color w:val="auto"/>
        </w:rPr>
      </w:pPr>
    </w:p>
    <w:p>
      <w:pPr>
        <w:spacing w:after="0" w:line="263" w:lineRule="auto"/>
        <w:rPr>
          <w:sz w:val="20"/>
          <w:szCs w:val="20"/>
          <w:color w:val="auto"/>
        </w:rPr>
      </w:pPr>
      <w:r>
        <w:rPr>
          <w:rFonts w:ascii="Arial" w:cs="Arial" w:eastAsia="Arial" w:hAnsi="Arial"/>
          <w:sz w:val="14"/>
          <w:szCs w:val="14"/>
          <w:color w:val="auto"/>
        </w:rPr>
        <w:t xml:space="preserve">VistaGen Therapeutics, Inc. is offering 2,352,942 shares of common stock and warrants to purchase up to 2,352,942 shares of our common stock to purchasers in this offering (the </w:t>
      </w:r>
      <w:r>
        <w:rPr>
          <w:rFonts w:ascii="Arial" w:cs="Arial" w:eastAsia="Arial" w:hAnsi="Arial"/>
          <w:sz w:val="14"/>
          <w:szCs w:val="14"/>
          <w:i w:val="1"/>
          <w:iCs w:val="1"/>
          <w:color w:val="auto"/>
        </w:rPr>
        <w:t>Offering</w:t>
      </w:r>
      <w:r>
        <w:rPr>
          <w:rFonts w:ascii="Arial" w:cs="Arial" w:eastAsia="Arial" w:hAnsi="Arial"/>
          <w:sz w:val="14"/>
          <w:szCs w:val="14"/>
          <w:color w:val="auto"/>
        </w:rPr>
        <w:t>). Each share of common stock will be sold at a price of $4.24 per share, and will be accompanied by a warrant to purchase one share of common stock for $5.30 per share (125% of the public offering price of our common stock) at a price of $0.01 per warrant. The common stock and warrants are immediately separable but can only be purchased together in this Offering. The warrants are exercisable immediately and expire five years from the date of issuance.</w:t>
      </w:r>
    </w:p>
    <w:p>
      <w:pPr>
        <w:spacing w:after="0" w:line="167" w:lineRule="exact"/>
        <w:rPr>
          <w:sz w:val="24"/>
          <w:szCs w:val="24"/>
          <w:color w:val="auto"/>
        </w:rPr>
      </w:pPr>
    </w:p>
    <w:p>
      <w:pPr>
        <w:ind w:right="300"/>
        <w:spacing w:after="0" w:line="283" w:lineRule="auto"/>
        <w:rPr>
          <w:sz w:val="20"/>
          <w:szCs w:val="20"/>
          <w:color w:val="auto"/>
        </w:rPr>
      </w:pPr>
      <w:r>
        <w:rPr>
          <w:rFonts w:ascii="Arial" w:cs="Arial" w:eastAsia="Arial" w:hAnsi="Arial"/>
          <w:sz w:val="14"/>
          <w:szCs w:val="14"/>
          <w:color w:val="auto"/>
        </w:rPr>
        <w:t>Our common stock was approved for listing, and began trading on The NASDAQ Capital Market under the symbol “VTGN” on May 11, 2016. There is no established public trading market for the warrants, and we do not intend to apply to list the warrants on any securities exchange or automated quotation system.</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On March 11, 2016, the last reported sale price for our common stock on The NASDAQ Capital Market was $4.11 per share.</w:t>
      </w:r>
    </w:p>
    <w:p>
      <w:pPr>
        <w:spacing w:after="0" w:line="197" w:lineRule="exact"/>
        <w:rPr>
          <w:sz w:val="24"/>
          <w:szCs w:val="24"/>
          <w:color w:val="auto"/>
        </w:rPr>
      </w:pPr>
    </w:p>
    <w:p>
      <w:pPr>
        <w:ind w:right="380"/>
        <w:spacing w:after="0" w:line="288" w:lineRule="auto"/>
        <w:rPr>
          <w:sz w:val="20"/>
          <w:szCs w:val="20"/>
          <w:color w:val="auto"/>
        </w:rPr>
      </w:pPr>
      <w:r>
        <w:rPr>
          <w:rFonts w:ascii="Arial" w:cs="Arial" w:eastAsia="Arial" w:hAnsi="Arial"/>
          <w:sz w:val="14"/>
          <w:szCs w:val="14"/>
          <w:b w:val="1"/>
          <w:bCs w:val="1"/>
          <w:color w:val="auto"/>
        </w:rPr>
        <w:t>Investing in our securities involves a high degree of risk. Before deciding whether to invest in our securities, you should review carefully the risks and uncertainties described under the heading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6 of this prospectus.</w:t>
      </w:r>
    </w:p>
    <w:p>
      <w:pPr>
        <w:spacing w:after="0" w:line="146" w:lineRule="exact"/>
        <w:rPr>
          <w:sz w:val="24"/>
          <w:szCs w:val="24"/>
          <w:color w:val="auto"/>
        </w:rPr>
      </w:pPr>
    </w:p>
    <w:p>
      <w:pPr>
        <w:ind w:right="460"/>
        <w:spacing w:after="0" w:line="288"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96"/>
              </w:rPr>
              <w:t>Per warrant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170"/>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2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10,000,003.50</w:t>
            </w:r>
          </w:p>
        </w:tc>
      </w:tr>
      <w:tr>
        <w:trPr>
          <w:trHeight w:val="170"/>
        </w:trPr>
        <w:tc>
          <w:tcPr>
            <w:tcW w:w="5000" w:type="dxa"/>
            <w:vAlign w:val="bottom"/>
          </w:tcPr>
          <w:p>
            <w:pPr>
              <w:spacing w:after="0"/>
              <w:rPr>
                <w:sz w:val="20"/>
                <w:szCs w:val="20"/>
                <w:color w:val="auto"/>
              </w:rPr>
            </w:pPr>
            <w:r>
              <w:rPr>
                <w:rFonts w:ascii="Arial" w:cs="Arial" w:eastAsia="Arial" w:hAnsi="Arial"/>
                <w:sz w:val="14"/>
                <w:szCs w:val="14"/>
                <w:color w:val="auto"/>
              </w:rPr>
              <w:t>Underwriting discounts and commissions (1)</w:t>
            </w:r>
          </w:p>
        </w:tc>
        <w:tc>
          <w:tcPr>
            <w:tcW w:w="2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0.39432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0.00093</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930,000.33</w:t>
            </w:r>
          </w:p>
        </w:tc>
      </w:tr>
      <w:tr>
        <w:trPr>
          <w:trHeight w:val="170"/>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Offering proceeds, before expenses</w:t>
            </w:r>
          </w:p>
        </w:tc>
        <w:tc>
          <w:tcPr>
            <w:tcW w:w="2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3.84568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0.00907</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9,070,003.17</w:t>
            </w:r>
          </w:p>
        </w:tc>
      </w:tr>
    </w:tbl>
    <w:p>
      <w:pPr>
        <w:spacing w:after="0" w:line="181" w:lineRule="exact"/>
        <w:rPr>
          <w:sz w:val="24"/>
          <w:szCs w:val="24"/>
          <w:color w:val="auto"/>
        </w:rPr>
      </w:pPr>
    </w:p>
    <w:p>
      <w:pPr>
        <w:ind w:left="600" w:right="280" w:hanging="595"/>
        <w:spacing w:after="0" w:line="283"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and the underwriters will receive compensation in addition to underwriting discounts and commissions. See the section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disclosure regarding underwriter compensation and offering expenses.</w:t>
      </w:r>
    </w:p>
    <w:p>
      <w:pPr>
        <w:spacing w:after="0" w:line="131" w:lineRule="exact"/>
        <w:rPr>
          <w:sz w:val="24"/>
          <w:szCs w:val="24"/>
          <w:color w:val="auto"/>
        </w:rPr>
      </w:pPr>
    </w:p>
    <w:p>
      <w:pPr>
        <w:ind w:right="120"/>
        <w:spacing w:after="0" w:line="283" w:lineRule="auto"/>
        <w:rPr>
          <w:sz w:val="20"/>
          <w:szCs w:val="20"/>
          <w:color w:val="auto"/>
        </w:rPr>
      </w:pPr>
      <w:r>
        <w:rPr>
          <w:rFonts w:ascii="Arial" w:cs="Arial" w:eastAsia="Arial" w:hAnsi="Arial"/>
          <w:sz w:val="14"/>
          <w:szCs w:val="14"/>
          <w:color w:val="auto"/>
        </w:rPr>
        <w:t>We granted the underwriters a 45-day option the right to purchase an additional 352,942 shares of common stock and/or warrants to purchase up to an additional 352,942 shares of common stock from us at the offering price, less the underwriting discounts and commissions, to cover over-allotments, if any.</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The underwriters expect to deliver the shares of common stock and warrants to purchasers on or about May 16, 2016.</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189" w:lineRule="exact"/>
        <w:rPr>
          <w:sz w:val="24"/>
          <w:szCs w:val="24"/>
          <w:color w:val="auto"/>
        </w:rPr>
      </w:pPr>
    </w:p>
    <w:p>
      <w:pPr>
        <w:ind w:left="3080"/>
        <w:spacing w:after="0"/>
        <w:tabs>
          <w:tab w:leader="none" w:pos="61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date of this prospectus is May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728154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02"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580" w:type="dxa"/>
            <w:vAlign w:val="bottom"/>
            <w:gridSpan w:val="2"/>
          </w:tcPr>
          <w:p>
            <w:pPr>
              <w:ind w:left="1120"/>
              <w:spacing w:after="0"/>
              <w:rPr>
                <w:sz w:val="20"/>
                <w:szCs w:val="20"/>
                <w:color w:val="auto"/>
              </w:rPr>
            </w:pPr>
            <w:r>
              <w:rPr>
                <w:rFonts w:ascii="Arial" w:cs="Arial" w:eastAsia="Arial" w:hAnsi="Arial"/>
                <w:sz w:val="14"/>
                <w:szCs w:val="14"/>
                <w:b w:val="1"/>
                <w:bCs w:val="1"/>
                <w:color w:val="auto"/>
              </w:rPr>
              <w:t>TABLE OF CONTENTS</w:t>
            </w:r>
          </w:p>
        </w:tc>
        <w:tc>
          <w:tcPr>
            <w:tcW w:w="1020" w:type="dxa"/>
            <w:vAlign w:val="bottom"/>
          </w:tcPr>
          <w:p>
            <w:pPr>
              <w:spacing w:after="0"/>
              <w:rPr>
                <w:sz w:val="16"/>
                <w:szCs w:val="16"/>
                <w:color w:val="auto"/>
              </w:rPr>
            </w:pPr>
          </w:p>
        </w:tc>
      </w:tr>
      <w:tr>
        <w:trPr>
          <w:trHeight w:val="36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0"/>
        </w:trPr>
        <w:tc>
          <w:tcPr>
            <w:tcW w:w="10440" w:type="dxa"/>
            <w:vAlign w:val="bottom"/>
            <w:gridSpan w:val="18"/>
            <w:shd w:val="clear" w:color="auto" w:fill="CCEEFF"/>
          </w:tcPr>
          <w:p>
            <w:pPr>
              <w:spacing w:after="0" w:line="139" w:lineRule="exact"/>
              <w:rPr>
                <w:rFonts w:ascii="Arial" w:cs="Arial" w:eastAsia="Arial" w:hAnsi="Arial"/>
                <w:sz w:val="14"/>
                <w:szCs w:val="14"/>
                <w:color w:val="0000EE"/>
              </w:rPr>
            </w:pPr>
            <w:hyperlink w:anchor="page3">
              <w:r>
                <w:rPr>
                  <w:rFonts w:ascii="Arial" w:cs="Arial" w:eastAsia="Arial" w:hAnsi="Arial"/>
                  <w:sz w:val="14"/>
                  <w:szCs w:val="14"/>
                  <w:color w:val="0000EE"/>
                </w:rPr>
                <w:t>Forward-looking Statements</w:t>
              </w:r>
            </w:hyperlink>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1</w:t>
            </w:r>
          </w:p>
        </w:tc>
      </w:tr>
      <w:tr>
        <w:trPr>
          <w:trHeight w:val="144"/>
        </w:trPr>
        <w:tc>
          <w:tcPr>
            <w:tcW w:w="1620" w:type="dxa"/>
            <w:vAlign w:val="bottom"/>
            <w:tcBorders>
              <w:top w:val="single" w:sz="8" w:color="0000EE"/>
            </w:tcBorders>
            <w:gridSpan w:val="8"/>
          </w:tcPr>
          <w:p>
            <w:pPr>
              <w:spacing w:after="0" w:line="139" w:lineRule="exact"/>
              <w:rPr>
                <w:rFonts w:ascii="Arial" w:cs="Arial" w:eastAsia="Arial" w:hAnsi="Arial"/>
                <w:sz w:val="14"/>
                <w:szCs w:val="14"/>
                <w:color w:val="0000EE"/>
              </w:rPr>
            </w:pPr>
            <w:hyperlink w:anchor="page4">
              <w:r>
                <w:rPr>
                  <w:rFonts w:ascii="Arial" w:cs="Arial" w:eastAsia="Arial" w:hAnsi="Arial"/>
                  <w:sz w:val="14"/>
                  <w:szCs w:val="14"/>
                  <w:color w:val="0000EE"/>
                </w:rPr>
                <w:t>Prospectus Summary</w:t>
              </w:r>
            </w:hyperlink>
          </w:p>
        </w:tc>
        <w:tc>
          <w:tcPr>
            <w:tcW w:w="8820" w:type="dxa"/>
            <w:vAlign w:val="bottom"/>
            <w:tcBorders>
              <w:top w:val="single" w:sz="8" w:color="CCEEFF"/>
            </w:tcBorders>
            <w:gridSpan w:val="10"/>
          </w:tcPr>
          <w:p>
            <w:pPr>
              <w:spacing w:after="0"/>
              <w:rPr>
                <w:sz w:val="12"/>
                <w:szCs w:val="12"/>
                <w:color w:val="auto"/>
              </w:rPr>
            </w:pPr>
          </w:p>
        </w:tc>
        <w:tc>
          <w:tcPr>
            <w:tcW w:w="10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76"/>
              </w:rPr>
              <w:t>2</w:t>
            </w:r>
          </w:p>
        </w:tc>
      </w:tr>
      <w:tr>
        <w:trPr>
          <w:trHeight w:val="156"/>
        </w:trPr>
        <w:tc>
          <w:tcPr>
            <w:tcW w:w="800" w:type="dxa"/>
            <w:vAlign w:val="bottom"/>
            <w:tcBorders>
              <w:top w:val="single" w:sz="8" w:color="0000EE"/>
              <w:bottom w:val="single" w:sz="8" w:color="0000EE"/>
              <w:right w:val="single" w:sz="8" w:color="CCEEFF"/>
            </w:tcBorders>
            <w:gridSpan w:val="3"/>
            <w:shd w:val="clear" w:color="auto" w:fill="CCEEFF"/>
          </w:tcPr>
          <w:p>
            <w:pPr>
              <w:spacing w:after="0" w:line="145" w:lineRule="exact"/>
              <w:rPr>
                <w:rFonts w:ascii="Arial" w:cs="Arial" w:eastAsia="Arial" w:hAnsi="Arial"/>
                <w:sz w:val="14"/>
                <w:szCs w:val="14"/>
                <w:color w:val="0000EE"/>
                <w:w w:val="97"/>
              </w:rPr>
            </w:pPr>
            <w:hyperlink w:anchor="page8">
              <w:r>
                <w:rPr>
                  <w:rFonts w:ascii="Arial" w:cs="Arial" w:eastAsia="Arial" w:hAnsi="Arial"/>
                  <w:sz w:val="14"/>
                  <w:szCs w:val="14"/>
                  <w:color w:val="0000EE"/>
                  <w:w w:val="97"/>
                </w:rPr>
                <w:t>Risk Factors</w:t>
              </w:r>
            </w:hyperlink>
          </w:p>
        </w:tc>
        <w:tc>
          <w:tcPr>
            <w:tcW w:w="40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924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6</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0">
              <w:r>
                <w:rPr>
                  <w:rFonts w:ascii="Arial" w:cs="Arial" w:eastAsia="Arial" w:hAnsi="Arial"/>
                  <w:sz w:val="14"/>
                  <w:szCs w:val="14"/>
                  <w:color w:val="0000EE"/>
                </w:rPr>
                <w:t>Use of Proceeds</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38</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1800" w:type="dxa"/>
            <w:vAlign w:val="bottom"/>
            <w:tcBorders>
              <w:bottom w:val="single" w:sz="8" w:color="0000EE"/>
            </w:tcBorders>
            <w:gridSpan w:val="11"/>
            <w:shd w:val="clear" w:color="auto" w:fill="CCEEFF"/>
          </w:tcPr>
          <w:p>
            <w:pPr>
              <w:spacing w:after="0" w:line="145" w:lineRule="exact"/>
              <w:rPr>
                <w:rFonts w:ascii="Arial" w:cs="Arial" w:eastAsia="Arial" w:hAnsi="Arial"/>
                <w:sz w:val="14"/>
                <w:szCs w:val="14"/>
                <w:color w:val="0000EE"/>
                <w:w w:val="93"/>
              </w:rPr>
            </w:pPr>
            <w:hyperlink w:anchor="page41">
              <w:r>
                <w:rPr>
                  <w:rFonts w:ascii="Arial" w:cs="Arial" w:eastAsia="Arial" w:hAnsi="Arial"/>
                  <w:sz w:val="14"/>
                  <w:szCs w:val="14"/>
                  <w:color w:val="0000EE"/>
                  <w:w w:val="93"/>
                </w:rPr>
                <w:t>Market for Our Common Stock</w:t>
              </w:r>
            </w:hyperlink>
          </w:p>
        </w:tc>
        <w:tc>
          <w:tcPr>
            <w:tcW w:w="8640" w:type="dxa"/>
            <w:vAlign w:val="bottom"/>
            <w:tcBorders>
              <w:bottom w:val="single" w:sz="8" w:color="CCEEFF"/>
            </w:tcBorders>
            <w:gridSpan w:val="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39</w:t>
            </w:r>
          </w:p>
        </w:tc>
      </w:tr>
      <w:tr>
        <w:trPr>
          <w:trHeight w:val="144"/>
        </w:trPr>
        <w:tc>
          <w:tcPr>
            <w:tcW w:w="940" w:type="dxa"/>
            <w:vAlign w:val="bottom"/>
            <w:tcBorders>
              <w:bottom w:val="single" w:sz="8" w:color="0000EE"/>
            </w:tcBorders>
            <w:gridSpan w:val="5"/>
          </w:tcPr>
          <w:p>
            <w:pPr>
              <w:spacing w:after="0" w:line="139" w:lineRule="exact"/>
              <w:rPr>
                <w:rFonts w:ascii="Arial" w:cs="Arial" w:eastAsia="Arial" w:hAnsi="Arial"/>
                <w:sz w:val="14"/>
                <w:szCs w:val="14"/>
                <w:color w:val="0000EE"/>
                <w:w w:val="96"/>
              </w:rPr>
            </w:pPr>
            <w:hyperlink w:anchor="page42">
              <w:r>
                <w:rPr>
                  <w:rFonts w:ascii="Arial" w:cs="Arial" w:eastAsia="Arial" w:hAnsi="Arial"/>
                  <w:sz w:val="14"/>
                  <w:szCs w:val="14"/>
                  <w:color w:val="0000EE"/>
                  <w:w w:val="96"/>
                </w:rPr>
                <w:t>Dividend Policy</w:t>
              </w:r>
            </w:hyperlink>
          </w:p>
        </w:tc>
        <w:tc>
          <w:tcPr>
            <w:tcW w:w="9500" w:type="dxa"/>
            <w:vAlign w:val="bottom"/>
            <w:gridSpan w:val="1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40</w:t>
            </w:r>
          </w:p>
        </w:tc>
      </w:tr>
      <w:tr>
        <w:trPr>
          <w:trHeight w:val="156"/>
        </w:trPr>
        <w:tc>
          <w:tcPr>
            <w:tcW w:w="500" w:type="dxa"/>
            <w:vAlign w:val="bottom"/>
            <w:tcBorders>
              <w:bottom w:val="single" w:sz="8" w:color="0000EE"/>
              <w:right w:val="single" w:sz="8" w:color="CCEEFF"/>
            </w:tcBorders>
            <w:gridSpan w:val="2"/>
            <w:shd w:val="clear" w:color="auto" w:fill="CCEEFF"/>
          </w:tcPr>
          <w:p>
            <w:pPr>
              <w:spacing w:after="0" w:line="145" w:lineRule="exact"/>
              <w:rPr>
                <w:sz w:val="20"/>
                <w:szCs w:val="20"/>
                <w:color w:val="auto"/>
              </w:rPr>
            </w:pPr>
            <w:r>
              <w:rPr>
                <w:rFonts w:ascii="Arial" w:cs="Arial" w:eastAsia="Arial" w:hAnsi="Arial"/>
                <w:sz w:val="14"/>
                <w:szCs w:val="14"/>
                <w:color w:val="0000EE"/>
                <w:w w:val="98"/>
              </w:rPr>
              <w:t>Dilution</w:t>
            </w:r>
          </w:p>
        </w:tc>
        <w:tc>
          <w:tcPr>
            <w:tcW w:w="994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41</w:t>
            </w:r>
          </w:p>
        </w:tc>
      </w:tr>
      <w:tr>
        <w:trPr>
          <w:trHeight w:val="138"/>
        </w:trPr>
        <w:tc>
          <w:tcPr>
            <w:tcW w:w="10440" w:type="dxa"/>
            <w:vAlign w:val="bottom"/>
            <w:gridSpan w:val="18"/>
          </w:tcPr>
          <w:p>
            <w:pPr>
              <w:spacing w:after="0" w:line="139" w:lineRule="exact"/>
              <w:rPr>
                <w:sz w:val="20"/>
                <w:szCs w:val="20"/>
                <w:color w:val="auto"/>
              </w:rPr>
            </w:pPr>
            <w:r>
              <w:rPr>
                <w:rFonts w:ascii="Arial" w:cs="Arial" w:eastAsia="Arial" w:hAnsi="Arial"/>
                <w:sz w:val="14"/>
                <w:szCs w:val="14"/>
                <w:color w:val="0000EE"/>
              </w:rPr>
              <w:t>Capitalization</w:t>
            </w: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42</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140" w:type="dxa"/>
            <w:vAlign w:val="bottom"/>
            <w:tcBorders>
              <w:bottom w:val="single" w:sz="8" w:color="0000EE"/>
            </w:tcBorders>
            <w:gridSpan w:val="13"/>
            <w:shd w:val="clear" w:color="auto" w:fill="CCEEFF"/>
          </w:tcPr>
          <w:p>
            <w:pPr>
              <w:spacing w:after="0" w:line="145" w:lineRule="exact"/>
              <w:rPr>
                <w:rFonts w:ascii="Arial" w:cs="Arial" w:eastAsia="Arial" w:hAnsi="Arial"/>
                <w:sz w:val="14"/>
                <w:szCs w:val="14"/>
                <w:color w:val="0000EE"/>
                <w:w w:val="90"/>
              </w:rPr>
            </w:pPr>
            <w:hyperlink w:anchor="page45">
              <w:r>
                <w:rPr>
                  <w:rFonts w:ascii="Arial" w:cs="Arial" w:eastAsia="Arial" w:hAnsi="Arial"/>
                  <w:sz w:val="14"/>
                  <w:szCs w:val="14"/>
                  <w:color w:val="0000EE"/>
                  <w:w w:val="90"/>
                </w:rPr>
                <w:t>Selected Consolidated Financial Data</w:t>
              </w:r>
            </w:hyperlink>
          </w:p>
        </w:tc>
        <w:tc>
          <w:tcPr>
            <w:tcW w:w="8300" w:type="dxa"/>
            <w:vAlign w:val="bottom"/>
            <w:tcBorders>
              <w:bottom w:val="single" w:sz="8" w:color="CCEEFF"/>
            </w:tcBorders>
            <w:gridSpan w:val="5"/>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43</w:t>
            </w:r>
          </w:p>
        </w:tc>
      </w:tr>
      <w:tr>
        <w:trPr>
          <w:trHeight w:val="144"/>
        </w:trPr>
        <w:tc>
          <w:tcPr>
            <w:tcW w:w="5100" w:type="dxa"/>
            <w:vAlign w:val="bottom"/>
            <w:tcBorders>
              <w:bottom w:val="single" w:sz="8" w:color="0000EE"/>
            </w:tcBorders>
            <w:gridSpan w:val="17"/>
          </w:tcPr>
          <w:p>
            <w:pPr>
              <w:spacing w:after="0" w:line="139" w:lineRule="exact"/>
              <w:rPr>
                <w:rFonts w:ascii="Arial" w:cs="Arial" w:eastAsia="Arial" w:hAnsi="Arial"/>
                <w:sz w:val="14"/>
                <w:szCs w:val="14"/>
                <w:color w:val="0000EE"/>
                <w:w w:val="92"/>
              </w:rPr>
            </w:pPr>
            <w:hyperlink w:anchor="page46">
              <w:r>
                <w:rPr>
                  <w:rFonts w:ascii="Arial" w:cs="Arial" w:eastAsia="Arial" w:hAnsi="Arial"/>
                  <w:sz w:val="14"/>
                  <w:szCs w:val="14"/>
                  <w:color w:val="0000EE"/>
                  <w:w w:val="92"/>
                </w:rPr>
                <w:t>Management’s Discussion and Analysis of Financial Condition and Results of Operations</w:t>
              </w:r>
            </w:hyperlink>
          </w:p>
        </w:tc>
        <w:tc>
          <w:tcPr>
            <w:tcW w:w="534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44</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62">
              <w:r>
                <w:rPr>
                  <w:rFonts w:ascii="Arial" w:cs="Arial" w:eastAsia="Arial" w:hAnsi="Arial"/>
                  <w:sz w:val="14"/>
                  <w:szCs w:val="14"/>
                  <w:color w:val="0000EE"/>
                </w:rPr>
                <w:t>Business</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60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1880" w:type="dxa"/>
            <w:vAlign w:val="bottom"/>
            <w:tcBorders>
              <w:bottom w:val="single" w:sz="8" w:color="0000EE"/>
            </w:tcBorders>
            <w:gridSpan w:val="12"/>
          </w:tcPr>
          <w:p>
            <w:pPr>
              <w:spacing w:after="0" w:line="139" w:lineRule="exact"/>
              <w:rPr>
                <w:rFonts w:ascii="Arial" w:cs="Arial" w:eastAsia="Arial" w:hAnsi="Arial"/>
                <w:sz w:val="14"/>
                <w:szCs w:val="14"/>
                <w:color w:val="0000EE"/>
                <w:w w:val="92"/>
              </w:rPr>
            </w:pPr>
            <w:hyperlink w:anchor="page102">
              <w:r>
                <w:rPr>
                  <w:rFonts w:ascii="Arial" w:cs="Arial" w:eastAsia="Arial" w:hAnsi="Arial"/>
                  <w:sz w:val="14"/>
                  <w:szCs w:val="14"/>
                  <w:color w:val="0000EE"/>
                  <w:w w:val="92"/>
                </w:rPr>
                <w:t>Directors and Executive Officers</w:t>
              </w:r>
            </w:hyperlink>
          </w:p>
        </w:tc>
        <w:tc>
          <w:tcPr>
            <w:tcW w:w="8560" w:type="dxa"/>
            <w:vAlign w:val="bottom"/>
            <w:gridSpan w:val="6"/>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100</w:t>
            </w:r>
          </w:p>
        </w:tc>
      </w:tr>
      <w:tr>
        <w:trPr>
          <w:trHeight w:val="156"/>
        </w:trPr>
        <w:tc>
          <w:tcPr>
            <w:tcW w:w="3860" w:type="dxa"/>
            <w:vAlign w:val="bottom"/>
            <w:tcBorders>
              <w:bottom w:val="single" w:sz="8" w:color="0000EE"/>
            </w:tcBorders>
            <w:gridSpan w:val="16"/>
            <w:shd w:val="clear" w:color="auto" w:fill="CCEEFF"/>
          </w:tcPr>
          <w:p>
            <w:pPr>
              <w:spacing w:after="0" w:line="145" w:lineRule="exact"/>
              <w:rPr>
                <w:rFonts w:ascii="Arial" w:cs="Arial" w:eastAsia="Arial" w:hAnsi="Arial"/>
                <w:sz w:val="14"/>
                <w:szCs w:val="14"/>
                <w:color w:val="0000EE"/>
                <w:w w:val="92"/>
              </w:rPr>
            </w:pPr>
            <w:hyperlink w:anchor="page117">
              <w:r>
                <w:rPr>
                  <w:rFonts w:ascii="Arial" w:cs="Arial" w:eastAsia="Arial" w:hAnsi="Arial"/>
                  <w:sz w:val="14"/>
                  <w:szCs w:val="14"/>
                  <w:color w:val="0000EE"/>
                  <w:w w:val="92"/>
                </w:rPr>
                <w:t>Security Ownership of Certain Beneficial Owners and Management</w:t>
              </w:r>
            </w:hyperlink>
          </w:p>
        </w:tc>
        <w:tc>
          <w:tcPr>
            <w:tcW w:w="6580" w:type="dxa"/>
            <w:vAlign w:val="bottom"/>
            <w:tcBorders>
              <w:bottom w:val="single" w:sz="8" w:color="CCEEFF"/>
            </w:tcBorders>
            <w:gridSpan w:val="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115</w:t>
            </w:r>
          </w:p>
        </w:tc>
      </w:tr>
      <w:tr>
        <w:trPr>
          <w:trHeight w:val="144"/>
        </w:trPr>
        <w:tc>
          <w:tcPr>
            <w:tcW w:w="2700" w:type="dxa"/>
            <w:vAlign w:val="bottom"/>
            <w:tcBorders>
              <w:bottom w:val="single" w:sz="8" w:color="0000EE"/>
            </w:tcBorders>
            <w:gridSpan w:val="15"/>
          </w:tcPr>
          <w:p>
            <w:pPr>
              <w:spacing w:after="0" w:line="139" w:lineRule="exact"/>
              <w:rPr>
                <w:rFonts w:ascii="Arial" w:cs="Arial" w:eastAsia="Arial" w:hAnsi="Arial"/>
                <w:sz w:val="14"/>
                <w:szCs w:val="14"/>
                <w:color w:val="0000EE"/>
                <w:w w:val="90"/>
              </w:rPr>
            </w:pPr>
            <w:hyperlink w:anchor="page125">
              <w:r>
                <w:rPr>
                  <w:rFonts w:ascii="Arial" w:cs="Arial" w:eastAsia="Arial" w:hAnsi="Arial"/>
                  <w:sz w:val="14"/>
                  <w:szCs w:val="14"/>
                  <w:color w:val="0000EE"/>
                  <w:w w:val="90"/>
                </w:rPr>
                <w:t>Certain Relationships and Related Transactions</w:t>
              </w:r>
            </w:hyperlink>
          </w:p>
        </w:tc>
        <w:tc>
          <w:tcPr>
            <w:tcW w:w="7740" w:type="dxa"/>
            <w:vAlign w:val="bottom"/>
            <w:gridSpan w:val="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123</w:t>
            </w:r>
          </w:p>
        </w:tc>
      </w:tr>
      <w:tr>
        <w:trPr>
          <w:trHeight w:val="156"/>
        </w:trPr>
        <w:tc>
          <w:tcPr>
            <w:tcW w:w="1420" w:type="dxa"/>
            <w:vAlign w:val="bottom"/>
            <w:tcBorders>
              <w:bottom w:val="single" w:sz="8" w:color="0000EE"/>
            </w:tcBorders>
            <w:gridSpan w:val="7"/>
            <w:shd w:val="clear" w:color="auto" w:fill="CCEEFF"/>
          </w:tcPr>
          <w:p>
            <w:pPr>
              <w:spacing w:after="0" w:line="145" w:lineRule="exact"/>
              <w:rPr>
                <w:rFonts w:ascii="Arial" w:cs="Arial" w:eastAsia="Arial" w:hAnsi="Arial"/>
                <w:sz w:val="14"/>
                <w:szCs w:val="14"/>
                <w:color w:val="0000EE"/>
                <w:w w:val="92"/>
              </w:rPr>
            </w:pPr>
            <w:hyperlink w:anchor="page126">
              <w:r>
                <w:rPr>
                  <w:rFonts w:ascii="Arial" w:cs="Arial" w:eastAsia="Arial" w:hAnsi="Arial"/>
                  <w:sz w:val="14"/>
                  <w:szCs w:val="14"/>
                  <w:color w:val="0000EE"/>
                  <w:w w:val="92"/>
                </w:rPr>
                <w:t>Description of Securities</w:t>
              </w:r>
            </w:hyperlink>
          </w:p>
        </w:tc>
        <w:tc>
          <w:tcPr>
            <w:tcW w:w="9020" w:type="dxa"/>
            <w:vAlign w:val="bottom"/>
            <w:tcBorders>
              <w:bottom w:val="single" w:sz="8" w:color="CCEEFF"/>
            </w:tcBorders>
            <w:gridSpan w:val="11"/>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124</w:t>
            </w:r>
          </w:p>
        </w:tc>
      </w:tr>
      <w:tr>
        <w:trPr>
          <w:trHeight w:val="144"/>
        </w:trPr>
        <w:tc>
          <w:tcPr>
            <w:tcW w:w="1760" w:type="dxa"/>
            <w:vAlign w:val="bottom"/>
            <w:tcBorders>
              <w:bottom w:val="single" w:sz="8" w:color="0000EE"/>
            </w:tcBorders>
            <w:gridSpan w:val="10"/>
          </w:tcPr>
          <w:p>
            <w:pPr>
              <w:spacing w:after="0" w:line="139" w:lineRule="exact"/>
              <w:rPr>
                <w:rFonts w:ascii="Arial" w:cs="Arial" w:eastAsia="Arial" w:hAnsi="Arial"/>
                <w:sz w:val="14"/>
                <w:szCs w:val="14"/>
                <w:color w:val="0000EE"/>
                <w:w w:val="91"/>
              </w:rPr>
            </w:pPr>
            <w:hyperlink w:anchor="page131">
              <w:r>
                <w:rPr>
                  <w:rFonts w:ascii="Arial" w:cs="Arial" w:eastAsia="Arial" w:hAnsi="Arial"/>
                  <w:sz w:val="14"/>
                  <w:szCs w:val="14"/>
                  <w:color w:val="0000EE"/>
                  <w:w w:val="91"/>
                </w:rPr>
                <w:t>Shares Eligible for Future Sale</w:t>
              </w:r>
            </w:hyperlink>
          </w:p>
        </w:tc>
        <w:tc>
          <w:tcPr>
            <w:tcW w:w="8680" w:type="dxa"/>
            <w:vAlign w:val="bottom"/>
            <w:gridSpan w:val="8"/>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129</w:t>
            </w:r>
          </w:p>
        </w:tc>
      </w:tr>
      <w:tr>
        <w:trPr>
          <w:trHeight w:val="144"/>
        </w:trPr>
        <w:tc>
          <w:tcPr>
            <w:tcW w:w="10440" w:type="dxa"/>
            <w:vAlign w:val="bottom"/>
            <w:gridSpan w:val="18"/>
            <w:shd w:val="clear" w:color="auto" w:fill="CCEEFF"/>
          </w:tcPr>
          <w:p>
            <w:pPr>
              <w:spacing w:after="0" w:line="145" w:lineRule="exact"/>
              <w:rPr>
                <w:sz w:val="20"/>
                <w:szCs w:val="20"/>
                <w:color w:val="auto"/>
              </w:rPr>
            </w:pPr>
            <w:r>
              <w:rPr>
                <w:rFonts w:ascii="Arial" w:cs="Arial" w:eastAsia="Arial" w:hAnsi="Arial"/>
                <w:sz w:val="14"/>
                <w:szCs w:val="14"/>
                <w:color w:val="0000EE"/>
              </w:rPr>
              <w:t>Underwriting</w:t>
            </w:r>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800" w:type="dxa"/>
            <w:vAlign w:val="bottom"/>
            <w:tcBorders>
              <w:bottom w:val="single" w:sz="8" w:color="0000EE"/>
            </w:tcBorders>
            <w:gridSpan w:val="3"/>
          </w:tcPr>
          <w:p>
            <w:pPr>
              <w:spacing w:after="0" w:line="139" w:lineRule="exact"/>
              <w:rPr>
                <w:rFonts w:ascii="Arial" w:cs="Arial" w:eastAsia="Arial" w:hAnsi="Arial"/>
                <w:sz w:val="14"/>
                <w:szCs w:val="14"/>
                <w:color w:val="0000EE"/>
                <w:w w:val="89"/>
              </w:rPr>
            </w:pPr>
            <w:hyperlink w:anchor="page139">
              <w:r>
                <w:rPr>
                  <w:rFonts w:ascii="Arial" w:cs="Arial" w:eastAsia="Arial" w:hAnsi="Arial"/>
                  <w:sz w:val="14"/>
                  <w:szCs w:val="14"/>
                  <w:color w:val="0000EE"/>
                  <w:w w:val="89"/>
                </w:rPr>
                <w:t>Legal Matters</w:t>
              </w:r>
            </w:hyperlink>
          </w:p>
        </w:tc>
        <w:tc>
          <w:tcPr>
            <w:tcW w:w="9640" w:type="dxa"/>
            <w:vAlign w:val="bottom"/>
            <w:gridSpan w:val="15"/>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440" w:type="dxa"/>
            <w:vAlign w:val="bottom"/>
            <w:tcBorders>
              <w:bottom w:val="single" w:sz="8" w:color="0000EE"/>
            </w:tcBorders>
            <w:shd w:val="clear" w:color="auto" w:fill="CCEEFF"/>
          </w:tcPr>
          <w:p>
            <w:pPr>
              <w:spacing w:after="0" w:line="145" w:lineRule="exact"/>
              <w:rPr>
                <w:rFonts w:ascii="Arial" w:cs="Arial" w:eastAsia="Arial" w:hAnsi="Arial"/>
                <w:sz w:val="14"/>
                <w:szCs w:val="14"/>
                <w:color w:val="0000EE"/>
                <w:w w:val="88"/>
              </w:rPr>
            </w:pPr>
            <w:hyperlink w:anchor="page139">
              <w:r>
                <w:rPr>
                  <w:rFonts w:ascii="Arial" w:cs="Arial" w:eastAsia="Arial" w:hAnsi="Arial"/>
                  <w:sz w:val="14"/>
                  <w:szCs w:val="14"/>
                  <w:color w:val="0000EE"/>
                  <w:w w:val="88"/>
                </w:rPr>
                <w:t>Experts</w:t>
              </w:r>
            </w:hyperlink>
          </w:p>
        </w:tc>
        <w:tc>
          <w:tcPr>
            <w:tcW w:w="10000" w:type="dxa"/>
            <w:vAlign w:val="bottom"/>
            <w:tcBorders>
              <w:bottom w:val="single" w:sz="8" w:color="CCEEFF"/>
            </w:tcBorders>
            <w:gridSpan w:val="1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137</w:t>
            </w:r>
          </w:p>
        </w:tc>
      </w:tr>
      <w:tr>
        <w:trPr>
          <w:trHeight w:val="144"/>
        </w:trPr>
        <w:tc>
          <w:tcPr>
            <w:tcW w:w="10440" w:type="dxa"/>
            <w:vAlign w:val="bottom"/>
            <w:gridSpan w:val="18"/>
          </w:tcPr>
          <w:p>
            <w:pPr>
              <w:spacing w:after="0" w:line="139" w:lineRule="exact"/>
              <w:rPr>
                <w:rFonts w:ascii="Arial" w:cs="Arial" w:eastAsia="Arial" w:hAnsi="Arial"/>
                <w:sz w:val="14"/>
                <w:szCs w:val="14"/>
                <w:color w:val="0000EE"/>
              </w:rPr>
            </w:pPr>
            <w:hyperlink w:anchor="page139">
              <w:r>
                <w:rPr>
                  <w:rFonts w:ascii="Arial" w:cs="Arial" w:eastAsia="Arial" w:hAnsi="Arial"/>
                  <w:sz w:val="14"/>
                  <w:szCs w:val="14"/>
                  <w:color w:val="0000EE"/>
                </w:rPr>
                <w:t>Where You Can Find More Information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1700" w:type="dxa"/>
            <w:vAlign w:val="bottom"/>
            <w:tcBorders>
              <w:top w:val="single" w:sz="8" w:color="0000EE"/>
              <w:bottom w:val="single" w:sz="8" w:color="0000EE"/>
            </w:tcBorders>
            <w:gridSpan w:val="9"/>
            <w:shd w:val="clear" w:color="auto" w:fill="CCEEFF"/>
          </w:tcPr>
          <w:p>
            <w:pPr>
              <w:spacing w:after="0" w:line="145" w:lineRule="exact"/>
              <w:rPr>
                <w:rFonts w:ascii="Arial" w:cs="Arial" w:eastAsia="Arial" w:hAnsi="Arial"/>
                <w:sz w:val="14"/>
                <w:szCs w:val="14"/>
                <w:color w:val="0000EE"/>
                <w:w w:val="91"/>
              </w:rPr>
            </w:pPr>
            <w:hyperlink w:anchor="page140">
              <w:r>
                <w:rPr>
                  <w:rFonts w:ascii="Arial" w:cs="Arial" w:eastAsia="Arial" w:hAnsi="Arial"/>
                  <w:sz w:val="14"/>
                  <w:szCs w:val="14"/>
                  <w:color w:val="0000EE"/>
                  <w:w w:val="91"/>
                </w:rPr>
                <w:t>Index to Financial Statements</w:t>
              </w:r>
            </w:hyperlink>
          </w:p>
        </w:tc>
        <w:tc>
          <w:tcPr>
            <w:tcW w:w="56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8180" w:type="dxa"/>
            <w:vAlign w:val="bottom"/>
            <w:tcBorders>
              <w:bottom w:val="single" w:sz="8" w:color="CCEEFF"/>
            </w:tcBorders>
            <w:gridSpan w:val="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F-1</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205" w:lineRule="exact"/>
        <w:rPr>
          <w:sz w:val="20"/>
          <w:szCs w:val="20"/>
          <w:color w:val="auto"/>
        </w:rPr>
      </w:pPr>
    </w:p>
    <w:p>
      <w:pPr>
        <w:ind w:right="220"/>
        <w:spacing w:after="0" w:line="290" w:lineRule="auto"/>
        <w:rPr>
          <w:sz w:val="20"/>
          <w:szCs w:val="20"/>
          <w:color w:val="auto"/>
        </w:rPr>
      </w:pPr>
      <w:r>
        <w:rPr>
          <w:rFonts w:ascii="Arial" w:cs="Arial" w:eastAsia="Arial" w:hAnsi="Arial"/>
          <w:sz w:val="13"/>
          <w:szCs w:val="13"/>
          <w:color w:val="auto"/>
        </w:rPr>
        <w:t>You should rely only on the information contained in this prospectus.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our securities.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Unless the context otherwise requires, the words “</w:t>
      </w:r>
      <w:r>
        <w:rPr>
          <w:rFonts w:ascii="Arial" w:cs="Arial" w:eastAsia="Arial" w:hAnsi="Arial"/>
          <w:sz w:val="13"/>
          <w:szCs w:val="13"/>
          <w:i w:val="1"/>
          <w:iCs w:val="1"/>
          <w:color w:val="auto"/>
        </w:rPr>
        <w:t>VistaGen Therapeutics, Inc.</w:t>
      </w:r>
      <w:r>
        <w:rPr>
          <w:rFonts w:ascii="Arial" w:cs="Arial" w:eastAsia="Arial" w:hAnsi="Arial"/>
          <w:sz w:val="13"/>
          <w:szCs w:val="13"/>
          <w:color w:val="auto"/>
        </w:rPr>
        <w:t>” “</w:t>
      </w:r>
      <w:r>
        <w:rPr>
          <w:rFonts w:ascii="Arial" w:cs="Arial" w:eastAsia="Arial" w:hAnsi="Arial"/>
          <w:sz w:val="13"/>
          <w:szCs w:val="13"/>
          <w:i w:val="1"/>
          <w:iCs w:val="1"/>
          <w:color w:val="auto"/>
        </w:rPr>
        <w:t>VistaGen</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the Company</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and “</w:t>
      </w:r>
      <w:r>
        <w:rPr>
          <w:rFonts w:ascii="Arial" w:cs="Arial" w:eastAsia="Arial" w:hAnsi="Arial"/>
          <w:sz w:val="13"/>
          <w:szCs w:val="13"/>
          <w:i w:val="1"/>
          <w:iCs w:val="1"/>
          <w:color w:val="auto"/>
        </w:rPr>
        <w:t>our</w:t>
      </w:r>
      <w:r>
        <w:rPr>
          <w:rFonts w:ascii="Arial" w:cs="Arial" w:eastAsia="Arial" w:hAnsi="Arial"/>
          <w:sz w:val="13"/>
          <w:szCs w:val="13"/>
          <w:color w:val="auto"/>
        </w:rPr>
        <w:t>” refer to VistaGen Therapeutics, Inc., a Nevada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VistaGen California</w:t>
      </w:r>
      <w:r>
        <w:rPr>
          <w:rFonts w:ascii="Arial" w:cs="Arial" w:eastAsia="Arial" w:hAnsi="Arial"/>
          <w:sz w:val="14"/>
          <w:szCs w:val="14"/>
          <w:color w:val="auto"/>
        </w:rPr>
        <w:t>” refers to VistaGen Therapeutics, Inc., a California corporation and our wholly owned subsidiary.</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728154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FORWARD-LOOKING STATEMENTS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statements.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and in our periodic report filings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Actual results could differ materially from those anticipated in forward-looking statements and future results could differ materially from historical performance.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6085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000" cy="6085840"/>
                    </a:xfrm>
                    <a:prstGeom prst="rect">
                      <a:avLst/>
                    </a:prstGeom>
                    <a:noFill/>
                  </pic:spPr>
                </pic:pic>
              </a:graphicData>
            </a:graphic>
          </wp:anchor>
        </w:drawing>
      </w: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PROSPECTUS SUMMARY</w:t>
      </w:r>
    </w:p>
    <w:p>
      <w:pPr>
        <w:spacing w:after="0" w:line="184" w:lineRule="exact"/>
        <w:rPr>
          <w:sz w:val="20"/>
          <w:szCs w:val="20"/>
          <w:color w:val="auto"/>
        </w:rPr>
      </w:pPr>
    </w:p>
    <w:p>
      <w:pPr>
        <w:jc w:val="both"/>
        <w:ind w:left="480" w:right="360"/>
        <w:spacing w:after="0" w:line="268" w:lineRule="auto"/>
        <w:rPr>
          <w:sz w:val="20"/>
          <w:szCs w:val="20"/>
          <w:color w:val="auto"/>
        </w:rPr>
      </w:pPr>
      <w:r>
        <w:rPr>
          <w:rFonts w:ascii="Arial" w:cs="Arial" w:eastAsia="Arial" w:hAnsi="Arial"/>
          <w:sz w:val="14"/>
          <w:szCs w:val="14"/>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Overview</w:t>
      </w:r>
    </w:p>
    <w:p>
      <w:pPr>
        <w:spacing w:after="0" w:line="184" w:lineRule="exact"/>
        <w:rPr>
          <w:sz w:val="20"/>
          <w:szCs w:val="20"/>
          <w:color w:val="auto"/>
        </w:rPr>
      </w:pPr>
    </w:p>
    <w:p>
      <w:pPr>
        <w:ind w:left="480" w:right="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42" w:lineRule="exact"/>
        <w:rPr>
          <w:sz w:val="20"/>
          <w:szCs w:val="20"/>
          <w:color w:val="auto"/>
        </w:rPr>
      </w:pPr>
    </w:p>
    <w:p>
      <w:pPr>
        <w:ind w:left="480" w:right="280"/>
        <w:spacing w:after="0" w:line="268" w:lineRule="auto"/>
        <w:rPr>
          <w:sz w:val="20"/>
          <w:szCs w:val="20"/>
          <w:color w:val="auto"/>
        </w:rPr>
      </w:pPr>
      <w:r>
        <w:rPr>
          <w:rFonts w:ascii="Arial" w:cs="Arial" w:eastAsia="Arial" w:hAnsi="Arial"/>
          <w:sz w:val="14"/>
          <w:szCs w:val="14"/>
          <w:color w:val="auto"/>
        </w:rPr>
        <w:t>AV-101’s mechanism of action, as an N-methyl D aspartate receptor (</w:t>
      </w:r>
      <w:r>
        <w:rPr>
          <w:rFonts w:ascii="Arial" w:cs="Arial" w:eastAsia="Arial" w:hAnsi="Arial"/>
          <w:sz w:val="14"/>
          <w:szCs w:val="14"/>
          <w:i w:val="1"/>
          <w:iCs w:val="1"/>
          <w:color w:val="auto"/>
        </w:rPr>
        <w:t>NMDAR</w:t>
      </w:r>
      <w:r>
        <w:rPr>
          <w:rFonts w:ascii="Arial" w:cs="Arial" w:eastAsia="Arial" w:hAnsi="Arial"/>
          <w:sz w:val="14"/>
          <w:szCs w:val="14"/>
          <w:color w:val="auto"/>
        </w:rPr>
        <w:t>) antagonist binding selectively at the glycine binding (</w:t>
      </w:r>
      <w:r>
        <w:rPr>
          <w:rFonts w:ascii="Arial" w:cs="Arial" w:eastAsia="Arial" w:hAnsi="Arial"/>
          <w:sz w:val="14"/>
          <w:szCs w:val="14"/>
          <w:i w:val="1"/>
          <w:iCs w:val="1"/>
          <w:color w:val="auto"/>
        </w:rPr>
        <w:t>GlyB</w:t>
      </w:r>
      <w:r>
        <w:rPr>
          <w:rFonts w:ascii="Arial" w:cs="Arial" w:eastAsia="Arial" w:hAnsi="Arial"/>
          <w:sz w:val="14"/>
          <w:szCs w:val="14"/>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w:t>
      </w:r>
    </w:p>
    <w:p>
      <w:pPr>
        <w:spacing w:after="0" w:line="142" w:lineRule="exact"/>
        <w:rPr>
          <w:sz w:val="20"/>
          <w:szCs w:val="20"/>
          <w:color w:val="auto"/>
        </w:rPr>
      </w:pPr>
    </w:p>
    <w:p>
      <w:pPr>
        <w:ind w:left="480" w:right="100"/>
        <w:spacing w:after="0" w:line="279"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first patient in this NIMH-sponsored Phase 2a study was dosed in November 2015. We anticipate results from this study in the second quarter of 2017.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rapid onset antidepressant effects of intravenous (</w:t>
      </w:r>
      <w:r>
        <w:rPr>
          <w:rFonts w:ascii="Arial" w:cs="Arial" w:eastAsia="Arial" w:hAnsi="Arial"/>
          <w:sz w:val="13"/>
          <w:szCs w:val="13"/>
          <w:i w:val="1"/>
          <w:iCs w:val="1"/>
          <w:color w:val="auto"/>
        </w:rPr>
        <w:t>I.V.</w:t>
      </w:r>
      <w:r>
        <w:rPr>
          <w:rFonts w:ascii="Arial" w:cs="Arial" w:eastAsia="Arial" w:hAnsi="Arial"/>
          <w:sz w:val="13"/>
          <w:szCs w:val="13"/>
          <w:color w:val="auto"/>
        </w:rPr>
        <w:t>) ketamine in adult patients with treatment resistant MDD. These NIMH studies, as well as clinical research by others, have demonstrated robust antidepressant effects in patients with treatment-resistant MDD within hours of a single low dose of I.V. ketamine and stimulated research and development around a new generation of antidepressants, including AV-101, with potential to deliver ketamine-like fast-onset antidepressant benefits without its dissociative and other side effects. AV-101 is similar to ketamine because it acts on NMDA receptors. AV-101 is substantially safer than ketamine, however, because ketamine blocks the ion channel of NMDA receptors and AV-101 down-regulates NMDA receptors through the GlyB site.</w:t>
      </w:r>
    </w:p>
    <w:p>
      <w:pPr>
        <w:spacing w:after="0" w:line="140" w:lineRule="exact"/>
        <w:rPr>
          <w:sz w:val="20"/>
          <w:szCs w:val="20"/>
          <w:color w:val="auto"/>
        </w:rPr>
      </w:pPr>
    </w:p>
    <w:p>
      <w:pPr>
        <w:ind w:left="48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46" w:lineRule="exact"/>
        <w:rPr>
          <w:sz w:val="20"/>
          <w:szCs w:val="20"/>
          <w:color w:val="auto"/>
        </w:rPr>
      </w:pPr>
    </w:p>
    <w:p>
      <w:pPr>
        <w:jc w:val="both"/>
        <w:ind w:left="480" w:right="14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jc w:val="both"/>
        <w:ind w:left="480" w:right="14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Background</w:t>
      </w:r>
    </w:p>
    <w:p>
      <w:pPr>
        <w:spacing w:after="0" w:line="180" w:lineRule="exact"/>
        <w:rPr>
          <w:sz w:val="20"/>
          <w:szCs w:val="20"/>
          <w:color w:val="auto"/>
        </w:rPr>
      </w:pPr>
    </w:p>
    <w:p>
      <w:pPr>
        <w:ind w:left="480" w:right="120"/>
        <w:spacing w:after="0" w:line="263" w:lineRule="auto"/>
        <w:rPr>
          <w:sz w:val="20"/>
          <w:szCs w:val="20"/>
          <w:color w:val="auto"/>
        </w:rPr>
      </w:pPr>
      <w:r>
        <w:rPr>
          <w:rFonts w:ascii="Arial" w:cs="Arial" w:eastAsia="Arial" w:hAnsi="Arial"/>
          <w:sz w:val="14"/>
          <w:szCs w:val="14"/>
          <w:color w:val="auto"/>
        </w:rPr>
        <w:t>The World Health Organization (</w:t>
      </w:r>
      <w:r>
        <w:rPr>
          <w:rFonts w:ascii="Arial" w:cs="Arial" w:eastAsia="Arial" w:hAnsi="Arial"/>
          <w:sz w:val="14"/>
          <w:szCs w:val="14"/>
          <w:i w:val="1"/>
          <w:iCs w:val="1"/>
          <w:color w:val="auto"/>
        </w:rPr>
        <w:t>WHO</w:t>
      </w:r>
      <w:r>
        <w:rPr>
          <w:rFonts w:ascii="Arial" w:cs="Arial" w:eastAsia="Arial" w:hAnsi="Arial"/>
          <w:sz w:val="14"/>
          <w:szCs w:val="14"/>
          <w:color w:val="auto"/>
        </w:rPr>
        <w:t>) estimates that 350 million people worldwide are affected by depression. According to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4"/>
          <w:szCs w:val="14"/>
          <w:i w:val="1"/>
          <w:iCs w:val="1"/>
          <w:color w:val="auto"/>
        </w:rPr>
        <w:t>CDC</w:t>
      </w:r>
      <w:r>
        <w:rPr>
          <w:rFonts w:ascii="Arial" w:cs="Arial" w:eastAsia="Arial" w:hAnsi="Arial"/>
          <w:sz w:val="14"/>
          <w:szCs w:val="14"/>
          <w:color w:val="auto"/>
        </w:rPr>
        <w:t>) one in 10 Americans takes an antidepressant medication.</w:t>
      </w:r>
    </w:p>
    <w:p>
      <w:pPr>
        <w:spacing w:after="0" w:line="146" w:lineRule="exact"/>
        <w:rPr>
          <w:sz w:val="20"/>
          <w:szCs w:val="20"/>
          <w:color w:val="auto"/>
        </w:rPr>
      </w:pPr>
    </w:p>
    <w:p>
      <w:pPr>
        <w:ind w:left="480" w:right="140"/>
        <w:spacing w:after="0" w:line="281"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obtain no benefit from initial treatment using standard antidepressants and have significant side effects, including anxiety, metabolic syndrome, sleep disturbance and sexual dysfunction. 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These patients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sectPr>
      </w:pPr>
    </w:p>
    <w:bookmarkStart w:id="4" w:name="page5"/>
    <w:bookmarkEnd w:id="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240665</wp:posOffset>
            </wp:positionV>
            <wp:extent cx="6985000" cy="6410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000" cy="64103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left="480"/>
        <w:spacing w:after="0" w:line="314" w:lineRule="auto"/>
        <w:rPr>
          <w:sz w:val="20"/>
          <w:szCs w:val="20"/>
          <w:color w:val="auto"/>
        </w:rPr>
      </w:pPr>
      <w:r>
        <w:rPr>
          <w:rFonts w:ascii="Arial" w:cs="Arial" w:eastAsia="Arial" w:hAnsi="Arial"/>
          <w:sz w:val="12"/>
          <w:szCs w:val="12"/>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2"/>
          <w:szCs w:val="12"/>
          <w:i w:val="1"/>
          <w:iCs w:val="1"/>
          <w:color w:val="auto"/>
        </w:rPr>
        <w:t>Journal of Pharmacology and Experimental Therapeutics,</w:t>
      </w:r>
      <w:r>
        <w:rPr>
          <w:rFonts w:ascii="Arial" w:cs="Arial" w:eastAsia="Arial" w:hAnsi="Arial"/>
          <w:sz w:val="12"/>
          <w:szCs w:val="12"/>
          <w:color w:val="auto"/>
        </w:rPr>
        <w:t xml:space="preserve"> in an article entitled, </w:t>
      </w:r>
      <w:r>
        <w:rPr>
          <w:rFonts w:ascii="Arial" w:cs="Arial" w:eastAsia="Arial" w:hAnsi="Arial"/>
          <w:sz w:val="12"/>
          <w:szCs w:val="12"/>
          <w:i w:val="1"/>
          <w:iCs w:val="1"/>
          <w:color w:val="auto"/>
        </w:rPr>
        <w:t>The prodrug 4-chlorokynurenine causes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ketamine-like antidepressant effects, but not side effects, by NMDA/glycineB-site inhibition, </w:t>
      </w:r>
      <w:r>
        <w:rPr>
          <w:rFonts w:ascii="Arial" w:cs="Arial" w:eastAsia="Arial" w:hAnsi="Arial"/>
          <w:sz w:val="12"/>
          <w:szCs w:val="12"/>
          <w:color w:val="auto"/>
        </w:rPr>
        <w:t>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20" w:lineRule="exact"/>
        <w:rPr>
          <w:sz w:val="20"/>
          <w:szCs w:val="20"/>
          <w:color w:val="auto"/>
        </w:rPr>
      </w:pPr>
    </w:p>
    <w:p>
      <w:pPr>
        <w:ind w:left="480" w:right="20"/>
        <w:spacing w:after="0" w:line="283" w:lineRule="auto"/>
        <w:rPr>
          <w:sz w:val="20"/>
          <w:szCs w:val="20"/>
          <w:color w:val="auto"/>
        </w:rPr>
      </w:pPr>
      <w:r>
        <w:rPr>
          <w:rFonts w:ascii="Arial" w:cs="Arial" w:eastAsia="Arial" w:hAnsi="Arial"/>
          <w:sz w:val="13"/>
          <w:szCs w:val="13"/>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first patient in this study was dosed in November 2015. The trial is expected to enroll 24 to 28 patients, and results are expected in the second quarter of 2017. The Principal Investigator of this NIMH-sponsored Phase 2a study is Dr. Carlos Zarate, Jr. We are now preparing to launch our potentially pivotal Phase 2b clinical study of AV-101 for the adjunctive treatment of MDD in patients with an inadequate response to standard antidepressants in the fourth quarter of 2016. This study is expected to enroll approximately 315 patients. The Principal Investigator of this potentially pivotal AV-101 Phase 2b MDD study will be Dr. Maurizio Fava of Harvard Medical School.</w:t>
      </w:r>
    </w:p>
    <w:p>
      <w:pPr>
        <w:spacing w:after="0" w:line="135" w:lineRule="exact"/>
        <w:rPr>
          <w:sz w:val="20"/>
          <w:szCs w:val="20"/>
          <w:color w:val="auto"/>
        </w:rPr>
      </w:pPr>
    </w:p>
    <w:p>
      <w:pPr>
        <w:ind w:left="480" w:right="300"/>
        <w:spacing w:after="0" w:line="323" w:lineRule="auto"/>
        <w:rPr>
          <w:sz w:val="20"/>
          <w:szCs w:val="20"/>
          <w:color w:val="auto"/>
        </w:rPr>
      </w:pPr>
      <w:r>
        <w:rPr>
          <w:rFonts w:ascii="Arial" w:cs="Arial" w:eastAsia="Arial" w:hAnsi="Arial"/>
          <w:sz w:val="13"/>
          <w:szCs w:val="13"/>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CardioSafe 3D™; NCE Drug Rescue and Regenerative Medicine</w:t>
      </w:r>
    </w:p>
    <w:p>
      <w:pPr>
        <w:spacing w:after="0" w:line="184" w:lineRule="exact"/>
        <w:rPr>
          <w:sz w:val="20"/>
          <w:szCs w:val="20"/>
          <w:color w:val="auto"/>
        </w:rPr>
      </w:pPr>
    </w:p>
    <w:p>
      <w:pPr>
        <w:ind w:left="480" w:right="40"/>
        <w:spacing w:after="0" w:line="261" w:lineRule="auto"/>
        <w:rPr>
          <w:sz w:val="20"/>
          <w:szCs w:val="20"/>
          <w:color w:val="auto"/>
        </w:rPr>
      </w:pP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is our customized</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cardiac bioassay system capable of predicting potential human heart toxicity of NCEs</w:t>
      </w:r>
      <w:r>
        <w:rPr>
          <w:rFonts w:ascii="Arial" w:cs="Arial" w:eastAsia="Arial" w:hAnsi="Arial"/>
          <w:sz w:val="14"/>
          <w:szCs w:val="14"/>
          <w:i w:val="1"/>
          <w:iCs w:val="1"/>
          <w:color w:val="auto"/>
        </w:rPr>
        <w:t xml:space="preserve"> in vitro</w:t>
      </w:r>
      <w:r>
        <w:rPr>
          <w:rFonts w:ascii="Arial" w:cs="Arial" w:eastAsia="Arial" w:hAnsi="Arial"/>
          <w:sz w:val="14"/>
          <w:szCs w:val="14"/>
          <w:color w:val="auto"/>
        </w:rPr>
        <w:t>, long before they are ever tested in animal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human studies. Our current strategic interests involving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our stem cell technology platform include collaborative arrangements focused on both (i) drug rescue designed to leverage substantial prior investments by pharmaceutical companies and others related to screening large-scale compound libraries, and optimizing and testing for efficacy NCEs terminated before FDA approval due to heart toxicity risks and now available in the public domain and (ii) nonclinical proof of concept studies to explore potential commercial RM applications involving hPSC-derived blood, bone, cartilage, heart and liver cells.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left="480" w:right="460"/>
        <w:spacing w:after="0" w:line="283" w:lineRule="auto"/>
        <w:rPr>
          <w:sz w:val="20"/>
          <w:szCs w:val="20"/>
          <w:color w:val="auto"/>
        </w:rPr>
      </w:pPr>
      <w:r>
        <w:rPr>
          <w:rFonts w:ascii="Arial" w:cs="Arial" w:eastAsia="Arial" w:hAnsi="Arial"/>
          <w:sz w:val="14"/>
          <w:szCs w:val="14"/>
          <w:color w:val="auto"/>
        </w:rPr>
        <w:t>Our business is subject to substantial risk. Please carefully consider the “</w:t>
      </w:r>
      <w:r>
        <w:rPr>
          <w:rFonts w:ascii="Arial" w:cs="Arial" w:eastAsia="Arial" w:hAnsi="Arial"/>
          <w:sz w:val="14"/>
          <w:szCs w:val="14"/>
          <w:i w:val="1"/>
          <w:iCs w:val="1"/>
          <w:color w:val="auto"/>
        </w:rPr>
        <w:t>Risk Factors</w:t>
      </w:r>
      <w:r>
        <w:rPr>
          <w:rFonts w:ascii="Arial" w:cs="Arial" w:eastAsia="Arial" w:hAnsi="Arial"/>
          <w:sz w:val="14"/>
          <w:szCs w:val="14"/>
          <w:color w:val="auto"/>
        </w:rPr>
        <w:t>” beginning on page 6 of this prospectus for a discussion of the factors you should carefully consider before deciding to purchase the securities offered by this prospectus. These risks include, among others:</w:t>
      </w:r>
    </w:p>
    <w:p>
      <w:pPr>
        <w:spacing w:after="0" w:line="131" w:lineRule="exact"/>
        <w:rPr>
          <w:sz w:val="20"/>
          <w:szCs w:val="20"/>
          <w:color w:val="auto"/>
        </w:rPr>
      </w:pPr>
    </w:p>
    <w:p>
      <w:pPr>
        <w:ind w:left="940" w:right="540" w:hanging="466"/>
        <w:spacing w:after="0" w:line="215" w:lineRule="auto"/>
        <w:tabs>
          <w:tab w:leader="none" w:pos="940"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60" w:lineRule="exact"/>
        <w:rPr>
          <w:rFonts w:ascii="Arial" w:cs="Arial" w:eastAsia="Arial" w:hAnsi="Arial"/>
          <w:sz w:val="20"/>
          <w:szCs w:val="20"/>
          <w:color w:val="auto"/>
          <w:vertAlign w:val="superscript"/>
        </w:rPr>
      </w:pPr>
    </w:p>
    <w:p>
      <w:pPr>
        <w:ind w:left="940" w:right="280" w:hanging="466"/>
        <w:spacing w:after="0" w:line="215" w:lineRule="auto"/>
        <w:tabs>
          <w:tab w:leader="none" w:pos="940"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color w:val="auto"/>
        </w:rPr>
        <w:t>we depend heavily on the success of AV-101, and we cannot be certain that we will be able to obtain regulatory approval for, or successfully commercialize, AV-101, or any product candidate;</w:t>
      </w:r>
    </w:p>
    <w:p>
      <w:pPr>
        <w:spacing w:after="0" w:line="122"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failures or delays in the commencement or completion of our planned clinical trials could delay, prevent or limit our ability to generate revenue and continue our business;</w:t>
      </w:r>
    </w:p>
    <w:p>
      <w:pPr>
        <w:spacing w:after="0" w:line="160" w:lineRule="exact"/>
        <w:rPr>
          <w:rFonts w:ascii="Arial" w:cs="Arial" w:eastAsia="Arial" w:hAnsi="Arial"/>
          <w:sz w:val="19"/>
          <w:szCs w:val="19"/>
          <w:color w:val="auto"/>
          <w:vertAlign w:val="superscript"/>
        </w:rPr>
      </w:pPr>
    </w:p>
    <w:p>
      <w:pPr>
        <w:ind w:left="940" w:right="100" w:hanging="466"/>
        <w:spacing w:after="0" w:line="215" w:lineRule="auto"/>
        <w:tabs>
          <w:tab w:leader="none" w:pos="940"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color w:val="auto"/>
        </w:rPr>
        <w:t>we face significant competition, and if we are unable to compete effectively, we may not be able to achieve or maintain significant market penetration or improve our results of operations;</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color w:val="auto"/>
        </w:rPr>
        <w:t>some of our programs have been partially supported by government grants, which may not be available to us in the future;</w:t>
      </w:r>
    </w:p>
    <w:p>
      <w:pPr>
        <w:spacing w:after="0" w:line="160" w:lineRule="exact"/>
        <w:rPr>
          <w:rFonts w:ascii="Arial" w:cs="Arial" w:eastAsia="Arial" w:hAnsi="Arial"/>
          <w:sz w:val="20"/>
          <w:szCs w:val="20"/>
          <w:color w:val="auto"/>
          <w:vertAlign w:val="superscript"/>
        </w:rPr>
      </w:pPr>
    </w:p>
    <w:p>
      <w:pPr>
        <w:ind w:left="940" w:right="500" w:hanging="466"/>
        <w:spacing w:after="0" w:line="228" w:lineRule="auto"/>
        <w:tabs>
          <w:tab w:leader="none" w:pos="940"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12" w:lineRule="exact"/>
        <w:rPr>
          <w:rFonts w:ascii="Arial" w:cs="Arial" w:eastAsia="Arial" w:hAnsi="Arial"/>
          <w:sz w:val="19"/>
          <w:szCs w:val="19"/>
          <w:color w:val="auto"/>
          <w:vertAlign w:val="superscript"/>
        </w:rPr>
      </w:pPr>
    </w:p>
    <w:p>
      <w:pPr>
        <w:ind w:left="940" w:hanging="466"/>
        <w:spacing w:after="0"/>
        <w:tabs>
          <w:tab w:leader="none" w:pos="940" w:val="left"/>
        </w:tabs>
        <w:numPr>
          <w:ilvl w:val="0"/>
          <w:numId w:val="2"/>
        </w:numPr>
        <w:rPr>
          <w:rFonts w:ascii="Arial" w:cs="Arial" w:eastAsia="Arial" w:hAnsi="Arial"/>
          <w:sz w:val="20"/>
          <w:szCs w:val="20"/>
          <w:color w:val="auto"/>
          <w:vertAlign w:val="superscript"/>
        </w:rPr>
      </w:pPr>
      <w:r>
        <w:rPr>
          <w:rFonts w:ascii="Arial" w:cs="Arial" w:eastAsia="Arial" w:hAnsi="Arial"/>
          <w:sz w:val="14"/>
          <w:szCs w:val="14"/>
          <w:color w:val="auto"/>
        </w:rPr>
        <w:t>we have incurred significant net losses since inception and we will continue to incur substantial operating losses for the foreseeable future.</w:t>
      </w:r>
    </w:p>
    <w:p>
      <w:pPr>
        <w:spacing w:after="0" w:line="160" w:lineRule="exact"/>
        <w:rPr>
          <w:sz w:val="20"/>
          <w:szCs w:val="20"/>
          <w:color w:val="auto"/>
        </w:rPr>
      </w:pPr>
    </w:p>
    <w:p>
      <w:pPr>
        <w:ind w:left="480"/>
        <w:spacing w:after="0" w:line="283" w:lineRule="auto"/>
        <w:rPr>
          <w:sz w:val="20"/>
          <w:szCs w:val="20"/>
          <w:color w:val="auto"/>
        </w:rPr>
      </w:pPr>
      <w:r>
        <w:rPr>
          <w:rFonts w:ascii="Arial" w:cs="Arial" w:eastAsia="Arial" w:hAnsi="Arial"/>
          <w:sz w:val="14"/>
          <w:szCs w:val="14"/>
          <w:color w:val="auto"/>
        </w:rPr>
        <w:t>Additional risks and uncertainties not presently known to us or that we currently deem immaterial may also impair our business operations. You should be able to bear a complete loss of your investment.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Corporate information</w:t>
      </w:r>
    </w:p>
    <w:p>
      <w:pPr>
        <w:spacing w:after="0" w:line="184" w:lineRule="exact"/>
        <w:rPr>
          <w:sz w:val="20"/>
          <w:szCs w:val="20"/>
          <w:color w:val="auto"/>
        </w:rPr>
      </w:pPr>
    </w:p>
    <w:p>
      <w:pPr>
        <w:jc w:val="both"/>
        <w:ind w:left="480" w:right="20"/>
        <w:spacing w:after="0" w:line="298" w:lineRule="auto"/>
        <w:rPr>
          <w:sz w:val="20"/>
          <w:szCs w:val="20"/>
          <w:color w:val="auto"/>
        </w:rPr>
      </w:pPr>
      <w:r>
        <w:rPr>
          <w:rFonts w:ascii="Arial" w:cs="Arial" w:eastAsia="Arial" w:hAnsi="Arial"/>
          <w:sz w:val="13"/>
          <w:szCs w:val="13"/>
          <w:color w:val="auto"/>
        </w:rPr>
        <w:t xml:space="preserve">VistaGen Therapeutics, Inc.,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3"/>
          <w:szCs w:val="13"/>
          <w:i w:val="1"/>
          <w:iCs w:val="1"/>
          <w:color w:val="auto"/>
        </w:rPr>
        <w:t>www.vistagen.com</w:t>
      </w:r>
      <w:r>
        <w:rPr>
          <w:rFonts w:ascii="Arial" w:cs="Arial" w:eastAsia="Arial" w:hAnsi="Arial"/>
          <w:sz w:val="13"/>
          <w:szCs w:val="13"/>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00"/>
          </w:cols>
          <w:pgMar w:left="220" w:top="133" w:right="67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7275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000" cy="7275830"/>
                    </a:xfrm>
                    <a:prstGeom prst="rect">
                      <a:avLst/>
                    </a:prstGeom>
                    <a:noFill/>
                  </pic:spPr>
                </pic:pic>
              </a:graphicData>
            </a:graphic>
          </wp:anchor>
        </w:drawing>
      </w:r>
    </w:p>
    <w:p>
      <w:pPr>
        <w:spacing w:after="0" w:line="366"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1020"/>
          </w:cols>
          <w:pgMar w:left="220" w:top="133" w:right="659" w:bottom="1440" w:gutter="0" w:footer="0" w:header="0"/>
        </w:sectPr>
      </w:pPr>
    </w:p>
    <w:p>
      <w:pPr>
        <w:spacing w:after="0" w:line="1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2,352,942 shares of common stock.</w:t>
      </w:r>
    </w:p>
    <w:p>
      <w:pPr>
        <w:spacing w:after="0" w:line="200"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Warrants offered by us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4"/>
          <w:szCs w:val="14"/>
          <w:color w:val="auto"/>
        </w:rPr>
        <w:t>Each share of common stock sold in this Offering will be accompanied by a warrant to purchase one share of our common stock, at a price of $5.30 per share (125% of the public offering price of our common stock). The warrants will be immediately exercisable, and may be exercised for a period of five years following the date of issuance.</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Common stock outstanding prior to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2,525,276 shares (as of May 11, 2016).</w:t>
      </w:r>
    </w:p>
    <w:p>
      <w:pPr>
        <w:spacing w:after="0" w:line="202" w:lineRule="exact"/>
        <w:rPr>
          <w:sz w:val="20"/>
          <w:szCs w:val="20"/>
          <w:color w:val="auto"/>
        </w:rPr>
      </w:pPr>
    </w:p>
    <w:p>
      <w:pPr>
        <w:sectPr>
          <w:pgSz w:w="11900" w:h="16838" w:orient="portrait"/>
          <w:cols w:equalWidth="0" w:num="2">
            <w:col w:w="3020" w:space="56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Over-allotment option</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Arial" w:cs="Arial" w:eastAsia="Arial" w:hAnsi="Arial"/>
          <w:sz w:val="14"/>
          <w:szCs w:val="14"/>
          <w:color w:val="auto"/>
        </w:rPr>
        <w:t>The underwriters have an option for a period of 45 days to purchase up to 352,942 additional shares of common stock and/or warrants to purchase up to 352,942 additional shares of common stock from us at the public offering price, less underwriting discounts and commissions solely to cover over-allotments.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jc w:val="center"/>
        <w:ind w:left="480"/>
        <w:spacing w:after="0"/>
        <w:rPr>
          <w:sz w:val="20"/>
          <w:szCs w:val="20"/>
          <w:color w:val="auto"/>
        </w:rPr>
      </w:pPr>
      <w:r>
        <w:rPr>
          <w:rFonts w:ascii="Arial" w:cs="Arial" w:eastAsia="Arial" w:hAnsi="Arial"/>
          <w:sz w:val="12"/>
          <w:szCs w:val="12"/>
          <w:color w:val="auto"/>
        </w:rPr>
        <w:t>Common stock outstanding after the Offering</w:t>
      </w:r>
    </w:p>
    <w:p>
      <w:pPr>
        <w:spacing w:after="0" w:line="20" w:lineRule="exact"/>
        <w:rPr>
          <w:sz w:val="20"/>
          <w:szCs w:val="20"/>
          <w:color w:val="auto"/>
        </w:rPr>
      </w:pPr>
      <w:r>
        <w:rPr>
          <w:sz w:val="20"/>
          <w:szCs w:val="20"/>
          <w:color w:val="auto"/>
        </w:rPr>
        <w:br w:type="column"/>
      </w:r>
    </w:p>
    <w:p>
      <w:pPr>
        <w:ind w:right="20"/>
        <w:spacing w:after="0" w:line="283" w:lineRule="auto"/>
        <w:rPr>
          <w:sz w:val="20"/>
          <w:szCs w:val="20"/>
          <w:color w:val="auto"/>
        </w:rPr>
      </w:pPr>
      <w:r>
        <w:rPr>
          <w:rFonts w:ascii="Arial" w:cs="Arial" w:eastAsia="Arial" w:hAnsi="Arial"/>
          <w:sz w:val="14"/>
          <w:szCs w:val="14"/>
          <w:color w:val="auto"/>
        </w:rPr>
        <w:t>7,713,875 shares (assuming no exercise of any of the warrants offered hereby), or 10,066,817 shares if the warrants offered hereby are exercised in full.</w:t>
      </w:r>
    </w:p>
    <w:p>
      <w:pPr>
        <w:spacing w:after="0" w:line="131" w:lineRule="exact"/>
        <w:rPr>
          <w:sz w:val="20"/>
          <w:szCs w:val="20"/>
          <w:color w:val="auto"/>
        </w:rPr>
      </w:pPr>
    </w:p>
    <w:p>
      <w:pPr>
        <w:sectPr>
          <w:pgSz w:w="11900" w:h="16838" w:orient="portrait"/>
          <w:cols w:equalWidth="0" w:num="2">
            <w:col w:w="3060" w:space="5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4"/>
          <w:szCs w:val="14"/>
          <w:color w:val="auto"/>
        </w:rPr>
        <w:t>We estimate that net proceeds to us from this Offering will be approximately $8.8 million, or approximately $10.1 million if the underwriters exercise their option to purchase additional shares and/or warrants in full, after deducting underwriting discounts and commissions and estimated offering expenses payable by us.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3580" w:right="20"/>
        <w:spacing w:after="0" w:line="268" w:lineRule="auto"/>
        <w:rPr>
          <w:sz w:val="20"/>
          <w:szCs w:val="20"/>
          <w:color w:val="auto"/>
        </w:rPr>
      </w:pPr>
      <w:r>
        <w:rPr>
          <w:rFonts w:ascii="Arial" w:cs="Arial" w:eastAsia="Arial" w:hAnsi="Arial"/>
          <w:sz w:val="14"/>
          <w:szCs w:val="14"/>
          <w:color w:val="auto"/>
        </w:rPr>
        <w:t>We currently intend to use the net proceeds from this Offering for research and development, working capital needs, capital expenditures and other general corporate purposes.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 regarding the intended use of proceeds from the Offering.</w:t>
      </w:r>
    </w:p>
    <w:p>
      <w:pPr>
        <w:sectPr>
          <w:pgSz w:w="11900" w:h="16838" w:orient="portrait"/>
          <w:cols w:equalWidth="0" w:num="1">
            <w:col w:w="11020"/>
          </w:cols>
          <w:pgMar w:left="220" w:top="133" w:right="659" w:bottom="1440" w:gutter="0" w:footer="0" w:header="0"/>
          <w:type w:val="continuous"/>
        </w:sectPr>
      </w:pPr>
    </w:p>
    <w:p>
      <w:pPr>
        <w:spacing w:after="0" w:line="14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never declared or paid and do not anticipate declaring or paying any cash dividends on our common stock in the near future. You should read the “</w:t>
      </w:r>
      <w:r>
        <w:rPr>
          <w:rFonts w:ascii="Arial" w:cs="Arial" w:eastAsia="Arial" w:hAnsi="Arial"/>
          <w:sz w:val="14"/>
          <w:szCs w:val="14"/>
          <w:i w:val="1"/>
          <w:iCs w:val="1"/>
          <w:color w:val="auto"/>
        </w:rPr>
        <w:t>Dividend Policy</w:t>
      </w:r>
      <w:r>
        <w:rPr>
          <w:rFonts w:ascii="Arial" w:cs="Arial" w:eastAsia="Arial" w:hAnsi="Arial"/>
          <w:sz w:val="14"/>
          <w:szCs w:val="14"/>
          <w:color w:val="auto"/>
        </w:rPr>
        <w:t>” section of this prospectus for more information on future declarations and payments of dividends.</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NASDAQ listing</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4"/>
          <w:szCs w:val="14"/>
          <w:color w:val="auto"/>
        </w:rPr>
        <w:t>Our common stock was approved for listing, and began trading on The NASDAQ Capital Market under the symbol “VTGN” on May 11, 2016. There is no established public trading market for the warrants, and we do not intend to apply to list the warrants on any securities exchange or automated quotation system.</w:t>
      </w:r>
    </w:p>
    <w:p>
      <w:pPr>
        <w:spacing w:after="0" w:line="142"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Risk factors</w:t>
      </w:r>
    </w:p>
    <w:p>
      <w:pPr>
        <w:spacing w:after="0" w:line="20" w:lineRule="exact"/>
        <w:rPr>
          <w:sz w:val="20"/>
          <w:szCs w:val="20"/>
          <w:color w:val="auto"/>
        </w:rPr>
      </w:pPr>
      <w:r>
        <w:rPr>
          <w:sz w:val="20"/>
          <w:szCs w:val="20"/>
          <w:color w:val="auto"/>
        </w:rPr>
        <w:br w:type="column"/>
      </w:r>
    </w:p>
    <w:p>
      <w:pPr>
        <w:ind w:right="220"/>
        <w:spacing w:after="0" w:line="323" w:lineRule="auto"/>
        <w:rPr>
          <w:sz w:val="20"/>
          <w:szCs w:val="20"/>
          <w:color w:val="auto"/>
        </w:rPr>
      </w:pPr>
      <w:r>
        <w:rPr>
          <w:rFonts w:ascii="Arial" w:cs="Arial" w:eastAsia="Arial" w:hAnsi="Arial"/>
          <w:sz w:val="13"/>
          <w:szCs w:val="13"/>
          <w:color w:val="auto"/>
        </w:rPr>
        <w:t>An investment in our Company is highly speculative and involves a significant degree of risk. See “</w:t>
      </w:r>
      <w:r>
        <w:rPr>
          <w:rFonts w:ascii="Arial" w:cs="Arial" w:eastAsia="Arial" w:hAnsi="Arial"/>
          <w:sz w:val="13"/>
          <w:szCs w:val="13"/>
          <w:i w:val="1"/>
          <w:iCs w:val="1"/>
          <w:color w:val="auto"/>
        </w:rPr>
        <w:t>Risk Factors</w:t>
      </w:r>
      <w:r>
        <w:rPr>
          <w:rFonts w:ascii="Arial" w:cs="Arial" w:eastAsia="Arial" w:hAnsi="Arial"/>
          <w:sz w:val="13"/>
          <w:szCs w:val="13"/>
          <w:color w:val="auto"/>
        </w:rPr>
        <w:t>” beginning on page 6 of this prospectus for a discussion of factors you should carefully consider before investing in our securities.</w:t>
      </w:r>
    </w:p>
    <w:p>
      <w:pPr>
        <w:spacing w:after="0" w:line="109" w:lineRule="exact"/>
        <w:rPr>
          <w:sz w:val="20"/>
          <w:szCs w:val="20"/>
          <w:color w:val="auto"/>
        </w:rPr>
      </w:pPr>
    </w:p>
    <w:p>
      <w:pPr>
        <w:sectPr>
          <w:pgSz w:w="11900" w:h="16838" w:orient="portrait"/>
          <w:cols w:equalWidth="0" w:num="2">
            <w:col w:w="2860" w:space="720"/>
            <w:col w:w="7440"/>
          </w:cols>
          <w:pgMar w:left="220" w:top="133" w:right="65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 xml:space="preserve">The number of shares of common stock to be outstanding after this Offering is based on 2,525,276 shares outstanding as of May 11, 2016 and does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include, as of that date:</w:t>
      </w:r>
    </w:p>
    <w:p>
      <w:pPr>
        <w:spacing w:after="0" w:line="191" w:lineRule="exact"/>
        <w:rPr>
          <w:sz w:val="20"/>
          <w:szCs w:val="20"/>
          <w:color w:val="auto"/>
        </w:rPr>
      </w:pPr>
    </w:p>
    <w:p>
      <w:pPr>
        <w:ind w:left="940" w:right="4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331,987 shares of common stock issuable upon the exercise of outstanding options under our 1999 Stock Incentive Plan and 2008 Stock Incentive Plan, with a weighted average exercise price of $9.55 per share, of which approximately 196,779 were exercisable as of May 11, 2016;</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665,242 shares of common stock reserved for issuance in connection with future grants under our 2008 Stock Incentive Plan;</w:t>
      </w:r>
    </w:p>
    <w:p>
      <w:pPr>
        <w:spacing w:after="0" w:line="160" w:lineRule="exact"/>
        <w:rPr>
          <w:rFonts w:ascii="Arial" w:cs="Arial" w:eastAsia="Arial" w:hAnsi="Arial"/>
          <w:sz w:val="20"/>
          <w:szCs w:val="20"/>
          <w:color w:val="auto"/>
          <w:vertAlign w:val="superscript"/>
        </w:rPr>
      </w:pPr>
    </w:p>
    <w:p>
      <w:pPr>
        <w:ind w:left="940" w:right="38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1,901,103 shares of common stock that have been reserved for issuance upon exercise of outstanding warrants, which have exercise prices ranging from $7.00 per share to $30.00 per share, and a weighted average exercise price of $8.17 per share;</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750,000 shares of common stock reserved for issuance upon conversion of 500,000 shares our Series A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w:t>
      </w:r>
    </w:p>
    <w:p>
      <w:pPr>
        <w:spacing w:after="0" w:line="160" w:lineRule="exact"/>
        <w:rPr>
          <w:rFonts w:ascii="Arial" w:cs="Arial" w:eastAsia="Arial" w:hAnsi="Arial"/>
          <w:sz w:val="20"/>
          <w:szCs w:val="20"/>
          <w:color w:val="auto"/>
          <w:vertAlign w:val="superscript"/>
        </w:rPr>
      </w:pPr>
    </w:p>
    <w:p>
      <w:pPr>
        <w:ind w:left="940" w:right="200" w:hanging="466"/>
        <w:spacing w:after="0" w:line="215" w:lineRule="auto"/>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1,148,669 shares of common stock reserved for issuance upon conversion of the same number of shares of our 10% Series B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xml:space="preserve">) which are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subject to automatic conversion into an equal number of shares of common stock upon completion of this Offering;</w:t>
      </w:r>
    </w:p>
    <w:p>
      <w:pPr>
        <w:spacing w:after="0" w:line="111"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2,318,012 shares of common stock reserved for issuance upon the exchange of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and</w:t>
      </w:r>
    </w:p>
    <w:p>
      <w:pPr>
        <w:spacing w:after="0" w:line="110" w:lineRule="exact"/>
        <w:rPr>
          <w:rFonts w:ascii="Arial" w:cs="Arial" w:eastAsia="Arial" w:hAnsi="Arial"/>
          <w:sz w:val="20"/>
          <w:szCs w:val="20"/>
          <w:color w:val="auto"/>
          <w:vertAlign w:val="superscript"/>
        </w:rPr>
      </w:pPr>
    </w:p>
    <w:p>
      <w:pPr>
        <w:ind w:left="940" w:hanging="466"/>
        <w:spacing w:after="0"/>
        <w:tabs>
          <w:tab w:leader="none" w:pos="94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Up to 2,352,942 shares of common stock issuable upon exercise of warrants to be issued to purchasers in this Offering at an exercise price of $5.30 per share.</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Unless otherwise indicated, this prospectus reflects and assumes the following:</w:t>
      </w:r>
    </w:p>
    <w:p>
      <w:pPr>
        <w:spacing w:after="0" w:line="130" w:lineRule="exact"/>
        <w:rPr>
          <w:sz w:val="20"/>
          <w:szCs w:val="20"/>
          <w:color w:val="auto"/>
        </w:rPr>
      </w:pPr>
    </w:p>
    <w:p>
      <w:pPr>
        <w:ind w:left="940" w:hanging="466"/>
        <w:spacing w:after="0"/>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no exercise of options or warrants outstanding as of May 11, 2016;</w:t>
      </w:r>
    </w:p>
    <w:p>
      <w:pPr>
        <w:spacing w:after="0" w:line="160" w:lineRule="exact"/>
        <w:rPr>
          <w:rFonts w:ascii="Arial" w:cs="Arial" w:eastAsia="Arial" w:hAnsi="Arial"/>
          <w:sz w:val="20"/>
          <w:szCs w:val="20"/>
          <w:color w:val="auto"/>
          <w:vertAlign w:val="superscript"/>
        </w:rPr>
      </w:pPr>
    </w:p>
    <w:p>
      <w:pPr>
        <w:jc w:val="both"/>
        <w:ind w:left="940" w:right="40" w:hanging="466"/>
        <w:spacing w:after="0" w:line="226"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the automatic conversion of approximately 2,546,622 shares of our Series B Preferred, which conversions will automatically take place upon consummation of the Offering, and the issuance of approximately 289,035 shares of common stock as payment of accrued but unpaid dividends on those shares of Series B Preferred automatically converted upon completion of the Offering; and</w:t>
      </w:r>
    </w:p>
    <w:p>
      <w:pPr>
        <w:spacing w:after="0" w:line="161" w:lineRule="exact"/>
        <w:rPr>
          <w:rFonts w:ascii="Arial" w:cs="Arial" w:eastAsia="Arial" w:hAnsi="Arial"/>
          <w:sz w:val="20"/>
          <w:szCs w:val="20"/>
          <w:color w:val="auto"/>
          <w:vertAlign w:val="superscript"/>
        </w:rPr>
      </w:pPr>
    </w:p>
    <w:p>
      <w:pPr>
        <w:ind w:left="940" w:right="100" w:hanging="466"/>
        <w:spacing w:after="0" w:line="215" w:lineRule="auto"/>
        <w:tabs>
          <w:tab w:leader="none" w:pos="94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no exercise by the underwriters of their option to purchase up to 352,942 additional shares of common stock and/or warrants to purchase up to 352,942 shares of common stock from us, and no exercise of the warrants issued to the purchasers in connection with this Offering.</w:t>
      </w:r>
    </w:p>
    <w:p>
      <w:pPr>
        <w:spacing w:after="0" w:line="200" w:lineRule="exact"/>
        <w:rPr>
          <w:sz w:val="20"/>
          <w:szCs w:val="20"/>
          <w:color w:val="auto"/>
        </w:rPr>
      </w:pPr>
    </w:p>
    <w:p>
      <w:pPr>
        <w:spacing w:after="0" w:line="291"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type w:val="continuous"/>
        </w:sectPr>
      </w:pPr>
    </w:p>
    <w:bookmarkStart w:id="6" w:name="page7"/>
    <w:bookmarkEnd w:id="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7126605" cy="643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6605" cy="643699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CONSOLIDATED FINANCIAL DATA</w:t>
      </w:r>
    </w:p>
    <w:p>
      <w:pPr>
        <w:spacing w:after="0" w:line="184" w:lineRule="exact"/>
        <w:rPr>
          <w:sz w:val="20"/>
          <w:szCs w:val="20"/>
          <w:color w:val="auto"/>
        </w:rPr>
      </w:pPr>
    </w:p>
    <w:p>
      <w:pPr>
        <w:ind w:left="480" w:right="580"/>
        <w:spacing w:after="0" w:line="258" w:lineRule="auto"/>
        <w:rPr>
          <w:sz w:val="20"/>
          <w:szCs w:val="20"/>
          <w:color w:val="auto"/>
        </w:rPr>
      </w:pPr>
      <w:r>
        <w:rPr>
          <w:rFonts w:ascii="Arial" w:cs="Arial" w:eastAsia="Arial" w:hAnsi="Arial"/>
          <w:sz w:val="14"/>
          <w:szCs w:val="14"/>
          <w:color w:val="auto"/>
        </w:rPr>
        <w:t>The following tables summarize our consolidated financial data. We have derived the summary consolidated statement of operations data for the years ended March 31, 2015 and 2014 from our audited consolidated financial statements included elsewhere in this prospectus. We have derived the summary consolidated statement of operations data for the nine-months ended December 31, 2015 and 2014 and our balance sheet data as of December 31, 2015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nine months ended December 31, 2015 are not necessarily indicative of results to be expected for the full year or any other period. The following summary consolidated financial data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related notes included 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Fiscal Year Ended</w:t>
            </w:r>
          </w:p>
        </w:tc>
        <w:tc>
          <w:tcPr>
            <w:tcW w:w="220" w:type="dxa"/>
            <w:vAlign w:val="bottom"/>
          </w:tcPr>
          <w:p>
            <w:pPr>
              <w:spacing w:after="0"/>
              <w:rPr>
                <w:sz w:val="14"/>
                <w:szCs w:val="14"/>
                <w:color w:val="auto"/>
              </w:rPr>
            </w:pPr>
          </w:p>
        </w:tc>
        <w:tc>
          <w:tcPr>
            <w:tcW w:w="28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4"/>
          </w:tcPr>
          <w:p>
            <w:pPr>
              <w:jc w:val="center"/>
              <w:ind w:left="589"/>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b w:val="1"/>
                <w:bCs w:val="1"/>
                <w:color w:val="auto"/>
              </w:rPr>
              <w:t>Consolidated Statement of Operations Data:</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Research and development</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2,433</w:t>
            </w: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2,481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2,835</w:t>
            </w:r>
          </w:p>
        </w:tc>
        <w:tc>
          <w:tcPr>
            <w:tcW w:w="220" w:type="dxa"/>
            <w:vAlign w:val="bottom"/>
          </w:tcPr>
          <w:p>
            <w:pPr>
              <w:spacing w:after="0"/>
              <w:rPr>
                <w:sz w:val="14"/>
                <w:szCs w:val="14"/>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General and administrative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2,548</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5,029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from operations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(5,029)</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(9,350)</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expenses, net: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Interest expense, net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(1,503)</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Change in warrant liabilities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3,567</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early extinguishment of debt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(26,700)</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before income taxes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(2,965)</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(38,717)</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(38,719)</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Accrued dividend on Series B Preferred 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Deemed dividend on Series B Preferred Units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Net loss attributable to common stockholders</w:t>
            </w:r>
          </w:p>
        </w:tc>
        <w:tc>
          <w:tcPr>
            <w:tcW w:w="54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(13,886)</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(41,990)</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(10.61)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(25.45)</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Weighted average shares used in computing:</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1,098,742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1,650,160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1,270,495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tcPr>
          <w:p>
            <w:pPr>
              <w:ind w:left="480"/>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1,318,797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1,099,216</w:t>
            </w:r>
          </w:p>
        </w:tc>
        <w:tc>
          <w:tcPr>
            <w:tcW w:w="2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1,650,160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560"/>
              <w:spacing w:after="0" w:line="153" w:lineRule="exact"/>
              <w:rPr>
                <w:sz w:val="20"/>
                <w:szCs w:val="20"/>
                <w:color w:val="auto"/>
              </w:rPr>
            </w:pPr>
            <w:r>
              <w:rPr>
                <w:rFonts w:ascii="Arial" w:cs="Arial" w:eastAsia="Arial" w:hAnsi="Arial"/>
                <w:sz w:val="14"/>
                <w:szCs w:val="14"/>
                <w:color w:val="auto"/>
              </w:rPr>
              <w:t>1,288,674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28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9"/>
              <w:spacing w:after="0" w:line="185" w:lineRule="exact"/>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19"/>
                <w:szCs w:val="19"/>
                <w:b w:val="1"/>
                <w:bCs w:val="1"/>
                <w:color w:val="auto"/>
                <w:w w:val="95"/>
                <w:vertAlign w:val="superscript"/>
              </w:rPr>
              <w:t>(1)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Consolidated Balance Sheet Data:</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center"/>
              <w:ind w:right="729"/>
              <w:spacing w:after="0"/>
              <w:rPr>
                <w:sz w:val="20"/>
                <w:szCs w:val="20"/>
                <w:color w:val="auto"/>
              </w:rPr>
            </w:pPr>
            <w:r>
              <w:rPr>
                <w:rFonts w:ascii="Arial" w:cs="Arial" w:eastAsia="Arial" w:hAnsi="Arial"/>
                <w:sz w:val="14"/>
                <w:szCs w:val="14"/>
                <w:b w:val="1"/>
                <w:bCs w:val="1"/>
                <w:color w:val="auto"/>
                <w:w w:val="71"/>
              </w:rPr>
              <w:t>thousands)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9,926</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10,780</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portion of notes payable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13,930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Working capital</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(17,282)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(215)</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8,553</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Common stock and preferred stock and additional paid-in capital</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67,948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125,611</w:t>
            </w: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134,379</w:t>
            </w:r>
          </w:p>
        </w:tc>
        <w:tc>
          <w:tcPr>
            <w:tcW w:w="0" w:type="dxa"/>
            <w:vAlign w:val="bottom"/>
          </w:tcPr>
          <w:p>
            <w:pPr>
              <w:spacing w:after="0"/>
              <w:rPr>
                <w:sz w:val="1"/>
                <w:szCs w:val="1"/>
                <w:color w:val="auto"/>
              </w:rPr>
            </w:pPr>
          </w:p>
        </w:tc>
      </w:tr>
      <w:tr>
        <w:trPr>
          <w:trHeight w:val="180"/>
        </w:trPr>
        <w:tc>
          <w:tcPr>
            <w:tcW w:w="5100" w:type="dxa"/>
            <w:vAlign w:val="bottom"/>
          </w:tcPr>
          <w:p>
            <w:pPr>
              <w:ind w:left="480"/>
              <w:spacing w:after="0"/>
              <w:rPr>
                <w:sz w:val="20"/>
                <w:szCs w:val="20"/>
                <w:color w:val="auto"/>
              </w:rPr>
            </w:pPr>
            <w:r>
              <w:rPr>
                <w:rFonts w:ascii="Arial" w:cs="Arial" w:eastAsia="Arial" w:hAnsi="Arial"/>
                <w:sz w:val="14"/>
                <w:szCs w:val="14"/>
                <w:color w:val="auto"/>
              </w:rPr>
              <w:t>Total stockholders’ deficit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(20,543)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9"/>
              <w:spacing w:after="0"/>
              <w:rPr>
                <w:sz w:val="20"/>
                <w:szCs w:val="20"/>
                <w:color w:val="auto"/>
              </w:rPr>
            </w:pPr>
            <w:r>
              <w:rPr>
                <w:rFonts w:ascii="Arial" w:cs="Arial" w:eastAsia="Arial" w:hAnsi="Arial"/>
                <w:sz w:val="14"/>
                <w:szCs w:val="14"/>
                <w:color w:val="auto"/>
              </w:rPr>
              <w:t>(1,598)</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560"/>
              <w:spacing w:after="0"/>
              <w:rPr>
                <w:sz w:val="20"/>
                <w:szCs w:val="20"/>
                <w:color w:val="auto"/>
              </w:rPr>
            </w:pPr>
            <w:r>
              <w:rPr>
                <w:rFonts w:ascii="Arial" w:cs="Arial" w:eastAsia="Arial" w:hAnsi="Arial"/>
                <w:sz w:val="14"/>
                <w:szCs w:val="14"/>
                <w:color w:val="auto"/>
              </w:rPr>
              <w:t>7,170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-4225290</wp:posOffset>
            </wp:positionV>
            <wp:extent cx="148590" cy="4773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590" cy="4773930"/>
                    </a:xfrm>
                    <a:prstGeom prst="rect">
                      <a:avLst/>
                    </a:prstGeom>
                    <a:noFill/>
                  </pic:spPr>
                </pic:pic>
              </a:graphicData>
            </a:graphic>
          </wp:anchor>
        </w:drawing>
      </w:r>
    </w:p>
    <w:p>
      <w:pPr>
        <w:spacing w:after="0" w:line="130" w:lineRule="exact"/>
        <w:rPr>
          <w:sz w:val="20"/>
          <w:szCs w:val="20"/>
          <w:color w:val="auto"/>
        </w:rPr>
      </w:pPr>
    </w:p>
    <w:p>
      <w:pPr>
        <w:ind w:left="940" w:right="560" w:hanging="466"/>
        <w:spacing w:after="0" w:line="226" w:lineRule="auto"/>
        <w:tabs>
          <w:tab w:leader="none" w:pos="94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The pro forma column gives effect to the sale and issuance by us of 2,352,942 shares of our common stock in this Offering, at an offering price of $4.24 per share and warrants to purchase up to 2,352,942 shares of common stock in this Offering at an offering price of $0.01 per warrant, after deducting underwriting discounts and commissions and estimated offering expenses payable by us.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205" w:lineRule="exact"/>
        <w:rPr>
          <w:sz w:val="20"/>
          <w:szCs w:val="20"/>
          <w:color w:val="auto"/>
        </w:rPr>
      </w:pPr>
    </w:p>
    <w:p>
      <w:pPr>
        <w:ind w:right="360"/>
        <w:spacing w:after="0" w:line="268" w:lineRule="auto"/>
        <w:rPr>
          <w:sz w:val="20"/>
          <w:szCs w:val="20"/>
          <w:color w:val="auto"/>
        </w:rPr>
      </w:pPr>
      <w:r>
        <w:rPr>
          <w:rFonts w:ascii="Arial" w:cs="Arial" w:eastAsia="Arial" w:hAnsi="Arial"/>
          <w:sz w:val="14"/>
          <w:szCs w:val="14"/>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Regulatory Approval and Commercialization</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2020,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not permitted to market our product candidates in the United States until we receive approval of a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Obtaining FDA approval of an NDA is a complex, lengthy, expensive and uncertain process, and the FDA may delay, limit or deny approval of AV-101 or any of our product candidates for many reasons, including, among others:</w:t>
      </w:r>
    </w:p>
    <w:p>
      <w:pPr>
        <w:spacing w:after="0" w:line="103" w:lineRule="exact"/>
        <w:rPr>
          <w:sz w:val="20"/>
          <w:szCs w:val="20"/>
          <w:color w:val="auto"/>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we may not be able to demonstrate that our product candidate is safe and effective in treating a human disease or disorder, to the satisfaction of the FDA;</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results of our non-clinical studies and clinical trials may not meet the level of statistical or clinical significance required by the FDA for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the number, design, size, conduct or implementation of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FDA may require that we conduct additional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not approve the formulation, labeling or specifications of any of our product candidates;</w:t>
      </w:r>
    </w:p>
    <w:p>
      <w:pPr>
        <w:spacing w:after="0" w:line="181" w:lineRule="exact"/>
        <w:rPr>
          <w:rFonts w:ascii="Arial" w:cs="Arial" w:eastAsia="Arial" w:hAnsi="Arial"/>
          <w:sz w:val="20"/>
          <w:szCs w:val="20"/>
          <w:color w:val="auto"/>
          <w:vertAlign w:val="superscript"/>
        </w:rPr>
      </w:pPr>
    </w:p>
    <w:p>
      <w:pPr>
        <w:ind w:left="480" w:right="80" w:hanging="475"/>
        <w:spacing w:after="0" w:line="215" w:lineRule="auto"/>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contract research organizations (</w:t>
      </w:r>
      <w:r>
        <w:rPr>
          <w:rFonts w:ascii="Arial" w:cs="Arial" w:eastAsia="Arial" w:hAnsi="Arial"/>
          <w:sz w:val="14"/>
          <w:szCs w:val="14"/>
          <w:i w:val="1"/>
          <w:iCs w:val="1"/>
          <w:color w:val="auto"/>
        </w:rPr>
        <w:t>CROs</w:t>
      </w:r>
      <w:r>
        <w:rPr>
          <w:rFonts w:ascii="Arial" w:cs="Arial" w:eastAsia="Arial" w:hAnsi="Arial"/>
          <w:sz w:val="14"/>
          <w:szCs w:val="14"/>
          <w:color w:val="auto"/>
        </w:rPr>
        <w:t>) that we retain to conduct our non-clinical studies and clinical trials may take actions outside of our control that materially adversely impact our non-clinical studies and clinical trials;</w:t>
      </w:r>
    </w:p>
    <w:p>
      <w:pPr>
        <w:spacing w:after="0" w:line="144"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the FDA may find the data from non-clinical studies and clinical trials insufficient to demonstrate that our product candidates’ clinical and other benefits outweigh their safety risks;</w:t>
      </w:r>
    </w:p>
    <w:p>
      <w:pPr>
        <w:spacing w:after="0" w:line="132"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interpretation of data from our non-clinical studies and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FDA may not accept data generated at our non-clinical studies and clinical trial sites;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right="60" w:hanging="475"/>
        <w:spacing w:after="0" w:line="226" w:lineRule="auto"/>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33"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may require development of a Risk Evaluation and Mitigation Strategy (</w:t>
      </w:r>
      <w:r>
        <w:rPr>
          <w:rFonts w:ascii="Arial" w:cs="Arial" w:eastAsia="Arial" w:hAnsi="Arial"/>
          <w:sz w:val="14"/>
          <w:szCs w:val="14"/>
          <w:i w:val="1"/>
          <w:iCs w:val="1"/>
          <w:color w:val="auto"/>
        </w:rPr>
        <w:t>REMS</w:t>
      </w:r>
      <w:r>
        <w:rPr>
          <w:rFonts w:ascii="Arial" w:cs="Arial" w:eastAsia="Arial" w:hAnsi="Arial"/>
          <w:sz w:val="14"/>
          <w:szCs w:val="14"/>
          <w:color w:val="auto"/>
        </w:rPr>
        <w:t>) as a condition of approval or post-approval;</w:t>
      </w:r>
    </w:p>
    <w:p>
      <w:pPr>
        <w:spacing w:after="0" w:line="181" w:lineRule="exact"/>
        <w:rPr>
          <w:rFonts w:ascii="Arial" w:cs="Arial" w:eastAsia="Arial" w:hAnsi="Arial"/>
          <w:sz w:val="20"/>
          <w:szCs w:val="20"/>
          <w:color w:val="auto"/>
          <w:vertAlign w:val="superscript"/>
        </w:rPr>
      </w:pPr>
    </w:p>
    <w:p>
      <w:pPr>
        <w:ind w:left="480" w:right="100" w:hanging="475"/>
        <w:spacing w:after="0" w:line="215" w:lineRule="auto"/>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4"/>
          <w:szCs w:val="14"/>
          <w:i w:val="1"/>
          <w:iCs w:val="1"/>
          <w:color w:val="auto"/>
        </w:rPr>
        <w:t>cGMPs</w:t>
      </w:r>
      <w:r>
        <w:rPr>
          <w:rFonts w:ascii="Arial" w:cs="Arial" w:eastAsia="Arial" w:hAnsi="Arial"/>
          <w:sz w:val="14"/>
          <w:szCs w:val="14"/>
          <w:color w:val="auto"/>
        </w:rPr>
        <w:t>);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FDA or applicable foreign regulatory agency may change its approval policies or adopt new regulations.</w:t>
      </w:r>
    </w:p>
    <w:p>
      <w:pPr>
        <w:spacing w:after="0" w:line="182"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5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agency.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67" w:lineRule="exact"/>
        <w:rPr>
          <w:sz w:val="20"/>
          <w:szCs w:val="20"/>
          <w:color w:val="auto"/>
        </w:rPr>
      </w:pPr>
    </w:p>
    <w:p>
      <w:pPr>
        <w:jc w:val="both"/>
        <w:ind w:right="220"/>
        <w:spacing w:after="0" w:line="298" w:lineRule="auto"/>
        <w:rPr>
          <w:sz w:val="20"/>
          <w:szCs w:val="20"/>
          <w:color w:val="auto"/>
        </w:rPr>
      </w:pPr>
      <w:r>
        <w:rPr>
          <w:rFonts w:ascii="Arial" w:cs="Arial" w:eastAsia="Arial" w:hAnsi="Arial"/>
          <w:sz w:val="13"/>
          <w:szCs w:val="13"/>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earlier clinical trials may not be predictive of the results of later-stage clinical trials.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67"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53" w:lineRule="exact"/>
        <w:rPr>
          <w:sz w:val="20"/>
          <w:szCs w:val="20"/>
          <w:color w:val="auto"/>
        </w:rPr>
      </w:pPr>
    </w:p>
    <w:p>
      <w:pPr>
        <w:jc w:val="both"/>
        <w:ind w:right="100"/>
        <w:spacing w:after="0" w:line="298" w:lineRule="auto"/>
        <w:rPr>
          <w:sz w:val="20"/>
          <w:szCs w:val="20"/>
          <w:color w:val="auto"/>
        </w:rPr>
      </w:pPr>
      <w:r>
        <w:rPr>
          <w:rFonts w:ascii="Arial" w:cs="Arial" w:eastAsia="Arial" w:hAnsi="Arial"/>
          <w:sz w:val="13"/>
          <w:szCs w:val="13"/>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 w:name="page10"/>
    <w:bookmarkEnd w:id="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53" w:lineRule="exact"/>
        <w:rPr>
          <w:sz w:val="20"/>
          <w:szCs w:val="20"/>
          <w:color w:val="auto"/>
        </w:rPr>
      </w:pPr>
    </w:p>
    <w:p>
      <w:pPr>
        <w:ind w:right="200"/>
        <w:spacing w:after="0" w:line="320" w:lineRule="auto"/>
        <w:rPr>
          <w:sz w:val="20"/>
          <w:szCs w:val="20"/>
          <w:color w:val="auto"/>
        </w:rPr>
      </w:pPr>
      <w:r>
        <w:rPr>
          <w:rFonts w:ascii="Arial" w:cs="Arial" w:eastAsia="Arial" w:hAnsi="Arial"/>
          <w:sz w:val="12"/>
          <w:szCs w:val="12"/>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88" w:lineRule="exact"/>
        <w:rPr>
          <w:sz w:val="20"/>
          <w:szCs w:val="20"/>
          <w:color w:val="auto"/>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may deny permission to proceed with our planned clinical trials or any other clinical trials we may initiate, or may place a clinical trial on hold;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delays in filing or receiving approvals of additional INDs that may be required;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negative results from our ongoing pre-clinical studies;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57"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10" w:lineRule="exact"/>
        <w:rPr>
          <w:rFonts w:ascii="Arial" w:cs="Arial" w:eastAsia="Arial" w:hAnsi="Arial"/>
          <w:sz w:val="16"/>
          <w:szCs w:val="16"/>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difficulties obtaining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approval to conduct a clinical trial at a prospective site or sites;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challenges in recruiting and enrolling patients to participate in clinical trials, including the proximity of patients to trial sites;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severe or unexpected drug-related side effects experienced by patients in a clinical trial;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delays in validating any endpoints utilized in a clinical trial;</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reports from pre-clinical or clinical testing of other CNS therapies that raise safety or efficacy concerns; and</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difficulties retaining patients who have enrolled in a clinical trial but may be prone to withdraw due to rigors of the clinical trials, lack of efficacy, side effects, personal issues or loss of interest.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4"/>
          <w:szCs w:val="14"/>
          <w:i w:val="1"/>
          <w:iCs w:val="1"/>
          <w:color w:val="auto"/>
        </w:rPr>
        <w:t>DSMB</w:t>
      </w:r>
      <w:r>
        <w:rPr>
          <w:rFonts w:ascii="Arial" w:cs="Arial" w:eastAsia="Arial" w:hAnsi="Arial"/>
          <w:sz w:val="14"/>
          <w:szCs w:val="14"/>
          <w:color w:val="auto"/>
        </w:rPr>
        <w:t>), overseeing the clinical trial at issue or other regulatory authorities due to a number of factors, including, among others:</w:t>
      </w:r>
    </w:p>
    <w:p>
      <w:pPr>
        <w:spacing w:after="0" w:line="114" w:lineRule="exact"/>
        <w:rPr>
          <w:sz w:val="20"/>
          <w:szCs w:val="20"/>
          <w:color w:val="auto"/>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failure to conduct the clinical trial in accordance with regulatory requirements or our clinical protocols;</w:t>
      </w:r>
    </w:p>
    <w:p>
      <w:pPr>
        <w:spacing w:after="0" w:line="160" w:lineRule="exact"/>
        <w:rPr>
          <w:rFonts w:ascii="Arial" w:cs="Arial" w:eastAsia="Arial" w:hAnsi="Arial"/>
          <w:sz w:val="20"/>
          <w:szCs w:val="20"/>
          <w:color w:val="auto"/>
          <w:vertAlign w:val="superscript"/>
        </w:rPr>
      </w:pPr>
    </w:p>
    <w:p>
      <w:pPr>
        <w:ind w:left="480" w:hanging="475"/>
        <w:spacing w:after="0" w:line="215" w:lineRule="auto"/>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unforeseen safety issues, including any that could be identified in our ongoing non-clinical carcinogenicity studies, adverse side effects or lack of effectiveness;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changes in government regulations or administrative actions;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problems with clinical supply materials;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lack of adequate funding to continue clinical trials.</w:t>
      </w:r>
    </w:p>
    <w:p>
      <w:pPr>
        <w:spacing w:after="0" w:line="182"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0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56" w:lineRule="exact"/>
        <w:rPr>
          <w:sz w:val="20"/>
          <w:szCs w:val="20"/>
          <w:color w:val="auto"/>
        </w:rPr>
      </w:pPr>
    </w:p>
    <w:p>
      <w:pPr>
        <w:ind w:right="60"/>
        <w:spacing w:after="0" w:line="370"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19" w:lineRule="exact"/>
        <w:rPr>
          <w:sz w:val="20"/>
          <w:szCs w:val="20"/>
          <w:color w:val="auto"/>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have staffing difficulties;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fail to comply with contractual obligations;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experience regulatory compliance issues;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undergo changes in priorities or become financially distressed;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form relationships with other entities, some of which may be our competitors.</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56"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53" w:lineRule="exact"/>
        <w:rPr>
          <w:sz w:val="20"/>
          <w:szCs w:val="20"/>
          <w:color w:val="auto"/>
        </w:rPr>
      </w:pPr>
    </w:p>
    <w:p>
      <w:pPr>
        <w:ind w:right="140"/>
        <w:spacing w:after="0" w:line="290" w:lineRule="auto"/>
        <w:rPr>
          <w:sz w:val="20"/>
          <w:szCs w:val="20"/>
          <w:color w:val="auto"/>
        </w:rPr>
      </w:pPr>
      <w:r>
        <w:rPr>
          <w:rFonts w:ascii="Arial" w:cs="Arial" w:eastAsia="Arial" w:hAnsi="Arial"/>
          <w:sz w:val="13"/>
          <w:szCs w:val="13"/>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We do not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1" w:lineRule="exact"/>
        <w:rPr>
          <w:sz w:val="20"/>
          <w:szCs w:val="20"/>
          <w:color w:val="auto"/>
        </w:rPr>
      </w:pPr>
    </w:p>
    <w:p>
      <w:pPr>
        <w:ind w:right="260"/>
        <w:spacing w:after="0" w:line="283" w:lineRule="auto"/>
        <w:rPr>
          <w:sz w:val="20"/>
          <w:szCs w:val="20"/>
          <w:color w:val="auto"/>
        </w:rPr>
      </w:pPr>
      <w:r>
        <w:rPr>
          <w:rFonts w:ascii="Arial" w:cs="Arial" w:eastAsia="Arial" w:hAnsi="Arial"/>
          <w:sz w:val="14"/>
          <w:szCs w:val="14"/>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53"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07" w:lineRule="exact"/>
        <w:rPr>
          <w:sz w:val="20"/>
          <w:szCs w:val="20"/>
          <w:color w:val="auto"/>
        </w:rPr>
      </w:pPr>
    </w:p>
    <w:p>
      <w:pPr>
        <w:ind w:left="480" w:hanging="475"/>
        <w:spacing w:after="0" w:line="215" w:lineRule="auto"/>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limitations or warnings contained in the labeling approved for our product candidates by the FDA or other applicable regulatory authorities;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clinical indications for which our product candidates are approved;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availability of alternative treatments already approved or expected to be commercially launched in the near future;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potential and perceived advantages of our product candidates over current treatment options or alternative treatments, including future alternative treatments;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willingness of the target patient population to try new therapies and of physicians to prescribe these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strength of marketing and distribution support and timing of market introduction of competitive products;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publicity concerning our products or competing products and treatments;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pricing and cost effectiveness;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effectiveness of our sales and marketing strategies;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our ability to increase awareness of our product candidates through marketing efforts;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our ability to obtain sufficient third-party coverage or reimbursement; or</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the willingness of patients to pay out-of-pocket in the absence of third-party coverage.</w:t>
      </w:r>
    </w:p>
    <w:p>
      <w:pPr>
        <w:spacing w:after="0" w:line="16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53"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33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58"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withdraw or limit their approval of such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regulatory authorities may require the addition of labeling statements, such as a “black box” warning or a contraindication;</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we may be required to change the way such product candidates are distributed or administered, conduct additional clinical trials or change the labeling of the product candidates;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we may be subject to regulatory investigations and government enforcement actions;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we may decide to remove such product candidates from the marketplace;</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we could be sued and held liable for injury caused to individuals exposed to or taking our product candidates; and</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our reputation may suffer.</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marketing approval for our product candidates, we may still face future development and regulatory difficulties.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97" w:lineRule="exact"/>
        <w:rPr>
          <w:sz w:val="20"/>
          <w:szCs w:val="20"/>
          <w:color w:val="auto"/>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issue warning letters or untitled letters;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seek an injunction or impose civil or criminal penalties or monetary fines;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suspend or withdraw marketing approval;</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suspend any ongoing clinical trials;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refuse to approve pending applications or supplements to applications submitted by us;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suspend or impose restrictions on operations, including costly new manufacturing requirements; or</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seize or detain products, refuse to permit the import or export of products, or require that we initiate a product recall.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Competing therapies could emerge adversely affecting our opportunity to generate revenue from the sale of our product candidates.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Currently, management is unaware of any FDA-approved adjunctive therapy for treatment-resistant MDD with the same mechanism of action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4"/>
          <w:szCs w:val="14"/>
          <w:i w:val="1"/>
          <w:iCs w:val="1"/>
          <w:color w:val="auto"/>
        </w:rPr>
        <w:t>ECT</w:t>
      </w:r>
      <w:r>
        <w:rPr>
          <w:rFonts w:ascii="Arial" w:cs="Arial" w:eastAsia="Arial" w:hAnsi="Arial"/>
          <w:sz w:val="14"/>
          <w:szCs w:val="14"/>
          <w:color w:val="auto"/>
        </w:rPr>
        <w:t>) are sometimes used before or instead of standard antidepressants to treat patients with MDD.</w:t>
      </w:r>
    </w:p>
    <w:p>
      <w:pPr>
        <w:spacing w:after="0" w:line="167"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 the field of new generation antidepressants focused on modulation of the NMDA receptor at the glycine binding co-agonist site, we believe our principal competitor is Allergan, which recently acquired from and is now developing both rapastinel (formerly GLYX-13) and NRX-1074 for treatment-resistant MDD.</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24"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53"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5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53"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2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Because we have limited financial and management resources, we focus on a limited number of research programs and product candidates and are currently focused primarily on our AV-101 candidate, with additional limited focus on NCE drug rescue and RM candidates.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7" w:lineRule="exact"/>
        <w:rPr>
          <w:sz w:val="20"/>
          <w:szCs w:val="20"/>
          <w:color w:val="auto"/>
        </w:rPr>
      </w:pPr>
    </w:p>
    <w:p>
      <w:pPr>
        <w:ind w:left="360" w:right="80" w:hanging="355"/>
        <w:spacing w:after="0" w:line="226" w:lineRule="auto"/>
        <w:tabs>
          <w:tab w:leader="none" w:pos="36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3" w:lineRule="exact"/>
        <w:rPr>
          <w:rFonts w:ascii="Arial" w:cs="Arial" w:eastAsia="Arial" w:hAnsi="Arial"/>
          <w:sz w:val="20"/>
          <w:szCs w:val="20"/>
          <w:color w:val="auto"/>
          <w:vertAlign w:val="superscript"/>
        </w:rPr>
      </w:pPr>
    </w:p>
    <w:p>
      <w:pPr>
        <w:ind w:left="360" w:right="40" w:hanging="355"/>
        <w:spacing w:after="0" w:line="226" w:lineRule="auto"/>
        <w:tabs>
          <w:tab w:leader="none" w:pos="36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20"/>
          <w:szCs w:val="20"/>
          <w:color w:val="auto"/>
          <w:vertAlign w:val="superscript"/>
        </w:rPr>
      </w:pPr>
    </w:p>
    <w:p>
      <w:pPr>
        <w:ind w:left="360" w:right="80" w:hanging="355"/>
        <w:spacing w:after="0" w:line="226" w:lineRule="auto"/>
        <w:tabs>
          <w:tab w:leader="none" w:pos="36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3" w:lineRule="exact"/>
        <w:rPr>
          <w:rFonts w:ascii="Arial" w:cs="Arial" w:eastAsia="Arial" w:hAnsi="Arial"/>
          <w:sz w:val="20"/>
          <w:szCs w:val="20"/>
          <w:color w:val="auto"/>
          <w:vertAlign w:val="superscript"/>
        </w:rPr>
      </w:pPr>
    </w:p>
    <w:p>
      <w:pPr>
        <w:ind w:left="360" w:right="20" w:hanging="355"/>
        <w:spacing w:after="0" w:line="215" w:lineRule="auto"/>
        <w:tabs>
          <w:tab w:leader="none" w:pos="36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0" w:lineRule="exact"/>
        <w:rPr>
          <w:rFonts w:ascii="Arial" w:cs="Arial" w:eastAsia="Arial" w:hAnsi="Arial"/>
          <w:sz w:val="20"/>
          <w:szCs w:val="20"/>
          <w:color w:val="auto"/>
          <w:vertAlign w:val="superscript"/>
        </w:rPr>
      </w:pPr>
    </w:p>
    <w:p>
      <w:pPr>
        <w:ind w:left="360" w:right="60" w:hanging="355"/>
        <w:spacing w:after="0" w:line="226" w:lineRule="auto"/>
        <w:tabs>
          <w:tab w:leader="none" w:pos="36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60" w:right="320" w:hanging="355"/>
        <w:spacing w:after="0" w:line="226"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83" w:lineRule="exact"/>
        <w:rPr>
          <w:rFonts w:ascii="Arial" w:cs="Arial" w:eastAsia="Arial" w:hAnsi="Arial"/>
          <w:sz w:val="20"/>
          <w:szCs w:val="20"/>
          <w:color w:val="auto"/>
          <w:vertAlign w:val="superscript"/>
        </w:rPr>
      </w:pPr>
    </w:p>
    <w:p>
      <w:pPr>
        <w:ind w:left="360" w:right="120" w:hanging="355"/>
        <w:spacing w:after="0" w:line="215" w:lineRule="auto"/>
        <w:tabs>
          <w:tab w:leader="none" w:pos="360" w:val="left"/>
        </w:tabs>
        <w:numPr>
          <w:ilvl w:val="0"/>
          <w:numId w:val="15"/>
        </w:numPr>
        <w:rPr>
          <w:rFonts w:ascii="Arial" w:cs="Arial" w:eastAsia="Arial" w:hAnsi="Arial"/>
          <w:sz w:val="20"/>
          <w:szCs w:val="20"/>
          <w:color w:val="auto"/>
          <w:vertAlign w:val="superscript"/>
        </w:rPr>
      </w:pPr>
      <w:r>
        <w:rPr>
          <w:rFonts w:ascii="Arial" w:cs="Arial" w:eastAsia="Arial" w:hAnsi="Arial"/>
          <w:sz w:val="14"/>
          <w:szCs w:val="14"/>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3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approved, reimbursement policies could limit our ability to sell our product candidates.</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Even if we have obtained FDA Orphan Drug designation for one or more of our product candidates, there may be limits to the regulatory exclusivity afforded by such designation.</w:t>
      </w:r>
    </w:p>
    <w:p>
      <w:pPr>
        <w:spacing w:after="0" w:line="213"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03" w:lineRule="exact"/>
        <w:rPr>
          <w:sz w:val="20"/>
          <w:szCs w:val="20"/>
          <w:color w:val="auto"/>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our customers’ ability to obtain reimbursement for our product candidates in foreign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our inability to directly control commercial activities because we are relying on third parties;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the burden of complying with complex and changing foreign regulatory, tax, accounting and legal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different medical practices and customs in foreign countries affecting acceptance in the marketplace;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import or export licensing requirements;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longer accounts receivable collection times;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longer lead times for shipping;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language barriers for technical training;</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reduced protection of intellectual property rights in some foreign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the existence of additional potentially relevant third party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foreign currency exchange rate fluctuations;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the interpretation of contractual provisions governed by foreign laws in the event of a contract dispute.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Foreign sales of our product candidates could also be adversely affected by the imposition of governmental controls, political and economic instability, trade restrictions and changes in tariffs.</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60"/>
          </w:cols>
          <w:pgMar w:left="220" w:top="133" w:right="4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42"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58" w:lineRule="exact"/>
        <w:rPr>
          <w:sz w:val="20"/>
          <w:szCs w:val="20"/>
          <w:color w:val="auto"/>
        </w:rPr>
      </w:pPr>
    </w:p>
    <w:p>
      <w:pPr>
        <w:ind w:left="360" w:hanging="355"/>
        <w:spacing w:after="0"/>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produce product candidates;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develop and obtain required regulatory approvals for commercialization of products we produce;</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maintain, leverage and expand our intellectual property portfolio;</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establish and maintain sales, distribution and marketing capabilities, and/or enter into strategic partnering arrangements to access such capabilities;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gain market acceptance for our products; and</w:t>
      </w:r>
    </w:p>
    <w:p>
      <w:pPr>
        <w:spacing w:after="0" w:line="160" w:lineRule="exact"/>
        <w:rPr>
          <w:rFonts w:ascii="Arial" w:cs="Arial" w:eastAsia="Arial" w:hAnsi="Arial"/>
          <w:sz w:val="20"/>
          <w:szCs w:val="20"/>
          <w:color w:val="auto"/>
          <w:vertAlign w:val="superscript"/>
        </w:rPr>
      </w:pPr>
    </w:p>
    <w:p>
      <w:pPr>
        <w:ind w:left="360" w:right="420" w:hanging="355"/>
        <w:spacing w:after="0" w:line="215" w:lineRule="auto"/>
        <w:tabs>
          <w:tab w:leader="none" w:pos="36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obtain adequate capital resources and manage our spending as costs and expenses increase due to research, production, development, regulatory approval and commercialization of product candidates.</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3" w:lineRule="exact"/>
        <w:rPr>
          <w:sz w:val="20"/>
          <w:szCs w:val="20"/>
          <w:color w:val="auto"/>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our drug rescue research methodology may not be successful in identifying potential drug rescue NCEs;</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competitors may develop alternatives that render our drug rescue NCEs obsolete;</w:t>
      </w:r>
    </w:p>
    <w:p>
      <w:pPr>
        <w:spacing w:after="0" w:line="160" w:lineRule="exact"/>
        <w:rPr>
          <w:rFonts w:ascii="Arial" w:cs="Arial" w:eastAsia="Arial" w:hAnsi="Arial"/>
          <w:sz w:val="20"/>
          <w:szCs w:val="20"/>
          <w:color w:val="auto"/>
          <w:vertAlign w:val="superscript"/>
        </w:rPr>
      </w:pPr>
    </w:p>
    <w:p>
      <w:pPr>
        <w:ind w:left="360" w:right="100" w:hanging="355"/>
        <w:spacing w:after="0" w:line="215" w:lineRule="auto"/>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a drug rescue NCE may, on further study, be shown to have harmful side effects or other characteristics that indicate it is unlikely to be effective or otherwise does not meet applicable regulatory criteria;</w:t>
      </w:r>
    </w:p>
    <w:p>
      <w:pPr>
        <w:spacing w:after="0" w:line="111"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capable of being produced in commercial quantities at an acceptable cost, or at all; or</w:t>
      </w:r>
    </w:p>
    <w:p>
      <w:pPr>
        <w:spacing w:after="0" w:line="110" w:lineRule="exact"/>
        <w:rPr>
          <w:rFonts w:ascii="Arial" w:cs="Arial" w:eastAsia="Arial" w:hAnsi="Arial"/>
          <w:sz w:val="20"/>
          <w:szCs w:val="20"/>
          <w:color w:val="auto"/>
          <w:vertAlign w:val="superscript"/>
        </w:rPr>
      </w:pPr>
    </w:p>
    <w:p>
      <w:pPr>
        <w:ind w:left="360" w:hanging="355"/>
        <w:spacing w:after="0"/>
        <w:tabs>
          <w:tab w:leader="none" w:pos="360"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a drug rescue NCE may not be accepted as safe and effective by regulatory authorities, patients, the medical community or third-party payors.</w:t>
      </w:r>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3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53" w:lineRule="exact"/>
        <w:rPr>
          <w:sz w:val="20"/>
          <w:szCs w:val="20"/>
          <w:color w:val="auto"/>
        </w:rPr>
      </w:pPr>
    </w:p>
    <w:p>
      <w:pPr>
        <w:ind w:right="800"/>
        <w:spacing w:after="0" w:line="283" w:lineRule="auto"/>
        <w:rPr>
          <w:sz w:val="20"/>
          <w:szCs w:val="20"/>
          <w:color w:val="auto"/>
        </w:rPr>
      </w:pPr>
      <w:r>
        <w:rPr>
          <w:rFonts w:ascii="Arial" w:cs="Arial" w:eastAsia="Arial" w:hAnsi="Arial"/>
          <w:sz w:val="14"/>
          <w:szCs w:val="14"/>
          <w:color w:val="auto"/>
        </w:rPr>
        <w:t xml:space="preserve">There are a number of factors, in addition to the utility of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that may impact our ability to identify and produce, develop or out-license and commercialize drug rescue NCEs, independently or with strategic partners, including:</w:t>
      </w:r>
    </w:p>
    <w:p>
      <w:pPr>
        <w:spacing w:after="0" w:line="82" w:lineRule="exact"/>
        <w:rPr>
          <w:sz w:val="20"/>
          <w:szCs w:val="20"/>
          <w:color w:val="auto"/>
        </w:rPr>
      </w:pPr>
    </w:p>
    <w:p>
      <w:pPr>
        <w:ind w:left="520" w:hanging="515"/>
        <w:spacing w:after="0"/>
        <w:tabs>
          <w:tab w:leader="none" w:pos="52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our ability to identify potential drug rescue candidates in the public domain, obtain sufficient quantities of them, and assess them using our bioassay systems;</w:t>
      </w:r>
    </w:p>
    <w:p>
      <w:pPr>
        <w:spacing w:after="0" w:line="160" w:lineRule="exact"/>
        <w:rPr>
          <w:rFonts w:ascii="Arial" w:cs="Arial" w:eastAsia="Arial" w:hAnsi="Arial"/>
          <w:sz w:val="20"/>
          <w:szCs w:val="20"/>
          <w:color w:val="auto"/>
          <w:vertAlign w:val="superscript"/>
        </w:rPr>
      </w:pPr>
    </w:p>
    <w:p>
      <w:pPr>
        <w:ind w:left="520" w:right="40" w:hanging="515"/>
        <w:spacing w:after="0" w:line="215" w:lineRule="auto"/>
        <w:tabs>
          <w:tab w:leader="none" w:pos="52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60"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w:t>
      </w:r>
    </w:p>
    <w:p>
      <w:pPr>
        <w:spacing w:after="0" w:line="160"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19"/>
        </w:numPr>
        <w:rPr>
          <w:rFonts w:ascii="Arial" w:cs="Arial" w:eastAsia="Arial" w:hAnsi="Arial"/>
          <w:sz w:val="20"/>
          <w:szCs w:val="20"/>
          <w:color w:val="auto"/>
          <w:vertAlign w:val="superscript"/>
        </w:rPr>
      </w:pPr>
      <w:r>
        <w:rPr>
          <w:rFonts w:ascii="Arial" w:cs="Arial" w:eastAsia="Arial" w:hAnsi="Arial"/>
          <w:sz w:val="14"/>
          <w:szCs w:val="14"/>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b w:val="1"/>
          <w:bCs w:val="1"/>
          <w:i w:val="1"/>
          <w:iCs w:val="1"/>
          <w:color w:val="auto"/>
        </w:rPr>
        <w:t xml:space="preserve">If 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Our success is highly dependent on our ability to use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identify and predict, accurately and efficiently, the potential toxic and nontoxic cardiac effects of drug rescue candidates and drug rescue NCEs. If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is not capable of providing physiologically relevant and clinically predictive information regarding human cardiac biology, our drug rescue business will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may not be meaningfully more predictive of the behavior of human cells than existing methods.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 xml:space="preserve">The success of our drug rescue business is highly dependent upon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will be more efficient or accurate at predicting the heart safety of new drug candidates than the testing models currently used. If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producing drug rescue NCEs for which there proves to be no demand.</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regenerative medicine programs involving blood, bone, cartilage, heart, and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36" w:lineRule="exact"/>
        <w:rPr>
          <w:sz w:val="20"/>
          <w:szCs w:val="20"/>
          <w:color w:val="auto"/>
        </w:rPr>
      </w:pPr>
    </w:p>
    <w:p>
      <w:pPr>
        <w:spacing w:after="0" w:line="370"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8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Some of our research and development programs may involve the use of human cells derived from our controlled differentiation of human embryonic stem cells (</w:t>
      </w:r>
      <w:r>
        <w:rPr>
          <w:rFonts w:ascii="Arial" w:cs="Arial" w:eastAsia="Arial" w:hAnsi="Arial"/>
          <w:sz w:val="14"/>
          <w:szCs w:val="14"/>
          <w:i w:val="1"/>
          <w:iCs w:val="1"/>
          <w:color w:val="auto"/>
        </w:rPr>
        <w:t>hESC</w:t>
      </w:r>
      <w:r>
        <w:rPr>
          <w:rFonts w:ascii="Arial" w:cs="Arial" w:eastAsia="Arial" w:hAnsi="Arial"/>
          <w:sz w:val="14"/>
          <w:szCs w:val="14"/>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foregoing potential ethical concerns do not apply to our use of induced pluripotent stem cells </w:t>
      </w:r>
      <w:r>
        <w:rPr>
          <w:rFonts w:ascii="Arial" w:cs="Arial" w:eastAsia="Arial" w:hAnsi="Arial"/>
          <w:sz w:val="14"/>
          <w:szCs w:val="14"/>
          <w:i w:val="1"/>
          <w:iCs w:val="1"/>
          <w:color w:val="auto"/>
        </w:rPr>
        <w:t>(iPSC</w:t>
      </w:r>
      <w:r>
        <w:rPr>
          <w:rFonts w:ascii="Arial" w:cs="Arial" w:eastAsia="Arial" w:hAnsi="Arial"/>
          <w:sz w:val="14"/>
          <w:szCs w:val="14"/>
          <w:color w:val="auto"/>
        </w:rPr>
        <w:t>s) because their derivation does not involve the use of embryonic tissues.</w:t>
      </w:r>
    </w:p>
    <w:p>
      <w:pPr>
        <w:spacing w:after="0" w:line="201"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 xml:space="preserve">We may use both hESCs and iPSCs to produce human cells for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1"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social and ethical concerns surrounding the use of iPSCs, biological materials and genetic information could impair our operations.</w:t>
      </w:r>
    </w:p>
    <w:p>
      <w:pPr>
        <w:spacing w:after="0" w:line="180"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1"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human cells we produce from hPSCs and our customized bioassay systems using such cells, including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Capital</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incurred significant net losses in each fiscal year since our inception in 1998, including net losses of $13.9 million and $3.0 million during the fiscal years ending March 31, 2015 and 2014, respectively. As of December 31, 2015, we had an accumulated deficit of approximately $123.2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Our ability to become profitable depends upon our ability to generate revenues. To date, we have generated approximately $16.4 million in revenues, exclusively from the receipt of research and development grants.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01"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clinical trials that meet their clinical endpoints;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initiate and successfully complete all safety studies required to obtain U.S. and foreign marketing approval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commercialize our product candidates, if approved, by developing a sales force or entering into collaborations with third parties;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0"/>
        </w:numPr>
        <w:rPr>
          <w:rFonts w:ascii="Arial" w:cs="Arial" w:eastAsia="Arial" w:hAnsi="Arial"/>
          <w:sz w:val="20"/>
          <w:szCs w:val="20"/>
          <w:color w:val="auto"/>
          <w:vertAlign w:val="superscript"/>
        </w:rPr>
      </w:pPr>
      <w:r>
        <w:rPr>
          <w:rFonts w:ascii="Arial" w:cs="Arial" w:eastAsia="Arial" w:hAnsi="Arial"/>
          <w:sz w:val="14"/>
          <w:szCs w:val="14"/>
          <w:color w:val="auto"/>
        </w:rPr>
        <w:t>achieve market acceptance of our product candidates in the medical community and with third-party payors.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Unless we enter into a strategic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independent auditors have expressed substantial doubt about our ability to continue as a going concern.</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53"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56" w:lineRule="exact"/>
        <w:rPr>
          <w:sz w:val="20"/>
          <w:szCs w:val="20"/>
          <w:color w:val="auto"/>
        </w:rPr>
      </w:pPr>
    </w:p>
    <w:p>
      <w:pPr>
        <w:ind w:right="300"/>
        <w:spacing w:after="0" w:line="300" w:lineRule="auto"/>
        <w:rPr>
          <w:sz w:val="20"/>
          <w:szCs w:val="20"/>
          <w:color w:val="auto"/>
        </w:rPr>
      </w:pPr>
      <w:r>
        <w:rPr>
          <w:rFonts w:ascii="Arial" w:cs="Arial" w:eastAsia="Arial" w:hAnsi="Arial"/>
          <w:sz w:val="12"/>
          <w:szCs w:val="12"/>
          <w:color w:val="auto"/>
        </w:rPr>
        <w:t xml:space="preserve">At December 31, 2015, our existing cash and cash equivalents were not sufficient to fund our current operations for the next 12 months.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 nine months ended December 31, 2015 included elsewhere in this prospectus, on August 3, 2015, we entered into an agreement with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w:t>
      </w:r>
      <w:r>
        <w:rPr>
          <w:rFonts w:ascii="Arial" w:cs="Arial" w:eastAsia="Arial" w:hAnsi="Arial"/>
          <w:sz w:val="12"/>
          <w:szCs w:val="12"/>
          <w:i w:val="1"/>
          <w:iCs w:val="1"/>
          <w:color w:val="auto"/>
        </w:rPr>
        <w:t>August 2015 Agreement</w:t>
      </w:r>
      <w:r>
        <w:rPr>
          <w:rFonts w:ascii="Arial" w:cs="Arial" w:eastAsia="Arial" w:hAnsi="Arial"/>
          <w:sz w:val="12"/>
          <w:szCs w:val="12"/>
          <w:color w:val="auto"/>
        </w:rPr>
        <w:t xml:space="preserve">) pursuant to which we agreed to sell to Platinum an additional $3.0 million of our Series B Preferred and Series B Warrants (collectively, </w:t>
      </w:r>
      <w:r>
        <w:rPr>
          <w:rFonts w:ascii="Arial" w:cs="Arial" w:eastAsia="Arial" w:hAnsi="Arial"/>
          <w:sz w:val="12"/>
          <w:szCs w:val="12"/>
          <w:i w:val="1"/>
          <w:iCs w:val="1"/>
          <w:color w:val="auto"/>
        </w:rPr>
        <w:t>Series B Units</w:t>
      </w:r>
      <w:r>
        <w:rPr>
          <w:rFonts w:ascii="Arial" w:cs="Arial" w:eastAsia="Arial" w:hAnsi="Arial"/>
          <w:sz w:val="12"/>
          <w:szCs w:val="12"/>
          <w:color w:val="auto"/>
        </w:rPr>
        <w:t>). Through December 31, 2015, Platinum purchased an aggregate of $1.65 million of Series B Units under the August 2015 Agreement. Concurrently with its December</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2015 purchase of $1.0 million of Series B Units and at our request, Platinum agreed to cancel its right to purchase the remaining $1.35 million of the Series B Units under the August 2015 Agreement. From January 1, 2016 through April 14, 2016, we have sold to accredited investors other than Platinum $628,000 of our Series B Units in self-placed private placement transactions.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depend on many factors, including:</w:t>
      </w:r>
    </w:p>
    <w:p>
      <w:pPr>
        <w:spacing w:after="0" w:line="152"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the number and characteristics of the product candidates we pursue, including AV-101 and drug rescue NCEs;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the scope, progress, results and costs of researching and developing our product candidates, and conducting preclinical and clinical studies;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the timing of, and the costs involved in, obtaining regulatory approvals for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the cost of commercialization activities if any of our product candidates are approved for sale, including marketing, sales and distribution costs;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the cost of manufacturing our product candidates and any products we successfully commercialize;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8" w:lineRule="exact"/>
        <w:rPr>
          <w:sz w:val="20"/>
          <w:szCs w:val="20"/>
          <w:color w:val="auto"/>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our ability to establish and maintain strategic partnerships, licensing or other arrangements and the financial terms of such agreements;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market acceptance of our products;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effect of competing technological and market developments;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our ability to obtain government funding for our programs;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costs involved in obtaining and enforcing patents to preserve our intellectual property;</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costs involved in defending against such claims that we infringe third-party patents or violate other intellectual property rights and the outcome of such litigation;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20"/>
          <w:szCs w:val="20"/>
          <w:color w:val="auto"/>
          <w:vertAlign w:val="superscript"/>
        </w:rPr>
      </w:pPr>
      <w:r>
        <w:rPr>
          <w:rFonts w:ascii="Arial" w:cs="Arial" w:eastAsia="Arial" w:hAnsi="Arial"/>
          <w:sz w:val="14"/>
          <w:szCs w:val="14"/>
          <w:color w:val="auto"/>
        </w:rPr>
        <w:t>the timing, receipt and amount of potential future licensee fees, milestone payments, and sales of, or royalties on, our future products, if any;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182"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Proceeds from the Offering may not be sufficient to complete the Phase 2b MDD Study, resulting in the need for additional financing.</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Although we expect net proceeds from this Offering to provide sufficient funding for our operations through the release of topline results of our fully-funded, NIH-sponsored AV-101 Phase 2a clinical study in major depressive disorder (</w:t>
      </w:r>
      <w:r>
        <w:rPr>
          <w:rFonts w:ascii="Arial" w:cs="Arial" w:eastAsia="Arial" w:hAnsi="Arial"/>
          <w:sz w:val="13"/>
          <w:szCs w:val="13"/>
          <w:i w:val="1"/>
          <w:iCs w:val="1"/>
          <w:color w:val="auto"/>
        </w:rPr>
        <w:t>Phase 2a MDD Study</w:t>
      </w:r>
      <w:r>
        <w:rPr>
          <w:rFonts w:ascii="Arial" w:cs="Arial" w:eastAsia="Arial" w:hAnsi="Arial"/>
          <w:sz w:val="13"/>
          <w:szCs w:val="13"/>
          <w:color w:val="auto"/>
        </w:rPr>
        <w:t>), anticipated in the second quarter of 2017, as well as the launch and conduct of a substantial portion of our AV-101 clinical study in MDD (</w:t>
      </w:r>
      <w:r>
        <w:rPr>
          <w:rFonts w:ascii="Arial" w:cs="Arial" w:eastAsia="Arial" w:hAnsi="Arial"/>
          <w:sz w:val="13"/>
          <w:szCs w:val="13"/>
          <w:i w:val="1"/>
          <w:iCs w:val="1"/>
          <w:color w:val="auto"/>
        </w:rPr>
        <w:t>Phase 2b MDD Study</w:t>
      </w:r>
      <w:r>
        <w:rPr>
          <w:rFonts w:ascii="Arial" w:cs="Arial" w:eastAsia="Arial" w:hAnsi="Arial"/>
          <w:sz w:val="13"/>
          <w:szCs w:val="13"/>
          <w:color w:val="auto"/>
        </w:rPr>
        <w:t>),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will cause dilution to our existing stockholders, and may restrict our operations or require us to relinquish rights.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We intend to seek additional capital in 2016 through this Offering, and may continue to pursue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programs have been partially supported by government grants, which may not be available to us in the future.</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losses to offset future taxable income is subject to certain limitations.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As of March 31, 2015, we had federal and state net operating loss carryforwards of $58.7 million and $53.1 million, respectively, which begin to expire in fiscal 2016. Under Section 382 of the Internal Revenue Code of 1986, as amended (the </w:t>
      </w:r>
      <w:r>
        <w:rPr>
          <w:rFonts w:ascii="Arial" w:cs="Arial" w:eastAsia="Arial" w:hAnsi="Arial"/>
          <w:sz w:val="14"/>
          <w:szCs w:val="14"/>
          <w:i w:val="1"/>
          <w:iCs w:val="1"/>
          <w:color w:val="auto"/>
        </w:rPr>
        <w:t>Code</w:t>
      </w:r>
      <w:r>
        <w:rPr>
          <w:rFonts w:ascii="Arial" w:cs="Arial" w:eastAsia="Arial" w:hAnsi="Arial"/>
          <w:sz w:val="14"/>
          <w:szCs w:val="14"/>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Company-Related Risks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In addition, we rely on a diverse range of strategic consultants and advisors, including scientific and clinical development advisors, to assist us in designing and implementing our research and development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encounter difficulties in managing our growth and expanding our operations successfully.</w:t>
      </w:r>
    </w:p>
    <w:p>
      <w:pPr>
        <w:spacing w:after="0" w:line="180"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As we seek to advance development of AV-101 for MDD and other CNS-related conditions, as well as drug rescue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decreased demand for products that we may develop;</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injury to our reputation;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withdrawal of clinical trial participants;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costs to defend the related litigation;</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a diversion of management's time and our resources;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substantial monetary awards to trial participants or patients;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product recalls, withdrawals or labeling, marketing or promotional restrictions;</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loss of revenue;</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the inability to commercialize our product candidates; and</w:t>
      </w:r>
    </w:p>
    <w:p>
      <w:pPr>
        <w:spacing w:after="0" w:line="110"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3"/>
        </w:numPr>
        <w:rPr>
          <w:rFonts w:ascii="Arial" w:cs="Arial" w:eastAsia="Arial" w:hAnsi="Arial"/>
          <w:sz w:val="20"/>
          <w:szCs w:val="20"/>
          <w:color w:val="auto"/>
          <w:vertAlign w:val="superscript"/>
        </w:rPr>
      </w:pPr>
      <w:r>
        <w:rPr>
          <w:rFonts w:ascii="Arial" w:cs="Arial" w:eastAsia="Arial" w:hAnsi="Arial"/>
          <w:sz w:val="14"/>
          <w:szCs w:val="14"/>
          <w:color w:val="auto"/>
        </w:rPr>
        <w:t>a decline in our stock price.</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4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businesses or products, or form strategic alliances, in the future, and we may not realize the benefits of such acquisitions.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Rights</w:t>
      </w:r>
    </w:p>
    <w:p>
      <w:pPr>
        <w:spacing w:after="0" w:line="20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3" w:lineRule="exact"/>
        <w:rPr>
          <w:sz w:val="20"/>
          <w:szCs w:val="20"/>
          <w:color w:val="auto"/>
        </w:rPr>
      </w:pPr>
    </w:p>
    <w:p>
      <w:pPr>
        <w:ind w:right="340"/>
        <w:spacing w:after="0" w:line="320"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 applications related to AV-101 and own and have licensed patents and patent applications related to human pluripotent stem cell technology.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or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degree of future protection for our proprietary rights is uncertain, and we cannot ensure that:</w:t>
      </w:r>
    </w:p>
    <w:p>
      <w:pPr>
        <w:spacing w:after="0" w:line="201" w:lineRule="exact"/>
        <w:rPr>
          <w:sz w:val="20"/>
          <w:szCs w:val="20"/>
          <w:color w:val="auto"/>
        </w:rPr>
      </w:pPr>
    </w:p>
    <w:p>
      <w:pPr>
        <w:ind w:left="920" w:hanging="404"/>
        <w:spacing w:after="0" w:line="215" w:lineRule="auto"/>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any of our pending patent applications will issue as patents at all;</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we will be able to successfully commercialize our product candidates, if approved, before our relevant patents expire;</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we were the first to make the inventions covered by each of our patents and pending patent applications;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we were the first to file patent applications for these inventions;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others will not develop similar or alternative technologies that do not infringe our patents;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others will not use pre-existing technology to effectively compete against us;</w:t>
      </w:r>
    </w:p>
    <w:p>
      <w:pPr>
        <w:spacing w:after="0" w:line="132" w:lineRule="exact"/>
        <w:rPr>
          <w:rFonts w:ascii="Arial" w:cs="Arial" w:eastAsia="Arial" w:hAnsi="Arial"/>
          <w:sz w:val="20"/>
          <w:szCs w:val="20"/>
          <w:color w:val="auto"/>
          <w:vertAlign w:val="superscript"/>
        </w:rPr>
      </w:pPr>
    </w:p>
    <w:p>
      <w:pPr>
        <w:ind w:left="920" w:hanging="404"/>
        <w:spacing w:after="0"/>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any of our patents, if issued, will be found to ultimately be valid and enforceable;</w:t>
      </w:r>
    </w:p>
    <w:p>
      <w:pPr>
        <w:spacing w:after="0" w:line="181" w:lineRule="exact"/>
        <w:rPr>
          <w:rFonts w:ascii="Arial" w:cs="Arial" w:eastAsia="Arial" w:hAnsi="Arial"/>
          <w:sz w:val="20"/>
          <w:szCs w:val="20"/>
          <w:color w:val="auto"/>
          <w:vertAlign w:val="superscript"/>
        </w:rPr>
      </w:pPr>
    </w:p>
    <w:p>
      <w:pPr>
        <w:ind w:left="920" w:right="100" w:hanging="404"/>
        <w:spacing w:after="0" w:line="215" w:lineRule="auto"/>
        <w:tabs>
          <w:tab w:leader="none" w:pos="92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any patents issued to us will provide a basis for an exclusive market for our commercially viable products, will provide us with any competitive advantages or will not be challenged by third parties;</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we will develop additional proprietary technologies or product candidates that are separately patentable; or</w:t>
      </w:r>
    </w:p>
    <w:p>
      <w:pPr>
        <w:spacing w:after="0" w:line="132" w:lineRule="exact"/>
        <w:rPr>
          <w:rFonts w:ascii="Arial" w:cs="Arial" w:eastAsia="Arial" w:hAnsi="Arial"/>
          <w:sz w:val="20"/>
          <w:szCs w:val="20"/>
          <w:color w:val="auto"/>
          <w:vertAlign w:val="superscript"/>
        </w:rPr>
      </w:pPr>
    </w:p>
    <w:p>
      <w:pPr>
        <w:ind w:left="900" w:hanging="384"/>
        <w:spacing w:after="0"/>
        <w:tabs>
          <w:tab w:leader="none" w:pos="900"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that our commercial activities or products will not infringe upon the patents or proprietary rights of others.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58" w:lineRule="exact"/>
        <w:rPr>
          <w:sz w:val="20"/>
          <w:szCs w:val="20"/>
          <w:color w:val="auto"/>
        </w:rPr>
      </w:pPr>
    </w:p>
    <w:p>
      <w:pPr>
        <w:jc w:val="both"/>
        <w:ind w:right="100"/>
        <w:spacing w:after="0" w:line="290" w:lineRule="auto"/>
        <w:rPr>
          <w:sz w:val="20"/>
          <w:szCs w:val="20"/>
          <w:color w:val="auto"/>
        </w:rPr>
      </w:pPr>
      <w:r>
        <w:rPr>
          <w:rFonts w:ascii="Arial" w:cs="Arial" w:eastAsia="Arial" w:hAnsi="Arial"/>
          <w:sz w:val="13"/>
          <w:szCs w:val="13"/>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18" w:lineRule="exact"/>
        <w:rPr>
          <w:sz w:val="20"/>
          <w:szCs w:val="20"/>
          <w:color w:val="auto"/>
        </w:rPr>
      </w:pPr>
    </w:p>
    <w:p>
      <w:pPr>
        <w:ind w:left="520" w:hanging="515"/>
        <w:spacing w:after="0"/>
        <w:tabs>
          <w:tab w:leader="none" w:pos="5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cease developing, selling or otherwise commercializing our product candidates;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pay substantial damages for past use of the asserted intellectual property;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obtain a license from the holder of the asserted intellectual property, which license may not be available on reasonable terms, if at all; and</w:t>
      </w:r>
    </w:p>
    <w:p>
      <w:pPr>
        <w:spacing w:after="0" w:line="181" w:lineRule="exact"/>
        <w:rPr>
          <w:rFonts w:ascii="Arial" w:cs="Arial" w:eastAsia="Arial" w:hAnsi="Arial"/>
          <w:sz w:val="20"/>
          <w:szCs w:val="20"/>
          <w:color w:val="auto"/>
          <w:vertAlign w:val="superscript"/>
        </w:rPr>
      </w:pPr>
    </w:p>
    <w:p>
      <w:pPr>
        <w:ind w:left="520" w:right="220" w:hanging="515"/>
        <w:spacing w:after="0" w:line="215" w:lineRule="auto"/>
        <w:tabs>
          <w:tab w:leader="none" w:pos="52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Any of these risks coming to fruition could have a material adverse effect on our business, results of operations, financial condition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3" w:lineRule="exact"/>
        <w:rPr>
          <w:sz w:val="20"/>
          <w:szCs w:val="20"/>
          <w:color w:val="auto"/>
        </w:rPr>
      </w:pPr>
    </w:p>
    <w:p>
      <w:pPr>
        <w:jc w:val="both"/>
        <w:ind w:right="200"/>
        <w:spacing w:after="0" w:line="268" w:lineRule="auto"/>
        <w:rPr>
          <w:sz w:val="20"/>
          <w:szCs w:val="20"/>
          <w:color w:val="auto"/>
        </w:rPr>
      </w:pPr>
      <w:r>
        <w:rPr>
          <w:rFonts w:ascii="Arial" w:cs="Arial" w:eastAsia="Arial" w:hAnsi="Arial"/>
          <w:sz w:val="14"/>
          <w:szCs w:val="14"/>
          <w:color w:val="auto"/>
        </w:rPr>
        <w:t>The U.S. Patent and Trademark Office (</w:t>
      </w:r>
      <w:r>
        <w:rPr>
          <w:rFonts w:ascii="Arial" w:cs="Arial" w:eastAsia="Arial" w:hAnsi="Arial"/>
          <w:sz w:val="14"/>
          <w:szCs w:val="14"/>
          <w:i w:val="1"/>
          <w:iCs w:val="1"/>
          <w:color w:val="auto"/>
        </w:rPr>
        <w:t>USPTO</w:t>
      </w:r>
      <w:r>
        <w:rPr>
          <w:rFonts w:ascii="Arial" w:cs="Arial" w:eastAsia="Arial" w:hAnsi="Arial"/>
          <w:sz w:val="14"/>
          <w:szCs w:val="14"/>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Issued patents covering our product candidates could be found invalid or unenforceable if challenged in court.</w:t>
      </w:r>
    </w:p>
    <w:p>
      <w:pPr>
        <w:spacing w:after="0" w:line="201" w:lineRule="exact"/>
        <w:rPr>
          <w:sz w:val="20"/>
          <w:szCs w:val="20"/>
          <w:color w:val="auto"/>
        </w:rPr>
      </w:pPr>
    </w:p>
    <w:p>
      <w:pPr>
        <w:ind w:right="100"/>
        <w:spacing w:after="0" w:line="305" w:lineRule="auto"/>
        <w:rPr>
          <w:sz w:val="20"/>
          <w:szCs w:val="20"/>
          <w:color w:val="auto"/>
        </w:rPr>
      </w:pPr>
      <w:r>
        <w:rPr>
          <w:rFonts w:ascii="Arial" w:cs="Arial" w:eastAsia="Arial" w:hAnsi="Arial"/>
          <w:sz w:val="12"/>
          <w:szCs w:val="12"/>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25"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2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4"/>
          <w:szCs w:val="14"/>
          <w:i w:val="1"/>
          <w:iCs w:val="1"/>
          <w:color w:val="auto"/>
        </w:rPr>
        <w:t>Business—Intellectual Property</w:t>
      </w:r>
      <w:r>
        <w:rPr>
          <w:rFonts w:ascii="Arial" w:cs="Arial" w:eastAsia="Arial" w:hAnsi="Arial"/>
          <w:sz w:val="14"/>
          <w:szCs w:val="14"/>
          <w:color w:val="auto"/>
        </w:rPr>
        <w:t>” herein for a description of our license agreements, which includes a description of the termination provisions of these agreements.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50" w:lineRule="exact"/>
        <w:rPr>
          <w:sz w:val="20"/>
          <w:szCs w:val="20"/>
          <w:color w:val="auto"/>
        </w:rPr>
      </w:pPr>
    </w:p>
    <w:p>
      <w:pPr>
        <w:ind w:right="540"/>
        <w:spacing w:after="0" w:line="283" w:lineRule="auto"/>
        <w:rPr>
          <w:sz w:val="20"/>
          <w:szCs w:val="20"/>
          <w:color w:val="auto"/>
        </w:rPr>
      </w:pPr>
      <w:r>
        <w:rPr>
          <w:rFonts w:ascii="Arial" w:cs="Arial" w:eastAsia="Arial" w:hAnsi="Arial"/>
          <w:sz w:val="14"/>
          <w:szCs w:val="14"/>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03"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the scope of rights granted under the license agreement and other interpretation-related issues;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our right to sublicense patent and other rights to third parties under collaborative development relationships;</w:t>
      </w:r>
    </w:p>
    <w:p>
      <w:pPr>
        <w:spacing w:after="0" w:line="181" w:lineRule="exact"/>
        <w:rPr>
          <w:rFonts w:ascii="Arial" w:cs="Arial" w:eastAsia="Arial" w:hAnsi="Arial"/>
          <w:sz w:val="20"/>
          <w:szCs w:val="20"/>
          <w:color w:val="auto"/>
          <w:vertAlign w:val="superscript"/>
        </w:rPr>
      </w:pPr>
    </w:p>
    <w:p>
      <w:pPr>
        <w:ind w:left="520" w:right="240" w:hanging="515"/>
        <w:spacing w:after="0" w:line="215" w:lineRule="auto"/>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26"/>
        </w:numPr>
        <w:rPr>
          <w:rFonts w:ascii="Arial" w:cs="Arial" w:eastAsia="Arial" w:hAnsi="Arial"/>
          <w:sz w:val="20"/>
          <w:szCs w:val="20"/>
          <w:color w:val="auto"/>
          <w:vertAlign w:val="superscript"/>
        </w:rPr>
      </w:pPr>
      <w:r>
        <w:rPr>
          <w:rFonts w:ascii="Arial" w:cs="Arial" w:eastAsia="Arial" w:hAnsi="Arial"/>
          <w:sz w:val="14"/>
          <w:szCs w:val="14"/>
          <w:color w:val="auto"/>
        </w:rPr>
        <w:t>the ownership of inventions and know-how resulting from the joint creation or use of intellectual property by our licensors and us and our partners.</w:t>
      </w:r>
    </w:p>
    <w:p>
      <w:pPr>
        <w:spacing w:after="0" w:line="182"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ind w:right="640"/>
        <w:spacing w:after="0" w:line="283" w:lineRule="auto"/>
        <w:rPr>
          <w:sz w:val="20"/>
          <w:szCs w:val="20"/>
          <w:color w:val="auto"/>
        </w:rPr>
      </w:pPr>
      <w:r>
        <w:rPr>
          <w:rFonts w:ascii="Arial" w:cs="Arial" w:eastAsia="Arial" w:hAnsi="Arial"/>
          <w:sz w:val="14"/>
          <w:szCs w:val="14"/>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3"/>
          <w:szCs w:val="13"/>
          <w:i w:val="1"/>
          <w:iCs w:val="1"/>
          <w:color w:val="auto"/>
        </w:rPr>
        <w:t>Bayh-Dole</w:t>
      </w:r>
      <w:r>
        <w:rPr>
          <w:rFonts w:ascii="Arial" w:cs="Arial" w:eastAsia="Arial" w:hAnsi="Arial"/>
          <w:sz w:val="13"/>
          <w:szCs w:val="13"/>
          <w:color w:val="auto"/>
        </w:rPr>
        <w:t xml:space="preserve"> </w:t>
      </w:r>
      <w:r>
        <w:rPr>
          <w:rFonts w:ascii="Arial" w:cs="Arial" w:eastAsia="Arial" w:hAnsi="Arial"/>
          <w:sz w:val="13"/>
          <w:szCs w:val="13"/>
          <w:i w:val="1"/>
          <w:iCs w:val="1"/>
          <w:color w:val="auto"/>
        </w:rPr>
        <w:t>Act</w:t>
      </w:r>
      <w:r>
        <w:rPr>
          <w:rFonts w:ascii="Arial" w:cs="Arial" w:eastAsia="Arial" w:hAnsi="Arial"/>
          <w:sz w:val="13"/>
          <w:szCs w:val="13"/>
          <w:color w:val="auto"/>
        </w:rPr>
        <w:t>). These U.S. government rights in certain inventions developed under a government-funded program include a non-exclusive, non-transferable, irrevocable worldwide license to use inventions for</w:t>
      </w:r>
      <w:r>
        <w:rPr>
          <w:rFonts w:ascii="Arial" w:cs="Arial" w:eastAsia="Arial" w:hAnsi="Arial"/>
          <w:sz w:val="13"/>
          <w:szCs w:val="13"/>
          <w:i w:val="1"/>
          <w:iCs w:val="1"/>
          <w:color w:val="auto"/>
        </w:rPr>
        <w:t xml:space="preserve"> </w:t>
      </w:r>
      <w:r>
        <w:rPr>
          <w:rFonts w:ascii="Arial" w:cs="Arial" w:eastAsia="Arial" w:hAnsi="Arial"/>
          <w:sz w:val="13"/>
          <w:szCs w:val="13"/>
          <w:color w:val="auto"/>
        </w:rPr>
        <w:t>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53"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products.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53" w:lineRule="exact"/>
        <w:rPr>
          <w:sz w:val="20"/>
          <w:szCs w:val="20"/>
          <w:color w:val="auto"/>
        </w:rPr>
      </w:pPr>
    </w:p>
    <w:p>
      <w:pPr>
        <w:ind w:right="60"/>
        <w:spacing w:after="0" w:line="311"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Numerous factors may limit any potential competitive advantage provided by our intellectual property rights.</w:t>
      </w:r>
    </w:p>
    <w:p>
      <w:pPr>
        <w:spacing w:after="0" w:line="201"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6" w:lineRule="exact"/>
        <w:rPr>
          <w:sz w:val="20"/>
          <w:szCs w:val="20"/>
          <w:color w:val="auto"/>
        </w:rPr>
      </w:pPr>
    </w:p>
    <w:p>
      <w:pPr>
        <w:ind w:left="480" w:hanging="475"/>
        <w:spacing w:after="0" w:line="215" w:lineRule="auto"/>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1"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make the inventions covered by a pending patent application that we own;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we might not have been the first to file patent applications covering an invention;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others may independently develop similar or alternative technologies without infringing our intellectual property rights;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pending patent applications that we own or license may not lead to issued patents;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19"/>
          <w:szCs w:val="19"/>
          <w:color w:val="auto"/>
          <w:vertAlign w:val="superscript"/>
        </w:rPr>
      </w:pPr>
      <w:r>
        <w:rPr>
          <w:rFonts w:ascii="Arial" w:cs="Arial" w:eastAsia="Arial" w:hAnsi="Arial"/>
          <w:sz w:val="13"/>
          <w:szCs w:val="13"/>
          <w:color w:val="auto"/>
        </w:rPr>
        <w:t>patents, if issued, that we own or license may not provide us with any competitive advantages, or may be held invalid or unenforceable, as a result of legal challenges by our competitors;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third parties may compete with us in jurisdictions where we do not pursue and obtain patent protection;</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we may not be able to obtain and/or maintain necessary or useful licenses on reasonable terms or at all;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the patents of others may have an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Should any of these events occur, they could significantly harm our business and results of operations.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2" w:lineRule="exact"/>
        <w:rPr>
          <w:sz w:val="20"/>
          <w:szCs w:val="20"/>
          <w:color w:val="auto"/>
        </w:rPr>
      </w:pPr>
    </w:p>
    <w:p>
      <w:pPr>
        <w:jc w:val="both"/>
        <w:ind w:right="80"/>
        <w:spacing w:after="0" w:line="290" w:lineRule="auto"/>
        <w:rPr>
          <w:sz w:val="20"/>
          <w:szCs w:val="20"/>
          <w:color w:val="auto"/>
        </w:rPr>
      </w:pPr>
      <w:r>
        <w:rPr>
          <w:rFonts w:ascii="Arial" w:cs="Arial" w:eastAsia="Arial" w:hAnsi="Arial"/>
          <w:sz w:val="13"/>
          <w:szCs w:val="13"/>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limited public market for the Company’s securities may adversely affect an investor’s ability to liquidate an investment in the Company.</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Although the Company’s common stock is currently quoted on The NASDAQ Capital Market, there is limited trading activity. The Company can give no assurance that an active market will develop, or if developed, that it will be sustained. If an investor acquires shares of the Company’s common stock, including shares sold in connection with the Offering, the investor may not be able to liquidate the Company’s shares should there be a need or desire to do so.</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volatility may affect our stock price and the value of your investment.</w:t>
      </w:r>
    </w:p>
    <w:p>
      <w:pPr>
        <w:spacing w:after="0" w:line="201"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82" w:lineRule="exact"/>
        <w:rPr>
          <w:sz w:val="20"/>
          <w:szCs w:val="20"/>
          <w:color w:val="auto"/>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plans for, progress of or results from non-clinical studies and clinical trials of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the failure of the FDA to approve our product candidates;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announcements of new products, technologies, commercial relationships, acquisitions or other events by us or our competitors;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the success or failure of other CNS therapies;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regulatory or legal developments in the United States and other countries;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failure of our product candidates, if approved, to achieve commercial success;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fluctuations in stock market prices and trading volumes of similar companies;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general market conditions and overall fluctuations in U.S. equity markets;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variations in our quarterly operating results;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changes in our financial guidance or securities analysts’ estimates of our financial performance;</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changes in accounting principles;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our ability to raise additional capital and the terms on which we can raise it;</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sales of large blocks of our common stock, including sales by our executive officers, directors and significant stockholders;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additions or departures of key personnel;</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discussion of us or our stock price by the press and by online investor communities;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other risks and uncertainties described in these risk factors.</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60"/>
          </w:cols>
          <w:pgMar w:left="220" w:top="133" w:right="31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may cause our stock price to decline.</w:t>
      </w:r>
    </w:p>
    <w:p>
      <w:pPr>
        <w:spacing w:after="0" w:line="201"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53"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0"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1"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highly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including warrants offered in the Offering,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24"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Certain of our current institutional stockholders, including Platinum and its affiliate,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Platinum and other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59"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3"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additional issuances of shares of preferred stock in the future.</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Following approval by our stockholders in October 2011, our Articles of Incorporation (the </w:t>
      </w:r>
      <w:r>
        <w:rPr>
          <w:rFonts w:ascii="Arial" w:cs="Arial" w:eastAsia="Arial" w:hAnsi="Arial"/>
          <w:sz w:val="14"/>
          <w:szCs w:val="14"/>
          <w:i w:val="1"/>
          <w:iCs w:val="1"/>
          <w:color w:val="auto"/>
        </w:rPr>
        <w:t>Articles</w:t>
      </w:r>
      <w:r>
        <w:rPr>
          <w:rFonts w:ascii="Arial" w:cs="Arial" w:eastAsia="Arial" w:hAnsi="Arial"/>
          <w:sz w:val="14"/>
          <w:szCs w:val="14"/>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3.7 million shares are issued and outstanding as of May 11, 2016; and (iii) 3.0 million shares of Series C Convertible Preferred Stock, of which approximately 2.3 million shares are issued and outstanding as of May 11, 2016.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5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to ensure compliance with corporate governance, federal securities law and accounting requirements.</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Since becoming a public company by means of a reverse merger in 2011, we have been subject to the reporting requirements of the Securities Exchange Act of 1934, as amended (</w:t>
      </w:r>
      <w:r>
        <w:rPr>
          <w:rFonts w:ascii="Arial" w:cs="Arial" w:eastAsia="Arial" w:hAnsi="Arial"/>
          <w:sz w:val="14"/>
          <w:szCs w:val="14"/>
          <w:i w:val="1"/>
          <w:iCs w:val="1"/>
          <w:color w:val="auto"/>
        </w:rPr>
        <w:t>Exchange Act</w:t>
      </w:r>
      <w:r>
        <w:rPr>
          <w:rFonts w:ascii="Arial" w:cs="Arial" w:eastAsia="Arial" w:hAnsi="Arial"/>
          <w:sz w:val="14"/>
          <w:szCs w:val="14"/>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may be considered a “penny stock”, and thereby be subject to additional sale and trading regulations that may make it more difficult to sell.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Our common stock may be considered to be a “penny stock” if it does not qualify for one of the exemptions from the definition of “penny stock” under Section 3a51-1 of the Exchange Act. Our common stock may be a “penny stock” if it meets one or more of the following conditions: (i) the stock trades at a price less than $5 per share; (ii) it is not traded on a “recognized” national exchange; or (iii) is issued by a company that has been in business less than three years with net tangible assets less than $5 million.</w:t>
      </w:r>
    </w:p>
    <w:p>
      <w:pPr>
        <w:spacing w:after="0" w:line="142" w:lineRule="exact"/>
        <w:rPr>
          <w:sz w:val="20"/>
          <w:szCs w:val="20"/>
          <w:color w:val="auto"/>
        </w:rPr>
      </w:pPr>
    </w:p>
    <w:p>
      <w:pPr>
        <w:jc w:val="both"/>
        <w:ind w:right="40"/>
        <w:spacing w:after="0" w:line="302" w:lineRule="auto"/>
        <w:rPr>
          <w:sz w:val="20"/>
          <w:szCs w:val="20"/>
          <w:color w:val="auto"/>
        </w:rPr>
      </w:pPr>
      <w:r>
        <w:rPr>
          <w:rFonts w:ascii="Arial" w:cs="Arial" w:eastAsia="Arial" w:hAnsi="Arial"/>
          <w:sz w:val="12"/>
          <w:szCs w:val="12"/>
          <w:color w:val="auto"/>
        </w:rPr>
        <w:t>The principal result or effect of being designated a “penny stock” is that securities broker-dealers participating in sales of our common stock will be subject to the “penny stock” regulations set forth in Rules 15g-2 through 15g-9 promulgated under the Exchange Act. For example,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w:t>
      </w:r>
    </w:p>
    <w:p>
      <w:pPr>
        <w:ind w:right="40"/>
        <w:spacing w:after="0" w:line="280" w:lineRule="auto"/>
        <w:rPr>
          <w:sz w:val="20"/>
          <w:szCs w:val="20"/>
          <w:color w:val="auto"/>
        </w:rPr>
      </w:pPr>
      <w:r>
        <w:rPr>
          <w:rFonts w:ascii="Arial" w:cs="Arial" w:eastAsia="Arial" w:hAnsi="Arial"/>
          <w:sz w:val="13"/>
          <w:szCs w:val="13"/>
          <w:color w:val="auto"/>
        </w:rPr>
        <w:t>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FINRA sales practice requirements may also limit your ability to buy and sell our common stock, which could depress the price of our shares.</w:t>
      </w:r>
    </w:p>
    <w:p>
      <w:pPr>
        <w:spacing w:after="0" w:line="201"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Financial Industry Regulatory Authority, Inc. (</w:t>
      </w:r>
      <w:r>
        <w:rPr>
          <w:rFonts w:ascii="Arial" w:cs="Arial" w:eastAsia="Arial" w:hAnsi="Arial"/>
          <w:sz w:val="13"/>
          <w:szCs w:val="13"/>
          <w:i w:val="1"/>
          <w:iCs w:val="1"/>
          <w:color w:val="auto"/>
        </w:rPr>
        <w:t>FINRA</w:t>
      </w:r>
      <w:r>
        <w:rPr>
          <w:rFonts w:ascii="Arial" w:cs="Arial" w:eastAsia="Arial" w:hAnsi="Arial"/>
          <w:sz w:val="13"/>
          <w:szCs w:val="13"/>
          <w:color w:val="auto"/>
        </w:rPr>
        <w:t>) rules require broker-dealers to have reasonable grounds for believing that an investment is suitable for a customer before recommending that investment to the customer. Prior to recommending speculative low-priced securities to their non-institutional customers, broker-dealers must make reasonable efforts to obtain information about the customer’s financial status, tax status and investment objectives, among other things. Under interpretations of these rules, FINRA believes that there is a high probability such speculative low-priced securities will not be suitable for at least some customers. Thus, FINRA requirements make it more difficult for broker-dealers to recommend that their customers buy our common stock, which may limit your ability to buy and sell our shares, have an adverse effect on the market for our shares, and thereby depress our share price.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Purchasers in this Offering will experience immediate and substantial dilution in the book value of their investment.</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If we successfully sell all securities registered by this Offering and investors exercise all warrants included in this Offering, new investors will own approximately 46.7% of our outstanding common stock. In addition, we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4"/>
          <w:szCs w:val="14"/>
          <w:i w:val="1"/>
          <w:iCs w:val="1"/>
          <w:color w:val="auto"/>
        </w:rPr>
        <w:t>Dilution</w:t>
      </w:r>
      <w:r>
        <w:rPr>
          <w:rFonts w:ascii="Arial" w:cs="Arial" w:eastAsia="Arial" w:hAnsi="Arial"/>
          <w:sz w:val="14"/>
          <w:szCs w:val="14"/>
          <w:color w:val="auto"/>
        </w:rPr>
        <w:t>.”</w:t>
      </w:r>
    </w:p>
    <w:p>
      <w:pPr>
        <w:spacing w:after="0" w:line="16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allocation of net proceeds of the Offering set forth in the “</w:t>
      </w:r>
      <w:r>
        <w:rPr>
          <w:rFonts w:ascii="Arial" w:cs="Arial" w:eastAsia="Arial" w:hAnsi="Arial"/>
          <w:sz w:val="14"/>
          <w:szCs w:val="14"/>
          <w:i w:val="1"/>
          <w:iCs w:val="1"/>
          <w:color w:val="auto"/>
        </w:rPr>
        <w:t>Use of Proceeds</w:t>
      </w:r>
      <w:r>
        <w:rPr>
          <w:rFonts w:ascii="Arial" w:cs="Arial" w:eastAsia="Arial" w:hAnsi="Arial"/>
          <w:sz w:val="14"/>
          <w:szCs w:val="14"/>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4"/>
          <w:szCs w:val="14"/>
          <w:i w:val="1"/>
          <w:iCs w:val="1"/>
          <w:color w:val="auto"/>
        </w:rPr>
        <w:t>Use of Proceeds</w:t>
      </w:r>
      <w:r>
        <w:rPr>
          <w:rFonts w:ascii="Arial" w:cs="Arial" w:eastAsia="Arial" w:hAnsi="Arial"/>
          <w:sz w:val="14"/>
          <w:szCs w:val="14"/>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warrants are speculative in nature.</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warrants offered by us in this Offering do not confer any rights of ownership of shares of common stock on its holders, such as voting rights or the right to receive dividends, but only represent the right to acquire shares of common stock at a fixed price for a limited period of time. Specifically, commencing on the date of issuance, holders of the warrants may exercise their right to acquire the shares of common stock and pay an expected exercise price of $5.30 per share, subject to adjustment upon certain events, prior to five years from the date of issuance, after which date any unexercised warrants will expire and have no further value.</w:t>
      </w:r>
    </w:p>
    <w:p>
      <w:pPr>
        <w:spacing w:after="0" w:line="146"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b w:val="1"/>
          <w:bCs w:val="1"/>
          <w:i w:val="1"/>
          <w:iCs w:val="1"/>
          <w:color w:val="auto"/>
        </w:rPr>
        <w:t>There is no established public trading market for the warrants being offered in this Offering and we do not intend to apply to list the warrants on a securities exchange or automated quotation system.</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There is no established public trading market for the warrants being offered in this Offering. We do not intend to apply to list the warrants on a securities exchange or automated quotation system.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Without an active trading market, the liquidity of warrants will be limited.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84" w:lineRule="exact"/>
        <w:rPr>
          <w:sz w:val="20"/>
          <w:szCs w:val="20"/>
          <w:color w:val="auto"/>
        </w:rPr>
      </w:pPr>
    </w:p>
    <w:p>
      <w:pPr>
        <w:ind w:right="160"/>
        <w:spacing w:after="0" w:line="370" w:lineRule="auto"/>
        <w:rPr>
          <w:sz w:val="20"/>
          <w:szCs w:val="20"/>
          <w:color w:val="auto"/>
        </w:rPr>
      </w:pPr>
      <w:r>
        <w:rPr>
          <w:rFonts w:ascii="Arial" w:cs="Arial" w:eastAsia="Arial" w:hAnsi="Arial"/>
          <w:sz w:val="12"/>
          <w:szCs w:val="12"/>
          <w:color w:val="auto"/>
        </w:rPr>
        <w:t>We estimate that the net proceeds to us from this Offering will be approximately $8.8 million, or approximately $10.1 million if the underwriters exercise their option to purchase additional shares, and/or warrants, from us in full, at the offering price of $4.24 per share and $0.01 per warrant, after deducting underwriting discounts and commissions and estimated offering expenses payable by us.</w:t>
      </w:r>
    </w:p>
    <w:p>
      <w:pPr>
        <w:spacing w:after="0" w:line="8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expect to use the net proceeds from this Offering (including proceeds resulting from the exercise of warrants, if any) on (i) manufacturing and regulatory activities required to support the anticipated launch in the fourth quarter of 2016 of our potentially pivotal Phase 2b MDD Study, (ii) launch and conduct of a substantial portion of the Phase 2b MDD Study, (iii) nonclinical development related to our stem cell technology platform, with emphasis on drug rescue, and (iv) other general corporate purposes, including satisfying accounts payable. The table below reflects our current planned use of the net proceeds from this Offering, assuming no exercise of the warrants and no exercise of the underwriters’ option to purchase additional shares and warrants. Each of these amounts is an estimate only, and is subject to change at any time before or after closing of the Offering.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Amounts in $000</w:t>
            </w:r>
          </w:p>
        </w:tc>
      </w:tr>
      <w:tr>
        <w:trPr>
          <w:trHeight w:val="170"/>
        </w:trPr>
        <w:tc>
          <w:tcPr>
            <w:tcW w:w="10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Gross proceeds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Underwriting discounts, commissions and other expenses of the Offering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(1,232)</w:t>
            </w: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53"/>
        </w:trPr>
        <w:tc>
          <w:tcPr>
            <w:tcW w:w="10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Preparation, launch and partial conduct of AV-101 Phase 2b MDD Study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w:t>
            </w:r>
          </w:p>
        </w:tc>
        <w:tc>
          <w:tcPr>
            <w:tcW w:w="100" w:type="dxa"/>
            <w:vAlign w:val="bottom"/>
            <w:shd w:val="clear" w:color="auto" w:fill="CCEEFF"/>
          </w:tcPr>
          <w:p>
            <w:pPr>
              <w:spacing w:after="0"/>
              <w:rPr>
                <w:sz w:val="14"/>
                <w:szCs w:val="14"/>
                <w:color w:val="auto"/>
              </w:rPr>
            </w:pPr>
          </w:p>
        </w:tc>
      </w:tr>
      <w:tr>
        <w:trPr>
          <w:trHeight w:val="172"/>
        </w:trPr>
        <w:tc>
          <w:tcPr>
            <w:tcW w:w="10200" w:type="dxa"/>
            <w:vAlign w:val="bottom"/>
          </w:tcPr>
          <w:p>
            <w:pPr>
              <w:ind w:left="140"/>
              <w:spacing w:after="0"/>
              <w:rPr>
                <w:sz w:val="20"/>
                <w:szCs w:val="20"/>
                <w:color w:val="auto"/>
              </w:rPr>
            </w:pPr>
            <w:r>
              <w:rPr>
                <w:rFonts w:ascii="Arial" w:cs="Arial" w:eastAsia="Arial" w:hAnsi="Arial"/>
                <w:sz w:val="14"/>
                <w:szCs w:val="14"/>
                <w:color w:val="auto"/>
              </w:rPr>
              <w:t>Nonclinical development of stem cell technology platform drug</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4"/>
                <w:szCs w:val="14"/>
                <w:color w:val="auto"/>
              </w:rPr>
            </w:pP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 working capital and other general corporate purposes, including payment of accounts payable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10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8,768</w:t>
            </w:r>
          </w:p>
        </w:tc>
        <w:tc>
          <w:tcPr>
            <w:tcW w:w="100" w:type="dxa"/>
            <w:vAlign w:val="bottom"/>
          </w:tcPr>
          <w:p>
            <w:pPr>
              <w:spacing w:after="0"/>
              <w:rPr>
                <w:sz w:val="14"/>
                <w:szCs w:val="14"/>
                <w:color w:val="auto"/>
              </w:rPr>
            </w:pPr>
          </w:p>
        </w:tc>
      </w:tr>
      <w:tr>
        <w:trPr>
          <w:trHeight w:val="20"/>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Although we expect net proceeds from this Offering to provide sufficient funding for our operations through the release of topline results of our fully-funded, NIH-sponsored Phase 2a MDD Study, anticipated in the second quarter of 2017, as well as the launch and conduct of a substantial portion of our Phase 2b MDD Study, the net proceeds from the Offering will not be sufficient to complete the Phase 2b MDD Study unless we also receive, prior to the end of the second quarter of 2017, proceeds resulting from the exercise of a substantial portion of the warrants in this Offering and the underwriters exercise their option to purchase additional shares and warrants. Assuming no exercise of the warrants acquired in this Offering and no exercise of the underwriters’ option to purchase additional shares and warrants, we believe an additional $10.0 million to $12.0 million will be required prior to the end of the second quarter of 2017 in order to complete the Phase 2b MDD Study. No assurances can be provided that such additional capital will be available to us when necessary, on reasonable terms, or at all. In the event we are unable to raise such additional capital, our operations will be negatively and materially affected.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375"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Our common stock was approved for listing, and began trading on The NASDAQ Capital Market under the symbol “VTGN” on May 11, 2016. There is no established public trading market for the warrants, and we do not intend to apply to list the warrants on any securities exchange or automated quotation system.</w:t>
      </w:r>
    </w:p>
    <w:p>
      <w:pPr>
        <w:spacing w:after="0" w:line="131"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Shown below is the range of high and low sales prices for our common stock for the periods indicated. Sales prices for periods prior to May 11, 2016 reflect prices reported by the OTCQB, and sales prices after May 11, 2016 reflect prices reported by The NASDAQ Capital Market. All market quotations reflect inter-dealer prices, without retail mark-up, markdown or commissions and may not necessarily represent actual transactions.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7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2017</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2016 (through May 11, 2016)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4.07</w:t>
            </w:r>
          </w:p>
        </w:tc>
      </w:tr>
      <w:tr>
        <w:trPr>
          <w:trHeight w:val="34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14.90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10.25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17.80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5.60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On March 11, 2016, the last reported sale price for our common stock on the The NASDAQ Capital Market was $4.11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DIVIDEND POLICY</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for use in the operation and expansion of our business, and do not anticipate paying any cash dividends in the foreseeable future.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DILUTION</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you invest in our common stock you will experience dilution immediately to the extent of the difference between the public offering price per share of our common stock you pay in this Offering, and the pro forma net tangible book value per share of our common stock immediately after this Offering. As of December 31, 2015, our historical net tangible book value (deficit) was approximately ($1.6) million, or ($0.87) per share of common stock. This calculation does not reflect any dilution associated with the sale and exercise of the warrants offered hereby. As of December 31, 2015, our pro forma net tangible book value (deficit) was approximately $7.2 million, or $1.71 per share of common stock. Pro forma net tangible book value per share (deficit) is determined by dividing our total tangible assets less total liabilities, by the number of outstanding shares of our common stock, including 2,352,942 shares of common stock issuable in connection with this Offering.</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Dilution in pro forma net tangible book value (deficit) per share represents the difference between the price paid by buyers of shares of our common stock and warrants in this Offering, and the pro forma net tangible book value (deficit) per share of our common stock immediately following this Offering. After giving effect to the issuance of 2,352,942 shares of common stock at an offering price of $4.24 per share and warrants to purchase up to 2,352,942 shares of our common stock at an offering price of $0.01 per share, and after deducting underwriting discounts and commissions and estimated offering expenses payable by us, our pro forma as adjusted net tangible book value (deficit) as of December 31, 2015, would have been approximately $7.2 million, or $1.71 per share of common stock. This data represents an immediate increase in pro forma net tangible book value of $2.54 per share to existing stockholders and an immediate dilution of $2.58 per share to new investors purchasing shares at the offering price.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580" w:type="dxa"/>
            <w:vAlign w:val="bottom"/>
          </w:tcPr>
          <w:p>
            <w:pPr>
              <w:spacing w:after="0"/>
              <w:rPr>
                <w:sz w:val="20"/>
                <w:szCs w:val="20"/>
                <w:color w:val="auto"/>
              </w:rPr>
            </w:pPr>
            <w:r>
              <w:rPr>
                <w:rFonts w:ascii="Arial" w:cs="Arial" w:eastAsia="Arial" w:hAnsi="Arial"/>
                <w:sz w:val="14"/>
                <w:szCs w:val="14"/>
                <w:color w:val="auto"/>
              </w:rPr>
              <w:t>The following table illustrates the per share dilution to investors in this Offering:</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7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Aggregate public offering price per share of common stock and warrant</w:t>
            </w:r>
          </w:p>
        </w:tc>
        <w:tc>
          <w:tcPr>
            <w:tcW w:w="13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4.25</w:t>
            </w:r>
          </w:p>
        </w:tc>
      </w:tr>
      <w:tr>
        <w:trPr>
          <w:trHeight w:val="170"/>
        </w:trPr>
        <w:tc>
          <w:tcPr>
            <w:tcW w:w="7580" w:type="dxa"/>
            <w:vAlign w:val="bottom"/>
          </w:tcPr>
          <w:p>
            <w:pPr>
              <w:spacing w:after="0"/>
              <w:rPr>
                <w:sz w:val="20"/>
                <w:szCs w:val="20"/>
                <w:color w:val="auto"/>
              </w:rPr>
            </w:pPr>
            <w:r>
              <w:rPr>
                <w:rFonts w:ascii="Arial" w:cs="Arial" w:eastAsia="Arial" w:hAnsi="Arial"/>
                <w:sz w:val="14"/>
                <w:szCs w:val="14"/>
                <w:color w:val="auto"/>
              </w:rPr>
              <w:t>Historical net tangible book value (deficit) per share as of December 31, 2015</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9"/>
              <w:spacing w:after="0"/>
              <w:rPr>
                <w:sz w:val="20"/>
                <w:szCs w:val="20"/>
                <w:color w:val="auto"/>
              </w:rPr>
            </w:pPr>
            <w:r>
              <w:rPr>
                <w:rFonts w:ascii="Arial" w:cs="Arial" w:eastAsia="Arial" w:hAnsi="Arial"/>
                <w:sz w:val="14"/>
                <w:szCs w:val="14"/>
                <w:color w:val="auto"/>
              </w:rPr>
              <w:t>(0.87)</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investors in this Offering</w:t>
            </w:r>
          </w:p>
        </w:tc>
        <w:tc>
          <w:tcPr>
            <w:tcW w:w="13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2.58</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5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Pro forma net tangible book value per share as of December 31, 2015, as adjusted to give effect to this Offering</w:t>
            </w:r>
          </w:p>
        </w:tc>
        <w:tc>
          <w:tcPr>
            <w:tcW w:w="136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top w:val="single" w:sz="8" w:color="CCEEFF"/>
            </w:tcBorders>
          </w:tcPr>
          <w:p>
            <w:pPr>
              <w:spacing w:after="0"/>
              <w:rPr>
                <w:sz w:val="14"/>
                <w:szCs w:val="14"/>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as adjusted dilution per share to investors in this Offering</w:t>
            </w:r>
          </w:p>
        </w:tc>
        <w:tc>
          <w:tcPr>
            <w:tcW w:w="1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jc w:val="both"/>
        <w:ind w:right="120"/>
        <w:spacing w:after="0" w:line="323" w:lineRule="auto"/>
        <w:rPr>
          <w:sz w:val="20"/>
          <w:szCs w:val="20"/>
          <w:color w:val="auto"/>
        </w:rPr>
      </w:pPr>
      <w:r>
        <w:rPr>
          <w:rFonts w:ascii="Arial" w:cs="Arial" w:eastAsia="Arial" w:hAnsi="Arial"/>
          <w:sz w:val="13"/>
          <w:szCs w:val="13"/>
          <w:color w:val="auto"/>
        </w:rPr>
        <w:t>If the underwriters’ option to purchase additional shares is exercised in full, the pro forma as adjusted net tangible book value per share of our common stock at December 31, 2015, as adjusted to give effect to this Offering, would be $1.88 per share, and the dilution in pro forma net tangible book value per share to new investors in this Offering would be $2.37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outstanding share information set forth above is as of December 31, 2015 and excludes, as of that date:</w:t>
      </w:r>
    </w:p>
    <w:p>
      <w:pPr>
        <w:spacing w:after="0" w:line="180" w:lineRule="exact"/>
        <w:rPr>
          <w:sz w:val="20"/>
          <w:szCs w:val="20"/>
          <w:color w:val="auto"/>
        </w:rPr>
      </w:pPr>
    </w:p>
    <w:p>
      <w:pPr>
        <w:ind w:left="520" w:hanging="30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201" w:lineRule="exact"/>
        <w:rPr>
          <w:rFonts w:ascii="Arial" w:cs="Arial" w:eastAsia="Arial" w:hAnsi="Arial"/>
          <w:sz w:val="14"/>
          <w:szCs w:val="14"/>
          <w:color w:val="auto"/>
        </w:rPr>
      </w:pPr>
    </w:p>
    <w:p>
      <w:pPr>
        <w:ind w:left="520" w:hanging="30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700,491 shares of common stock reserved for issuance in connection with future grants under our stock 2008 Stock Incentive Plan;</w:t>
      </w:r>
    </w:p>
    <w:p>
      <w:pPr>
        <w:spacing w:after="0" w:line="201" w:lineRule="exact"/>
        <w:rPr>
          <w:rFonts w:ascii="Arial" w:cs="Arial" w:eastAsia="Arial" w:hAnsi="Arial"/>
          <w:sz w:val="14"/>
          <w:szCs w:val="14"/>
          <w:color w:val="auto"/>
        </w:rPr>
      </w:pPr>
    </w:p>
    <w:p>
      <w:pPr>
        <w:ind w:left="520" w:hanging="30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4,971,497 shares of common stock reserved for issuance upon exercise of outstanding warrants, which have exercise prices ranging from $7.00 per share to $30.00 per share;</w:t>
      </w:r>
    </w:p>
    <w:p>
      <w:pPr>
        <w:spacing w:after="0" w:line="201" w:lineRule="exact"/>
        <w:rPr>
          <w:rFonts w:ascii="Arial" w:cs="Arial" w:eastAsia="Arial" w:hAnsi="Arial"/>
          <w:sz w:val="14"/>
          <w:szCs w:val="14"/>
          <w:color w:val="auto"/>
        </w:rPr>
      </w:pPr>
    </w:p>
    <w:p>
      <w:pPr>
        <w:ind w:left="520" w:hanging="30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750,000 shares of common stock reserved for issuance upon conversion of our Series A Preferred; and</w:t>
      </w:r>
    </w:p>
    <w:p>
      <w:pPr>
        <w:spacing w:after="0" w:line="179" w:lineRule="exact"/>
        <w:rPr>
          <w:rFonts w:ascii="Arial" w:cs="Arial" w:eastAsia="Arial" w:hAnsi="Arial"/>
          <w:sz w:val="14"/>
          <w:szCs w:val="14"/>
          <w:color w:val="auto"/>
        </w:rPr>
      </w:pPr>
    </w:p>
    <w:p>
      <w:pPr>
        <w:ind w:left="520" w:hanging="30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3,588,863 shares of common stock reserved for issuance upon conversion of our Series B Preferred.</w:t>
      </w:r>
    </w:p>
    <w:p>
      <w:pPr>
        <w:spacing w:after="0" w:line="180" w:lineRule="exact"/>
        <w:rPr>
          <w:sz w:val="20"/>
          <w:szCs w:val="20"/>
          <w:color w:val="auto"/>
        </w:rPr>
      </w:pPr>
    </w:p>
    <w:p>
      <w:pPr>
        <w:jc w:val="both"/>
        <w:ind w:right="540"/>
        <w:spacing w:after="0" w:line="268" w:lineRule="auto"/>
        <w:rPr>
          <w:sz w:val="20"/>
          <w:szCs w:val="20"/>
          <w:color w:val="auto"/>
        </w:rPr>
      </w:pPr>
      <w:r>
        <w:rPr>
          <w:rFonts w:ascii="Arial" w:cs="Arial" w:eastAsia="Arial" w:hAnsi="Arial"/>
          <w:sz w:val="14"/>
          <w:szCs w:val="14"/>
          <w:color w:val="auto"/>
        </w:rPr>
        <w:t>The outstanding share information set forth above does not include up to 2,352,942 shares of common stock issuable upon exercise of warrants being offered in this Offering, shares of Series B Preferred issued subsequent to December 31, 2015, or shares of common stock reserved for issuance upon exchange of our Series C Preferred, as the Series C Preferred was created and issued subsequent to December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capitalization as of December 31, 2015 that is derived from our unaudited financial information included elsewhere in this prospectus:</w:t>
      </w:r>
    </w:p>
    <w:p>
      <w:pPr>
        <w:spacing w:after="0" w:line="180" w:lineRule="exact"/>
        <w:rPr>
          <w:sz w:val="20"/>
          <w:szCs w:val="20"/>
          <w:color w:val="auto"/>
        </w:rPr>
      </w:pPr>
    </w:p>
    <w:p>
      <w:pPr>
        <w:ind w:left="640" w:hanging="364"/>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an actual basis; and</w:t>
      </w:r>
    </w:p>
    <w:p>
      <w:pPr>
        <w:spacing w:after="0" w:line="201" w:lineRule="exact"/>
        <w:rPr>
          <w:rFonts w:ascii="Arial" w:cs="Arial" w:eastAsia="Arial" w:hAnsi="Arial"/>
          <w:sz w:val="14"/>
          <w:szCs w:val="14"/>
          <w:color w:val="auto"/>
        </w:rPr>
      </w:pPr>
    </w:p>
    <w:p>
      <w:pPr>
        <w:ind w:left="640" w:right="40" w:hanging="364"/>
        <w:spacing w:after="0" w:line="323" w:lineRule="auto"/>
        <w:tabs>
          <w:tab w:leader="none" w:pos="6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giving effect to the sale of 2,352,942 shares of common stock in this Offering, at an offering price of $4.24 per share and warrants to purchase up to 2,352,942 shares of common stock in this Offering, at an offering price of $0.01 per warrant, and after deducting underwriting discounts and commissions and estimated offering expenses payable by us.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2015 (amounts in thousands, except per share information)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Long-term debt, excluding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Preferred stock, $0.001 par value, 10,000,000 shares authorized: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Series A Preferred, 500,000 shares authorized and outstanding, actual and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spacing w:after="0" w:line="160" w:lineRule="exact"/>
              <w:rPr>
                <w:sz w:val="20"/>
                <w:szCs w:val="20"/>
                <w:color w:val="auto"/>
              </w:rPr>
            </w:pPr>
            <w:r>
              <w:rPr>
                <w:rFonts w:ascii="Arial" w:cs="Arial" w:eastAsia="Arial" w:hAnsi="Arial"/>
                <w:sz w:val="14"/>
                <w:szCs w:val="14"/>
                <w:color w:val="auto"/>
                <w:w w:val="92"/>
              </w:rPr>
              <w:t>Series B Preferred, 4,000,000 shares authorized and 3,588,863 shares outstanding, actual; 4,000,000 authorized and 1,148,669 shares outstanding, pro</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forma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$0.001 par value, 30,000,000 shares authorized; 1,965,170 shares issued, actual; 7,153,769 shares issued,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125,605</w:t>
            </w:r>
          </w:p>
        </w:tc>
        <w:tc>
          <w:tcPr>
            <w:tcW w:w="1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134,371</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at cost, 135,665 shares, actual; 135,665 shares,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(123,242)</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(123,242)</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(1,598)</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7,170</w:t>
            </w:r>
          </w:p>
        </w:tc>
        <w:tc>
          <w:tcPr>
            <w:tcW w:w="100" w:type="dxa"/>
            <w:vAlign w:val="bottom"/>
            <w:shd w:val="clear" w:color="auto" w:fill="CCEEFF"/>
          </w:tcPr>
          <w:p>
            <w:pPr>
              <w:spacing w:after="0"/>
              <w:rPr>
                <w:sz w:val="14"/>
                <w:szCs w:val="14"/>
                <w:color w:val="auto"/>
              </w:rPr>
            </w:pP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100"/>
              <w:spacing w:after="0"/>
              <w:rPr>
                <w:sz w:val="20"/>
                <w:szCs w:val="20"/>
                <w:color w:val="auto"/>
              </w:rPr>
            </w:pPr>
            <w:r>
              <w:rPr>
                <w:rFonts w:ascii="Arial" w:cs="Arial" w:eastAsia="Arial" w:hAnsi="Arial"/>
                <w:sz w:val="14"/>
                <w:szCs w:val="14"/>
                <w:color w:val="auto"/>
              </w:rPr>
              <w:t>Total capitalization</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17,125</w:t>
            </w:r>
          </w:p>
        </w:tc>
        <w:tc>
          <w:tcPr>
            <w:tcW w:w="100" w:type="dxa"/>
            <w:vAlign w:val="bottom"/>
          </w:tcPr>
          <w:p>
            <w:pPr>
              <w:spacing w:after="0"/>
              <w:rPr>
                <w:sz w:val="14"/>
                <w:szCs w:val="14"/>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Common stock outstanding in the table above excludes the following shares as of December 31, 2015:</w:t>
      </w:r>
    </w:p>
    <w:p>
      <w:pPr>
        <w:spacing w:after="0" w:line="180" w:lineRule="exact"/>
        <w:rPr>
          <w:sz w:val="20"/>
          <w:szCs w:val="20"/>
          <w:color w:val="auto"/>
        </w:rPr>
      </w:pPr>
    </w:p>
    <w:p>
      <w:pPr>
        <w:ind w:left="520" w:hanging="30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201" w:lineRule="exact"/>
        <w:rPr>
          <w:rFonts w:ascii="Arial" w:cs="Arial" w:eastAsia="Arial" w:hAnsi="Arial"/>
          <w:sz w:val="14"/>
          <w:szCs w:val="14"/>
          <w:color w:val="auto"/>
        </w:rPr>
      </w:pPr>
    </w:p>
    <w:p>
      <w:pPr>
        <w:ind w:left="520" w:hanging="30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710,850 shares of common stock reserved for issuance in connection with future grants under our stock 2008 Stock Incentive Plan;</w:t>
      </w:r>
    </w:p>
    <w:p>
      <w:pPr>
        <w:spacing w:after="0" w:line="201" w:lineRule="exact"/>
        <w:rPr>
          <w:rFonts w:ascii="Arial" w:cs="Arial" w:eastAsia="Arial" w:hAnsi="Arial"/>
          <w:sz w:val="14"/>
          <w:szCs w:val="14"/>
          <w:color w:val="auto"/>
        </w:rPr>
      </w:pPr>
    </w:p>
    <w:p>
      <w:pPr>
        <w:ind w:left="520" w:hanging="302"/>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4,971,497 shares of common stock reserved for issuance upon exercise of outstanding warrants, which have exercise prices ranging from $7.00 per share to $30.00 per share; and</w:t>
      </w:r>
    </w:p>
    <w:p>
      <w:pPr>
        <w:spacing w:after="0" w:line="191" w:lineRule="exact"/>
        <w:rPr>
          <w:rFonts w:ascii="Arial" w:cs="Arial" w:eastAsia="Arial" w:hAnsi="Arial"/>
          <w:sz w:val="13"/>
          <w:szCs w:val="13"/>
          <w:color w:val="auto"/>
        </w:rPr>
      </w:pPr>
    </w:p>
    <w:p>
      <w:pPr>
        <w:ind w:left="520" w:hanging="30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2,352,942 shares of common stock issuable upon exercise of warrants to be issued to purchasers in this Offering at an exercise price of $5.30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FINANCIAL DATA</w:t>
      </w:r>
    </w:p>
    <w:p>
      <w:pPr>
        <w:spacing w:after="0" w:line="205"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following selected consolidated financial data of VistaGen Therapeutics, Inc. should be read in conjunction with, and are qualified by reference to, the section titled “</w:t>
      </w:r>
      <w:r>
        <w:rPr>
          <w:rFonts w:ascii="Arial" w:cs="Arial" w:eastAsia="Arial" w:hAnsi="Arial"/>
          <w:sz w:val="13"/>
          <w:szCs w:val="13"/>
          <w:i w:val="1"/>
          <w:iCs w:val="1"/>
          <w:color w:val="auto"/>
        </w:rPr>
        <w:t>Management’s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 of Financial Condition and Results of Operations</w:t>
      </w:r>
      <w:r>
        <w:rPr>
          <w:rFonts w:ascii="Arial" w:cs="Arial" w:eastAsia="Arial" w:hAnsi="Arial"/>
          <w:sz w:val="13"/>
          <w:szCs w:val="13"/>
          <w:color w:val="auto"/>
        </w:rPr>
        <w:t>” and the consolidated financial statements and notes thereto included elsewhere in this prospectus. The consolidated statement of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data for the years ended March 31, 2015 and 2014, and the consolidated balance sheet data as of March 31, 2015 and 2014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nine month periods ended December 31, 2015 and 2014 and the consolidated balance sheet data as of December 31, 2015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nine months ended December 31, 2015 are not necessarily indicative of results to be expected for the full year or any other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line="160" w:lineRule="exact"/>
              <w:rPr>
                <w:sz w:val="20"/>
                <w:szCs w:val="20"/>
                <w:color w:val="auto"/>
              </w:rPr>
            </w:pPr>
            <w:r>
              <w:rPr>
                <w:rFonts w:ascii="Arial" w:cs="Arial" w:eastAsia="Arial" w:hAnsi="Arial"/>
                <w:sz w:val="14"/>
                <w:szCs w:val="14"/>
                <w:b w:val="1"/>
                <w:bCs w:val="1"/>
                <w:color w:val="auto"/>
              </w:rPr>
              <w:t>Consolidated Statement of Operations Data:</w:t>
            </w: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w w:val="87"/>
              </w:rPr>
              <w:t>(in thousands, except</w:t>
            </w:r>
          </w:p>
        </w:tc>
        <w:tc>
          <w:tcPr>
            <w:tcW w:w="100" w:type="dxa"/>
            <w:vAlign w:val="bottom"/>
          </w:tcPr>
          <w:p>
            <w:pPr>
              <w:spacing w:after="0"/>
              <w:rPr>
                <w:sz w:val="13"/>
                <w:szCs w:val="13"/>
                <w:color w:val="auto"/>
              </w:rPr>
            </w:pPr>
          </w:p>
        </w:tc>
        <w:tc>
          <w:tcPr>
            <w:tcW w:w="1280" w:type="dxa"/>
            <w:vAlign w:val="bottom"/>
            <w:gridSpan w:val="3"/>
          </w:tcPr>
          <w:p>
            <w:pPr>
              <w:jc w:val="right"/>
              <w:ind w:right="29"/>
              <w:spacing w:after="0" w:line="160" w:lineRule="exact"/>
              <w:rPr>
                <w:sz w:val="20"/>
                <w:szCs w:val="20"/>
                <w:color w:val="auto"/>
              </w:rPr>
            </w:pPr>
            <w:r>
              <w:rPr>
                <w:rFonts w:ascii="Arial" w:cs="Arial" w:eastAsia="Arial" w:hAnsi="Arial"/>
                <w:sz w:val="14"/>
                <w:szCs w:val="14"/>
                <w:b w:val="1"/>
                <w:bCs w:val="1"/>
                <w:color w:val="auto"/>
                <w:w w:val="89"/>
              </w:rPr>
              <w:t>per share amounts)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6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2,835</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6,515</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9,350</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(9,350)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(770)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warrant liabilities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(1,895)</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Loss on early extinguishment of debt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(26,700)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expense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(38,717)</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(38,719)</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dividend on Series B Preferred Stock</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(1,459)</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860" w:type="dxa"/>
            <w:vAlign w:val="bottom"/>
          </w:tcPr>
          <w:p>
            <w:pPr>
              <w:ind w:left="160"/>
              <w:spacing w:after="0"/>
              <w:rPr>
                <w:sz w:val="20"/>
                <w:szCs w:val="20"/>
                <w:color w:val="auto"/>
              </w:rPr>
            </w:pPr>
            <w:r>
              <w:rPr>
                <w:rFonts w:ascii="Arial" w:cs="Arial" w:eastAsia="Arial" w:hAnsi="Arial"/>
                <w:sz w:val="14"/>
                <w:szCs w:val="14"/>
                <w:color w:val="auto"/>
              </w:rPr>
              <w:t>Deemed dividend on Series B Preferred Units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(1,812)</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(41,990)</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(25.45)</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(25.45 )$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1,318,797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1,098,742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1,650,160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1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1,318,797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1,099,216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1,650,160</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1,288,674</w:t>
            </w:r>
          </w:p>
        </w:tc>
        <w:tc>
          <w:tcPr>
            <w:tcW w:w="0" w:type="dxa"/>
            <w:vAlign w:val="bottom"/>
          </w:tcPr>
          <w:p>
            <w:pPr>
              <w:spacing w:after="0"/>
              <w:rPr>
                <w:sz w:val="1"/>
                <w:szCs w:val="1"/>
                <w:color w:val="auto"/>
              </w:rPr>
            </w:pPr>
          </w:p>
        </w:tc>
      </w:tr>
      <w:tr>
        <w:trPr>
          <w:trHeight w:val="330"/>
        </w:trPr>
        <w:tc>
          <w:tcPr>
            <w:tcW w:w="48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7"/>
              </w:rPr>
              <w:t>As of December</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As of 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center"/>
              <w:ind w:right="349"/>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Total assets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9"/>
              <w:spacing w:after="0"/>
              <w:rPr>
                <w:sz w:val="20"/>
                <w:szCs w:val="20"/>
                <w:color w:val="auto"/>
              </w:rPr>
            </w:pPr>
            <w:r>
              <w:rPr>
                <w:rFonts w:ascii="Arial" w:cs="Arial" w:eastAsia="Arial" w:hAnsi="Arial"/>
                <w:sz w:val="14"/>
                <w:szCs w:val="14"/>
                <w:color w:val="auto"/>
              </w:rPr>
              <w:t>270</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notes payable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13,930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2,129</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Working capital</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(17,282)</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(5,165)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and preferred stock additional paid-in capital</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67,948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62,003</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125,611</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(20,543)</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(12,780)</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468"/>
        </w:trPr>
        <w:tc>
          <w:tcPr>
            <w:tcW w:w="4860" w:type="dxa"/>
            <w:vAlign w:val="bottom"/>
          </w:tcPr>
          <w:p>
            <w:pPr>
              <w:spacing w:after="0"/>
              <w:rPr>
                <w:sz w:val="24"/>
                <w:szCs w:val="24"/>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Overview</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CNS. Our lead product candidate, AV-101, is a next generation, orally available prodrug candidate in Phase 2 development, initially for the adjunctive treatment of MDD in patients with an inadequate response to standard antidepressants.</w:t>
      </w:r>
    </w:p>
    <w:p>
      <w:pPr>
        <w:spacing w:after="0" w:line="16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AV-101’s mechanism of action, as an NMDAR antagonist binding selectively at the GlyB co-agonist site of the NMDAR, is fundamentally differentiated from all standard antidepressants, as well as all atypical antipsychotics used adjunctively with standard antidepressants, currently approved by the FDA.</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NIMH under our February 2015 CRADA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I.V. ketamine on depression. These NIMH studies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56"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MGH Research Institute and Executive Director, MGH Clinical Trials Network and Institute, will be the Principal Investigator of our Phase 2b study.</w:t>
      </w:r>
    </w:p>
    <w:p>
      <w:pPr>
        <w:spacing w:after="0" w:line="167"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In addition to clinical development of AV-101, we are also focused on establishing strategic collaborations to advance potential commercial applications of our hPSC technology platform, including drug rescue to develop proprietary NCEs for our internal drug candidate pipeline, and RM using blood, cartilage, heart and liver cells derived from our hPSC technology.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Merger</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 owned subsidiary. Excaliber Enterprises, Ltd. (</w:t>
      </w:r>
      <w:r>
        <w:rPr>
          <w:rFonts w:ascii="Arial" w:cs="Arial" w:eastAsia="Arial" w:hAnsi="Arial"/>
          <w:sz w:val="14"/>
          <w:szCs w:val="14"/>
          <w:i w:val="1"/>
          <w:iCs w:val="1"/>
          <w:color w:val="auto"/>
        </w:rPr>
        <w:t>Excaliber</w:t>
      </w:r>
      <w:r>
        <w:rPr>
          <w:rFonts w:ascii="Arial" w:cs="Arial" w:eastAsia="Arial" w:hAnsi="Arial"/>
          <w:sz w:val="14"/>
          <w:szCs w:val="14"/>
          <w:color w:val="auto"/>
        </w:rPr>
        <w:t xml:space="preserve">), a publicly 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4"/>
          <w:szCs w:val="14"/>
          <w:i w:val="1"/>
          <w:iCs w:val="1"/>
          <w:color w:val="auto"/>
        </w:rPr>
        <w:t>Merger</w:t>
      </w:r>
      <w:r>
        <w:rPr>
          <w:rFonts w:ascii="Arial" w:cs="Arial" w:eastAsia="Arial" w:hAnsi="Arial"/>
          <w:sz w:val="14"/>
          <w:szCs w:val="14"/>
          <w:color w:val="auto"/>
        </w:rPr>
        <w:t>). Shortly after the Merger, Excaliber’s name was changed to “VistaGen Therapeutics, Inc.” (a Nevada corporation).</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4"/>
          <w:szCs w:val="14"/>
          <w:i w:val="1"/>
          <w:iCs w:val="1"/>
          <w:color w:val="auto"/>
        </w:rPr>
        <w:t>Artemis</w:t>
      </w:r>
      <w:r>
        <w:rPr>
          <w:rFonts w:ascii="Arial" w:cs="Arial" w:eastAsia="Arial" w:hAnsi="Arial"/>
          <w:sz w:val="14"/>
          <w:szCs w:val="14"/>
          <w:color w:val="auto"/>
        </w:rPr>
        <w:t>), and VistaStem Canada, Inc., a corporation organized under the laws of Ontario, Canada (</w:t>
      </w:r>
      <w:r>
        <w:rPr>
          <w:rFonts w:ascii="Arial" w:cs="Arial" w:eastAsia="Arial" w:hAnsi="Arial"/>
          <w:sz w:val="14"/>
          <w:szCs w:val="14"/>
          <w:i w:val="1"/>
          <w:iCs w:val="1"/>
          <w:color w:val="auto"/>
        </w:rPr>
        <w:t>VistaStem Canada</w:t>
      </w:r>
      <w:r>
        <w:rPr>
          <w:rFonts w:ascii="Arial" w:cs="Arial" w:eastAsia="Arial" w:hAnsi="Arial"/>
          <w:sz w:val="14"/>
          <w:szCs w:val="14"/>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not yet achieved revenue-generating status from any of our product candidates. Since inception, we have devoted substantially all of our time and efforts developing AV-101 from early preclinical studies to our ongoing Phase 2a clinical study in MDD, as well as stem cell research and bioassay development, small molecule drug development, and creating, protecting and patenting intellectual property, with the corollary initiatives of recruiting personnel and raising working capital. As of December 31, 2015, we had an accumulated deficit of approximately $123.2 million. Our net loss for the nine month period ended December 31, 2015 was $38.7 million, including a non-cash loss of approximately $26.7 million attributable to converting over $17.2 million of our indebtedness into equity securities between May 2015 and August 2015. Our net loss for the nine-month period ended December 31, 2014 was $7.7 million. We expect losses to continue for the foreseeable future, primarily related to our further development of AV-101 for MDD and additional CNS indications.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Fiscal Year 2015 and Nine-Months Ended December 31, 2015</w:t>
      </w:r>
    </w:p>
    <w:p>
      <w:pPr>
        <w:spacing w:after="0" w:line="201"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our financial resources have been limited, we have continued to advance development of AV-101 for MDD and other CNS indications and explore NCE drug rescue and regenerative medicine opportunities related to our stem cell technology platform. Pursuant to our February 2015 CRADA with the NIH, the NIH is funding and conducting our Phase 2 clinical study of AV-101 in MDD.</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Throughout fiscal 2014 and 2015 and the nine months ended December 31, 2015,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Among our most significant accomplishments during the nine months ended December 31, 2015 have been the following: (i) entering into our CRADA with the NIMH; (ii) launching, under the CRADA, our NIH-funded Phase 2a clinical study of AV-101 in subjects with treatment-resistant MDD,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both Dr. Maurizio Fava, Professor of Psychiatry at Harvard Medical School and Director of the Division of Clinical Research of the Massachusetts General Hospital Research Institute, and Dr. Gerard Sanacora, Associate Professor at Yale School of Medicine and Director of the Yale Depression Research Program; (iv) publishing AV-101 preclinical data in the October 2015 issue of the peer-reviewed, Journal of Pharmacology and Experimental Therapeutics, in an article entitled “The prodrug 4-chlorokynurenine causes ketamine-like antidepressant effects, but not side effects, by NMDA/glycineB-site inhibition;” (v) successfully negotiating, extinguishing and converting (in self-placed private placement transactions) approximately $17.2 million (substantially all) of our outstanding indebtedness into our equity securities; and (vi) completing self-placed private placement transactions with accredited investors thereby providing additional operating capital through the sale of our equity securities.</w:t>
      </w:r>
    </w:p>
    <w:p>
      <w:pPr>
        <w:spacing w:after="0" w:line="177"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December 31, 2015, we entered into self-placed private placement transactions involving securities purchase agreements with accredited investors, pursuant to which we sold Series B Preferred Units, for aggregate cash proceeds of approximately $4.3 million, consisting of an aggregate of</w:t>
      </w:r>
    </w:p>
    <w:p>
      <w:pPr>
        <w:spacing w:after="0" w:line="2" w:lineRule="exact"/>
        <w:rPr>
          <w:sz w:val="20"/>
          <w:szCs w:val="20"/>
          <w:color w:val="auto"/>
        </w:rPr>
      </w:pPr>
    </w:p>
    <w:p>
      <w:pPr>
        <w:ind w:firstLine="5"/>
        <w:spacing w:after="0" w:line="307" w:lineRule="auto"/>
        <w:tabs>
          <w:tab w:leader="none" w:pos="169" w:val="left"/>
        </w:tabs>
        <w:numPr>
          <w:ilvl w:val="0"/>
          <w:numId w:val="32"/>
        </w:numPr>
        <w:rPr>
          <w:rFonts w:ascii="Arial" w:cs="Arial" w:eastAsia="Arial" w:hAnsi="Arial"/>
          <w:sz w:val="13"/>
          <w:szCs w:val="13"/>
          <w:color w:val="auto"/>
        </w:rPr>
      </w:pPr>
      <w:r>
        <w:rPr>
          <w:rFonts w:ascii="Arial" w:cs="Arial" w:eastAsia="Arial" w:hAnsi="Arial"/>
          <w:sz w:val="13"/>
          <w:szCs w:val="13"/>
          <w:color w:val="auto"/>
        </w:rPr>
        <w:t>628,264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and (ii) five-year warrants to purchase an aggregate of 628,264 shares of our common stock. In connection with the foregoing self-placed private placement transactions, from April 1, 2015 and December 31, 2015, we received aggregate cash proceeds of approximately $4.6 million.</w:t>
      </w:r>
    </w:p>
    <w:p>
      <w:pPr>
        <w:spacing w:after="0" w:line="140"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the nine months ended December 31, 2015 materially reduced our cash requirements for debt service.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 reported no revenue for the fiscal years ended March 31, 2015 or 2014, or for the nine months ended December 31, 2015. We have successfully completed our Phase 1 clinical development of AV-101, our orally available, next generation prodrug candidate in clinical development for the treatment of MDD, with additional potential as a new therapy for neuropathic pain, epilepsy, Parkinson’s disease and Huntington’s disease. Additionally, as indicated previously, we have entered into a CRADA with the NIH providing for an NIH-sponsored Phase 2 clinical study of AV-101 in MDD beginning in Fall 2015. We presently have no revenue generating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8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03" w:lineRule="exact"/>
        <w:rPr>
          <w:sz w:val="20"/>
          <w:szCs w:val="20"/>
          <w:color w:val="auto"/>
        </w:rPr>
      </w:pPr>
    </w:p>
    <w:p>
      <w:pPr>
        <w:ind w:left="480" w:hanging="475"/>
        <w:spacing w:after="0"/>
        <w:tabs>
          <w:tab w:leader="none" w:pos="48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salaries and benefits, including stock-based compensation costs, travel and related expense for personnel associated with internal research and development activities;</w:t>
      </w:r>
    </w:p>
    <w:p>
      <w:pPr>
        <w:spacing w:after="0" w:line="12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3"/>
        </w:numPr>
        <w:rPr>
          <w:rFonts w:ascii="Arial" w:cs="Arial" w:eastAsia="Arial" w:hAnsi="Arial"/>
          <w:sz w:val="19"/>
          <w:szCs w:val="19"/>
          <w:color w:val="auto"/>
          <w:vertAlign w:val="superscript"/>
        </w:rPr>
      </w:pPr>
      <w:r>
        <w:rPr>
          <w:rFonts w:ascii="Arial" w:cs="Arial" w:eastAsia="Arial" w:hAnsi="Arial"/>
          <w:sz w:val="13"/>
          <w:szCs w:val="13"/>
          <w:color w:val="auto"/>
        </w:rPr>
        <w:t>fees to contract research organizations and other professional service providers for services related to the conduct and analysis of clinical trials and other drug development activities;</w:t>
      </w:r>
    </w:p>
    <w:p>
      <w:pPr>
        <w:spacing w:after="0" w:line="110" w:lineRule="exact"/>
        <w:rPr>
          <w:rFonts w:ascii="Arial" w:cs="Arial" w:eastAsia="Arial" w:hAnsi="Arial"/>
          <w:sz w:val="19"/>
          <w:szCs w:val="19"/>
          <w:color w:val="auto"/>
          <w:vertAlign w:val="superscript"/>
        </w:rPr>
      </w:pPr>
    </w:p>
    <w:p>
      <w:pPr>
        <w:ind w:left="480" w:hanging="475"/>
        <w:spacing w:after="0"/>
        <w:tabs>
          <w:tab w:leader="none" w:pos="48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fees to third parties for access to licensed technology and costs associated with securing and maintaining patents related to our internally generated inventions:</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laboratory supplies and materials;</w:t>
      </w:r>
    </w:p>
    <w:p>
      <w:pPr>
        <w:spacing w:after="0" w:line="132"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leasing and depreciation of laboratory equipment; and</w:t>
      </w:r>
    </w:p>
    <w:p>
      <w:pPr>
        <w:spacing w:after="0" w:line="110" w:lineRule="exact"/>
        <w:rPr>
          <w:rFonts w:ascii="Arial" w:cs="Arial" w:eastAsia="Arial" w:hAnsi="Arial"/>
          <w:sz w:val="20"/>
          <w:szCs w:val="20"/>
          <w:color w:val="auto"/>
          <w:vertAlign w:val="superscript"/>
        </w:rPr>
      </w:pPr>
    </w:p>
    <w:p>
      <w:pPr>
        <w:ind w:left="480" w:hanging="475"/>
        <w:spacing w:after="0"/>
        <w:tabs>
          <w:tab w:leader="none" w:pos="480" w:val="left"/>
        </w:tabs>
        <w:numPr>
          <w:ilvl w:val="0"/>
          <w:numId w:val="33"/>
        </w:numPr>
        <w:rPr>
          <w:rFonts w:ascii="Arial" w:cs="Arial" w:eastAsia="Arial" w:hAnsi="Arial"/>
          <w:sz w:val="20"/>
          <w:szCs w:val="20"/>
          <w:color w:val="auto"/>
          <w:vertAlign w:val="superscript"/>
        </w:rPr>
      </w:pPr>
      <w:r>
        <w:rPr>
          <w:rFonts w:ascii="Arial" w:cs="Arial" w:eastAsia="Arial" w:hAnsi="Arial"/>
          <w:sz w:val="14"/>
          <w:szCs w:val="14"/>
          <w:color w:val="auto"/>
        </w:rPr>
        <w:t>allocated costs of facilities and infrastructure.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4"/>
          <w:szCs w:val="14"/>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4"/>
          <w:szCs w:val="14"/>
          <w:i w:val="1"/>
          <w:iCs w:val="1"/>
          <w:color w:val="auto"/>
        </w:rPr>
        <w:t>GAAP</w:t>
      </w:r>
      <w:r>
        <w:rPr>
          <w:rFonts w:ascii="Arial" w:cs="Arial" w:eastAsia="Arial" w:hAnsi="Arial"/>
          <w:sz w:val="14"/>
          <w:szCs w:val="14"/>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4"/>
          <w:szCs w:val="14"/>
          <w:i w:val="1"/>
          <w:iCs w:val="1"/>
          <w:color w:val="auto"/>
        </w:rPr>
        <w:t>Revenue Recognition Revised and Updated</w:t>
      </w:r>
      <w:r>
        <w:rPr>
          <w:rFonts w:ascii="Arial" w:cs="Arial" w:eastAsia="Arial" w:hAnsi="Arial"/>
          <w:sz w:val="14"/>
          <w:szCs w:val="14"/>
          <w:color w:val="auto"/>
        </w:rPr>
        <w:t xml:space="preserve"> (</w:t>
      </w:r>
      <w:r>
        <w:rPr>
          <w:rFonts w:ascii="Arial" w:cs="Arial" w:eastAsia="Arial" w:hAnsi="Arial"/>
          <w:sz w:val="14"/>
          <w:szCs w:val="14"/>
          <w:i w:val="1"/>
          <w:iCs w:val="1"/>
          <w:color w:val="auto"/>
        </w:rPr>
        <w:t>SAB 104</w:t>
      </w:r>
      <w:r>
        <w:rPr>
          <w:rFonts w:ascii="Arial" w:cs="Arial" w:eastAsia="Arial" w:hAnsi="Arial"/>
          <w:sz w:val="14"/>
          <w:szCs w:val="14"/>
          <w:color w:val="auto"/>
        </w:rPr>
        <w:t>) and Accounting Standards Codification (</w:t>
      </w:r>
      <w:r>
        <w:rPr>
          <w:rFonts w:ascii="Arial" w:cs="Arial" w:eastAsia="Arial" w:hAnsi="Arial"/>
          <w:sz w:val="14"/>
          <w:szCs w:val="14"/>
          <w:i w:val="1"/>
          <w:iCs w:val="1"/>
          <w:color w:val="auto"/>
        </w:rPr>
        <w:t>ASC</w:t>
      </w:r>
      <w:r>
        <w:rPr>
          <w:rFonts w:ascii="Arial" w:cs="Arial" w:eastAsia="Arial" w:hAnsi="Arial"/>
          <w:sz w:val="14"/>
          <w:szCs w:val="14"/>
          <w:color w:val="auto"/>
        </w:rPr>
        <w:t xml:space="preserve">) 605-25, </w:t>
      </w:r>
      <w:r>
        <w:rPr>
          <w:rFonts w:ascii="Arial" w:cs="Arial" w:eastAsia="Arial" w:hAnsi="Arial"/>
          <w:sz w:val="14"/>
          <w:szCs w:val="14"/>
          <w:i w:val="1"/>
          <w:iCs w:val="1"/>
          <w:color w:val="auto"/>
        </w:rPr>
        <w:t>Revenue Arrangements-Multiple Element Arrangements</w:t>
      </w:r>
      <w:r>
        <w:rPr>
          <w:rFonts w:ascii="Arial" w:cs="Arial" w:eastAsia="Arial" w:hAnsi="Arial"/>
          <w:sz w:val="14"/>
          <w:szCs w:val="14"/>
          <w:color w:val="auto"/>
        </w:rPr>
        <w:t xml:space="preserve"> (</w:t>
      </w:r>
      <w:r>
        <w:rPr>
          <w:rFonts w:ascii="Arial" w:cs="Arial" w:eastAsia="Arial" w:hAnsi="Arial"/>
          <w:sz w:val="14"/>
          <w:szCs w:val="14"/>
          <w:i w:val="1"/>
          <w:iCs w:val="1"/>
          <w:color w:val="auto"/>
        </w:rPr>
        <w:t>ASC 605-25</w:t>
      </w:r>
      <w:r>
        <w:rPr>
          <w:rFonts w:ascii="Arial" w:cs="Arial" w:eastAsia="Arial" w:hAnsi="Arial"/>
          <w:sz w:val="14"/>
          <w:szCs w:val="14"/>
          <w:color w:val="auto"/>
        </w:rPr>
        <w:t>). Revenue for 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w:t>
      </w:r>
      <w:r>
        <w:rPr>
          <w:rFonts w:ascii="Arial" w:cs="Arial" w:eastAsia="Arial" w:hAnsi="Arial"/>
          <w:sz w:val="14"/>
          <w:szCs w:val="14"/>
          <w:i w:val="1"/>
          <w:iCs w:val="1"/>
          <w:color w:val="auto"/>
        </w:rPr>
        <w:t>VSOE</w:t>
      </w:r>
      <w:r>
        <w:rPr>
          <w:rFonts w:ascii="Arial" w:cs="Arial" w:eastAsia="Arial" w:hAnsi="Arial"/>
          <w:sz w:val="14"/>
          <w:szCs w:val="14"/>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6" w:lineRule="exact"/>
        <w:rPr>
          <w:sz w:val="20"/>
          <w:szCs w:val="20"/>
          <w:color w:val="auto"/>
        </w:rPr>
      </w:pPr>
    </w:p>
    <w:p>
      <w:pPr>
        <w:ind w:right="10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480" w:right="180" w:hanging="475"/>
        <w:spacing w:after="0" w:line="263" w:lineRule="auto"/>
        <w:tabs>
          <w:tab w:leader="none" w:pos="48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480" w:right="120" w:hanging="475"/>
        <w:spacing w:after="0" w:line="242" w:lineRule="auto"/>
        <w:tabs>
          <w:tab w:leader="none" w:pos="48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81" w:lineRule="exact"/>
        <w:rPr>
          <w:rFonts w:ascii="Arial" w:cs="Arial" w:eastAsia="Arial" w:hAnsi="Arial"/>
          <w:sz w:val="19"/>
          <w:szCs w:val="19"/>
          <w:color w:val="auto"/>
          <w:vertAlign w:val="superscript"/>
        </w:rPr>
      </w:pPr>
    </w:p>
    <w:p>
      <w:pPr>
        <w:ind w:left="480" w:right="40" w:hanging="475"/>
        <w:spacing w:after="0" w:line="215" w:lineRule="auto"/>
        <w:tabs>
          <w:tab w:leader="none" w:pos="480"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accordance with ASC 360-10</w:t>
      </w:r>
      <w:r>
        <w:rPr>
          <w:rFonts w:ascii="Arial" w:cs="Arial" w:eastAsia="Arial" w:hAnsi="Arial"/>
          <w:sz w:val="14"/>
          <w:szCs w:val="14"/>
          <w:i w:val="1"/>
          <w:iCs w:val="1"/>
          <w:color w:val="auto"/>
        </w:rPr>
        <w:t>, Property, Plant &amp; Equipment -Overall</w:t>
      </w:r>
      <w:r>
        <w:rPr>
          <w:rFonts w:ascii="Arial" w:cs="Arial" w:eastAsia="Arial" w:hAnsi="Arial"/>
          <w:sz w:val="14"/>
          <w:szCs w:val="14"/>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MDD,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We use the Black-Scholes option-pricing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Liability</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issued to Platinum Long Term Growth VII, LLC, our largest investor (</w:t>
      </w:r>
      <w:r>
        <w:rPr>
          <w:rFonts w:ascii="Arial" w:cs="Arial" w:eastAsia="Arial" w:hAnsi="Arial"/>
          <w:sz w:val="14"/>
          <w:szCs w:val="14"/>
          <w:i w:val="1"/>
          <w:iCs w:val="1"/>
          <w:color w:val="auto"/>
        </w:rPr>
        <w:t>Platinum</w:t>
      </w:r>
      <w:r>
        <w:rPr>
          <w:rFonts w:ascii="Arial" w:cs="Arial" w:eastAsia="Arial" w:hAnsi="Arial"/>
          <w:sz w:val="14"/>
          <w:szCs w:val="14"/>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Notwithstanding the foregoing, and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Note 3 to the Consolidated Financial Statements included in in this prospectus for information on recent accounting pronouncements.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Comparison of Years Ended March 31, 2015 and 2014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840" w:type="dxa"/>
            <w:vAlign w:val="bottom"/>
            <w:gridSpan w:val="2"/>
          </w:tcPr>
          <w:p>
            <w:pPr>
              <w:spacing w:after="0"/>
              <w:rPr>
                <w:sz w:val="20"/>
                <w:szCs w:val="20"/>
                <w:color w:val="auto"/>
              </w:rPr>
            </w:pPr>
            <w:r>
              <w:rPr>
                <w:rFonts w:ascii="Arial" w:cs="Arial" w:eastAsia="Arial" w:hAnsi="Arial"/>
                <w:sz w:val="14"/>
                <w:szCs w:val="14"/>
                <w:color w:val="auto"/>
              </w:rPr>
              <w:t>The following table summarizes the results of our operations for the fiscal years ended March 31, 2015 and 2014 (amounts in $000):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(6,777)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Change in warrant liabilities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(2,388)</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expense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before income taxes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jc w:val="both"/>
        <w:ind w:right="40"/>
        <w:spacing w:after="0" w:line="283" w:lineRule="auto"/>
        <w:rPr>
          <w:sz w:val="20"/>
          <w:szCs w:val="20"/>
          <w:color w:val="auto"/>
        </w:rPr>
      </w:pPr>
      <w:r>
        <w:rPr>
          <w:rFonts w:ascii="Arial" w:cs="Arial" w:eastAsia="Arial" w:hAnsi="Arial"/>
          <w:sz w:val="14"/>
          <w:szCs w:val="14"/>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MDD, which study began in October 2015.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Research and development expense decreased by 2% in fiscal 2015 compared to fiscal 2014. The following table compares the primary components of research and development expense between the periods (in $000):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849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UHN research under SRCA</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Consulting services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licenses and royalties</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Project-related third-party research and supplies: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AV-101</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All other including CardioSafe and LiverSafe</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1"/>
        </w:trPr>
        <w:tc>
          <w:tcPr>
            <w:tcW w:w="420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Rent</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All other</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4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40" w:type="dxa"/>
            <w:vAlign w:val="bottom"/>
            <w:vMerge w:val="restart"/>
          </w:tcPr>
          <w:p>
            <w:pPr>
              <w:jc w:val="right"/>
              <w:ind w:right="2909"/>
              <w:spacing w:after="0"/>
              <w:rPr>
                <w:sz w:val="20"/>
                <w:szCs w:val="20"/>
                <w:color w:val="auto"/>
              </w:rPr>
            </w:pPr>
            <w:r>
              <w:rPr>
                <w:rFonts w:ascii="Arial" w:cs="Arial" w:eastAsia="Arial" w:hAnsi="Arial"/>
                <w:sz w:val="14"/>
                <w:szCs w:val="14"/>
                <w:color w:val="auto"/>
              </w:rPr>
              <w:t>-49-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200" w:type="dxa"/>
            <w:vAlign w:val="bottom"/>
            <w:tcBorders>
              <w:bottom w:val="single" w:sz="8" w:color="808080"/>
            </w:tcBorders>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2"/>
          <w:szCs w:val="12"/>
          <w:color w:val="auto"/>
        </w:rPr>
        <w:t>To conserve cash resources, during fiscal 2015 and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41"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In January 2015, we granted five-year fully exercisable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 vested in October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advisory board.</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63"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rent expense versus FY 2014 reflects the full-year impact of rental costs related to our relocation to our current facilities in late-July 2013.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General and administrative expense increased by 70% in fiscal 2015 compared to fiscal 2014. The following table compares the primary components of general and administrative expense between the periods (in $000):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Fiscal Years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550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714</w:t>
            </w:r>
          </w:p>
        </w:tc>
        <w:tc>
          <w:tcPr>
            <w:tcW w:w="780" w:type="dxa"/>
            <w:vAlign w:val="bottom"/>
            <w:shd w:val="clear" w:color="auto" w:fill="CCEEFF"/>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1,611</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1,197</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Insurance</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Travel and entertainment</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Rent and utilities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155</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Arial" w:cs="Arial" w:eastAsia="Arial" w:hAnsi="Arial"/>
                <w:sz w:val="14"/>
                <w:szCs w:val="14"/>
                <w:color w:val="auto"/>
              </w:rPr>
              <w:t>All other expenses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550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780" w:type="dxa"/>
            <w:vAlign w:val="bottom"/>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2,548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740" w:type="dxa"/>
            <w:vAlign w:val="bottom"/>
            <w:vMerge w:val="restart"/>
          </w:tcPr>
          <w:p>
            <w:pPr>
              <w:jc w:val="right"/>
              <w:ind w:right="2909"/>
              <w:spacing w:after="0"/>
              <w:rPr>
                <w:sz w:val="20"/>
                <w:szCs w:val="20"/>
                <w:color w:val="auto"/>
              </w:rPr>
            </w:pPr>
            <w:r>
              <w:rPr>
                <w:rFonts w:ascii="Arial" w:cs="Arial" w:eastAsia="Arial" w:hAnsi="Arial"/>
                <w:sz w:val="14"/>
                <w:szCs w:val="14"/>
                <w:color w:val="auto"/>
              </w:rPr>
              <w:t>-50-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100" w:type="dxa"/>
            <w:vAlign w:val="bottom"/>
            <w:tcBorders>
              <w:bottom w:val="single" w:sz="8" w:color="808080"/>
            </w:tcBorders>
          </w:tcPr>
          <w:p>
            <w:pPr>
              <w:spacing w:after="0"/>
              <w:rPr>
                <w:sz w:val="7"/>
                <w:szCs w:val="7"/>
                <w:color w:val="auto"/>
              </w:rPr>
            </w:pPr>
          </w:p>
        </w:tc>
        <w:tc>
          <w:tcPr>
            <w:tcW w:w="4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To conserve cash resources, during fiscal 2015 and 2014, both Shawn Singh, our Chief Executive Officer (</w:t>
      </w:r>
      <w:r>
        <w:rPr>
          <w:rFonts w:ascii="Arial" w:cs="Arial" w:eastAsia="Arial" w:hAnsi="Arial"/>
          <w:sz w:val="13"/>
          <w:szCs w:val="13"/>
          <w:i w:val="1"/>
          <w:iCs w:val="1"/>
          <w:color w:val="auto"/>
        </w:rPr>
        <w:t>CEO</w:t>
      </w:r>
      <w:r>
        <w:rPr>
          <w:rFonts w:ascii="Arial" w:cs="Arial" w:eastAsia="Arial" w:hAnsi="Arial"/>
          <w:sz w:val="13"/>
          <w:szCs w:val="13"/>
          <w:color w:val="auto"/>
        </w:rPr>
        <w:t>), and Jerrold Dotson, our Chief Financial Officer (</w:t>
      </w:r>
      <w:r>
        <w:rPr>
          <w:rFonts w:ascii="Arial" w:cs="Arial" w:eastAsia="Arial" w:hAnsi="Arial"/>
          <w:sz w:val="13"/>
          <w:szCs w:val="13"/>
          <w:i w:val="1"/>
          <w:iCs w:val="1"/>
          <w:color w:val="auto"/>
        </w:rPr>
        <w:t>CFO</w:t>
      </w:r>
      <w:r>
        <w:rPr>
          <w:rFonts w:ascii="Arial" w:cs="Arial" w:eastAsia="Arial" w:hAnsi="Arial"/>
          <w:sz w:val="13"/>
          <w:szCs w:val="13"/>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In January 2015, we granted five-year fully exercisable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 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reflects fees paid or accrued for the services of the independent members of our Board of Directors.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71"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increase in rent and utilities expense reflects the full-year impact of increased costs related to our relocation to expanded facilities in late-July 2013.</w:t>
      </w:r>
    </w:p>
    <w:p>
      <w:pPr>
        <w:spacing w:after="0" w:line="201"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decrease in other expenses is attributable to one-time relocation costs incurred in fiscal 2014 in connection with our relocation to expanded facilities in late-July 2013.</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3" w:name="page54"/>
    <w:bookmarkEnd w:id="5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The following table compares the primary components of net interest expense between the periods (in $000):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color w:val="auto"/>
                <w:w w:val="98"/>
              </w:rPr>
              <w:t>Fiscal Years Ended March 31,</w:t>
            </w:r>
          </w:p>
        </w:tc>
      </w:tr>
      <w:tr>
        <w:trPr>
          <w:trHeight w:val="172"/>
        </w:trPr>
        <w:tc>
          <w:tcPr>
            <w:tcW w:w="8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70"/>
        </w:trPr>
        <w:tc>
          <w:tcPr>
            <w:tcW w:w="88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1,503</w:t>
            </w:r>
          </w:p>
        </w:tc>
      </w:tr>
      <w:tr>
        <w:trPr>
          <w:trHeight w:val="20"/>
        </w:trPr>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 xml:space="preserve">As described more fully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in the Consolidated Financial Statements for the Years Ended March 31, 2015 and 2014 included in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Nine Months Ended December 31, 2015 and 2014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1"/>
        </w:trPr>
        <w:tc>
          <w:tcPr>
            <w:tcW w:w="8840" w:type="dxa"/>
            <w:vAlign w:val="bottom"/>
          </w:tcPr>
          <w:p>
            <w:pPr>
              <w:spacing w:after="0"/>
              <w:rPr>
                <w:sz w:val="20"/>
                <w:szCs w:val="20"/>
                <w:color w:val="auto"/>
              </w:rPr>
            </w:pPr>
            <w:r>
              <w:rPr>
                <w:rFonts w:ascii="Arial" w:cs="Arial" w:eastAsia="Arial" w:hAnsi="Arial"/>
                <w:sz w:val="14"/>
                <w:szCs w:val="14"/>
                <w:color w:val="auto"/>
                <w:w w:val="99"/>
              </w:rPr>
              <w:t>The following table summarizes the results of our operations for the nine months ended December 31, 2015 and 2014 (amounts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8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8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884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r>
      <w:tr>
        <w:trPr>
          <w:trHeight w:val="170"/>
        </w:trPr>
        <w:tc>
          <w:tcPr>
            <w:tcW w:w="88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r>
      <w:tr>
        <w:trPr>
          <w:trHeight w:val="21"/>
        </w:trPr>
        <w:tc>
          <w:tcPr>
            <w:tcW w:w="8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(2,183)</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Change in warrant liabilities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(1,895)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528</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(2,371)</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88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(38,717)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r>
      <w:tr>
        <w:trPr>
          <w:trHeight w:val="170"/>
        </w:trPr>
        <w:tc>
          <w:tcPr>
            <w:tcW w:w="8840" w:type="dxa"/>
            <w:vAlign w:val="bottom"/>
          </w:tcPr>
          <w:p>
            <w:pPr>
              <w:ind w:left="180"/>
              <w:spacing w:after="0"/>
              <w:rPr>
                <w:sz w:val="20"/>
                <w:szCs w:val="20"/>
                <w:color w:val="auto"/>
              </w:rPr>
            </w:pPr>
            <w:r>
              <w:rPr>
                <w:rFonts w:ascii="Arial" w:cs="Arial" w:eastAsia="Arial" w:hAnsi="Arial"/>
                <w:sz w:val="14"/>
                <w:szCs w:val="14"/>
                <w:color w:val="auto"/>
              </w:rPr>
              <w:t>Accrued dividend on Series B Preferred Stock</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(1,459)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Deemed dividend on Series B Preferred Stock</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8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(41,990)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r>
      <w:tr>
        <w:trPr>
          <w:trHeight w:val="20"/>
        </w:trPr>
        <w:tc>
          <w:tcPr>
            <w:tcW w:w="8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We reported no revenue for the nine-month periods ended December 31, 2015 or 2014 and we presently have no revenue generating arrangements. However, as indicated previously, we have entered into a CRADA with the NIH providing for a Phase 2a clinical study of AV-101 in treatment-resistant MDD. This Phase 2a study, which began in late-2015, is being funded by the NIH and being conducted at the NIMH.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 totaled $2.8 million for the nine months ended December 31, 2015 compared to $1.5 million for the nine months ended December 31, 2014, primarily as a result of noncash expense related to stock based compensation awards granted in September 2015 and warrant modifications made in November 2015, as well as patent- and technology license-related expenses in support of AV-101 and our stem cell technology platforms. The following table indicates the primary components of research and development expense for each of the periods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color w:val="auto"/>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680</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Consulting and other professional services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Technology licenses and royalties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Project-related research and supplies: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ind w:left="320"/>
              <w:spacing w:after="0"/>
              <w:rPr>
                <w:sz w:val="20"/>
                <w:szCs w:val="20"/>
                <w:color w:val="auto"/>
              </w:rPr>
            </w:pPr>
            <w:r>
              <w:rPr>
                <w:rFonts w:ascii="Arial" w:cs="Arial" w:eastAsia="Arial" w:hAnsi="Arial"/>
                <w:sz w:val="14"/>
                <w:szCs w:val="14"/>
                <w:color w:val="auto"/>
              </w:rPr>
              <w:t>AV-101</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r>
      <w:tr>
        <w:trPr>
          <w:trHeight w:val="172"/>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Stem cell and all other</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Rent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1,477</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decrease in salaries and benefits is primarily the result of the voluntary resignation of one member of our scientific staff at the end of September 2014 and the voluntary reduction of work hours and pay by another member of our scientific staff during the period October 2014 through September 2015.</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accompanying Condensed Consolidated Financial Statements for the nine months ended December 31, 2015 included elsewhere in this prospectus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and clinical advisory board.</w:t>
      </w:r>
    </w:p>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significant costs we have incurred to advance, in the U.S. and numerous foreign counties, a number of pending patent applications with respect to AV-101 and our stem cell technology platform.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An additional level of expense has been incurred during the nine months ended December 31, 2015 to explore and develop more efficient and cost-effective production methods for AV-101 as well as for updating documentation to facilitate the Phase 2 clinical trial of AV-101 in treatment resistant MDD that is being funded and conducted by the NIH. Stem cell and other project related expenses in both periods were nominal.</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3"/>
          <w:szCs w:val="13"/>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General and administrative expense was $6.5 million for the nine months ended December 31, 2015 compared to $2.0 million reported for the nine months ended December 31, 2014, primarily as a result of noncash expense of approximately $2.9 million related to stock based compensation awards granted in September 2015 and warrant modifications made in November 2015, as well as increased professional services fees. The following table indicates the primary components of general and administrative expenses for each of the periods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6"/>
          </w:tcPr>
          <w:p>
            <w:pPr>
              <w:ind w:left="260"/>
              <w:spacing w:after="0"/>
              <w:rPr>
                <w:sz w:val="20"/>
                <w:szCs w:val="20"/>
                <w:color w:val="auto"/>
              </w:rPr>
            </w:pPr>
            <w:r>
              <w:rPr>
                <w:rFonts w:ascii="Arial" w:cs="Arial" w:eastAsia="Arial" w:hAnsi="Arial"/>
                <w:sz w:val="14"/>
                <w:szCs w:val="14"/>
                <w:color w:val="auto"/>
              </w:rPr>
              <w:t>Nine Months Ended December 31,</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86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2,889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Insurance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Travel expenses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Rent and utilities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20"/>
                <w:szCs w:val="20"/>
                <w:color w:val="auto"/>
              </w:rPr>
            </w:pPr>
            <w:r>
              <w:rPr>
                <w:rFonts w:ascii="Arial" w:cs="Arial" w:eastAsia="Arial" w:hAnsi="Arial"/>
                <w:sz w:val="14"/>
                <w:szCs w:val="14"/>
                <w:color w:val="auto"/>
              </w:rPr>
              <w:t>All other expenses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1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Administrative employee headcount and pay rates have remained essentially consistent between the periods reported.</w:t>
            </w:r>
          </w:p>
        </w:tc>
        <w:tc>
          <w:tcPr>
            <w:tcW w:w="1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 xml:space="preserve">The increase in stock based compensation expense for 2015 reflects the $2,840,700 fair value, determined using the Black-Scholes Option Pricing Model and the assumptions indicated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accompanying Condensed Consolidated Financial Statements for the nine months ended December 31, 2015 included elsewhere in this prospectus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include fees accrued for the services of independent members of our Board of Directors.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 xml:space="preserve">The increase in legal, accounting and other professional service fees results primarily from (i) the $675,000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2016 included elsewhere in this prospectus,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in 2015 reflects a $100,000 reduction in expense related to a contract for strategic advisory and business development services compared to 2014. In both years, accounting service fees include expense related to the annual audit of the prior year financial statements and current quarterly financial statement review services.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outsourced investor relations service reflects a reduction in investor relations initiatives during the latter portion of calendar 2015.</w:t>
      </w:r>
    </w:p>
    <w:p>
      <w:pPr>
        <w:spacing w:after="0" w:line="201"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53"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Other Expenses, Net</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Interest expense, net totaled $769,800 for the nine months ended December 31, 2015 compared to the $2,182,900 reported for the nine months ended December 31, 2014, reflecting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1,295</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2,210</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2,183</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w:t>
      </w:r>
      <w:r>
        <w:rPr>
          <w:rFonts w:ascii="Arial" w:cs="Arial" w:eastAsia="Arial" w:hAnsi="Arial"/>
          <w:sz w:val="14"/>
          <w:szCs w:val="14"/>
          <w:i w:val="1"/>
          <w:iCs w:val="1"/>
          <w:color w:val="auto"/>
        </w:rPr>
        <w:t>2014 Unit Notes</w:t>
      </w:r>
      <w:r>
        <w:rPr>
          <w:rFonts w:ascii="Arial" w:cs="Arial" w:eastAsia="Arial" w:hAnsi="Arial"/>
          <w:sz w:val="14"/>
          <w:szCs w:val="14"/>
          <w:color w:val="auto"/>
        </w:rPr>
        <w:t>);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Under the terms of our October 2012 Note Exchange and Purchase Agreement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and Note 4,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w:t>
      </w:r>
      <w:r>
        <w:rPr>
          <w:rFonts w:ascii="Arial" w:cs="Arial" w:eastAsia="Arial" w:hAnsi="Arial"/>
          <w:sz w:val="13"/>
          <w:szCs w:val="13"/>
          <w:color w:val="auto"/>
        </w:rPr>
        <w:t>to the Condensed Consolidated Financial Statements for the nine months ended December 31, 2015 included elsewhere in this prospectus on May 12, 2015, we entered into an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 Platinum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(Refer to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Condensed Consolidated Financial Statements for the nine months ended December 31, 2015 included elsewhere in this prospectus regarding the subsequent exchange of these warrants for shares of our Series C Preferred stock.) During the nine months ended December 31, 2014, we recognized noncash gains of $528,300 related to the net decrease in the estimated fair value of the warrant liabilities since March 31, 2014, which resulted primarily from the decrease in the market price of our common stock in relation to the exercise price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described more completely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nine months ended December 31, 2015 included elsewhere in this prospectus, between May 12, 2015 and December 31, 2015, we have extinguished the outstanding balances of approximately $17.2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million of promissory notes, including our Senior Secured Notes, our 2014 Unit Notes and other debt and certain adjustments thereto that were either already due and payable or would have otherwise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matured prior to March 31, 2016 by converting such balances into shares of our Series B Preferred. We treated the conversion of the indebtedness into Series B Preferred as extinguishments of debt for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accounting purposes. Since the fair value of the Series B Preferred we negotiated in settlement of the promissory notes and other indebtedness exceeded the carrying value of the debts,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noncash losses on each of the extinguishments. Additionally, under the terms of the Platinum Agreement, we issued to Platinum 400,000 shares of Series B Preferred having an aggregate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$4.0 million and Series B Warrants to purchase 1.2 million shares of our common stock having an aggregate of fair value of $8,270,900. We recognized this aggregate fair value as an additional noncash</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component of loss on extinguishment of debt. Many of the 2014 Unit Notes that were converted into Series B Preferred contained a beneficial conversion feature at the time they were originally issued.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We have accounted for the repurchase of the beneficial conversion feature at the time the 2014 Unit Notes were extinguished and converted, an aggregate of $2,237,100, as a reduction to the loss 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extinguishment of debt. We recorded an aggregate net noncash loss of $26.7 million attributable to the extinguishment of the indebtedness converted into Series B Preferred.</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161"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noncash loss of $134,900 related to the settlement recognized in Other Expense in the nine months ended December 31, 2014. Other expense in the nine months ended December 31, 2015 reflects the noncash loss on the disposition of a piece of failed lab equipment.</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2"/>
          <w:szCs w:val="12"/>
          <w:color w:val="auto"/>
        </w:rPr>
        <w:t>We allocated the proceeds from the self-placed private placement sales of Series B Preferred Units between May 2015 and December 31, 2015 to the Series B Preferred and the Series B Warrants based on their relative fair values on the dates of the sales. The difference, for accounting purposes,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for the nine months ended December 31, 2015 in the accompanying Condensed Consolidated Statement of Operations and Comprehensive Loss for the nine months ended December 31, 2015 included elsewhere in this prospectus. Further, we have recognized $1,459,300 representing the 10% cumulative dividend payable on our Series B Preferred as an additional deduction in arriving at net loss attributable to common stockholders for the nine months ended December 31, 2015 in the accompanying Condensed Consolidated Statement of Operations and Comprehensive Loss for the nine months ended December 31, 2015 included elsewhere in this prospectus.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$33.9 million; (2) issuance of common stock and preferred stock with an approximate value at issuance of $28.9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2015 included elsewhere in this prospectus, between March 31, 2015 and December 31, 2015, we created our Series B 10% Convertible Preferred Stock (</w:t>
      </w:r>
      <w:r>
        <w:rPr>
          <w:rFonts w:ascii="Arial" w:cs="Arial" w:eastAsia="Arial" w:hAnsi="Arial"/>
          <w:sz w:val="13"/>
          <w:szCs w:val="13"/>
          <w:i w:val="1"/>
          <w:iCs w:val="1"/>
          <w:color w:val="auto"/>
        </w:rPr>
        <w:t>Series B</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and eliminated the outstanding balances of approximately $17.2 million of promissory notes, other indebtedness and certain adjustments thereto that was either already due and payable or</w:t>
      </w:r>
      <w:r>
        <w:rPr>
          <w:rFonts w:ascii="Arial" w:cs="Arial" w:eastAsia="Arial" w:hAnsi="Arial"/>
          <w:sz w:val="13"/>
          <w:szCs w:val="13"/>
          <w:i w:val="1"/>
          <w:iCs w:val="1"/>
          <w:color w:val="auto"/>
        </w:rPr>
        <w:t xml:space="preserve"> </w:t>
      </w:r>
      <w:r>
        <w:rPr>
          <w:rFonts w:ascii="Arial" w:cs="Arial" w:eastAsia="Arial" w:hAnsi="Arial"/>
          <w:sz w:val="13"/>
          <w:szCs w:val="13"/>
          <w:color w:val="auto"/>
        </w:rPr>
        <w:t>would have otherwise matured prior to March 31, 2016, through conversion into our Series B Preferred and, with respect to a portion of the indebtedness converted, warrants to purchase common stock. More specifically, through December 31, 2015, we have extinguished and converted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December 31, 2015, in our self-placed private placement of Series B Units, we have sold additional Series B Preferred Units consisting of an aggregate of 628,264 unregistered shares of Series B Preferred and five year warrants to purchase 628,264 shares of our common stock, and we have received cash proceeds of $4,397,800.</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accompanying Condensed Consolidated Financial Statements for the nine months ended December 31, 2015 included elsewhere in this prospectus, from January 1, 2016 through February 12, 2016, we have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746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460" w:type="dxa"/>
            <w:vAlign w:val="bottom"/>
            <w:gridSpan w:val="2"/>
          </w:tcPr>
          <w:p>
            <w:pPr>
              <w:spacing w:after="0"/>
              <w:rPr>
                <w:sz w:val="20"/>
                <w:szCs w:val="20"/>
                <w:color w:val="auto"/>
              </w:rPr>
            </w:pPr>
            <w:r>
              <w:rPr>
                <w:rFonts w:ascii="Arial" w:cs="Arial" w:eastAsia="Arial" w:hAnsi="Arial"/>
                <w:sz w:val="14"/>
                <w:szCs w:val="14"/>
                <w:color w:val="auto"/>
              </w:rPr>
              <w:t>The following table summarizes changes in cash and cash equivalents for the periods stated (in thousands):</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212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(3,499)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65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120" w:type="dxa"/>
            <w:vAlign w:val="bottom"/>
            <w:gridSpan w:val="2"/>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1,158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Off-Balance Sheet Arrangements</w:t>
            </w: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4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 owned subsidiaries, Artemis Neuroscience, Inc., a Maryland corporation, and VistaStem Canada, Inc., an Ontario corporation.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63" w:lineRule="exact"/>
        <w:rPr>
          <w:sz w:val="20"/>
          <w:szCs w:val="20"/>
          <w:color w:val="auto"/>
        </w:rPr>
      </w:pPr>
    </w:p>
    <w:p>
      <w:pPr>
        <w:ind w:right="360"/>
        <w:spacing w:after="0" w:line="370" w:lineRule="auto"/>
        <w:rPr>
          <w:sz w:val="20"/>
          <w:szCs w:val="20"/>
          <w:color w:val="auto"/>
        </w:rPr>
      </w:pPr>
      <w:r>
        <w:rPr>
          <w:rFonts w:ascii="Arial" w:cs="Arial" w:eastAsia="Arial" w:hAnsi="Arial"/>
          <w:sz w:val="12"/>
          <w:szCs w:val="12"/>
          <w:color w:val="auto"/>
        </w:rPr>
        <w:t>AV-101’s mechanism of action, as an N-methyl D 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 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ongoing Phase 2a clinical study of AV-101 in subjects with treatment-resistant MDD is being conducted and funded by the U.S. National Institutes of Mental Health (</w:t>
      </w:r>
      <w:r>
        <w:rPr>
          <w:rFonts w:ascii="Arial" w:cs="Arial" w:eastAsia="Arial" w:hAnsi="Arial"/>
          <w:sz w:val="14"/>
          <w:szCs w:val="14"/>
          <w:i w:val="1"/>
          <w:iCs w:val="1"/>
          <w:color w:val="auto"/>
        </w:rPr>
        <w:t>NIMH</w:t>
      </w:r>
      <w:r>
        <w:rPr>
          <w:rFonts w:ascii="Arial" w:cs="Arial" w:eastAsia="Arial" w:hAnsi="Arial"/>
          <w:sz w:val="14"/>
          <w:szCs w:val="14"/>
          <w:color w:val="auto"/>
        </w:rPr>
        <w:t>) under our February 2015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intravenous (</w:t>
      </w:r>
      <w:r>
        <w:rPr>
          <w:rFonts w:ascii="Arial" w:cs="Arial" w:eastAsia="Arial" w:hAnsi="Arial"/>
          <w:sz w:val="14"/>
          <w:szCs w:val="14"/>
          <w:i w:val="1"/>
          <w:iCs w:val="1"/>
          <w:color w:val="auto"/>
        </w:rPr>
        <w:t>I.V.</w:t>
      </w:r>
      <w:r>
        <w:rPr>
          <w:rFonts w:ascii="Arial" w:cs="Arial" w:eastAsia="Arial" w:hAnsi="Arial"/>
          <w:sz w:val="14"/>
          <w:szCs w:val="14"/>
          <w:color w:val="auto"/>
        </w:rPr>
        <w:t>) ketamine on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In addition to clinical development of AV-101, we are also focused on establishing strategic collaborations to advance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The World Health Organization (</w:t>
      </w:r>
      <w:r>
        <w:rPr>
          <w:rFonts w:ascii="Arial" w:cs="Arial" w:eastAsia="Arial" w:hAnsi="Arial"/>
          <w:sz w:val="13"/>
          <w:szCs w:val="13"/>
          <w:i w:val="1"/>
          <w:iCs w:val="1"/>
          <w:color w:val="auto"/>
        </w:rPr>
        <w:t>WHO</w:t>
      </w:r>
      <w:r>
        <w:rPr>
          <w:rFonts w:ascii="Arial" w:cs="Arial" w:eastAsia="Arial" w:hAnsi="Arial"/>
          <w:sz w:val="13"/>
          <w:szCs w:val="13"/>
          <w:color w:val="auto"/>
        </w:rPr>
        <w:t>)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25"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including an estimated 6.9 million drug-treated MDD patients in the U.S., obtain no benefit from initial treatment using standard antidepressants and have significant side effects, including anxiety, metabolic syndrome, sleep disturbance, and sexual dysfunction.</w:t>
      </w:r>
    </w:p>
    <w:p>
      <w:pPr>
        <w:spacing w:after="0" w:line="12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and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 ketamine-like antidepressant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effects, but not side effects, by NMDA/glycineB-site inhibition, </w:t>
      </w:r>
      <w:r>
        <w:rPr>
          <w:rFonts w:ascii="Arial" w:cs="Arial" w:eastAsia="Arial" w:hAnsi="Arial"/>
          <w:sz w:val="13"/>
          <w:szCs w:val="13"/>
          <w:color w:val="auto"/>
        </w:rPr>
        <w:t>using well-established preclinical models of depression, AV-101 was shown to induce fast-acting, dose-dependent, persistent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The Principal Investigator of our Phase 2a study is Dr. Carlos Zarate, Jr. of the NIMH. The trial is expected to enroll 24 to 28 patients, and the first patient was dosed in November 2015. We currently anticipate receiving topline results of our Phase 2a study in the second quarter of 2017.</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are preparing to launch our Phase 2b clinical study of AV-101 for the adjunctive treatment of MDD in patients with an inadequate response to standard antidepressants. We anticipate the launch of this study, which is expected to enroll approximately 315 patients, and seek FDA Fast Track designation for AV-101 in the fourth quarter of 2016. The Principal Investigator of this Phase 2b study will be Dr. Maurizio Fava of Harvard Medical School. We anticipate top line results from our Phase 2b study in the second quarter of 2018, and, although no assurances can be given, we estimate that AV-101 may be ready for commercialization as early as 2021. We intend to seek FDA Fast Track designation for AV-101 in MDD and anticipate that such designation may be granted in the fourth quarter of 2016.</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CardioSafe 3D™; NCE Drug Rescue and Regenerative Medicine (RM)</w:t>
      </w:r>
    </w:p>
    <w:p>
      <w:pPr>
        <w:spacing w:after="0" w:line="205" w:lineRule="exact"/>
        <w:rPr>
          <w:sz w:val="20"/>
          <w:szCs w:val="20"/>
          <w:color w:val="auto"/>
        </w:rPr>
      </w:pPr>
    </w:p>
    <w:p>
      <w:pPr>
        <w:jc w:val="both"/>
        <w:ind w:right="80"/>
        <w:spacing w:after="0" w:line="320" w:lineRule="auto"/>
        <w:rPr>
          <w:sz w:val="20"/>
          <w:szCs w:val="20"/>
          <w:color w:val="auto"/>
        </w:rPr>
      </w:pP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is our customized</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cardiac bioassay system capable of predicting potential human heart toxicity of NCEs</w:t>
      </w:r>
      <w:r>
        <w:rPr>
          <w:rFonts w:ascii="Arial" w:cs="Arial" w:eastAsia="Arial" w:hAnsi="Arial"/>
          <w:sz w:val="12"/>
          <w:szCs w:val="12"/>
          <w:i w:val="1"/>
          <w:iCs w:val="1"/>
          <w:color w:val="auto"/>
        </w:rPr>
        <w:t xml:space="preserve"> in vitro</w:t>
      </w:r>
      <w:r>
        <w:rPr>
          <w:rFonts w:ascii="Arial" w:cs="Arial" w:eastAsia="Arial" w:hAnsi="Arial"/>
          <w:sz w:val="12"/>
          <w:szCs w:val="12"/>
          <w:color w:val="auto"/>
        </w:rPr>
        <w:t>, long before they are ever tested in animal and human studies.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current strategic interests involving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our stem cell technology platform include establishing collaborative arrangements focused on advancing potential commercial applications, including both (i) drug rescue designed to expand our pipeline by leveraging substantial prior investments by pharmaceutical companies and others related to screening large-scale compound libraries, and optimizing and testing for efficacy NCEs terminated before FDA approval due to heart toxicity risks and (ii) RM involving hPSC-derived blood, bone, cartilage, heart and/or liver cells.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84" w:lineRule="exact"/>
        <w:rPr>
          <w:sz w:val="20"/>
          <w:szCs w:val="20"/>
          <w:color w:val="auto"/>
        </w:rPr>
      </w:pPr>
    </w:p>
    <w:p>
      <w:pPr>
        <w:ind w:right="200"/>
        <w:spacing w:after="0" w:line="298" w:lineRule="auto"/>
        <w:rPr>
          <w:sz w:val="20"/>
          <w:szCs w:val="20"/>
          <w:color w:val="auto"/>
        </w:rPr>
      </w:pPr>
      <w:r>
        <w:rPr>
          <w:rFonts w:ascii="Arial" w:cs="Arial" w:eastAsia="Arial" w:hAnsi="Arial"/>
          <w:sz w:val="13"/>
          <w:szCs w:val="13"/>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industry and regulatory experience to lead and execute the development and commercialization of our CNS product candidate opportunities. Key elements of our strategy are to:</w:t>
      </w:r>
    </w:p>
    <w:p>
      <w:pPr>
        <w:spacing w:after="0" w:line="142" w:lineRule="exact"/>
        <w:rPr>
          <w:sz w:val="20"/>
          <w:szCs w:val="20"/>
          <w:color w:val="auto"/>
        </w:rPr>
      </w:pPr>
    </w:p>
    <w:p>
      <w:pPr>
        <w:ind w:left="520" w:right="40" w:hanging="515"/>
        <w:spacing w:after="0" w:line="264" w:lineRule="auto"/>
        <w:tabs>
          <w:tab w:leader="none" w:pos="52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Develop and commercialize our lead product candidate, AV-101, for depression, including MDD. </w:t>
      </w:r>
      <w:r>
        <w:rPr>
          <w:rFonts w:ascii="Arial" w:cs="Arial" w:eastAsia="Arial" w:hAnsi="Arial"/>
          <w:sz w:val="13"/>
          <w:szCs w:val="13"/>
          <w:color w:val="auto"/>
        </w:rPr>
        <w:t>We are pursuing MDD as our lead indication for AV-101. Under our 2015 CRADA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NIMH, we launched our ongoing NIMH-sponsored AV-101 MDD Phase 2a clinical study in collaboration with Dr. Carlos Zarate of the NIMH. This study was initiated in October 2015, and the first patient in the study was dosed in November 2015. We are currently preparing to launch our potentially pivotal, multi-center Phase 2b clinical study of AV-101 for the adjunctive treatment of MDD in patients with an inadequate response to standard antidepressants. We intend to develop AV-101 internally, through a pivotal Phase 3 clinical study and submission of our New Drug Application (</w:t>
      </w:r>
      <w:r>
        <w:rPr>
          <w:rFonts w:ascii="Arial" w:cs="Arial" w:eastAsia="Arial" w:hAnsi="Arial"/>
          <w:sz w:val="13"/>
          <w:szCs w:val="13"/>
          <w:i w:val="1"/>
          <w:iCs w:val="1"/>
          <w:color w:val="auto"/>
        </w:rPr>
        <w:t>NDA</w:t>
      </w:r>
      <w:r>
        <w:rPr>
          <w:rFonts w:ascii="Arial" w:cs="Arial" w:eastAsia="Arial" w:hAnsi="Arial"/>
          <w:sz w:val="13"/>
          <w:szCs w:val="13"/>
          <w:color w:val="auto"/>
        </w:rPr>
        <w:t>) to the FDA. If approved by the FDA, we plan to commercialize AV-101 for this indication in the U.S. either by (A) establishing or contracting for a specialty U.S. sales force focused primarily on psychiatrists and long-term care physicians who are high prescribers of standard antidepressants and atypical antipsychotics or (B) collaborating with a pharmaceutical company with a strong commercial presence in U.S. depression and other CNS markets. Outside the U.S., we intend to commercialize AV-101 by establishing a partnering arrangement with one or more pharmaceutical companies with extensive commercial capabilities in multiple non-U.S. depression and other CNS markets.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3" w:name="page64"/>
    <w:bookmarkEnd w:id="6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520" w:right="120" w:hanging="515"/>
        <w:spacing w:after="0" w:line="234" w:lineRule="auto"/>
        <w:tabs>
          <w:tab w:leader="none" w:pos="520"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Leverage the commercial potential of AV-101 by expanding to additional CNS-related disorders and diseases. </w:t>
      </w:r>
      <w:r>
        <w:rPr>
          <w:rFonts w:ascii="Arial" w:cs="Arial" w:eastAsia="Arial" w:hAnsi="Arial"/>
          <w:sz w:val="14"/>
          <w:szCs w:val="14"/>
          <w:color w:val="auto"/>
        </w:rPr>
        <w:t>We intend to pursue broad clinical development and commercialization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across a range of CNS-related indications that are underserved by currently available medicines and represent significant unmet medical needs. Based on AV-101 preclinical studies, and by leveraging our successful NIH-funded AV-101 Phase 1a and 1b clinical safety studies, we now have opportunities to expand Phase 2 development of AV-101 beyond MDD to include, among other indications, chronic neuropathic pain, epilepsy, Huntington’s disease and Parkinson’s disease.</w:t>
      </w:r>
    </w:p>
    <w:p>
      <w:pPr>
        <w:spacing w:after="0" w:line="178" w:lineRule="exact"/>
        <w:rPr>
          <w:rFonts w:ascii="Arial" w:cs="Arial" w:eastAsia="Arial" w:hAnsi="Arial"/>
          <w:sz w:val="20"/>
          <w:szCs w:val="20"/>
          <w:color w:val="auto"/>
          <w:vertAlign w:val="superscript"/>
        </w:rPr>
      </w:pPr>
    </w:p>
    <w:p>
      <w:pPr>
        <w:ind w:left="520" w:hanging="515"/>
        <w:spacing w:after="0" w:line="257" w:lineRule="auto"/>
        <w:tabs>
          <w:tab w:leader="none" w:pos="52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b w:val="1"/>
          <w:bCs w:val="1"/>
          <w:color w:val="auto"/>
        </w:rPr>
        <w:t xml:space="preserve">Capitalize on our drug rescue and RM opportunities using our stem cell technology. </w:t>
      </w:r>
      <w:r>
        <w:rPr>
          <w:rFonts w:ascii="Arial" w:cs="Arial" w:eastAsia="Arial" w:hAnsi="Arial"/>
          <w:sz w:val="13"/>
          <w:szCs w:val="13"/>
          <w:color w:val="auto"/>
        </w:rPr>
        <w:t>We are using our stem cell technology and proprietary cardiac bioassay system,</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CardioSafe</w:t>
      </w:r>
      <w:r>
        <w:rPr>
          <w:rFonts w:ascii="Arial" w:cs="Arial" w:eastAsia="Arial" w:hAnsi="Arial"/>
          <w:sz w:val="13"/>
          <w:szCs w:val="13"/>
          <w:b w:val="1"/>
          <w:bCs w:val="1"/>
          <w:color w:val="auto"/>
        </w:rPr>
        <w:t xml:space="preserve"> </w:t>
      </w:r>
      <w:r>
        <w:rPr>
          <w:rFonts w:ascii="Arial" w:cs="Arial" w:eastAsia="Arial" w:hAnsi="Arial"/>
          <w:sz w:val="13"/>
          <w:szCs w:val="13"/>
          <w:color w:val="auto"/>
        </w:rPr>
        <w:t>3D, to</w:t>
      </w:r>
      <w:r>
        <w:rPr>
          <w:rFonts w:ascii="Arial" w:cs="Arial" w:eastAsia="Arial" w:hAnsi="Arial"/>
          <w:sz w:val="13"/>
          <w:szCs w:val="13"/>
          <w:b w:val="1"/>
          <w:bCs w:val="1"/>
          <w:color w:val="auto"/>
        </w:rPr>
        <w:t xml:space="preserve"> </w:t>
      </w:r>
      <w:r>
        <w:rPr>
          <w:rFonts w:ascii="Arial" w:cs="Arial" w:eastAsia="Arial" w:hAnsi="Arial"/>
          <w:sz w:val="13"/>
          <w:szCs w:val="13"/>
          <w:color w:val="auto"/>
        </w:rPr>
        <w:t>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are focused on establishing new strategic collaborations, including investigating potential spin-off opportunities. As most of our resources are currently focused on the clinical development of AV-101, a strategic collaboration or spin-off would allow us to capitalize on our existing stem cell technology and shift our focus exclusively to developing our CNS pipeline.</w:t>
      </w:r>
    </w:p>
    <w:p>
      <w:pPr>
        <w:spacing w:after="0" w:line="169" w:lineRule="exact"/>
        <w:rPr>
          <w:rFonts w:ascii="Arial" w:cs="Arial" w:eastAsia="Arial" w:hAnsi="Arial"/>
          <w:sz w:val="19"/>
          <w:szCs w:val="19"/>
          <w:color w:val="auto"/>
          <w:vertAlign w:val="superscript"/>
        </w:rPr>
      </w:pPr>
    </w:p>
    <w:p>
      <w:pPr>
        <w:ind w:left="520" w:right="60" w:hanging="515"/>
        <w:spacing w:after="0" w:line="228" w:lineRule="auto"/>
        <w:tabs>
          <w:tab w:leader="none" w:pos="520"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Pursue in-licensing and acquisition of other product candidates for treatment of CNS-related disorders. </w:t>
      </w:r>
      <w:r>
        <w:rPr>
          <w:rFonts w:ascii="Arial" w:cs="Arial" w:eastAsia="Arial" w:hAnsi="Arial"/>
          <w:sz w:val="14"/>
          <w:szCs w:val="14"/>
          <w:color w:val="auto"/>
        </w:rPr>
        <w:t>While our resources are currently focused primarily on clinical development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for MDD, we anticipate pursuing additional CNS-related product candidates in the future. These may be developed independently or in partnerships. We believe that a diversified CNS product candidate portfolio will mitigate risks inherent in drug development and increase the likelihood of our success.</w:t>
      </w:r>
    </w:p>
    <w:p>
      <w:pPr>
        <w:spacing w:after="0" w:line="178" w:lineRule="exact"/>
        <w:rPr>
          <w:rFonts w:ascii="Arial" w:cs="Arial" w:eastAsia="Arial" w:hAnsi="Arial"/>
          <w:sz w:val="20"/>
          <w:szCs w:val="20"/>
          <w:color w:val="auto"/>
          <w:vertAlign w:val="superscript"/>
        </w:rPr>
      </w:pPr>
    </w:p>
    <w:p>
      <w:pPr>
        <w:ind w:left="520" w:right="120" w:hanging="515"/>
        <w:spacing w:after="0" w:line="228" w:lineRule="auto"/>
        <w:tabs>
          <w:tab w:leader="none" w:pos="520"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Grow our internal development pipeline through drug rescue using our stem cell technology platform. </w:t>
      </w:r>
      <w:r>
        <w:rPr>
          <w:rFonts w:ascii="Arial" w:cs="Arial" w:eastAsia="Arial" w:hAnsi="Arial"/>
          <w:sz w:val="14"/>
          <w:szCs w:val="14"/>
          <w:color w:val="auto"/>
        </w:rPr>
        <w:t>We have developed our cardiac bioassay system,</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CardioSafe</w:t>
      </w:r>
      <w:r>
        <w:rPr>
          <w:rFonts w:ascii="Arial" w:cs="Arial" w:eastAsia="Arial" w:hAnsi="Arial"/>
          <w:sz w:val="14"/>
          <w:szCs w:val="14"/>
          <w:b w:val="1"/>
          <w:bCs w:val="1"/>
          <w:color w:val="auto"/>
        </w:rPr>
        <w:t xml:space="preserve"> </w:t>
      </w:r>
      <w:r>
        <w:rPr>
          <w:rFonts w:ascii="Arial" w:cs="Arial" w:eastAsia="Arial" w:hAnsi="Arial"/>
          <w:sz w:val="14"/>
          <w:szCs w:val="14"/>
          <w:color w:val="auto"/>
        </w:rPr>
        <w:t>3D, for drug rescue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applications intended to produce proprietary NCEs for our internal drug development pipeline, without incurring many of the substantial costs and risks typically inherent in new drug discovery and nonclinical drug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 (L-4-cholorkyurenine or 4-Cl-KYN)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Mechanism of Action</w:t>
      </w:r>
    </w:p>
    <w:p>
      <w:pPr>
        <w:spacing w:after="0" w:line="184" w:lineRule="exact"/>
        <w:rPr>
          <w:sz w:val="20"/>
          <w:szCs w:val="20"/>
          <w:color w:val="auto"/>
        </w:rPr>
      </w:pPr>
    </w:p>
    <w:p>
      <w:pPr>
        <w:ind w:right="720"/>
        <w:spacing w:after="0" w:line="283" w:lineRule="auto"/>
        <w:rPr>
          <w:sz w:val="20"/>
          <w:szCs w:val="20"/>
          <w:color w:val="auto"/>
        </w:rPr>
      </w:pPr>
      <w:r>
        <w:rPr>
          <w:rFonts w:ascii="Arial" w:cs="Arial" w:eastAsia="Arial" w:hAnsi="Arial"/>
          <w:sz w:val="14"/>
          <w:szCs w:val="14"/>
          <w:color w:val="auto"/>
        </w:rPr>
        <w:t xml:space="preserve">AV-101 is an orally available, clinical-stage prodrug candidate that readily gains access to the CNS after systemic administration and is rapidly converted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into its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a well-characterized, potent and highly selective antagonist of then NMDAR at the GlyB co-agonist site.</w:t>
      </w:r>
    </w:p>
    <w:p>
      <w:pPr>
        <w:spacing w:after="0" w:line="153"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Current evidence suggests that AV-101’s antagonism of NMDAR signaling may provide fast-acting antidepressant effects in the treatment of MDD. In addition, as confirmed in our AV-101 Phase 1 clinical studies, targeting the GlyB site of the NMDAR does not have the adverse effects typically associated with classic NMDAR antagonists, such as ketamine, and other NMDA channel blockers.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Depressive Disorder</w:t>
      </w:r>
    </w:p>
    <w:p>
      <w:pPr>
        <w:spacing w:after="0" w:line="180" w:lineRule="exact"/>
        <w:rPr>
          <w:sz w:val="20"/>
          <w:szCs w:val="20"/>
          <w:color w:val="auto"/>
        </w:rPr>
      </w:pPr>
    </w:p>
    <w:p>
      <w:pPr>
        <w:ind w:right="380"/>
        <w:spacing w:after="0" w:line="323" w:lineRule="auto"/>
        <w:rPr>
          <w:sz w:val="20"/>
          <w:szCs w:val="20"/>
          <w:color w:val="auto"/>
        </w:rPr>
      </w:pPr>
      <w:r>
        <w:rPr>
          <w:rFonts w:ascii="Arial" w:cs="Arial" w:eastAsia="Arial" w:hAnsi="Arial"/>
          <w:sz w:val="13"/>
          <w:szCs w:val="13"/>
          <w:color w:val="auto"/>
        </w:rPr>
        <w:t>Depression is a serious medical illness and a global public health concern. The WHO estimates that depression is the leading cause of disability worldwide, and is a major contributor to the global burden of disease, affecting 350 million people globally. According to the CDC, approximately one in every 10 Americans aged 12 and over takes antidepressant medication.</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Standard Antidepressants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For many people, depression cannot be controlled for any length of time without treatment. Standard medications available in the multi-billion dollar global antidepressant market, including commonly-prescribed SSRIs and SNRIs, have limited effectiveness, and, because of their mechanism of action, must be taken for several weeks or months before patients experience any significant therapeutic benefit. In addition, most standard antidepressants have an FDA-required “Black Box” safety warning due to a risk, in certain groups, of worsening depression and an increased risk of suicidal thoughts and behaviors during treatment, a property not expected to occur with AV-101. About two out of every three depression sufferers, including an estimated 6.9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effective standard antidepressant. In addition, this trial and error process and the systemic effects of the various antidepressants involved, increases the risks of patient tolerability issues and serious side effects, including suicidal thoughts and behaviors in certain groups.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Ketamine and NIH Clinical Studies in Major Depressive Disorder</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Ketamine hydrochloride (</w:t>
      </w:r>
      <w:r>
        <w:rPr>
          <w:rFonts w:ascii="Arial" w:cs="Arial" w:eastAsia="Arial" w:hAnsi="Arial"/>
          <w:sz w:val="14"/>
          <w:szCs w:val="14"/>
          <w:i w:val="1"/>
          <w:iCs w:val="1"/>
          <w:color w:val="auto"/>
        </w:rPr>
        <w:t>ketamine</w:t>
      </w:r>
      <w:r>
        <w:rPr>
          <w:rFonts w:ascii="Arial" w:cs="Arial" w:eastAsia="Arial" w:hAnsi="Arial"/>
          <w:sz w:val="14"/>
          <w:szCs w:val="14"/>
          <w:color w:val="auto"/>
        </w:rPr>
        <w:t>) is an FDA-approved, rapid-acting general anesthetic. The use of ketamine (an NMDA receptor antagonist which acts as an NMDA channel blocker) to treat MDD has been studied in several clinical trials conducted by depression experts at the NIMH, including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intravenous low dose of ketamine (0.5 mg/kg over 40 minutes) produced robust and rapid antidepressant effects in MDD patients who had not responded to standard anti-depressants. These results were in contrast to the very slow onset of SSRIs and SNRIs that usually require many weeks or months of chronic usage to achieve similar antidepressant effects. The potential for widespread therapeutic use of current FDA-approved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revolutionized thinking about the current MDD treatment paradigm and increased interest in the development of a new generation of antidepressants with a fast-acting mechanism of action similar to ketamine’s. Our orally available AV-101 is among the next generation of antidepressants with potential to deliver fast-onset ketamine-like antidepressant effects, without ketamine’s side effects or required I.V. administration in a medical setting.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AV-101 and Major Depressive Disorder</w:t>
      </w:r>
    </w:p>
    <w:p>
      <w:pPr>
        <w:spacing w:after="0" w:line="180" w:lineRule="exact"/>
        <w:rPr>
          <w:sz w:val="20"/>
          <w:szCs w:val="20"/>
          <w:color w:val="auto"/>
        </w:rPr>
      </w:pPr>
    </w:p>
    <w:p>
      <w:pPr>
        <w:ind w:right="460"/>
        <w:spacing w:after="0" w:line="323" w:lineRule="auto"/>
        <w:rPr>
          <w:sz w:val="20"/>
          <w:szCs w:val="20"/>
          <w:color w:val="auto"/>
        </w:rPr>
      </w:pPr>
      <w:r>
        <w:rPr>
          <w:rFonts w:ascii="Arial" w:cs="Arial" w:eastAsia="Arial" w:hAnsi="Arial"/>
          <w:sz w:val="13"/>
          <w:szCs w:val="13"/>
          <w:color w:val="auto"/>
        </w:rPr>
        <w:t>AV-101 is an orally available prodrug candidate that produces, in the brain, 7-Cl-KYNA,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109"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AV-101’s mechanism of action is fundamentally differentiated from all standard antidepressants and all atypical antipsychotics often used to augment inadequate response with standard antidepressants, placing it among a new generation of glutamatergic antidepressants with potential to treat millions of MDD sufferers worldwide who are poorly served by SSRIs, SNRIs and other current depression therapies. AV-101 is functionally similar to ketamine in that both induce antidepressant activity via glutamatergic activation involving AMPA receptor pathways. However, AV-101 down-regulates the NMDAR channel activity, whereas ketamine blocks it. AV-101, as a prodrug, produces in the brain an antagonist that down-regulates the NMDAR by selectively binding to the functionally required GlyB site of the NMDAR. Strong experimental evidence confirms that down-regulating the NMDAR by targeting the GlyB site can produce potent antidepressive effects and bypass adverse effects that result when ketamine blocks the NMDA ion channel. Experimental evidence supports the conclusion that this NMDAR modulation by AV-101 may then result in a glutamatergic activation that depends on the AMPA receptor pathway, resulting in an increase in neuronal connections that has been associated with the fast-acting antidepressant effects similar to those seen with ketamine.</w:t>
      </w:r>
    </w:p>
    <w:p>
      <w:pPr>
        <w:spacing w:after="0" w:line="145"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recently published preclinical studies, AV-101 has demonstrated the antidepressant-like activity of ketamine, including rapid onset and long duration of effect, without causing ketamine’s serious side effects. In two NIH-funded randomized, double 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Building on over $8.8 million of prior grant award funding from the NIH for preclinical and Phase 1 clinical development of AV-101, in February 2015, we entered into our CRADA with the NIMH. Under the CRADA, we are collaborating with Dr. Carlos Zarate and the NIMH on a Phase 2a clinical study of AV-101 in subjects with treatment-resistant MDD. Pursuant to the CRADA, this study is being conducted at the NIMH by Dr. Zarate and being fully-sponsored by the NIMH. The primary objective of the NIH-funded Phase 2a study will be to evaluate the ability of AV-101 to improve overall depressive symptomatology in subjects with MDD, specifically whether subjects with MDD have a greater and more rapid decrease in depressive symptoms when treated with AV-101 than with placebo. The first patient in this Phase 2a study was dosed in November 2015. We anticipate top line results in this study in the second quarter of 2017.</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are currently preparing to launch our Phase 2b clinical study of AV-101 for the adjunctive treatment of MDD in patients with an inadequate response to standard antidepressants. We anticipate the launch of this potentially pivotal multi-center, multi-dose, double blind, placebo-controlled Phase 2b efficacy and safety study, which is expected to enroll approximately 315 patients, in the fourth quarter of 2016. The Principal Investigator of the study will be Dr. Maurizio Fava of Harvard Medical School. Dr. Fava was the co-Principal Investigator with Dr. A. John Rush of the largest clinical trial ever conducted in depression, STAR*D, whose findings were published in journals such the New England Journal of Medicine (</w:t>
      </w:r>
      <w:r>
        <w:rPr>
          <w:rFonts w:ascii="Arial" w:cs="Arial" w:eastAsia="Arial" w:hAnsi="Arial"/>
          <w:sz w:val="14"/>
          <w:szCs w:val="14"/>
          <w:i w:val="1"/>
          <w:iCs w:val="1"/>
          <w:color w:val="auto"/>
        </w:rPr>
        <w:t>NEJM</w:t>
      </w:r>
      <w:r>
        <w:rPr>
          <w:rFonts w:ascii="Arial" w:cs="Arial" w:eastAsia="Arial" w:hAnsi="Arial"/>
          <w:sz w:val="14"/>
          <w:szCs w:val="14"/>
          <w:color w:val="auto"/>
        </w:rPr>
        <w:t>) and the Journal of the American Medical Association (</w:t>
      </w:r>
      <w:r>
        <w:rPr>
          <w:rFonts w:ascii="Arial" w:cs="Arial" w:eastAsia="Arial" w:hAnsi="Arial"/>
          <w:sz w:val="14"/>
          <w:szCs w:val="14"/>
          <w:i w:val="1"/>
          <w:iCs w:val="1"/>
          <w:color w:val="auto"/>
        </w:rPr>
        <w:t>JAMA</w:t>
      </w:r>
      <w:r>
        <w:rPr>
          <w:rFonts w:ascii="Arial" w:cs="Arial" w:eastAsia="Arial" w:hAnsi="Arial"/>
          <w:sz w:val="14"/>
          <w:szCs w:val="14"/>
          <w:color w:val="auto"/>
        </w:rPr>
        <w:t>). We anticipate top line results in this study in the second quarter of 2018.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Nonclinical Studies in Chronic Neuropathic Pain, Epilepsy, Parkinson’s disease and Huntington’s disease</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Chronic Neuropathic Pain and Acute Tissue Injury Hyperalgesia</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4"/>
          <w:szCs w:val="14"/>
          <w:i w:val="1"/>
          <w:iCs w:val="1"/>
          <w:color w:val="auto"/>
        </w:rPr>
        <w:t>SD</w:t>
      </w:r>
      <w:r>
        <w:rPr>
          <w:rFonts w:ascii="Arial" w:cs="Arial" w:eastAsia="Arial" w:hAnsi="Arial"/>
          <w:sz w:val="14"/>
          <w:szCs w:val="14"/>
          <w:color w:val="auto"/>
        </w:rPr>
        <w:t>) from the response produced by vehicle. Animal behavior and motor function were observed and evaluated throughout the study.</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163" w:lineRule="exact"/>
        <w:rPr>
          <w:sz w:val="20"/>
          <w:szCs w:val="20"/>
          <w:color w:val="auto"/>
        </w:rPr>
      </w:pPr>
    </w:p>
    <w:p>
      <w:pPr>
        <w:ind w:right="360"/>
        <w:spacing w:after="0" w:line="290" w:lineRule="auto"/>
        <w:rPr>
          <w:sz w:val="20"/>
          <w:szCs w:val="20"/>
          <w:color w:val="auto"/>
        </w:rPr>
      </w:pPr>
      <w:r>
        <w:rPr>
          <w:rFonts w:ascii="Arial" w:cs="Arial" w:eastAsia="Arial" w:hAnsi="Arial"/>
          <w:sz w:val="13"/>
          <w:szCs w:val="13"/>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Epilepsy</w:t>
      </w:r>
    </w:p>
    <w:p>
      <w:pPr>
        <w:spacing w:after="0" w:line="201"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AV-101 has two additional therapeutically important properties as a drug candidate for treatment of epilepsy:</w:t>
      </w:r>
    </w:p>
    <w:p>
      <w:pPr>
        <w:spacing w:after="0" w:line="201" w:lineRule="exact"/>
        <w:rPr>
          <w:sz w:val="20"/>
          <w:szCs w:val="20"/>
          <w:color w:val="auto"/>
        </w:rPr>
      </w:pPr>
    </w:p>
    <w:p>
      <w:pPr>
        <w:ind w:left="620" w:right="40" w:hanging="615"/>
        <w:spacing w:after="0" w:line="333" w:lineRule="auto"/>
        <w:tabs>
          <w:tab w:leader="none" w:pos="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28" w:lineRule="exact"/>
        <w:rPr>
          <w:rFonts w:ascii="Arial" w:cs="Arial" w:eastAsia="Arial" w:hAnsi="Arial"/>
          <w:sz w:val="12"/>
          <w:szCs w:val="12"/>
          <w:color w:val="auto"/>
        </w:rPr>
      </w:pPr>
    </w:p>
    <w:p>
      <w:pPr>
        <w:ind w:left="620" w:right="180" w:hanging="615"/>
        <w:spacing w:after="0" w:line="283" w:lineRule="auto"/>
        <w:tabs>
          <w:tab w:leader="none" w:pos="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 active metabolite of AV-101, 4-Cl-3-hydroxyanthranilic acid, inhibits the synthesis of quinolinic acid, an endogenous NMDAR agonist that causes convulsions and excitotoxic neuronal damage.</w:t>
      </w:r>
    </w:p>
    <w:p>
      <w:pPr>
        <w:spacing w:after="0" w:line="13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Parkinson’s Disease</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AV-101 has been shown to activate ventral tegmental area (</w:t>
      </w:r>
      <w:r>
        <w:rPr>
          <w:rFonts w:ascii="Arial" w:cs="Arial" w:eastAsia="Arial" w:hAnsi="Arial"/>
          <w:sz w:val="13"/>
          <w:szCs w:val="13"/>
          <w:i w:val="1"/>
          <w:iCs w:val="1"/>
          <w:color w:val="auto"/>
        </w:rPr>
        <w:t>VTA</w:t>
      </w:r>
      <w:r>
        <w:rPr>
          <w:rFonts w:ascii="Arial" w:cs="Arial" w:eastAsia="Arial" w:hAnsi="Arial"/>
          <w:sz w:val="13"/>
          <w:szCs w:val="13"/>
          <w:color w:val="auto"/>
        </w:rPr>
        <w:t>) dopaminergic (</w:t>
      </w:r>
      <w:r>
        <w:rPr>
          <w:rFonts w:ascii="Arial" w:cs="Arial" w:eastAsia="Arial" w:hAnsi="Arial"/>
          <w:sz w:val="13"/>
          <w:szCs w:val="13"/>
          <w:i w:val="1"/>
          <w:iCs w:val="1"/>
          <w:color w:val="auto"/>
        </w:rPr>
        <w:t>DA</w:t>
      </w:r>
      <w:r>
        <w:rPr>
          <w:rFonts w:ascii="Arial" w:cs="Arial" w:eastAsia="Arial" w:hAnsi="Arial"/>
          <w:sz w:val="13"/>
          <w:szCs w:val="13"/>
          <w:color w:val="auto"/>
        </w:rPr>
        <w:t>) neurons. Kynurenic acid (</w:t>
      </w:r>
      <w:r>
        <w:rPr>
          <w:rFonts w:ascii="Arial" w:cs="Arial" w:eastAsia="Arial" w:hAnsi="Arial"/>
          <w:sz w:val="13"/>
          <w:szCs w:val="13"/>
          <w:i w:val="1"/>
          <w:iCs w:val="1"/>
          <w:color w:val="auto"/>
        </w:rPr>
        <w:t>KYNA</w:t>
      </w:r>
      <w:r>
        <w:rPr>
          <w:rFonts w:ascii="Arial" w:cs="Arial" w:eastAsia="Arial" w:hAnsi="Arial"/>
          <w:sz w:val="13"/>
          <w:szCs w:val="13"/>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Huntington’s Disease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Working together with metabotropic glutamate receptors, the NMDAR ensures the establishment of long-term potentiation (</w:t>
      </w:r>
      <w:r>
        <w:rPr>
          <w:rFonts w:ascii="Arial" w:cs="Arial" w:eastAsia="Arial" w:hAnsi="Arial"/>
          <w:sz w:val="14"/>
          <w:szCs w:val="14"/>
          <w:i w:val="1"/>
          <w:iCs w:val="1"/>
          <w:color w:val="auto"/>
        </w:rPr>
        <w:t>LTP</w:t>
      </w:r>
      <w:r>
        <w:rPr>
          <w:rFonts w:ascii="Arial" w:cs="Arial" w:eastAsia="Arial" w:hAnsi="Arial"/>
          <w:sz w:val="14"/>
          <w:szCs w:val="14"/>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46" w:lineRule="exact"/>
        <w:rPr>
          <w:sz w:val="20"/>
          <w:szCs w:val="20"/>
          <w:color w:val="auto"/>
        </w:rPr>
      </w:pPr>
    </w:p>
    <w:p>
      <w:pPr>
        <w:jc w:val="both"/>
        <w:ind w:right="200"/>
        <w:spacing w:after="0" w:line="320" w:lineRule="auto"/>
        <w:rPr>
          <w:sz w:val="20"/>
          <w:szCs w:val="20"/>
          <w:color w:val="auto"/>
        </w:rPr>
      </w:pPr>
      <w:r>
        <w:rPr>
          <w:rFonts w:ascii="Arial" w:cs="Arial" w:eastAsia="Arial" w:hAnsi="Arial"/>
          <w:sz w:val="12"/>
          <w:szCs w:val="12"/>
          <w:color w:val="auto"/>
        </w:rPr>
        <w:t>Huntington's disease (</w:t>
      </w:r>
      <w:r>
        <w:rPr>
          <w:rFonts w:ascii="Arial" w:cs="Arial" w:eastAsia="Arial" w:hAnsi="Arial"/>
          <w:sz w:val="12"/>
          <w:szCs w:val="12"/>
          <w:i w:val="1"/>
          <w:iCs w:val="1"/>
          <w:color w:val="auto"/>
        </w:rPr>
        <w:t>HD</w:t>
      </w:r>
      <w:r>
        <w:rPr>
          <w:rFonts w:ascii="Arial" w:cs="Arial" w:eastAsia="Arial" w:hAnsi="Arial"/>
          <w:sz w:val="12"/>
          <w:szCs w:val="12"/>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jc w:val="both"/>
        <w:ind w:right="460"/>
        <w:spacing w:after="0" w:line="298" w:lineRule="auto"/>
        <w:rPr>
          <w:sz w:val="20"/>
          <w:szCs w:val="20"/>
          <w:color w:val="auto"/>
        </w:rPr>
      </w:pPr>
      <w:r>
        <w:rPr>
          <w:rFonts w:ascii="Arial" w:cs="Arial" w:eastAsia="Arial" w:hAnsi="Arial"/>
          <w:sz w:val="13"/>
          <w:szCs w:val="13"/>
          <w:color w:val="auto"/>
        </w:rPr>
        <w:t>The tissue levels of two neurotoxic metabolites of the kynurenine pathway of tryptophan degradation, quinolinic acid (</w:t>
      </w:r>
      <w:r>
        <w:rPr>
          <w:rFonts w:ascii="Arial" w:cs="Arial" w:eastAsia="Arial" w:hAnsi="Arial"/>
          <w:sz w:val="13"/>
          <w:szCs w:val="13"/>
          <w:i w:val="1"/>
          <w:iCs w:val="1"/>
          <w:color w:val="auto"/>
        </w:rPr>
        <w:t>QUIN</w:t>
      </w:r>
      <w:r>
        <w:rPr>
          <w:rFonts w:ascii="Arial" w:cs="Arial" w:eastAsia="Arial" w:hAnsi="Arial"/>
          <w:sz w:val="13"/>
          <w:szCs w:val="13"/>
          <w:color w:val="auto"/>
        </w:rPr>
        <w:t>) and 3-hydroxykynurenine (</w:t>
      </w:r>
      <w:r>
        <w:rPr>
          <w:rFonts w:ascii="Arial" w:cs="Arial" w:eastAsia="Arial" w:hAnsi="Arial"/>
          <w:sz w:val="13"/>
          <w:szCs w:val="13"/>
          <w:i w:val="1"/>
          <w:iCs w:val="1"/>
          <w:color w:val="auto"/>
        </w:rPr>
        <w:t>3-HK</w:t>
      </w:r>
      <w:r>
        <w:rPr>
          <w:rFonts w:ascii="Arial" w:cs="Arial" w:eastAsia="Arial" w:hAnsi="Arial"/>
          <w:sz w:val="13"/>
          <w:szCs w:val="13"/>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the symptoms of HD.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Additional AV-101 Nonclinical Information</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 comprehensive nonclinical pharmacology, pharmacokinetic (</w:t>
      </w:r>
      <w:r>
        <w:rPr>
          <w:rFonts w:ascii="Arial" w:cs="Arial" w:eastAsia="Arial" w:hAnsi="Arial"/>
          <w:sz w:val="14"/>
          <w:szCs w:val="14"/>
          <w:i w:val="1"/>
          <w:iCs w:val="1"/>
          <w:color w:val="auto"/>
        </w:rPr>
        <w:t>PK</w:t>
      </w:r>
      <w:r>
        <w:rPr>
          <w:rFonts w:ascii="Arial" w:cs="Arial" w:eastAsia="Arial" w:hAnsi="Arial"/>
          <w:sz w:val="14"/>
          <w:szCs w:val="14"/>
          <w:color w:val="auto"/>
        </w:rPr>
        <w:t>)/toxicokinetic (</w:t>
      </w:r>
      <w:r>
        <w:rPr>
          <w:rFonts w:ascii="Arial" w:cs="Arial" w:eastAsia="Arial" w:hAnsi="Arial"/>
          <w:sz w:val="14"/>
          <w:szCs w:val="14"/>
          <w:i w:val="1"/>
          <w:iCs w:val="1"/>
          <w:color w:val="auto"/>
        </w:rPr>
        <w:t>TK</w:t>
      </w:r>
      <w:r>
        <w:rPr>
          <w:rFonts w:ascii="Arial" w:cs="Arial" w:eastAsia="Arial" w:hAnsi="Arial"/>
          <w:sz w:val="14"/>
          <w:szCs w:val="14"/>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 finding, and repeated-dose toxicology studies in rats, dogs and monkeys. The genotoxic potential of AV-101 and its active metabolite, 7-Cl-KYNA, was assessed in multiple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genotoxicity studies (bacterial mutation, chromosomal aberration, mouse lymphoma TK+/-, and micronucleus tests).</w:t>
      </w:r>
    </w:p>
    <w:p>
      <w:pPr>
        <w:spacing w:after="0" w:line="14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The behavioral effects of AV-101 assessed in a Good Laboratory Practice (</w:t>
      </w:r>
      <w:r>
        <w:rPr>
          <w:rFonts w:ascii="Arial" w:cs="Arial" w:eastAsia="Arial" w:hAnsi="Arial"/>
          <w:sz w:val="13"/>
          <w:szCs w:val="13"/>
          <w:i w:val="1"/>
          <w:iCs w:val="1"/>
          <w:color w:val="auto"/>
        </w:rPr>
        <w:t>GLP</w:t>
      </w:r>
      <w:r>
        <w:rPr>
          <w:rFonts w:ascii="Arial" w:cs="Arial" w:eastAsia="Arial" w:hAnsi="Arial"/>
          <w:sz w:val="13"/>
          <w:szCs w:val="13"/>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3"/>
          <w:szCs w:val="13"/>
          <w:i w:val="1"/>
          <w:iCs w:val="1"/>
          <w:color w:val="auto"/>
        </w:rPr>
        <w:t>hERG</w:t>
      </w:r>
      <w:r>
        <w:rPr>
          <w:rFonts w:ascii="Arial" w:cs="Arial" w:eastAsia="Arial" w:hAnsi="Arial"/>
          <w:sz w:val="13"/>
          <w:szCs w:val="13"/>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3"/>
          <w:szCs w:val="13"/>
          <w:i w:val="1"/>
          <w:iCs w:val="1"/>
          <w:color w:val="auto"/>
        </w:rPr>
        <w:t>ECGs</w:t>
      </w:r>
      <w:r>
        <w:rPr>
          <w:rFonts w:ascii="Arial" w:cs="Arial" w:eastAsia="Arial" w:hAnsi="Arial"/>
          <w:sz w:val="13"/>
          <w:szCs w:val="13"/>
          <w:color w:val="auto"/>
        </w:rPr>
        <w:t xml:space="preserve">) recorded during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t1/2 approximately 1 to 3 hours). Furthermore, in rats 7-Cl-KYNA was detected in the plasma and reached the maximum plasma concentration (</w:t>
      </w:r>
      <w:r>
        <w:rPr>
          <w:rFonts w:ascii="Arial" w:cs="Arial" w:eastAsia="Arial" w:hAnsi="Arial"/>
          <w:sz w:val="14"/>
          <w:szCs w:val="14"/>
          <w:i w:val="1"/>
          <w:iCs w:val="1"/>
          <w:color w:val="auto"/>
        </w:rPr>
        <w:t>Cmax</w:t>
      </w:r>
      <w:r>
        <w:rPr>
          <w:rFonts w:ascii="Arial" w:cs="Arial" w:eastAsia="Arial" w:hAnsi="Arial"/>
          <w:sz w:val="14"/>
          <w:szCs w:val="14"/>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4"/>
          <w:szCs w:val="14"/>
          <w:i w:val="1"/>
          <w:iCs w:val="1"/>
          <w:color w:val="auto"/>
        </w:rPr>
        <w:t>CYP</w:t>
      </w:r>
      <w:r>
        <w:rPr>
          <w:rFonts w:ascii="Arial" w:cs="Arial" w:eastAsia="Arial" w:hAnsi="Arial"/>
          <w:sz w:val="14"/>
          <w:szCs w:val="14"/>
          <w:color w:val="auto"/>
        </w:rPr>
        <w:t>) inhibition and induction studies showed that AV-101 was not a potent inhibitor or inducer of the human CYP isoforms evaluated.</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63" w:lineRule="exact"/>
        <w:rPr>
          <w:sz w:val="20"/>
          <w:szCs w:val="20"/>
          <w:color w:val="auto"/>
        </w:rPr>
      </w:pPr>
    </w:p>
    <w:p>
      <w:pPr>
        <w:ind w:right="100"/>
        <w:spacing w:after="0" w:line="323" w:lineRule="auto"/>
        <w:rPr>
          <w:sz w:val="20"/>
          <w:szCs w:val="20"/>
          <w:color w:val="auto"/>
        </w:rPr>
      </w:pPr>
      <w:r>
        <w:rPr>
          <w:rFonts w:ascii="Arial" w:cs="Arial" w:eastAsia="Arial" w:hAnsi="Arial"/>
          <w:sz w:val="13"/>
          <w:szCs w:val="13"/>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80"/>
        <w:spacing w:after="0" w:line="283" w:lineRule="auto"/>
        <w:rPr>
          <w:sz w:val="20"/>
          <w:szCs w:val="20"/>
          <w:color w:val="auto"/>
        </w:rPr>
      </w:pPr>
      <w:r>
        <w:rPr>
          <w:rFonts w:ascii="Arial" w:cs="Arial" w:eastAsia="Arial" w:hAnsi="Arial"/>
          <w:sz w:val="14"/>
          <w:szCs w:val="14"/>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rat Olney lesion study was conducted to assess the potential CNS toxicity. No lesions were observed in the brain after a single oral dose of AV-101 at doses up to 2,000 mg/kg.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Pharmacology Studies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Primary Pharmacodynamics</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Much of the nonclinical pharmacology information of AV-101 is derived from many published research results on 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Absorption, Distribution, Metabolism and Excretion Studies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4-Cl-KYN, with mean AUC0-t and AUC0-∞ estimates higher in females relative to males for most treatment groups. Conversely, mean AUC0-t and AUC0-∞ values of 7-Cl-KYNA were generally higher in males relative to females.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4-Cl-KYN.</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Toxicology Studies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was determined to be mutagenic.</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Local tolerance studies have not been conducted with AV-101. However, no lesions in the gastrointestinal tract were observed after oral administration of AV-101 in the repeated-dose toxicity studies in the rat and dog.</w:t>
      </w:r>
    </w:p>
    <w:p>
      <w:pPr>
        <w:spacing w:after="0" w:line="153"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The results of the pivotal 14-day studies show the dog to be the most sensitive species. The dog NOAEL was determined to be the highest dose level (120 mg/kg/d), and therefore the maximum recommended starting dose (</w:t>
      </w:r>
      <w:r>
        <w:rPr>
          <w:rFonts w:ascii="Arial" w:cs="Arial" w:eastAsia="Arial" w:hAnsi="Arial"/>
          <w:sz w:val="13"/>
          <w:szCs w:val="13"/>
          <w:i w:val="1"/>
          <w:iCs w:val="1"/>
          <w:color w:val="auto"/>
        </w:rPr>
        <w:t>MRSD</w:t>
      </w:r>
      <w:r>
        <w:rPr>
          <w:rFonts w:ascii="Arial" w:cs="Arial" w:eastAsia="Arial" w:hAnsi="Arial"/>
          <w:sz w:val="13"/>
          <w:szCs w:val="13"/>
          <w:color w:val="auto"/>
        </w:rPr>
        <w:t xml:space="preserve">) would be 6.5 mg/kg (12 mg/kg/d </w:t>
      </w:r>
      <w:r>
        <w:rPr>
          <w:rFonts w:ascii="Arial" w:cs="Arial" w:eastAsia="Arial" w:hAnsi="Arial"/>
          <w:sz w:val="13"/>
          <w:szCs w:val="13"/>
          <w:color w:val="auto"/>
        </w:rPr>
        <w:t>Ч</w:t>
      </w:r>
      <w:r>
        <w:rPr>
          <w:rFonts w:ascii="Arial" w:cs="Arial" w:eastAsia="Arial" w:hAnsi="Arial"/>
          <w:sz w:val="13"/>
          <w:szCs w:val="13"/>
          <w:color w:val="auto"/>
        </w:rPr>
        <w:t xml:space="preserve"> 0.54 [conversion factor]) or 390 mg per subject for a 60-kg person. As a further added margin of safety for the clinical use of AV-101, the Company applied an additional safety factor to the calculated MRSD, and set the starting dose in the proposed Phase 1a clinical trial at 0.5 mg/kg (i.e., 30 mg for 60 kg subjects).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Phase 1 Clinical Safety Studies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4"/>
          <w:szCs w:val="14"/>
          <w:i w:val="1"/>
          <w:iCs w:val="1"/>
          <w:color w:val="auto"/>
        </w:rPr>
        <w:t>AEs</w:t>
      </w:r>
      <w:r>
        <w:rPr>
          <w:rFonts w:ascii="Arial" w:cs="Arial" w:eastAsia="Arial" w:hAnsi="Arial"/>
          <w:sz w:val="14"/>
          <w:szCs w:val="14"/>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and no Serious Adverse Events (</w:t>
      </w:r>
      <w:r>
        <w:rPr>
          <w:rFonts w:ascii="Arial" w:cs="Arial" w:eastAsia="Arial" w:hAnsi="Arial"/>
          <w:sz w:val="14"/>
          <w:szCs w:val="14"/>
          <w:i w:val="1"/>
          <w:iCs w:val="1"/>
          <w:color w:val="auto"/>
        </w:rPr>
        <w:t>SAEs</w:t>
      </w:r>
      <w:r>
        <w:rPr>
          <w:rFonts w:ascii="Arial" w:cs="Arial" w:eastAsia="Arial" w:hAnsi="Arial"/>
          <w:sz w:val="14"/>
          <w:szCs w:val="14"/>
          <w:color w:val="auto"/>
        </w:rPr>
        <w:t>) were reported.</w:t>
      </w:r>
    </w:p>
    <w:p>
      <w:pPr>
        <w:spacing w:after="0" w:line="142" w:lineRule="exact"/>
        <w:rPr>
          <w:sz w:val="20"/>
          <w:szCs w:val="20"/>
          <w:color w:val="auto"/>
        </w:rPr>
      </w:pPr>
    </w:p>
    <w:p>
      <w:pPr>
        <w:ind w:right="40"/>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w:t>
      </w:r>
    </w:p>
    <w:p>
      <w:pPr>
        <w:spacing w:after="0" w:line="180" w:lineRule="exact"/>
        <w:rPr>
          <w:sz w:val="20"/>
          <w:szCs w:val="20"/>
          <w:color w:val="auto"/>
        </w:rPr>
      </w:pPr>
    </w:p>
    <w:p>
      <w:pPr>
        <w:ind w:right="60"/>
        <w:spacing w:after="0" w:line="306" w:lineRule="auto"/>
        <w:rPr>
          <w:sz w:val="20"/>
          <w:szCs w:val="20"/>
          <w:color w:val="auto"/>
        </w:rPr>
      </w:pPr>
      <w:r>
        <w:rPr>
          <w:rFonts w:ascii="Arial" w:cs="Arial" w:eastAsia="Arial" w:hAnsi="Arial"/>
          <w:sz w:val="12"/>
          <w:szCs w:val="12"/>
          <w:color w:val="auto"/>
        </w:rPr>
        <w:t>A phase 1a, randomized, double 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4-C1-KYN mean AUC0-t reaches 900,486 ng·h/mL, or a mean Cmax of 81,633 ng/mL, or a PK extrapolation predicts exceeding one of these values in the next cohort.</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 Pharmacokinetics Summary</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Validated bioanalytical methods were used to measure plasma analyte concentrations. These assays had lower limits of quantification of 2 ng/mL for 7-Cl-KYNA and 5 ng/mL for 4-Cl-KYN and D-4-Cl- KYN. Pharmacokinetic parameters were calculated by using WinNonlin Pro v. 5.2. Parameters calculated included observed maximal concentration (Cmax), observed time to Cmax (Tmax), area under the concentration-time curve to the last sample collected (AUC0-t) or extrapolated to infinity (AUC0-∞), and half-life (t1/2). Concentrations of all three analytes were measurable in both plasma and urine after administration of each of the six dose levels: 30, 120, 360, 720, 1,080 and 1,440 mg.</w:t>
      </w:r>
    </w:p>
    <w:p>
      <w:pPr>
        <w:spacing w:after="0" w:line="146"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and 7-Cl-KYNA were obtained in addition to urine concentrations of these two analytes. Plasma and urine concentrations of D-4-Cl-KYN also were determined, but will be reported only for the first two cohorts.</w:t>
      </w:r>
    </w:p>
    <w:p>
      <w:pPr>
        <w:spacing w:after="0" w:line="86"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t1/2 values were fairly consistent within cohorts, and mean values ranged from 1.80 to 3.33 hours. Mean t1/2 values also tended to increase with increasing dose. Mean Cmax and AUC0-∞ values appeared to be approximately dose proportional except for those of the highest dose group.</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7-Cl-KYNA plasma concentration-time profiles were not well defined for the 30-mg dose. Most samples for the 30-mg dose cohort had concentrations below the lower limits of quantification, and t1/2 values could not be calculated; however, profiles were sufficient after the 120-mg and greater doses to calculate all parameters.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general, 7-Cl-KYNA maximum concentrations occurred at the same time or later than those for 4-Cl-KYN, as may be expected since 7-Cl-KYNA is a metabolite of 4-Cl-KYN. Individual values of Tmax ranged from 0.5 to 2 hours for both analytes. Individual 7-Cl-KYNA t1/2 values were fairly consistent within cohorts, and mean values ranged from 2.17 to 3.19 hours. Mean t1/2 values did not appear to be dose-related. Mean 7-Cl-KYNA Cmax values were somewhat dose proportional for the two initial dose groups, but tended to increase in a more than dose-proportional manner. Similarly, mean 7-Cl-KYNA AUC0-t values for all dose groups and AUC0-∞ values for dose groups of 120 mg or greater tended to increase in a more than dose-proportional manner. Mean plasma concentrations of 4-Cl-KYN (Figure 1) and 7-Cl-KYNA (Figure 2) are depicted for all six cohorts.</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Assessment of Dose Proportionality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For 4-Cl-KYN, mean Cmax and AUC0-∞ values appeared to be approximately dose proportional except for those of the highest dose group. These values are presented by dose in Figure 3 (Cmax) and in Figure 4 (AUC0-∞)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Although the 4-Cl-KYN mean Cmax values were not linear after the 1,080-mg dose, AUC0-∞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AUC0-∞ values were linear throughout the dose range suggests that the extent of absorption was not a limitation, but the rate of absorption may be limited at doses above 1,080 mg.</w:t>
      </w:r>
    </w:p>
    <w:p>
      <w:pPr>
        <w:spacing w:after="0" w:line="167" w:lineRule="exact"/>
        <w:rPr>
          <w:sz w:val="20"/>
          <w:szCs w:val="20"/>
          <w:color w:val="auto"/>
        </w:rPr>
      </w:pPr>
    </w:p>
    <w:p>
      <w:pPr>
        <w:jc w:val="both"/>
        <w:ind w:right="180"/>
        <w:spacing w:after="0" w:line="323" w:lineRule="auto"/>
        <w:rPr>
          <w:sz w:val="20"/>
          <w:szCs w:val="20"/>
          <w:color w:val="auto"/>
        </w:rPr>
      </w:pPr>
      <w:r>
        <w:rPr>
          <w:rFonts w:ascii="Arial" w:cs="Arial" w:eastAsia="Arial" w:hAnsi="Arial"/>
          <w:sz w:val="13"/>
          <w:szCs w:val="13"/>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(AUC0-∞).</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Safety Summary</w:t>
      </w:r>
    </w:p>
    <w:p>
      <w:pPr>
        <w:spacing w:after="0" w:line="180" w:lineRule="exact"/>
        <w:rPr>
          <w:sz w:val="20"/>
          <w:szCs w:val="20"/>
          <w:color w:val="auto"/>
        </w:rPr>
      </w:pPr>
    </w:p>
    <w:p>
      <w:pPr>
        <w:ind w:right="120"/>
        <w:spacing w:after="0" w:line="305" w:lineRule="auto"/>
        <w:rPr>
          <w:sz w:val="20"/>
          <w:szCs w:val="20"/>
          <w:color w:val="auto"/>
        </w:rPr>
      </w:pPr>
      <w:r>
        <w:rPr>
          <w:rFonts w:ascii="Arial" w:cs="Arial" w:eastAsia="Arial" w:hAnsi="Arial"/>
          <w:sz w:val="12"/>
          <w:szCs w:val="12"/>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w:t>
      </w:r>
    </w:p>
    <w:p>
      <w:pPr>
        <w:spacing w:after="0" w:line="256" w:lineRule="auto"/>
        <w:rPr>
          <w:sz w:val="20"/>
          <w:szCs w:val="20"/>
          <w:color w:val="auto"/>
        </w:rPr>
      </w:pPr>
      <w:r>
        <w:rPr>
          <w:rFonts w:ascii="Arial" w:cs="Arial" w:eastAsia="Arial" w:hAnsi="Arial"/>
          <w:sz w:val="14"/>
          <w:szCs w:val="14"/>
          <w:color w:val="auto"/>
        </w:rPr>
        <w:t>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73"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Study</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ECGs, neurocognitive tests, and ataxia tests were performed on Day 1 and Day 14. Before proceeding to the next higher dose, the following criteria were met:</w:t>
      </w:r>
    </w:p>
    <w:p>
      <w:pPr>
        <w:spacing w:after="0" w:line="118" w:lineRule="exact"/>
        <w:rPr>
          <w:sz w:val="20"/>
          <w:szCs w:val="20"/>
          <w:color w:val="auto"/>
        </w:rPr>
      </w:pPr>
    </w:p>
    <w:p>
      <w:pPr>
        <w:ind w:left="520" w:hanging="515"/>
        <w:spacing w:after="0"/>
        <w:tabs>
          <w:tab w:leader="none" w:pos="520" w:val="left"/>
        </w:tabs>
        <w:numPr>
          <w:ilvl w:val="0"/>
          <w:numId w:val="38"/>
        </w:numPr>
        <w:rPr>
          <w:rFonts w:ascii="Arial" w:cs="Arial" w:eastAsia="Arial" w:hAnsi="Arial"/>
          <w:sz w:val="20"/>
          <w:szCs w:val="20"/>
          <w:color w:val="auto"/>
          <w:vertAlign w:val="superscript"/>
        </w:rPr>
      </w:pPr>
      <w:r>
        <w:rPr>
          <w:rFonts w:ascii="Arial" w:cs="Arial" w:eastAsia="Arial" w:hAnsi="Arial"/>
          <w:sz w:val="14"/>
          <w:szCs w:val="14"/>
          <w:color w:val="auto"/>
        </w:rPr>
        <w:t>Blinded safety and tolerability data were reviewed and assessed as being satisfactory by the investigator and medical monitor; and</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38"/>
        </w:numPr>
        <w:rPr>
          <w:rFonts w:ascii="Arial" w:cs="Arial" w:eastAsia="Arial" w:hAnsi="Arial"/>
          <w:sz w:val="20"/>
          <w:szCs w:val="20"/>
          <w:color w:val="auto"/>
          <w:vertAlign w:val="superscript"/>
        </w:rPr>
      </w:pPr>
      <w:r>
        <w:rPr>
          <w:rFonts w:ascii="Arial" w:cs="Arial" w:eastAsia="Arial" w:hAnsi="Arial"/>
          <w:sz w:val="14"/>
          <w:szCs w:val="14"/>
          <w:color w:val="auto"/>
        </w:rPr>
        <w:t>PK assessments were reviewed by the blinded Cato Research PK specialist to determine if the PK stopping criteria were reached.</w:t>
      </w:r>
    </w:p>
    <w:p>
      <w:pPr>
        <w:spacing w:after="0" w:line="182" w:lineRule="exact"/>
        <w:rPr>
          <w:sz w:val="20"/>
          <w:szCs w:val="20"/>
          <w:color w:val="auto"/>
        </w:rPr>
      </w:pPr>
    </w:p>
    <w:p>
      <w:pPr>
        <w:jc w:val="both"/>
        <w:ind w:right="140"/>
        <w:spacing w:after="0" w:line="283" w:lineRule="auto"/>
        <w:rPr>
          <w:sz w:val="20"/>
          <w:szCs w:val="20"/>
          <w:color w:val="auto"/>
        </w:rPr>
      </w:pPr>
      <w:r>
        <w:rPr>
          <w:rFonts w:ascii="Arial" w:cs="Arial" w:eastAsia="Arial" w:hAnsi="Arial"/>
          <w:sz w:val="14"/>
          <w:szCs w:val="14"/>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The minimum toxic dose was defined as the dose at which the stopping criteria were reached. For this study, the minimum toxic dose was to be (1) the dose at which a drug-related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6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42"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The determination of the relationship of the AE to the study drug was made when the data were unblinded.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SAEs were reported.</w:t>
      </w:r>
    </w:p>
    <w:p>
      <w:pPr>
        <w:spacing w:after="0" w:line="135"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Pharmacokinetics Summary</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AUC0-t, AUC0-∞, and t1/2.</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t1/2 resulted in unrealistic values for some subjects.</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Plasma concentration-time profiles for 4-Cl-KYN were more consistently single compartment, but several had a subtle multicompartment appearance. To be consistent in the calculation of t1/2 and to report a meaningful value, the final three samples with measurable concentrations were used to calculate t1/2 for subjects for whom those samples appeared to be log-linear. Otherwise, the last sample was essentially treated as an outlier, and the prior samples in the log-linear phase were used to calculate t1/2 (these samples had a higher coefficient of determination value than the last three samples). In addition, the AUC0-∞ values reported are calculated using the predicted last value rather than observed.</w:t>
      </w:r>
    </w:p>
    <w:p>
      <w:pPr>
        <w:spacing w:after="0" w:line="146"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An absolute bioavailability evaluation is not possible from the data; however, an estimate of exposure can be done by comparing the AUC at the same doses. The mean AUC0-∞values in the Phase 1b study were higher at all three doses than seen in Phase 1a study, suggesting similar or even higher bioavailability than that in the Phase 1a study, i.e. ≥ 31%.</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 Program - Summary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AEs reported by subjects that received AV-101 that were graded as probably related to study drug. The type and distribution of AEs reported by subjects in the studies were considered to be typical for studies in healthy volunteers. All of the AEs were completely resolved, and no SAEs were reported.</w:t>
      </w:r>
    </w:p>
    <w:p>
      <w:pPr>
        <w:spacing w:after="0" w:line="163"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five reports of feelings of well being occurred in one subject each at 360 (7%, 1 of 15 subjects) and 1,080 mg (7%, 1 of 15 subjects), and three subjects at 1,440 mg (20%, 3 of 15 subjects) in the Phase 1a and Phase 1b clinical studies, combined. Four of the five subjects reporting feelings of well-being did not have any other adverse experiences, and one subject (1,080 mg) also reported a mild headache. These results suggest a dose response and that AV-101 at the higher doses may lead to an increased positive mood.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color w:val="auto"/>
        </w:rPr>
        <w:t>Our stem cell technology platform is based on proprietary and licensed technologies for controlling the differentiation of human pluripotent stem cells (</w:t>
      </w:r>
      <w:r>
        <w:rPr>
          <w:rFonts w:ascii="Arial" w:cs="Arial" w:eastAsia="Arial" w:hAnsi="Arial"/>
          <w:sz w:val="14"/>
          <w:szCs w:val="14"/>
          <w:i w:val="1"/>
          <w:iCs w:val="1"/>
          <w:color w:val="auto"/>
        </w:rPr>
        <w:t>hPSCs</w:t>
      </w:r>
      <w:r>
        <w:rPr>
          <w:rFonts w:ascii="Arial" w:cs="Arial" w:eastAsia="Arial" w:hAnsi="Arial"/>
          <w:sz w:val="14"/>
          <w:szCs w:val="14"/>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4"/>
          <w:szCs w:val="14"/>
          <w:i w:val="1"/>
          <w:iCs w:val="1"/>
          <w:color w:val="auto"/>
        </w:rPr>
        <w:t>in vitro</w:t>
      </w:r>
      <w:r>
        <w:rPr>
          <w:rFonts w:ascii="Arial" w:cs="Arial" w:eastAsia="Arial" w:hAnsi="Arial"/>
          <w:sz w:val="14"/>
          <w:szCs w:val="14"/>
          <w:color w:val="auto"/>
        </w:rPr>
        <w:t>, the potential therapeutic benefits and safety risks of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w:t>
      </w:r>
    </w:p>
    <w:p>
      <w:pPr>
        <w:spacing w:after="0" w:line="142"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 xml:space="preserve">We used our hPSC-derived cardiomyocytes (human heart cells)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our novel, customized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bioassay system for predicting potential cardiotoxicity of drug rescue NCEs.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more comprehensive and clinically predictive than the hERG assay, currently the only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assay required by FDA guidelines, and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offers us a new paradigm for evaluating and predicting potential heart toxicity of drug rescue NCEs early in development, long before costly, high risk human clinical trials.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42"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Human pluripotent stem cells are either embryonic stem cells (</w:t>
      </w:r>
      <w:r>
        <w:rPr>
          <w:rFonts w:ascii="Arial" w:cs="Arial" w:eastAsia="Arial" w:hAnsi="Arial"/>
          <w:sz w:val="14"/>
          <w:szCs w:val="14"/>
          <w:i w:val="1"/>
          <w:iCs w:val="1"/>
          <w:color w:val="auto"/>
        </w:rPr>
        <w:t>hESCs</w:t>
      </w:r>
      <w:r>
        <w:rPr>
          <w:rFonts w:ascii="Arial" w:cs="Arial" w:eastAsia="Arial" w:hAnsi="Arial"/>
          <w:sz w:val="14"/>
          <w:szCs w:val="14"/>
          <w:color w:val="auto"/>
        </w:rPr>
        <w:t>) or induced pluripotent stem cells (</w:t>
      </w:r>
      <w:r>
        <w:rPr>
          <w:rFonts w:ascii="Arial" w:cs="Arial" w:eastAsia="Arial" w:hAnsi="Arial"/>
          <w:sz w:val="14"/>
          <w:szCs w:val="14"/>
          <w:i w:val="1"/>
          <w:iCs w:val="1"/>
          <w:color w:val="auto"/>
        </w:rPr>
        <w:t>iPSCs</w:t>
      </w:r>
      <w:r>
        <w:rPr>
          <w:rFonts w:ascii="Arial" w:cs="Arial" w:eastAsia="Arial" w:hAnsi="Arial"/>
          <w:sz w:val="14"/>
          <w:szCs w:val="14"/>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4"/>
          <w:szCs w:val="14"/>
          <w:i w:val="1"/>
          <w:iCs w:val="1"/>
          <w:color w:val="auto"/>
        </w:rPr>
        <w:t>in vitro</w:t>
      </w:r>
      <w:r>
        <w:rPr>
          <w:rFonts w:ascii="Arial" w:cs="Arial" w:eastAsia="Arial" w:hAnsi="Arial"/>
          <w:sz w:val="14"/>
          <w:szCs w:val="14"/>
          <w:color w:val="auto"/>
        </w:rPr>
        <w:t>. These cells also have potential for diverse regenerative medicine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Embryonic Stem Cells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 xml:space="preserve">According to the NIH, hESCs are derived from excess embryos that develop from eggs that have been fertilized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Induced Pluripotent Stem Cells</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35"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59"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20"/>
          <w:szCs w:val="20"/>
          <w:color w:val="auto"/>
          <w:vertAlign w:val="superscript"/>
        </w:rPr>
      </w:pPr>
      <w:r>
        <w:rPr>
          <w:rFonts w:ascii="Arial" w:cs="Arial" w:eastAsia="Arial" w:hAnsi="Arial"/>
          <w:sz w:val="14"/>
          <w:szCs w:val="14"/>
          <w:color w:val="auto"/>
        </w:rPr>
        <w:t>individuals with specific inheritable diseases and conditions that predispose the individual to respond differently to drugs; or</w:t>
      </w:r>
    </w:p>
    <w:p>
      <w:pPr>
        <w:spacing w:after="0" w:line="12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39"/>
        </w:numPr>
        <w:rPr>
          <w:rFonts w:ascii="Arial" w:cs="Arial" w:eastAsia="Arial" w:hAnsi="Arial"/>
          <w:sz w:val="19"/>
          <w:szCs w:val="19"/>
          <w:color w:val="auto"/>
          <w:vertAlign w:val="superscript"/>
        </w:rPr>
      </w:pPr>
      <w:r>
        <w:rPr>
          <w:rFonts w:ascii="Arial" w:cs="Arial" w:eastAsia="Arial" w:hAnsi="Arial"/>
          <w:sz w:val="13"/>
          <w:szCs w:val="13"/>
          <w:color w:val="auto"/>
        </w:rPr>
        <w:t>individuals with specific variations in genes that directly affect drug levels in the body or alter the manner or efficiency of their metabolism, breakdown and/or elimination of drugs.</w:t>
      </w:r>
    </w:p>
    <w:p>
      <w:pPr>
        <w:spacing w:after="0" w:line="160"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Medicinal Chemistry</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p>
      <w:pPr>
        <w:spacing w:after="0" w:line="2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4"/>
          <w:szCs w:val="14"/>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using hPSC-derived cardiomyocytes (</w:t>
      </w:r>
      <w:r>
        <w:rPr>
          <w:rFonts w:ascii="Arial" w:cs="Arial" w:eastAsia="Arial" w:hAnsi="Arial"/>
          <w:sz w:val="14"/>
          <w:szCs w:val="14"/>
          <w:i w:val="1"/>
          <w:iCs w:val="1"/>
          <w:color w:val="auto"/>
        </w:rPr>
        <w:t>hPSC-CMs</w:t>
      </w:r>
      <w:r>
        <w:rPr>
          <w:rFonts w:ascii="Arial" w:cs="Arial" w:eastAsia="Arial" w:hAnsi="Arial"/>
          <w:sz w:val="14"/>
          <w:szCs w:val="14"/>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 xml:space="preserve">We produce fully functional, non-transformed hPSC-CMs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cardiac toxicity assays screening for both direct cardiomyocyte cytotoxicity and arrhythmogenesis (or development of irregular beating patterns).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sensitive, stable, reproducible and capable of generating data enabling a more accurate prediction of the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vivo </w:t>
      </w:r>
      <w:r>
        <w:rPr>
          <w:rFonts w:ascii="Arial" w:cs="Arial" w:eastAsia="Arial" w:hAnsi="Arial"/>
          <w:sz w:val="13"/>
          <w:szCs w:val="13"/>
          <w:color w:val="auto"/>
        </w:rPr>
        <w:t>cardiac effects of NCEs than is possible with existing preclinical testing systems, particularly the hERG assay.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Clinical Predictivity of the FDA-Required hERG Assay</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Broad Clinical Predictivity of CardioSafe </w:t>
      </w:r>
      <w:r>
        <w:rPr>
          <w:rFonts w:ascii="Arial" w:cs="Arial" w:eastAsia="Arial" w:hAnsi="Arial"/>
          <w:sz w:val="14"/>
          <w:szCs w:val="14"/>
          <w:b w:val="1"/>
          <w:bCs w:val="1"/>
          <w:color w:val="auto"/>
        </w:rPr>
        <w:t>3D</w:t>
      </w:r>
    </w:p>
    <w:p>
      <w:pPr>
        <w:spacing w:after="0" w:line="18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As noted above, we have developed and validated two clinically relevant functional components of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consists of a suite of five fluorescence or luminescence based high-throughput hPSC-CM assays. 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assays measure the following important drug-induced cardiac biological effects:</w:t>
      </w:r>
    </w:p>
    <w:p>
      <w:pPr>
        <w:spacing w:after="0" w:line="125" w:lineRule="exact"/>
        <w:rPr>
          <w:sz w:val="20"/>
          <w:szCs w:val="20"/>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cell viability;</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apoptosis;</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mitochondrial membrane depolarization;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oxidative stress;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energy metabolism disruption.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biological assays were correlated to reported clinical results using reference compounds known to be cardiotoxic in humans versus compounds known to be safe in humans.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reference compounds were representative of eight different drug classes, including:</w:t>
      </w:r>
    </w:p>
    <w:p>
      <w:pPr>
        <w:spacing w:after="0" w:line="191" w:lineRule="exact"/>
        <w:rPr>
          <w:sz w:val="20"/>
          <w:szCs w:val="20"/>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ion channel blockers: amiodarone, nifedipine;</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hERG trafficking blockers: pentamidine, amoxapine;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α-1 adrenoreceptors: doxazosin;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protein and DNA synthesis inhibitors: emetine;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DNA intercalating agents: doxorubicin;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antibiotics: ampicillin, cefazolin;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NSAID: aspirin;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kinase inhibitors: staurosporine.</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 xml:space="preserve">This suite of five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drug rescue programs.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7" w:name="page78"/>
    <w:bookmarkEnd w:id="7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 xml:space="preserve">The other component of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assay system is a sensitive and reliable medium throughput multi-electrode array (</w:t>
      </w:r>
      <w:r>
        <w:rPr>
          <w:rFonts w:ascii="Arial" w:cs="Arial" w:eastAsia="Arial" w:hAnsi="Arial"/>
          <w:sz w:val="14"/>
          <w:szCs w:val="14"/>
          <w:i w:val="1"/>
          <w:iCs w:val="1"/>
          <w:color w:val="auto"/>
        </w:rPr>
        <w:t>MEA</w:t>
      </w:r>
      <w:r>
        <w:rPr>
          <w:rFonts w:ascii="Arial" w:cs="Arial" w:eastAsia="Arial" w:hAnsi="Arial"/>
          <w:sz w:val="14"/>
          <w:szCs w:val="14"/>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has been validated with reported clinical results involving twelve drugs, each with known toxic or non-toxic cardiac effects in humans. The twelve clinical correlation study</w:t>
      </w:r>
      <w:r>
        <w:rPr>
          <w:rFonts w:ascii="Arial" w:cs="Arial" w:eastAsia="Arial" w:hAnsi="Arial"/>
          <w:sz w:val="14"/>
          <w:szCs w:val="14"/>
          <w:i w:val="1"/>
          <w:iCs w:val="1"/>
          <w:color w:val="auto"/>
        </w:rPr>
        <w:t xml:space="preserve"> </w:t>
      </w:r>
      <w:r>
        <w:rPr>
          <w:rFonts w:ascii="Arial" w:cs="Arial" w:eastAsia="Arial" w:hAnsi="Arial"/>
          <w:sz w:val="14"/>
          <w:szCs w:val="14"/>
          <w:color w:val="auto"/>
        </w:rPr>
        <w:t>compounds are as follows:</w:t>
      </w:r>
    </w:p>
    <w:p>
      <w:pPr>
        <w:spacing w:after="0" w:line="168" w:lineRule="exact"/>
        <w:rPr>
          <w:sz w:val="20"/>
          <w:szCs w:val="20"/>
          <w:color w:val="auto"/>
        </w:rPr>
      </w:pPr>
    </w:p>
    <w:p>
      <w:pPr>
        <w:ind w:left="580" w:hanging="575"/>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 FDA-approved drug (aspirin) without cardiac liability to serve as a negative control;</w:t>
      </w:r>
    </w:p>
    <w:p>
      <w:pPr>
        <w:spacing w:after="0" w:line="19" w:lineRule="exact"/>
        <w:rPr>
          <w:rFonts w:ascii="Arial" w:cs="Arial" w:eastAsia="Arial" w:hAnsi="Arial"/>
          <w:sz w:val="14"/>
          <w:szCs w:val="14"/>
          <w:color w:val="auto"/>
        </w:rPr>
      </w:pPr>
    </w:p>
    <w:p>
      <w:pPr>
        <w:ind w:left="580" w:hanging="575"/>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Five FDA-approved drugs (astemizole, sotalol, cisapride, terfenadine and sertindole) that were withdrawn from the market due to heart toxicity concerns;</w:t>
      </w:r>
    </w:p>
    <w:p>
      <w:pPr>
        <w:spacing w:after="0" w:line="9" w:lineRule="exact"/>
        <w:rPr>
          <w:rFonts w:ascii="Arial" w:cs="Arial" w:eastAsia="Arial" w:hAnsi="Arial"/>
          <w:sz w:val="14"/>
          <w:szCs w:val="14"/>
          <w:color w:val="auto"/>
        </w:rPr>
      </w:pPr>
    </w:p>
    <w:p>
      <w:pPr>
        <w:ind w:left="580" w:right="20" w:hanging="575"/>
        <w:spacing w:after="0" w:line="253" w:lineRule="auto"/>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spacing w:after="0" w:line="1" w:lineRule="exact"/>
        <w:rPr>
          <w:rFonts w:ascii="Arial" w:cs="Arial" w:eastAsia="Arial" w:hAnsi="Arial"/>
          <w:sz w:val="14"/>
          <w:szCs w:val="14"/>
          <w:color w:val="auto"/>
        </w:rPr>
      </w:pPr>
    </w:p>
    <w:p>
      <w:pPr>
        <w:ind w:left="580" w:hanging="575"/>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 research compound (E-4031) failed in Phase 1 human clinical study before being discontinued due to inducing heart arrhythmias.</w:t>
      </w:r>
    </w:p>
    <w:p>
      <w:pPr>
        <w:spacing w:after="0" w:line="170"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 xml:space="preserve">We have validated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MEA assay, which we refer to as </w:t>
      </w:r>
      <w:r>
        <w:rPr>
          <w:rFonts w:ascii="Arial" w:cs="Arial" w:eastAsia="Arial" w:hAnsi="Arial"/>
          <w:sz w:val="13"/>
          <w:szCs w:val="13"/>
          <w:i w:val="1"/>
          <w:iCs w:val="1"/>
          <w:color w:val="auto"/>
        </w:rPr>
        <w:t>ECG in a test tube</w:t>
      </w:r>
      <w:r>
        <w:rPr>
          <w:rFonts w:ascii="Arial" w:cs="Arial" w:eastAsia="Arial" w:hAnsi="Arial"/>
          <w:sz w:val="13"/>
          <w:szCs w:val="13"/>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3Dprovides valuable and more comprehensive bioanalytical tools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screening than the hERG assay. We believe </w:t>
      </w:r>
      <w:r>
        <w:rPr>
          <w:rFonts w:ascii="Arial" w:cs="Arial" w:eastAsia="Arial" w:hAnsi="Arial"/>
          <w:sz w:val="13"/>
          <w:szCs w:val="13"/>
          <w:i w:val="1"/>
          <w:iCs w:val="1"/>
          <w:color w:val="auto"/>
        </w:rPr>
        <w:t xml:space="preserve">CardioSafe </w:t>
      </w:r>
      <w:r>
        <w:rPr>
          <w:rFonts w:ascii="Arial" w:cs="Arial" w:eastAsia="Arial" w:hAnsi="Arial"/>
          <w:sz w:val="13"/>
          <w:szCs w:val="13"/>
          <w:color w:val="auto"/>
        </w:rPr>
        <w:t>3D will contribute to our efficient and rapid identification of novel, potentially safer proprietary NCEs in our drug rescue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Going Far Beyond the hERG Assay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table below reflects the broad cardiotoxicity screening capabilities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which we believe go far beyond what is possible to assess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using the FDA-required hERG assay: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Detects cardiac effects mediated by:</w:t>
            </w: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hERG assay</w:t>
            </w:r>
          </w:p>
        </w:tc>
        <w:tc>
          <w:tcPr>
            <w:tcW w:w="4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hERG potassium ion channels</w:t>
            </w: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ü</w:t>
            </w: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Other potassium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Calcium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Sodium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Interactions between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Channel regulatory proteins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Cell viability</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Apoptosis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Mitochondria</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Energy</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Oxidative Stress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340"/>
        </w:trPr>
        <w:tc>
          <w:tcPr>
            <w:tcW w:w="4720" w:type="dxa"/>
            <w:vAlign w:val="bottom"/>
          </w:tcPr>
          <w:p>
            <w:pPr>
              <w:spacing w:after="0"/>
              <w:rPr>
                <w:sz w:val="20"/>
                <w:szCs w:val="20"/>
                <w:color w:val="auto"/>
              </w:rPr>
            </w:pPr>
            <w:r>
              <w:rPr>
                <w:rFonts w:ascii="Arial" w:cs="Arial" w:eastAsia="Arial" w:hAnsi="Arial"/>
                <w:sz w:val="14"/>
                <w:szCs w:val="14"/>
                <w:b w:val="1"/>
                <w:bCs w:val="1"/>
                <w:color w:val="auto"/>
                <w:w w:val="96"/>
              </w:rPr>
              <w:t>Using Stem Cell Technology to Produce and Develop Drug Rescue NCEs</w:t>
            </w:r>
          </w:p>
        </w:tc>
        <w:tc>
          <w:tcPr>
            <w:tcW w:w="21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By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the efficacy and safety of new, safer drug rescue NCEs in standard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Our goal in each drug rescue program will be to produce a proprietary drug rescue NCE and establish its preclinical POC, using standard preclinical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and safety models, as well as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In this context, POC means that the lead drug rescue NCE, as compared to the original, previously-terminated NCE</w:t>
      </w:r>
      <w:r>
        <w:rPr>
          <w:rFonts w:ascii="Arial" w:cs="Arial" w:eastAsia="Arial" w:hAnsi="Arial"/>
          <w:sz w:val="14"/>
          <w:szCs w:val="14"/>
          <w:i w:val="1"/>
          <w:iCs w:val="1"/>
          <w:color w:val="auto"/>
        </w:rPr>
        <w:t>,</w:t>
      </w:r>
      <w:r>
        <w:rPr>
          <w:rFonts w:ascii="Arial" w:cs="Arial" w:eastAsia="Arial" w:hAnsi="Arial"/>
          <w:sz w:val="14"/>
          <w:szCs w:val="14"/>
          <w:color w:val="auto"/>
        </w:rPr>
        <w:t xml:space="preserve"> demonstrates both (i) equal or superior efficacy in the same, or a similar,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Development and Commercialization of Drug Rescue NCEs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Once we optimize a patentable drug rescue NCE, we intend to develop it internally to establish preclinical POC in established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efficacy and safety models, as well as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Regenerative Medicine</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including developing novel human disease models for discovery of small molecule drugs with regenerative and therapeutic potential. Among our key objectives will be to establish one or more strategic collaborations designed to assess our RM opportunities through exploratory nonclinical POC studies.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Transactions and Relationships</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Strategic collaborations are an important cornerstone of our corporate development strategy. We believe that our strategic outsourcing and sponsorship of application-focused research gives us flexible access to medicinal chemistry, research and development capabilities, and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2" w:lineRule="exact"/>
        <w:rPr>
          <w:sz w:val="20"/>
          <w:szCs w:val="20"/>
          <w:color w:val="auto"/>
        </w:rPr>
      </w:pPr>
    </w:p>
    <w:p>
      <w:pPr>
        <w:ind w:left="640" w:right="640" w:hanging="635"/>
        <w:spacing w:after="0" w:line="215" w:lineRule="auto"/>
        <w:tabs>
          <w:tab w:leader="none" w:pos="64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academic and non-profit research institutions, such as the University Health Network, the McEwen Centre for Regenerative Medicine and the Centre for the Commercialization of Regenerative Medicine for stem cell technology research, development and cell production;</w:t>
      </w:r>
    </w:p>
    <w:p>
      <w:pPr>
        <w:spacing w:after="0" w:line="111"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contract medicinal chemistry companies, such as Synterys, Inc., to design, produce and analyze potential drug rescue NCEs; and</w:t>
      </w:r>
    </w:p>
    <w:p>
      <w:pPr>
        <w:spacing w:after="0" w:line="110" w:lineRule="exact"/>
        <w:rPr>
          <w:rFonts w:ascii="Arial" w:cs="Arial" w:eastAsia="Arial" w:hAnsi="Arial"/>
          <w:sz w:val="20"/>
          <w:szCs w:val="20"/>
          <w:color w:val="auto"/>
          <w:vertAlign w:val="superscript"/>
        </w:rPr>
      </w:pPr>
    </w:p>
    <w:p>
      <w:pPr>
        <w:ind w:left="640" w:hanging="635"/>
        <w:spacing w:after="0"/>
        <w:tabs>
          <w:tab w:leader="none" w:pos="64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contract clinical development and regulatory organizations (</w:t>
      </w:r>
      <w:r>
        <w:rPr>
          <w:rFonts w:ascii="Arial" w:cs="Arial" w:eastAsia="Arial" w:hAnsi="Arial"/>
          <w:sz w:val="14"/>
          <w:szCs w:val="14"/>
          <w:i w:val="1"/>
          <w:iCs w:val="1"/>
          <w:color w:val="auto"/>
        </w:rPr>
        <w:t>CROs</w:t>
      </w:r>
      <w:r>
        <w:rPr>
          <w:rFonts w:ascii="Arial" w:cs="Arial" w:eastAsia="Arial" w:hAnsi="Arial"/>
          <w:sz w:val="14"/>
          <w:szCs w:val="14"/>
          <w:color w:val="auto"/>
        </w:rPr>
        <w:t>), such as Cato Research, Ltd. and PPD, for regulatory expertise and clinical development support.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w:t>
      </w:r>
    </w:p>
    <w:p>
      <w:pPr>
        <w:spacing w:after="0" w:line="1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4"/>
          <w:szCs w:val="14"/>
          <w:i w:val="1"/>
          <w:iCs w:val="1"/>
          <w:color w:val="auto"/>
        </w:rPr>
        <w:t>CMC</w:t>
      </w:r>
      <w:r>
        <w:rPr>
          <w:rFonts w:ascii="Arial" w:cs="Arial" w:eastAsia="Arial" w:hAnsi="Arial"/>
          <w:sz w:val="14"/>
          <w:szCs w:val="14"/>
          <w:color w:val="auto"/>
        </w:rPr>
        <w:t>) aspects of our Phase 2 development program in MDD. Cato Research’s senior management team, including co-founders Allen Cato, M.D., Ph.D. and Lynda Sutton, have over 25 years of experience interacting with the FDA and international regulatory agencies and a successful track record of product approvals.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BioVentures</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internally rather than out-license them to strategic partners.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Research Consortium</w:t>
      </w:r>
    </w:p>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We have joined the Cardiac Safety Research Consortium (</w:t>
      </w:r>
      <w:r>
        <w:rPr>
          <w:rFonts w:ascii="Arial" w:cs="Arial" w:eastAsia="Arial" w:hAnsi="Arial"/>
          <w:sz w:val="14"/>
          <w:szCs w:val="14"/>
          <w:i w:val="1"/>
          <w:iCs w:val="1"/>
          <w:color w:val="auto"/>
        </w:rPr>
        <w:t>CSRC</w:t>
      </w:r>
      <w:r>
        <w:rPr>
          <w:rFonts w:ascii="Arial" w:cs="Arial" w:eastAsia="Arial" w:hAnsi="Arial"/>
          <w:sz w:val="14"/>
          <w:szCs w:val="14"/>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Technical Committee of the Health and Environmental Sciences Institute – FDA’s CIPA Initiative</w:t>
      </w:r>
    </w:p>
    <w:p>
      <w:pPr>
        <w:spacing w:after="0" w:line="180"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Centre for Commercialization of Regenerative Medicine</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Toronto-based Centre for Commercialization of Regenerative Medicine (</w:t>
      </w:r>
      <w:r>
        <w:rPr>
          <w:rFonts w:ascii="Arial" w:cs="Arial" w:eastAsia="Arial" w:hAnsi="Arial"/>
          <w:sz w:val="14"/>
          <w:szCs w:val="14"/>
          <w:i w:val="1"/>
          <w:iCs w:val="1"/>
          <w:color w:val="auto"/>
        </w:rPr>
        <w:t>CCRM</w:t>
      </w:r>
      <w:r>
        <w:rPr>
          <w:rFonts w:ascii="Arial" w:cs="Arial" w:eastAsia="Arial" w:hAnsi="Arial"/>
          <w:sz w:val="14"/>
          <w:szCs w:val="14"/>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Massachusetts General Hospital (MGH) Clinical Trials Network and Institute (CTNI)</w:t>
      </w:r>
    </w:p>
    <w:p>
      <w:pPr>
        <w:spacing w:after="0" w:line="180"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b w:val="1"/>
          <w:bCs w:val="1"/>
          <w:i w:val="1"/>
          <w:iCs w:val="1"/>
          <w:color w:val="auto"/>
        </w:rPr>
        <w:t xml:space="preserve">Massachusetts General Hospital (MGH) </w:t>
      </w:r>
      <w:r>
        <w:rPr>
          <w:rFonts w:ascii="Arial" w:cs="Arial" w:eastAsia="Arial" w:hAnsi="Arial"/>
          <w:sz w:val="13"/>
          <w:szCs w:val="13"/>
          <w:color w:val="auto"/>
        </w:rPr>
        <w:t>Clinical Trials Network and Institute (</w:t>
      </w:r>
      <w:r>
        <w:rPr>
          <w:rFonts w:ascii="Arial" w:cs="Arial" w:eastAsia="Arial" w:hAnsi="Arial"/>
          <w:sz w:val="13"/>
          <w:szCs w:val="13"/>
          <w:i w:val="1"/>
          <w:iCs w:val="1"/>
          <w:color w:val="auto"/>
        </w:rPr>
        <w:t>CTNI</w:t>
      </w:r>
      <w:r>
        <w:rPr>
          <w:rFonts w:ascii="Arial" w:cs="Arial" w:eastAsia="Arial" w:hAnsi="Arial"/>
          <w:sz w:val="13"/>
          <w:szCs w:val="13"/>
          <w:color w:val="auto"/>
        </w:rPr>
        <w:t>) is an academic CRO, part of the Department of Psychiatry of the Massachusetts General Hospital (</w:t>
      </w:r>
      <w:r>
        <w:rPr>
          <w:rFonts w:ascii="Arial" w:cs="Arial" w:eastAsia="Arial" w:hAnsi="Arial"/>
          <w:sz w:val="13"/>
          <w:szCs w:val="13"/>
          <w:i w:val="1"/>
          <w:iCs w:val="1"/>
          <w:color w:val="auto"/>
        </w:rPr>
        <w:t>MGH</w:t>
      </w:r>
      <w:r>
        <w:rPr>
          <w:rFonts w:ascii="Arial" w:cs="Arial" w:eastAsia="Arial" w:hAnsi="Arial"/>
          <w:sz w:val="13"/>
          <w:szCs w:val="13"/>
          <w:color w:val="auto"/>
        </w:rPr>
        <w:t>),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potentially pivotal Phase 2b clinical study of AV-101 for treatment of MDD. Dr. Fava is acknowledged as a world renowned expert in depressive disorders and psychopharmacology. He is Director of the Division of Clinical Research of the MGH Research Institute, Executive Vice Chair, Department of Psychiatry, at MGH, and Executive Director of MGH CTNI. He will serve as Principal Investigator of Phase 2b study of AV-101 in MDD. Dr. Laughren is the former FDA Division Director, Division of Psychiatry Products, Center for Drug Evaluation and Research (</w:t>
      </w:r>
      <w:r>
        <w:rPr>
          <w:rFonts w:ascii="Arial" w:cs="Arial" w:eastAsia="Arial" w:hAnsi="Arial"/>
          <w:sz w:val="13"/>
          <w:szCs w:val="13"/>
          <w:i w:val="1"/>
          <w:iCs w:val="1"/>
          <w:color w:val="auto"/>
        </w:rPr>
        <w:t>CDER</w:t>
      </w:r>
      <w:r>
        <w:rPr>
          <w:rFonts w:ascii="Arial" w:cs="Arial" w:eastAsia="Arial" w:hAnsi="Arial"/>
          <w:sz w:val="13"/>
          <w:szCs w:val="13"/>
          <w:color w:val="auto"/>
        </w:rPr>
        <w: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PPD</w:t>
      </w:r>
    </w:p>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PPD is a leading global CRO providing comprehensive, integrated drug development, laboratory and lifecycle management services. With offices in 46 countries and more than 15,000 professionals worldwide, PPD applies innovative technologies, therapeutic expertise and a firm commitment to quality to help its clients and partners bend the cost and time curve of drug development to deliver life-changing therapies that improve health. We are currently working with PPD as our full-service CRO in connection with the planning and execution of our potentially pivotal Phase 2b clinical study of AV-101 for treatment of MDD.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Synterys, Inc.</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Institutes of Health</w:t>
      </w:r>
    </w:p>
    <w:p>
      <w:pPr>
        <w:spacing w:after="0" w:line="201"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color w:val="auto"/>
        </w:rPr>
        <w:t>Since our inception in 1998, the NIH has awarded us $11.3 million in non-dilutive research and development grants, including $2.3 million to support research and development of our stem cell technology and $8.8 million for nonclinical and Phase 1 clinical development of AV-101.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 of Mental Health</w:t>
      </w:r>
    </w:p>
    <w:p>
      <w:pPr>
        <w:spacing w:after="0" w:line="180" w:lineRule="exact"/>
        <w:rPr>
          <w:sz w:val="20"/>
          <w:szCs w:val="20"/>
          <w:color w:val="auto"/>
        </w:rPr>
      </w:pPr>
    </w:p>
    <w:p>
      <w:pPr>
        <w:jc w:val="both"/>
        <w:ind w:right="40"/>
        <w:spacing w:after="0" w:line="261" w:lineRule="auto"/>
        <w:rPr>
          <w:sz w:val="20"/>
          <w:szCs w:val="20"/>
          <w:color w:val="auto"/>
        </w:rPr>
      </w:pPr>
      <w:r>
        <w:rPr>
          <w:rFonts w:ascii="Arial" w:cs="Arial" w:eastAsia="Arial" w:hAnsi="Arial"/>
          <w:sz w:val="14"/>
          <w:szCs w:val="14"/>
          <w:color w:val="auto"/>
        </w:rPr>
        <w:t>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CRADA with the NIH providing for our ongoing AV-101 Phase 2a efficacy and safety study in MDD. This Phase 2a study is being fully funded by the NIH and is being conducted at the NIMH by Dr. Carlos Zarate, the NIMH’s Chief of Experimental Therapeutics &amp; Pathophysiology Branch and Section on Neurobiology and Treatment of Mood and Anxiety Disorders.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 McEwen Centre for Regenerative Medicine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University Health Network (</w:t>
      </w:r>
      <w:r>
        <w:rPr>
          <w:rFonts w:ascii="Arial" w:cs="Arial" w:eastAsia="Arial" w:hAnsi="Arial"/>
          <w:sz w:val="14"/>
          <w:szCs w:val="14"/>
          <w:i w:val="1"/>
          <w:iCs w:val="1"/>
          <w:color w:val="auto"/>
        </w:rPr>
        <w:t>UHN</w:t>
      </w:r>
      <w:r>
        <w:rPr>
          <w:rFonts w:ascii="Arial" w:cs="Arial" w:eastAsia="Arial" w:hAnsi="Arial"/>
          <w:sz w:val="14"/>
          <w:szCs w:val="14"/>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McEwen Centre for Regenerative Medicine (</w:t>
      </w:r>
      <w:r>
        <w:rPr>
          <w:rFonts w:ascii="Arial" w:cs="Arial" w:eastAsia="Arial" w:hAnsi="Arial"/>
          <w:sz w:val="14"/>
          <w:szCs w:val="14"/>
          <w:i w:val="1"/>
          <w:iCs w:val="1"/>
          <w:color w:val="auto"/>
        </w:rPr>
        <w:t>McEwen Centre</w:t>
      </w:r>
      <w:r>
        <w:rPr>
          <w:rFonts w:ascii="Arial" w:cs="Arial" w:eastAsia="Arial" w:hAnsi="Arial"/>
          <w:sz w:val="14"/>
          <w:szCs w:val="14"/>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6"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As discussed elsewhere in this prospectus, AV-101 (</w:t>
      </w:r>
      <w:r>
        <w:rPr>
          <w:rFonts w:ascii="Arial" w:cs="Arial" w:eastAsia="Arial" w:hAnsi="Arial"/>
          <w:sz w:val="14"/>
          <w:szCs w:val="14"/>
          <w:i w:val="1"/>
          <w:iCs w:val="1"/>
          <w:color w:val="auto"/>
        </w:rPr>
        <w:t>4-Cl-KYN</w:t>
      </w:r>
      <w:r>
        <w:rPr>
          <w:rFonts w:ascii="Arial" w:cs="Arial" w:eastAsia="Arial" w:hAnsi="Arial"/>
          <w:sz w:val="14"/>
          <w:szCs w:val="14"/>
          <w:color w:val="auto"/>
        </w:rPr>
        <w:t>) is a development-stage prodrug candidate presently being studied in an NIH-sponsored Phase 2a clinical trial for the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have developed a portfolio of intellectual property assets around AV-101, which involves both patent applications and trade secrets. In addition, we will seek regulatory exclusivity to supplement our intellectual property rights.</w:t>
      </w:r>
    </w:p>
    <w:p>
      <w:pPr>
        <w:spacing w:after="0" w:line="16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AV-101 itself is not patented. We obtained a patent license from the University of Maryland to certain pharmaceutical formulations and associated methods of using AV-101 when we acquired the original licensee, Artemis Neuroscience, Inc. Patent rights included in that license that were relevant to AV-101, however,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4"/>
          <w:szCs w:val="14"/>
          <w:i w:val="1"/>
          <w:iCs w:val="1"/>
          <w:color w:val="auto"/>
        </w:rPr>
        <w:t>Kimble v. Marvel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Entertainment, LLC </w:t>
      </w:r>
      <w:r>
        <w:rPr>
          <w:rFonts w:ascii="Arial" w:cs="Arial" w:eastAsia="Arial" w:hAnsi="Arial"/>
          <w:sz w:val="14"/>
          <w:szCs w:val="14"/>
          <w:color w:val="auto"/>
        </w:rPr>
        <w:t>(2015) determined that patent license royalties that extend beyond a patent’s expiration are not enforceable.</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market exclusivity.</w:t>
      </w:r>
    </w:p>
    <w:p>
      <w:pPr>
        <w:spacing w:after="0" w:line="153" w:lineRule="exact"/>
        <w:rPr>
          <w:sz w:val="20"/>
          <w:szCs w:val="20"/>
          <w:color w:val="auto"/>
        </w:rPr>
      </w:pPr>
    </w:p>
    <w:p>
      <w:pPr>
        <w:ind w:right="320"/>
        <w:spacing w:after="0" w:line="290" w:lineRule="auto"/>
        <w:rPr>
          <w:sz w:val="20"/>
          <w:szCs w:val="20"/>
          <w:color w:val="auto"/>
        </w:rPr>
      </w:pPr>
      <w:r>
        <w:rPr>
          <w:rFonts w:ascii="Arial" w:cs="Arial" w:eastAsia="Arial" w:hAnsi="Arial"/>
          <w:sz w:val="13"/>
          <w:szCs w:val="13"/>
          <w:color w:val="auto"/>
        </w:rPr>
        <w:t>Presently, we are prosecuting one family of patent applications in the USPTO, European Patent Office and selected major markets related to specific dosage formulations of AV-101, as well as to methods of treating depression, hyperalgesia pain and several other neurological conditions. For reference, these are based on PCT patent application WO2014/116739. We have recently filed a continuation application in this family in the U.S., focused on the treatment of depression, and are seeking accelerated examination for this application. It is likely that we will receive a substantive response from the USPTO by the end of 2016. There is no guarantee, however, that the USPTO will allow any of the pending claims.</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are also prosecuting a second patent family related to novel methods of synthesizing AV-101, based on extensive research involving a range of synthetic routes that was conducted on our behalf by a separate contract research organization. For reference, this is based on PCT patent application WO2014/152835, which is presently being pursued at the national phase in the U.S. and selected other countries. This patent application also includes pharmaceutical composition claims to certain precursors and variants of AV-101, which may be useful and patentable as synthesis intermediates.</w:t>
      </w:r>
    </w:p>
    <w:p>
      <w:pPr>
        <w:spacing w:after="0" w:line="125" w:lineRule="exact"/>
        <w:rPr>
          <w:sz w:val="20"/>
          <w:szCs w:val="20"/>
          <w:color w:val="auto"/>
        </w:rPr>
      </w:pPr>
    </w:p>
    <w:p>
      <w:pPr>
        <w:ind w:right="40"/>
        <w:spacing w:after="0" w:line="323" w:lineRule="auto"/>
        <w:rPr>
          <w:sz w:val="20"/>
          <w:szCs w:val="20"/>
          <w:color w:val="auto"/>
        </w:rPr>
      </w:pPr>
      <w:r>
        <w:rPr>
          <w:rFonts w:ascii="Arial" w:cs="Arial" w:eastAsia="Arial" w:hAnsi="Arial"/>
          <w:sz w:val="13"/>
          <w:szCs w:val="13"/>
          <w:color w:val="auto"/>
        </w:rPr>
        <w:t>Another patent application related to additional and expanded clinical uses of AV-101 to treat depression and other medical conditions was filed in the U.S. as a provisional application in 2015. We plan to pursue a PCT patent application corresponding to the provisional in due course, and then to seek patent protection at the national phase in appropriate global markets.</w:t>
      </w:r>
    </w:p>
    <w:p>
      <w:pPr>
        <w:spacing w:after="0" w:line="10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Additionally, we are presently developing potentially improved synthesis routes through another contract research organization. If we determine that these routes may be patentable, then we intend to file patent applications relating to this R&amp;D activity in the second half of 2016.</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As noted, we are involved with an ongoing Phase 2a study of AV-101 in MDD being conducted by the NIMH. As part of our analysis of the study results, we will be evaluating the possibility of seeking additional patent protection based on the clinical data and on clinical observations.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4"/>
          <w:szCs w:val="14"/>
          <w:i w:val="1"/>
          <w:iCs w:val="1"/>
          <w:color w:val="auto"/>
        </w:rPr>
        <w:t>FDCA</w:t>
      </w:r>
      <w:r>
        <w:rPr>
          <w:rFonts w:ascii="Arial" w:cs="Arial" w:eastAsia="Arial" w:hAnsi="Arial"/>
          <w:sz w:val="14"/>
          <w:szCs w:val="14"/>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4"/>
          <w:szCs w:val="14"/>
          <w:i w:val="1"/>
          <w:iCs w:val="1"/>
          <w:color w:val="auto"/>
        </w:rPr>
        <w:t>ANDAs</w:t>
      </w:r>
      <w:r>
        <w:rPr>
          <w:rFonts w:ascii="Arial" w:cs="Arial" w:eastAsia="Arial" w:hAnsi="Arial"/>
          <w:sz w:val="14"/>
          <w:szCs w:val="14"/>
          <w:color w:val="auto"/>
        </w:rPr>
        <w:t>), during the up to five-year exclusivity period, except that such applications may be submitted after four years if they contain a certification of patent invalidity or non-infringement. We will pursue similar types of regulatory exclusivity in other regions, such as Europe, and in certain other countries.</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There is no guarantee that we will be successful in obtaining patents in the U.S. or other countries related to AV-101,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And there is no guarantee that we will successfully obtain patents in the countries in which we are pursuing patent rights.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80" w:lineRule="exact"/>
        <w:rPr>
          <w:sz w:val="20"/>
          <w:szCs w:val="20"/>
          <w:color w:val="auto"/>
        </w:rPr>
      </w:pPr>
    </w:p>
    <w:p>
      <w:pPr>
        <w:ind w:right="100"/>
        <w:spacing w:after="0" w:line="320" w:lineRule="auto"/>
        <w:rPr>
          <w:sz w:val="20"/>
          <w:szCs w:val="20"/>
          <w:color w:val="auto"/>
        </w:rPr>
      </w:pPr>
      <w:r>
        <w:rPr>
          <w:rFonts w:ascii="Arial" w:cs="Arial" w:eastAsia="Arial" w:hAnsi="Arial"/>
          <w:sz w:val="12"/>
          <w:szCs w:val="12"/>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IP portfolio relates to drug rescue, toxicity testing and drug discovery. It also relates to novel production systems and the use of various cell types that have been differentiated from pluripotent stem cells for those and other purposes. Additionally, the IP includes enriched populations of certain cell types, such as cardiomyocytes and hepatocytes, and some related aspects of cell-based therapy. We also maintain certain trade secrets regarding stem cell technology, several of which are discussed below.</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Overall, our stem cell patent portfolio includes nine patent families, which collectively include 14 issued U.S. patents that remain in force as well as several foreign counterpart patents in countries of commercial interest to VistaGen. The portfolio also includes several patent applications pending in the U.S. and in various foreign countries. For reference, our stem cell patent portfolio is based on PCT patent applications WO 1997/021802, WO2000/034525, WO2004/098490, WO2001/096866, WO2012/024782, WO2013/075222, WO2014/124527, WO2014/161075 and WO2015035506, several of which are discussed below.</w:t>
      </w:r>
    </w:p>
    <w:p>
      <w:pPr>
        <w:spacing w:after="0" w:line="167"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The patent properties in these families are based on discoveries from our internal research and development activities, research that it has sponsored at various academic institutions, as well as from patent license agreements signed with the National Jewish Medical and Research Center, University Health Network (Toronto) and the Mount Sinai School of Medicine.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w:t>
      </w:r>
    </w:p>
    <w:p>
      <w:pPr>
        <w:spacing w:after="0" w:line="201" w:lineRule="exact"/>
        <w:rPr>
          <w:sz w:val="20"/>
          <w:szCs w:val="20"/>
          <w:color w:val="auto"/>
        </w:rPr>
      </w:pPr>
    </w:p>
    <w:p>
      <w:pPr>
        <w:ind w:right="560"/>
        <w:spacing w:after="0" w:line="323" w:lineRule="auto"/>
        <w:rPr>
          <w:sz w:val="20"/>
          <w:szCs w:val="20"/>
          <w:color w:val="auto"/>
        </w:rPr>
      </w:pPr>
      <w:r>
        <w:rPr>
          <w:rFonts w:ascii="Arial" w:cs="Arial" w:eastAsia="Arial" w:hAnsi="Arial"/>
          <w:sz w:val="13"/>
          <w:szCs w:val="13"/>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 LiverSafe 3D™ and “Better Cells Lead to Better Medicine™.”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4" w:name="page85"/>
    <w:bookmarkEnd w:id="8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Sponsored Research Collaborations and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University Health Network, McEwen Centre for Regenerative Medicine, Toronto, Ontario</w:t>
      </w:r>
    </w:p>
    <w:p>
      <w:pPr>
        <w:spacing w:after="0" w:line="201"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The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UHN Licenses for Stem Cell Culture Technology</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safety assays for drug screening and development, but also potentially for production of cardiomyocytes for cell therapy and regenerative medicine applications.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w:t>
      </w:r>
      <w:r>
        <w:rPr>
          <w:rFonts w:ascii="Arial" w:cs="Arial" w:eastAsia="Arial" w:hAnsi="Arial"/>
          <w:sz w:val="13"/>
          <w:szCs w:val="13"/>
          <w:i w:val="1"/>
          <w:iCs w:val="1"/>
          <w:color w:val="auto"/>
        </w:rPr>
        <w:t>LiverSafe</w:t>
      </w:r>
      <w:r>
        <w:rPr>
          <w:rFonts w:ascii="Arial" w:cs="Arial" w:eastAsia="Arial" w:hAnsi="Arial"/>
          <w:sz w:val="13"/>
          <w:szCs w:val="13"/>
          <w:color w:val="auto"/>
        </w:rPr>
        <w:t xml:space="preserve"> 3D toxicity assays to support our drug rescue programs, as well as the therapeutic potential for cell-based therapies.</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68"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types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Rights</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5"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In the field of new generation antidepressants focused on modulation of the NMDAR, our principal competitor is Naurex, Inc., which is developing rapastinel (formerly GLYX-13) and NRX-1074 for treatment-resistant MDD. In August, 2015, Allergan plc., a global pharmaceutical company, acquired rapastinel and NRX-1074 from Naurex, Inc. for a $560 million up front payment in cash, as well as substantial potential research and development success-based and sales threshold milestone payments. Although each of these drug candidates is a peptide and may not be orally active (rapastinel is only administered intravenously and, we believe, NRX-1074 has not yet been administered orally to patients), both are new generation NMDAR modulators focused on the GlyB site of the NMDAR.</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We believe that our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cell therapy research and development. A representative list of such biopharmaceutical companies pursuing one or more of these potential applications of adult and/or hPSCl technology includes the following: Acea Biosciences, Astellas,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Development</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the United States, the FDA regulates drugs under the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31" w:lineRule="exact"/>
        <w:rPr>
          <w:sz w:val="20"/>
          <w:szCs w:val="20"/>
          <w:color w:val="auto"/>
        </w:rPr>
      </w:pPr>
    </w:p>
    <w:p>
      <w:pPr>
        <w:ind w:left="520" w:right="340" w:hanging="515"/>
        <w:spacing w:after="0" w:line="215" w:lineRule="auto"/>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Completion of extensive non-clinical, sometimes referred to as non-clinical laboratory tests, non-clinical animal studies and formulation studies in accordance with applicable regulations, including the FDA’s current Good Laboratory Practice (</w:t>
      </w:r>
      <w:r>
        <w:rPr>
          <w:rFonts w:ascii="Arial" w:cs="Arial" w:eastAsia="Arial" w:hAnsi="Arial"/>
          <w:sz w:val="14"/>
          <w:szCs w:val="14"/>
          <w:i w:val="1"/>
          <w:iCs w:val="1"/>
          <w:color w:val="auto"/>
        </w:rPr>
        <w:t>cGLP</w:t>
      </w:r>
      <w:r>
        <w:rPr>
          <w:rFonts w:ascii="Arial" w:cs="Arial" w:eastAsia="Arial" w:hAnsi="Arial"/>
          <w:sz w:val="14"/>
          <w:szCs w:val="14"/>
          <w:color w:val="auto"/>
        </w:rPr>
        <w:t>), regulations;</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IND application, which must become effective before human clinical trials may begin;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Approval by an independent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or ethics committee at each clinical trial site before each trial may be initiated;</w:t>
      </w:r>
    </w:p>
    <w:p>
      <w:pPr>
        <w:spacing w:after="0" w:line="181" w:lineRule="exact"/>
        <w:rPr>
          <w:rFonts w:ascii="Arial" w:cs="Arial" w:eastAsia="Arial" w:hAnsi="Arial"/>
          <w:sz w:val="20"/>
          <w:szCs w:val="20"/>
          <w:color w:val="auto"/>
          <w:vertAlign w:val="superscript"/>
        </w:rPr>
      </w:pPr>
    </w:p>
    <w:p>
      <w:pPr>
        <w:ind w:left="520" w:hanging="515"/>
        <w:spacing w:after="0" w:line="215" w:lineRule="auto"/>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Performance of adequate and well-controlled human clinical trials in accordance with applicable IND and other clinical trial-related regulations, sometimes referred to as good clinical practices (</w:t>
      </w:r>
      <w:r>
        <w:rPr>
          <w:rFonts w:ascii="Arial" w:cs="Arial" w:eastAsia="Arial" w:hAnsi="Arial"/>
          <w:sz w:val="14"/>
          <w:szCs w:val="14"/>
          <w:i w:val="1"/>
          <w:iCs w:val="1"/>
          <w:color w:val="auto"/>
        </w:rPr>
        <w:t>GCPs</w:t>
      </w:r>
      <w:r>
        <w:rPr>
          <w:rFonts w:ascii="Arial" w:cs="Arial" w:eastAsia="Arial" w:hAnsi="Arial"/>
          <w:sz w:val="14"/>
          <w:szCs w:val="14"/>
          <w:color w:val="auto"/>
        </w:rPr>
        <w:t>) to establish the safety and efficacy of the proposed drug for each proposed indication;</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Submission to the FDA of an NDA, for a new drug;</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A determination by the FDA within 60 days of its receipt of an NDA to file the NDA for review;</w:t>
      </w:r>
    </w:p>
    <w:p>
      <w:pPr>
        <w:spacing w:after="0" w:line="181" w:lineRule="exact"/>
        <w:rPr>
          <w:rFonts w:ascii="Arial" w:cs="Arial" w:eastAsia="Arial" w:hAnsi="Arial"/>
          <w:sz w:val="20"/>
          <w:szCs w:val="20"/>
          <w:color w:val="auto"/>
          <w:vertAlign w:val="superscript"/>
        </w:rPr>
      </w:pPr>
    </w:p>
    <w:p>
      <w:pPr>
        <w:ind w:left="520" w:right="160" w:hanging="515"/>
        <w:spacing w:after="0" w:line="215" w:lineRule="auto"/>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4"/>
        </w:numPr>
        <w:rPr>
          <w:rFonts w:ascii="Arial" w:cs="Arial" w:eastAsia="Arial" w:hAnsi="Arial"/>
          <w:sz w:val="20"/>
          <w:szCs w:val="20"/>
          <w:color w:val="auto"/>
          <w:vertAlign w:val="superscript"/>
        </w:rPr>
      </w:pPr>
      <w:r>
        <w:rPr>
          <w:rFonts w:ascii="Arial" w:cs="Arial" w:eastAsia="Arial" w:hAnsi="Arial"/>
          <w:sz w:val="14"/>
          <w:szCs w:val="14"/>
          <w:color w:val="auto"/>
        </w:rPr>
        <w:t>Potential FDA audit of the non-clinical and/or clinical trial sites that generated the data in support of the NDA; and</w:t>
      </w:r>
    </w:p>
    <w:p>
      <w:pPr>
        <w:spacing w:after="0" w:line="143"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FDA review and approval of the NDA, including consideration of the views of any FDA advisory committee, prior to any commercial marketing or sale of the drug in the United States.</w:t>
      </w:r>
    </w:p>
    <w:p>
      <w:pPr>
        <w:spacing w:after="0" w:line="16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5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 are generally conducted in three sequential phases that may overlap, known as Phase 1, Phase 2 and Phase 3 clinical trials.</w:t>
      </w:r>
    </w:p>
    <w:p>
      <w:pPr>
        <w:spacing w:after="0" w:line="180" w:lineRule="exact"/>
        <w:rPr>
          <w:sz w:val="20"/>
          <w:szCs w:val="20"/>
          <w:color w:val="auto"/>
        </w:rPr>
      </w:pPr>
    </w:p>
    <w:p>
      <w:pPr>
        <w:ind w:left="520" w:right="12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82" w:lineRule="exact"/>
        <w:rPr>
          <w:rFonts w:ascii="Arial" w:cs="Arial" w:eastAsia="Arial" w:hAnsi="Arial"/>
          <w:sz w:val="20"/>
          <w:szCs w:val="20"/>
          <w:color w:val="auto"/>
          <w:vertAlign w:val="superscript"/>
        </w:rPr>
      </w:pPr>
    </w:p>
    <w:p>
      <w:pPr>
        <w:ind w:left="520" w:right="100" w:hanging="515"/>
        <w:spacing w:after="0" w:line="215"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82" w:lineRule="exact"/>
        <w:rPr>
          <w:rFonts w:ascii="Arial" w:cs="Arial" w:eastAsia="Arial" w:hAnsi="Arial"/>
          <w:sz w:val="20"/>
          <w:szCs w:val="20"/>
          <w:color w:val="auto"/>
          <w:vertAlign w:val="superscript"/>
        </w:rPr>
      </w:pPr>
    </w:p>
    <w:p>
      <w:pPr>
        <w:ind w:left="520" w:right="140" w:hanging="515"/>
        <w:spacing w:after="0" w:line="232" w:lineRule="auto"/>
        <w:tabs>
          <w:tab w:leader="none" w:pos="520" w:val="left"/>
        </w:tabs>
        <w:numPr>
          <w:ilvl w:val="0"/>
          <w:numId w:val="45"/>
        </w:numPr>
        <w:rPr>
          <w:rFonts w:ascii="Arial" w:cs="Arial" w:eastAsia="Arial" w:hAnsi="Arial"/>
          <w:sz w:val="20"/>
          <w:szCs w:val="20"/>
          <w:color w:val="auto"/>
          <w:vertAlign w:val="superscript"/>
        </w:rPr>
      </w:pPr>
      <w:r>
        <w:rPr>
          <w:rFonts w:ascii="Arial" w:cs="Arial" w:eastAsia="Arial" w:hAnsi="Arial"/>
          <w:sz w:val="14"/>
          <w:szCs w:val="14"/>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NDA and FDA Review Process</w:t>
      </w:r>
    </w:p>
    <w:p>
      <w:pPr>
        <w:spacing w:after="0" w:line="201"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46"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In addition, under the Pediatric Research Equity Act (</w:t>
      </w:r>
      <w:r>
        <w:rPr>
          <w:rFonts w:ascii="Arial" w:cs="Arial" w:eastAsia="Arial" w:hAnsi="Arial"/>
          <w:sz w:val="14"/>
          <w:szCs w:val="14"/>
          <w:i w:val="1"/>
          <w:iCs w:val="1"/>
          <w:color w:val="auto"/>
        </w:rPr>
        <w:t>PREA</w:t>
      </w:r>
      <w:r>
        <w:rPr>
          <w:rFonts w:ascii="Arial" w:cs="Arial" w:eastAsia="Arial" w:hAnsi="Arial"/>
          <w:sz w:val="14"/>
          <w:szCs w:val="14"/>
          <w:color w:val="auto"/>
        </w:rPr>
        <w:t>)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Under the Prescription Drug User Fee Act (</w:t>
      </w:r>
      <w:r>
        <w:rPr>
          <w:rFonts w:ascii="Arial" w:cs="Arial" w:eastAsia="Arial" w:hAnsi="Arial"/>
          <w:sz w:val="14"/>
          <w:szCs w:val="14"/>
          <w:i w:val="1"/>
          <w:iCs w:val="1"/>
          <w:color w:val="auto"/>
        </w:rPr>
        <w:t>PDUFA</w:t>
      </w:r>
      <w:r>
        <w:rPr>
          <w:rFonts w:ascii="Arial" w:cs="Arial" w:eastAsia="Arial" w:hAnsi="Arial"/>
          <w:sz w:val="14"/>
          <w:szCs w:val="14"/>
          <w:color w:val="auto"/>
        </w:rPr>
        <w:t>)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0" w:name="page91"/>
    <w:bookmarkEnd w:id="9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w:t>
      </w:r>
      <w:r>
        <w:rPr>
          <w:rFonts w:ascii="Arial" w:cs="Arial" w:eastAsia="Arial" w:hAnsi="Arial"/>
          <w:sz w:val="13"/>
          <w:szCs w:val="13"/>
          <w:i w:val="1"/>
          <w:iCs w:val="1"/>
          <w:color w:val="auto"/>
        </w:rPr>
        <w:t>REMS</w:t>
      </w:r>
      <w:r>
        <w:rPr>
          <w:rFonts w:ascii="Arial" w:cs="Arial" w:eastAsia="Arial" w:hAnsi="Arial"/>
          <w:sz w:val="13"/>
          <w:szCs w:val="13"/>
          <w:color w:val="auto"/>
        </w:rPr>
        <w:t>)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Expedited Development and Review Programs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24" w:lineRule="exact"/>
        <w:rPr>
          <w:sz w:val="20"/>
          <w:szCs w:val="20"/>
          <w:color w:val="auto"/>
        </w:rPr>
      </w:pPr>
    </w:p>
    <w:p>
      <w:pPr>
        <w:ind w:left="520" w:hanging="515"/>
        <w:spacing w:after="0"/>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distribution restricted to certain facilities or physicians with special training or experience; or</w:t>
      </w:r>
    </w:p>
    <w:p>
      <w:pPr>
        <w:spacing w:after="0" w:line="132" w:lineRule="exact"/>
        <w:rPr>
          <w:rFonts w:ascii="Arial" w:cs="Arial" w:eastAsia="Arial" w:hAnsi="Arial"/>
          <w:sz w:val="20"/>
          <w:szCs w:val="20"/>
          <w:color w:val="auto"/>
          <w:vertAlign w:val="superscript"/>
        </w:rPr>
      </w:pPr>
    </w:p>
    <w:p>
      <w:pPr>
        <w:ind w:left="520" w:hanging="515"/>
        <w:spacing w:after="0"/>
        <w:tabs>
          <w:tab w:leader="none" w:pos="520" w:val="left"/>
        </w:tabs>
        <w:numPr>
          <w:ilvl w:val="0"/>
          <w:numId w:val="46"/>
        </w:numPr>
        <w:rPr>
          <w:rFonts w:ascii="Arial" w:cs="Arial" w:eastAsia="Arial" w:hAnsi="Arial"/>
          <w:sz w:val="20"/>
          <w:szCs w:val="20"/>
          <w:color w:val="auto"/>
          <w:vertAlign w:val="superscript"/>
        </w:rPr>
      </w:pPr>
      <w:r>
        <w:rPr>
          <w:rFonts w:ascii="Arial" w:cs="Arial" w:eastAsia="Arial" w:hAnsi="Arial"/>
          <w:sz w:val="14"/>
          <w:szCs w:val="14"/>
          <w:color w:val="auto"/>
        </w:rPr>
        <w:t>distribution conditioned on the performance of specified medical procedures.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Pediatric Trials</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Food and Drug Administration Safety and Innovation Act (</w:t>
      </w:r>
      <w:r>
        <w:rPr>
          <w:rFonts w:ascii="Arial" w:cs="Arial" w:eastAsia="Arial" w:hAnsi="Arial"/>
          <w:sz w:val="14"/>
          <w:szCs w:val="14"/>
          <w:i w:val="1"/>
          <w:iCs w:val="1"/>
          <w:color w:val="auto"/>
        </w:rPr>
        <w:t>FDASIA</w:t>
      </w:r>
      <w:r>
        <w:rPr>
          <w:rFonts w:ascii="Arial" w:cs="Arial" w:eastAsia="Arial" w:hAnsi="Arial"/>
          <w:sz w:val="14"/>
          <w:szCs w:val="14"/>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4"/>
          <w:szCs w:val="14"/>
          <w:i w:val="1"/>
          <w:iCs w:val="1"/>
          <w:color w:val="auto"/>
        </w:rPr>
        <w:t>PSP</w:t>
      </w:r>
      <w:r>
        <w:rPr>
          <w:rFonts w:ascii="Arial" w:cs="Arial" w:eastAsia="Arial" w:hAnsi="Arial"/>
          <w:sz w:val="14"/>
          <w:szCs w:val="14"/>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Post-Marketing Requirements</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w:t>
      </w:r>
      <w:r>
        <w:rPr>
          <w:rFonts w:ascii="Arial" w:cs="Arial" w:eastAsia="Arial" w:hAnsi="Arial"/>
          <w:sz w:val="13"/>
          <w:szCs w:val="13"/>
          <w:i w:val="1"/>
          <w:iCs w:val="1"/>
          <w:color w:val="auto"/>
        </w:rPr>
        <w:t>PDMA</w:t>
      </w:r>
      <w:r>
        <w:rPr>
          <w:rFonts w:ascii="Arial" w:cs="Arial" w:eastAsia="Arial" w:hAnsi="Arial"/>
          <w:sz w:val="13"/>
          <w:szCs w:val="13"/>
          <w:color w:val="auto"/>
        </w:rPr>
        <w:t>) a part of the FDCA.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Regulatory Matters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w:t>
      </w:r>
      <w:r>
        <w:rPr>
          <w:rFonts w:ascii="Arial" w:cs="Arial" w:eastAsia="Arial" w:hAnsi="Arial"/>
          <w:sz w:val="13"/>
          <w:szCs w:val="13"/>
          <w:i w:val="1"/>
          <w:iCs w:val="1"/>
          <w:color w:val="auto"/>
        </w:rPr>
        <w:t>HIPAA</w:t>
      </w:r>
      <w:r>
        <w:rPr>
          <w:rFonts w:ascii="Arial" w:cs="Arial" w:eastAsia="Arial" w:hAnsi="Arial"/>
          <w:sz w:val="13"/>
          <w:szCs w:val="13"/>
          <w:color w:val="auto"/>
        </w:rPr>
        <w:t>).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w:t>
      </w:r>
    </w:p>
    <w:p>
      <w:pPr>
        <w:spacing w:after="0" w:line="31" w:lineRule="exact"/>
        <w:rPr>
          <w:sz w:val="20"/>
          <w:szCs w:val="20"/>
          <w:color w:val="auto"/>
        </w:rPr>
      </w:pPr>
    </w:p>
    <w:p>
      <w:pPr>
        <w:ind w:right="120" w:firstLine="5"/>
        <w:spacing w:after="0" w:line="267" w:lineRule="auto"/>
        <w:tabs>
          <w:tab w:leader="none" w:pos="209"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 Term Restoration and Marketing Exclusivity</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w:t>
      </w:r>
      <w:r>
        <w:rPr>
          <w:rFonts w:ascii="Arial" w:cs="Arial" w:eastAsia="Arial" w:hAnsi="Arial"/>
          <w:sz w:val="13"/>
          <w:szCs w:val="13"/>
          <w:i w:val="1"/>
          <w:iCs w:val="1"/>
          <w:color w:val="auto"/>
        </w:rPr>
        <w:t>ANDA</w:t>
      </w:r>
      <w:r>
        <w:rPr>
          <w:rFonts w:ascii="Arial" w:cs="Arial" w:eastAsia="Arial" w:hAnsi="Arial"/>
          <w:sz w:val="13"/>
          <w:szCs w:val="13"/>
          <w:color w:val="auto"/>
        </w:rPr>
        <w:t>)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Development</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w:t>
      </w:r>
      <w:r>
        <w:rPr>
          <w:rFonts w:ascii="Arial" w:cs="Arial" w:eastAsia="Arial" w:hAnsi="Arial"/>
          <w:sz w:val="14"/>
          <w:szCs w:val="14"/>
          <w:i w:val="1"/>
          <w:iCs w:val="1"/>
          <w:color w:val="auto"/>
        </w:rPr>
        <w:t>NCA</w:t>
      </w:r>
      <w:r>
        <w:rPr>
          <w:rFonts w:ascii="Arial" w:cs="Arial" w:eastAsia="Arial" w:hAnsi="Arial"/>
          <w:sz w:val="14"/>
          <w:szCs w:val="14"/>
          <w:color w:val="auto"/>
        </w:rPr>
        <w:t>) and one or more Ethics Committees (</w:t>
      </w:r>
      <w:r>
        <w:rPr>
          <w:rFonts w:ascii="Arial" w:cs="Arial" w:eastAsia="Arial" w:hAnsi="Arial"/>
          <w:sz w:val="14"/>
          <w:szCs w:val="14"/>
          <w:i w:val="1"/>
          <w:iCs w:val="1"/>
          <w:color w:val="auto"/>
        </w:rPr>
        <w:t>ECs</w:t>
      </w:r>
      <w:r>
        <w:rPr>
          <w:rFonts w:ascii="Arial" w:cs="Arial" w:eastAsia="Arial" w:hAnsi="Arial"/>
          <w:sz w:val="14"/>
          <w:szCs w:val="14"/>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17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Review and Approval</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European Economic Area (</w:t>
      </w:r>
      <w:r>
        <w:rPr>
          <w:rFonts w:ascii="Arial" w:cs="Arial" w:eastAsia="Arial" w:hAnsi="Arial"/>
          <w:sz w:val="14"/>
          <w:szCs w:val="14"/>
          <w:i w:val="1"/>
          <w:iCs w:val="1"/>
          <w:color w:val="auto"/>
        </w:rPr>
        <w:t>EEA</w:t>
      </w:r>
      <w:r>
        <w:rPr>
          <w:rFonts w:ascii="Arial" w:cs="Arial" w:eastAsia="Arial" w:hAnsi="Arial"/>
          <w:sz w:val="14"/>
          <w:szCs w:val="14"/>
          <w:color w:val="auto"/>
        </w:rPr>
        <w:t>) (which is comprised of the 27 Member States of the European Union (excluding Croatia) plus Norway, Iceland and Liechtenstein), medicinal products can only be commercialized after obtaining a Marketing Authorization, (</w:t>
      </w:r>
      <w:r>
        <w:rPr>
          <w:rFonts w:ascii="Arial" w:cs="Arial" w:eastAsia="Arial" w:hAnsi="Arial"/>
          <w:sz w:val="14"/>
          <w:szCs w:val="14"/>
          <w:i w:val="1"/>
          <w:iCs w:val="1"/>
          <w:color w:val="auto"/>
        </w:rPr>
        <w:t>MA</w:t>
      </w:r>
      <w:r>
        <w:rPr>
          <w:rFonts w:ascii="Arial" w:cs="Arial" w:eastAsia="Arial" w:hAnsi="Arial"/>
          <w:sz w:val="14"/>
          <w:szCs w:val="14"/>
          <w:color w:val="auto"/>
        </w:rPr>
        <w:t>). There are two types of marketing authorizations: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Community MA is issued by the European Commission through the Centralized Procedure, based on the opinion of the Committee for Medicinal Products for Human Use (</w:t>
      </w:r>
      <w:r>
        <w:rPr>
          <w:rFonts w:ascii="Arial" w:cs="Arial" w:eastAsia="Arial" w:hAnsi="Arial"/>
          <w:sz w:val="14"/>
          <w:szCs w:val="14"/>
          <w:i w:val="1"/>
          <w:iCs w:val="1"/>
          <w:color w:val="auto"/>
        </w:rPr>
        <w:t>CHMP</w:t>
      </w:r>
      <w:r>
        <w:rPr>
          <w:rFonts w:ascii="Arial" w:cs="Arial" w:eastAsia="Arial" w:hAnsi="Arial"/>
          <w:sz w:val="14"/>
          <w:szCs w:val="14"/>
          <w:color w:val="auto"/>
        </w:rPr>
        <w:t>) of the European Medicines Agency (</w:t>
      </w:r>
      <w:r>
        <w:rPr>
          <w:rFonts w:ascii="Arial" w:cs="Arial" w:eastAsia="Arial" w:hAnsi="Arial"/>
          <w:sz w:val="14"/>
          <w:szCs w:val="14"/>
          <w:i w:val="1"/>
          <w:iCs w:val="1"/>
          <w:color w:val="auto"/>
        </w:rPr>
        <w:t>EMA</w:t>
      </w:r>
      <w:r>
        <w:rPr>
          <w:rFonts w:ascii="Arial" w:cs="Arial" w:eastAsia="Arial" w:hAnsi="Arial"/>
          <w:sz w:val="14"/>
          <w:szCs w:val="14"/>
          <w:color w:val="auto"/>
        </w:rPr>
        <w:t>)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r>
        <w:rPr>
          <w:rFonts w:ascii="Arial" w:cs="Arial" w:eastAsia="Arial" w:hAnsi="Arial"/>
          <w:sz w:val="14"/>
          <w:szCs w:val="14"/>
          <w:i w:val="1"/>
          <w:iCs w:val="1"/>
          <w:color w:val="auto"/>
        </w:rPr>
        <w:t>RMS</w:t>
      </w:r>
      <w:r>
        <w:rPr>
          <w:rFonts w:ascii="Arial" w:cs="Arial" w:eastAsia="Arial" w:hAnsi="Arial"/>
          <w:sz w:val="14"/>
          <w:szCs w:val="14"/>
          <w:color w:val="auto"/>
        </w:rPr>
        <w:t>). The competent authority of the RMS prepares a draft assessment report, a draft summary of the product characteristics (</w:t>
      </w:r>
      <w:r>
        <w:rPr>
          <w:rFonts w:ascii="Arial" w:cs="Arial" w:eastAsia="Arial" w:hAnsi="Arial"/>
          <w:sz w:val="14"/>
          <w:szCs w:val="14"/>
          <w:i w:val="1"/>
          <w:iCs w:val="1"/>
          <w:color w:val="auto"/>
        </w:rPr>
        <w:t>SPC</w:t>
      </w:r>
      <w:r>
        <w:rPr>
          <w:rFonts w:ascii="Arial" w:cs="Arial" w:eastAsia="Arial" w:hAnsi="Arial"/>
          <w:sz w:val="14"/>
          <w:szCs w:val="14"/>
          <w:color w:val="auto"/>
        </w:rPr>
        <w:t>)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New Chemical Entity Exclusivity</w:t>
      </w:r>
    </w:p>
    <w:p>
      <w:pPr>
        <w:spacing w:after="0" w:line="20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Orphan Designation and Exclusivity</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 of the World Regulation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Reimbursement</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 xml:space="preserve">The Medicare Prescription Drug, Improvement, and Modernization Act of 2003 (the </w:t>
      </w:r>
      <w:r>
        <w:rPr>
          <w:rFonts w:ascii="Arial" w:cs="Arial" w:eastAsia="Arial" w:hAnsi="Arial"/>
          <w:sz w:val="14"/>
          <w:szCs w:val="14"/>
          <w:i w:val="1"/>
          <w:iCs w:val="1"/>
          <w:color w:val="auto"/>
        </w:rPr>
        <w:t>MMA</w:t>
      </w:r>
      <w:r>
        <w:rPr>
          <w:rFonts w:ascii="Arial" w:cs="Arial" w:eastAsia="Arial" w:hAnsi="Arial"/>
          <w:sz w:val="14"/>
          <w:szCs w:val="14"/>
          <w:color w:val="auto"/>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8" w:name="page99"/>
    <w:bookmarkEnd w:id="9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(the </w:t>
      </w:r>
      <w:r>
        <w:rPr>
          <w:rFonts w:ascii="Arial" w:cs="Arial" w:eastAsia="Arial" w:hAnsi="Arial"/>
          <w:sz w:val="13"/>
          <w:szCs w:val="13"/>
          <w:i w:val="1"/>
          <w:iCs w:val="1"/>
          <w:color w:val="auto"/>
        </w:rPr>
        <w:t>ATRA</w:t>
      </w:r>
      <w:r>
        <w:rPr>
          <w:rFonts w:ascii="Arial" w:cs="Arial" w:eastAsia="Arial" w:hAnsi="Arial"/>
          <w:sz w:val="13"/>
          <w:szCs w:val="13"/>
          <w:color w:val="auto"/>
        </w:rPr>
        <w:t>),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United States</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4"/>
          <w:szCs w:val="14"/>
          <w:i w:val="1"/>
          <w:iCs w:val="1"/>
          <w:color w:val="auto"/>
        </w:rPr>
        <w:t>ISSCR</w:t>
      </w:r>
      <w:r>
        <w:rPr>
          <w:rFonts w:ascii="Arial" w:cs="Arial" w:eastAsia="Arial" w:hAnsi="Arial"/>
          <w:sz w:val="14"/>
          <w:szCs w:val="14"/>
          <w:color w:val="auto"/>
        </w:rPr>
        <w:t>), or the NIH. These procedures and documentation have been reviewed by an external Stem Cell Research Oversight Committee, and all cell lines we use have been approved under one or more of these guidelines.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Canada</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3"/>
          <w:szCs w:val="13"/>
          <w:i w:val="1"/>
          <w:iCs w:val="1"/>
          <w:color w:val="auto"/>
        </w:rPr>
        <w:t>Guidelines</w:t>
      </w:r>
      <w:r>
        <w:rPr>
          <w:rFonts w:ascii="Arial" w:cs="Arial" w:eastAsia="Arial" w:hAnsi="Arial"/>
          <w:sz w:val="13"/>
          <w:szCs w:val="13"/>
          <w:color w:val="auto"/>
        </w:rPr>
        <w:t>) issued by the Canadian Institutes of Health Research; the Tri-Council Statement: Ethical Conduct for Research Involving Humans (</w:t>
      </w:r>
      <w:r>
        <w:rPr>
          <w:rFonts w:ascii="Arial" w:cs="Arial" w:eastAsia="Arial" w:hAnsi="Arial"/>
          <w:sz w:val="13"/>
          <w:szCs w:val="13"/>
          <w:i w:val="1"/>
          <w:iCs w:val="1"/>
          <w:color w:val="auto"/>
        </w:rPr>
        <w:t>TCPS</w:t>
      </w:r>
      <w:r>
        <w:rPr>
          <w:rFonts w:ascii="Arial" w:cs="Arial" w:eastAsia="Arial" w:hAnsi="Arial"/>
          <w:sz w:val="13"/>
          <w:szCs w:val="13"/>
          <w:color w:val="auto"/>
        </w:rPr>
        <w:t>); and the Assisted Human Reproduction Act (</w:t>
      </w:r>
      <w:r>
        <w:rPr>
          <w:rFonts w:ascii="Arial" w:cs="Arial" w:eastAsia="Arial" w:hAnsi="Arial"/>
          <w:sz w:val="13"/>
          <w:szCs w:val="13"/>
          <w:i w:val="1"/>
          <w:iCs w:val="1"/>
          <w:color w:val="auto"/>
        </w:rPr>
        <w:t>Act</w:t>
      </w:r>
      <w:r>
        <w:rPr>
          <w:rFonts w:ascii="Arial" w:cs="Arial" w:eastAsia="Arial" w:hAnsi="Arial"/>
          <w:sz w:val="13"/>
          <w:szCs w:val="13"/>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51"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53"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Inter-Corporate Relationships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As of May 11, 2016, we employed eight full-time employees, three of whom have doctorate degrees. Five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good.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lease our office and laboratory space, which consists of approximately 10,000 square feet located in South San Francisco, California. Our lease expires on July 31, 2017.</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4"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business does not require us to comply with any particular unique environmental regulations.</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80"/>
          </w:cols>
          <w:pgMar w:left="220" w:top="133" w:right="39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DIRECTORS AND EXECUTIVE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Our senior management is composed of individuals with significant management experience. Our directors and executive officers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22"/>
        </w:trPr>
        <w:tc>
          <w:tcPr>
            <w:tcW w:w="4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Chief Executive Officer and Director</w:t>
            </w:r>
          </w:p>
        </w:tc>
      </w:tr>
      <w:tr>
        <w:trPr>
          <w:trHeight w:val="170"/>
        </w:trPr>
        <w:tc>
          <w:tcPr>
            <w:tcW w:w="4060" w:type="dxa"/>
            <w:vAlign w:val="bottom"/>
          </w:tcPr>
          <w:p>
            <w:pPr>
              <w:spacing w:after="0"/>
              <w:rPr>
                <w:sz w:val="20"/>
                <w:szCs w:val="20"/>
                <w:color w:val="auto"/>
              </w:rPr>
            </w:pPr>
            <w:r>
              <w:rPr>
                <w:rFonts w:ascii="Arial" w:cs="Arial" w:eastAsia="Arial" w:hAnsi="Arial"/>
                <w:sz w:val="14"/>
                <w:szCs w:val="14"/>
                <w:color w:val="auto"/>
              </w:rPr>
              <w:t>H. Ralph Snodgrass, Ph.D.</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66</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Founder, President, Chief Scientific Officer and Director</w:t>
            </w:r>
          </w:p>
        </w:tc>
      </w:tr>
      <w:tr>
        <w:trPr>
          <w:trHeight w:val="170"/>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Jerrold D. Dotson</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62</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Vice President, Chief Financial Officer and Secretary</w:t>
            </w:r>
          </w:p>
        </w:tc>
      </w:tr>
      <w:tr>
        <w:trPr>
          <w:trHeight w:val="170"/>
        </w:trPr>
        <w:tc>
          <w:tcPr>
            <w:tcW w:w="406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(1)</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79</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r>
        <w:trPr>
          <w:trHeight w:val="170"/>
        </w:trPr>
        <w:tc>
          <w:tcPr>
            <w:tcW w:w="406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(2)</w:t>
            </w:r>
          </w:p>
        </w:tc>
        <w:tc>
          <w:tcPr>
            <w:tcW w:w="114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9"/>
              </w:rPr>
              <w:t>75</w:t>
            </w: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Director</w:t>
            </w:r>
          </w:p>
        </w:tc>
      </w:tr>
      <w:tr>
        <w:trPr>
          <w:trHeight w:val="259"/>
        </w:trPr>
        <w:tc>
          <w:tcPr>
            <w:tcW w:w="4060" w:type="dxa"/>
            <w:vAlign w:val="bottom"/>
          </w:tcPr>
          <w:p>
            <w:pPr>
              <w:spacing w:after="0"/>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(3)</w:t>
            </w:r>
          </w:p>
        </w:tc>
        <w:tc>
          <w:tcPr>
            <w:tcW w:w="114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72</w:t>
            </w:r>
          </w:p>
        </w:tc>
        <w:tc>
          <w:tcPr>
            <w:tcW w:w="6260" w:type="dxa"/>
            <w:vAlign w:val="bottom"/>
            <w:gridSpan w:val="2"/>
          </w:tcPr>
          <w:p>
            <w:pPr>
              <w:ind w:left="100"/>
              <w:spacing w:after="0"/>
              <w:rPr>
                <w:sz w:val="20"/>
                <w:szCs w:val="20"/>
                <w:color w:val="auto"/>
              </w:rPr>
            </w:pPr>
            <w:r>
              <w:rPr>
                <w:rFonts w:ascii="Arial" w:cs="Arial" w:eastAsia="Arial" w:hAnsi="Arial"/>
                <w:sz w:val="14"/>
                <w:szCs w:val="14"/>
                <w:color w:val="auto"/>
              </w:rPr>
              <w:t>Director</w:t>
            </w:r>
          </w:p>
        </w:tc>
      </w:tr>
    </w:tbl>
    <w:p>
      <w:pPr>
        <w:spacing w:after="0" w:line="71" w:lineRule="exact"/>
        <w:rPr>
          <w:sz w:val="20"/>
          <w:szCs w:val="20"/>
          <w:color w:val="auto"/>
        </w:rPr>
      </w:pPr>
    </w:p>
    <w:p>
      <w:pPr>
        <w:ind w:left="520" w:hanging="51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Chairman of the audit committee and member of the compensation committee and corporate governance and nominating committee.</w:t>
      </w:r>
    </w:p>
    <w:p>
      <w:pPr>
        <w:spacing w:after="0" w:line="19" w:lineRule="exact"/>
        <w:rPr>
          <w:rFonts w:ascii="Arial" w:cs="Arial" w:eastAsia="Arial" w:hAnsi="Arial"/>
          <w:sz w:val="14"/>
          <w:szCs w:val="14"/>
          <w:color w:val="auto"/>
        </w:rPr>
      </w:pPr>
    </w:p>
    <w:p>
      <w:pPr>
        <w:ind w:left="520" w:hanging="51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audit committee and chairman of the compensation committee and corporate governance and nominating committee.</w:t>
      </w:r>
    </w:p>
    <w:p>
      <w:pPr>
        <w:spacing w:after="0" w:line="9" w:lineRule="exact"/>
        <w:rPr>
          <w:rFonts w:ascii="Arial" w:cs="Arial" w:eastAsia="Arial" w:hAnsi="Arial"/>
          <w:sz w:val="14"/>
          <w:szCs w:val="14"/>
          <w:color w:val="auto"/>
        </w:rPr>
      </w:pPr>
    </w:p>
    <w:p>
      <w:pPr>
        <w:ind w:left="520" w:hanging="51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3"/>
          <w:szCs w:val="13"/>
          <w:b w:val="1"/>
          <w:bCs w:val="1"/>
          <w:i w:val="1"/>
          <w:iCs w:val="1"/>
          <w:color w:val="auto"/>
        </w:rPr>
        <w:t xml:space="preserve">Shawn K. Singh </w:t>
      </w:r>
      <w:r>
        <w:rPr>
          <w:rFonts w:ascii="Arial" w:cs="Arial" w:eastAsia="Arial" w:hAnsi="Arial"/>
          <w:sz w:val="13"/>
          <w:szCs w:val="13"/>
          <w:color w:val="auto"/>
        </w:rPr>
        <w:t>has served as our Chief Executive Officer since August 2009; he joined our Board of Directors in 2000 and served on our management team (part-time) from late-2003, following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of Artemis Neuroscience, of which he was President, to August 2009.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3"/>
          <w:szCs w:val="13"/>
          <w:i w:val="1"/>
          <w:iCs w:val="1"/>
          <w:color w:val="auto"/>
        </w:rPr>
        <w:t>CRO</w:t>
      </w:r>
      <w:r>
        <w:rPr>
          <w:rFonts w:ascii="Arial" w:cs="Arial" w:eastAsia="Arial" w:hAnsi="Arial"/>
          <w:sz w:val="13"/>
          <w:szCs w:val="13"/>
          <w:color w:val="auto"/>
        </w:rPr>
        <w:t>) affiliated with Cato BioVentures. Mr. Singh served as President (part-time) of Echo Therapeutics (NASDAQ: ECTE), a medical device company developing a non-invasive, wireless continuous glucose monitoring (CGM)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37" w:lineRule="exact"/>
        <w:rPr>
          <w:sz w:val="20"/>
          <w:szCs w:val="20"/>
          <w:color w:val="auto"/>
        </w:rPr>
      </w:pPr>
    </w:p>
    <w:p>
      <w:pPr>
        <w:ind w:right="820"/>
        <w:spacing w:after="0" w:line="323" w:lineRule="auto"/>
        <w:rPr>
          <w:sz w:val="20"/>
          <w:szCs w:val="20"/>
          <w:color w:val="auto"/>
        </w:rPr>
      </w:pPr>
      <w:r>
        <w:rPr>
          <w:rFonts w:ascii="Arial" w:cs="Arial" w:eastAsia="Arial" w:hAnsi="Arial"/>
          <w:sz w:val="13"/>
          <w:szCs w:val="13"/>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2" w:name="page103"/>
    <w:bookmarkEnd w:id="10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i w:val="1"/>
          <w:iCs w:val="1"/>
          <w:color w:val="auto"/>
        </w:rPr>
        <w:t xml:space="preserve">H. Ralph Snodgrass, Ph.D. </w:t>
      </w:r>
      <w:r>
        <w:rPr>
          <w:rFonts w:ascii="Arial" w:cs="Arial" w:eastAsia="Arial" w:hAnsi="Arial"/>
          <w:sz w:val="13"/>
          <w:szCs w:val="13"/>
          <w:color w:val="auto"/>
        </w:rPr>
        <w:t>co-founded VistaGen with Dr. Gordon Keller in 1998 and served as our Chief Executive Officer until August 2009. Dr. Snodgrass has served as our President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Scientific Officer since August 2009. He has served as a member of our Board of Directors since 1998. Prior to founding VistaGen,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23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3"/>
          <w:szCs w:val="13"/>
          <w:i w:val="1"/>
          <w:iCs w:val="1"/>
          <w:color w:val="auto"/>
        </w:rPr>
        <w:t>BIO</w:t>
      </w:r>
      <w:r>
        <w:rPr>
          <w:rFonts w:ascii="Arial" w:cs="Arial" w:eastAsia="Arial" w:hAnsi="Arial"/>
          <w:sz w:val="13"/>
          <w:szCs w:val="13"/>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61" w:lineRule="exact"/>
        <w:rPr>
          <w:sz w:val="20"/>
          <w:szCs w:val="20"/>
          <w:color w:val="auto"/>
        </w:rPr>
      </w:pPr>
    </w:p>
    <w:p>
      <w:pPr>
        <w:ind w:right="180"/>
        <w:spacing w:after="0" w:line="33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w:t>
      </w:r>
    </w:p>
    <w:p>
      <w:pPr>
        <w:ind w:right="140"/>
        <w:spacing w:after="0" w:line="258" w:lineRule="auto"/>
        <w:rPr>
          <w:sz w:val="20"/>
          <w:szCs w:val="20"/>
          <w:color w:val="auto"/>
        </w:rPr>
      </w:pPr>
      <w:r>
        <w:rPr>
          <w:rFonts w:ascii="Arial" w:cs="Arial" w:eastAsia="Arial" w:hAnsi="Arial"/>
          <w:sz w:val="14"/>
          <w:szCs w:val="14"/>
          <w:color w:val="auto"/>
        </w:rPr>
        <w:t>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Jon S. Saxe, J.D., LL.M.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PDL BioPharma from 1989 to 2008. From 1989 to 1993, he was President, Chief Executive Officer and a director of Synergen, Inc. (acquired by Amgen). Mr. Saxe served as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Licensing &amp; Corporate Development for Hoffmann-Roche from 1984 through 1989, and Head of Patent Law for Hoffmann-Roche from 1978 through 1989. Mr. Saxe currently is a director of SciClone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Pharmaceuticals, Inc. (NASDAQ: SCLN) and Durect Corporation (NASDAQ: DRRX), and six private life science companies, Arbor Vita Corporation, Arcuo Medical, LLC, Armetheon, Inc., Cancer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Prevention Pharmaceuticals, Inc., Lumos Pharma, Inc. and Trellis Bioscience, Inc. Mr. Saxe also has served as a director of other biotechnology and pharmaceutical companies, including ID Biomedical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(acquired by GlaxoSmithKline), Sciele Pharmaceuticals, Inc. (acquired by Shionogi), Amalyte (acquired by Kemin Industries), Cell Pathways (acquired by OSI Pharmaceuticals), and other companies,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both public and private. Mr. Saxe has a B.S.Ch.E. from Carnegie-Mellon University, a J.D. degree from George Washington University and an LL.M. degree from New York University.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selected Mr. Saxe to serve as Chairman of our Board of Directors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9" w:lineRule="exact"/>
        <w:rPr>
          <w:sz w:val="20"/>
          <w:szCs w:val="20"/>
          <w:color w:val="auto"/>
        </w:rPr>
      </w:pPr>
    </w:p>
    <w:p>
      <w:pPr>
        <w:ind w:right="280"/>
        <w:spacing w:after="0" w:line="302"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is currently a Venture Partner with Lumira Capital Corp. having served 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Managing Director with Lumira from September 1997-December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w:t>
      </w:r>
    </w:p>
    <w:p>
      <w:pPr>
        <w:ind w:right="380"/>
        <w:spacing w:after="0" w:line="284" w:lineRule="auto"/>
        <w:rPr>
          <w:sz w:val="20"/>
          <w:szCs w:val="20"/>
          <w:color w:val="auto"/>
        </w:rPr>
      </w:pPr>
      <w:r>
        <w:rPr>
          <w:rFonts w:ascii="Arial" w:cs="Arial" w:eastAsia="Arial" w:hAnsi="Arial"/>
          <w:sz w:val="13"/>
          <w:szCs w:val="13"/>
          <w:color w:val="auto"/>
        </w:rPr>
        <w:t>Dr. Underdown’s current board positions include the following private companies: enGene Inc. Formation Biologics and Osteo QC. Some of Dr. Underdown’s previous board roles include: Argos Therapeutics (ARGS-Q), ID Biomedical (acquired by GSK),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31"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i w:val="1"/>
          <w:iCs w:val="1"/>
          <w:color w:val="auto"/>
        </w:rPr>
        <w:t xml:space="preserve">Jerry B. Gin, Ph.D, M.B.A </w:t>
      </w:r>
      <w:r>
        <w:rPr>
          <w:rFonts w:ascii="Arial" w:cs="Arial" w:eastAsia="Arial" w:hAnsi="Arial"/>
          <w:sz w:val="13"/>
          <w:szCs w:val="13"/>
          <w:color w:val="auto"/>
        </w:rPr>
        <w:t>was appointed to serve on our Board of Directors on March 29, 2016. Dr. Gin is currently the co-founder and CEO of Nuvora, Inc., a private company founded in 2006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38"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We selected Dr. Gin to serve on our Board of Directors due to his extensive experience in the healthcare industry, focusing on founding and developing pharmaceutical, diagnostic and biotechnology companies and his expertise in propelling healthcare companies to their next platforms of growth.</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Executive Officers</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184" w:lineRule="exact"/>
        <w:rPr>
          <w:sz w:val="20"/>
          <w:szCs w:val="20"/>
          <w:color w:val="auto"/>
        </w:rPr>
      </w:pPr>
    </w:p>
    <w:p>
      <w:pPr>
        <w:ind w:right="180"/>
        <w:spacing w:after="0" w:line="281" w:lineRule="auto"/>
        <w:rPr>
          <w:sz w:val="20"/>
          <w:szCs w:val="20"/>
          <w:color w:val="auto"/>
        </w:rPr>
      </w:pPr>
      <w:r>
        <w:rPr>
          <w:rFonts w:ascii="Arial" w:cs="Arial" w:eastAsia="Arial" w:hAnsi="Arial"/>
          <w:sz w:val="13"/>
          <w:szCs w:val="13"/>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Dr. Underdown and Dr. Gin, are each members of the Audit Committee. Mr. Saxe and Dr. Underdown also currently serve as members of the Compensation Committee and the Corporate Governance and Nominating Committee.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4" w:name="page105"/>
    <w:bookmarkEnd w:id="10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Audit Committee</w:t>
      </w:r>
    </w:p>
    <w:p>
      <w:pPr>
        <w:spacing w:after="0" w:line="201" w:lineRule="exact"/>
        <w:rPr>
          <w:sz w:val="20"/>
          <w:szCs w:val="20"/>
          <w:color w:val="auto"/>
        </w:rPr>
      </w:pPr>
    </w:p>
    <w:p>
      <w:pPr>
        <w:jc w:val="both"/>
        <w:ind w:right="280"/>
        <w:spacing w:after="0" w:line="298" w:lineRule="auto"/>
        <w:rPr>
          <w:sz w:val="20"/>
          <w:szCs w:val="20"/>
          <w:color w:val="auto"/>
        </w:rPr>
      </w:pPr>
      <w:r>
        <w:rPr>
          <w:rFonts w:ascii="Arial" w:cs="Arial" w:eastAsia="Arial" w:hAnsi="Arial"/>
          <w:sz w:val="13"/>
          <w:szCs w:val="13"/>
          <w:color w:val="auto"/>
        </w:rPr>
        <w:t>Our Audit Committee is comprised of Mr. Saxe, Dr. Underdown and Dr. Gin.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96" w:lineRule="exact"/>
        <w:rPr>
          <w:sz w:val="20"/>
          <w:szCs w:val="20"/>
          <w:color w:val="auto"/>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overseeing our accounting and financial reporting process;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selecting, retaining and replacing our independent auditors and evaluating their qualifications, independence and performance;</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scope of the annual audit and audit fees;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monitoring rotation of partners of independent auditors on engagement team as required by law;</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discussing with management and independent auditors the results of annual audit and review of quarterly financial statements;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reviewing adequacy and effectiveness of internal control policies and procedures;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approving retention of independent auditors to perform any proposed permissible non-audit services;</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overseeing internal audit functions and annually reviewing audit committee charter and committee performance; and</w:t>
      </w:r>
    </w:p>
    <w:p>
      <w:pPr>
        <w:spacing w:after="0" w:line="132" w:lineRule="exact"/>
        <w:rPr>
          <w:rFonts w:ascii="Arial" w:cs="Arial" w:eastAsia="Arial" w:hAnsi="Arial"/>
          <w:sz w:val="20"/>
          <w:szCs w:val="20"/>
          <w:color w:val="auto"/>
          <w:vertAlign w:val="superscript"/>
        </w:rPr>
      </w:pPr>
    </w:p>
    <w:p>
      <w:pPr>
        <w:ind w:left="460" w:hanging="455"/>
        <w:spacing w:after="0"/>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preparing the audit committee report that the SEC requires in our annual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Committee</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Our Compensation Committee is comprised of Mr. Saxe and Dr. Underdown, who serve as the committee chairman. Our Compensation Committee charter is available on our website. Under its charter, the Compensation Committee is primarily responsible for, among other things:</w:t>
      </w:r>
    </w:p>
    <w:p>
      <w:pPr>
        <w:spacing w:after="0" w:line="153" w:lineRule="exact"/>
        <w:rPr>
          <w:sz w:val="20"/>
          <w:szCs w:val="20"/>
          <w:color w:val="auto"/>
        </w:rPr>
      </w:pPr>
    </w:p>
    <w:p>
      <w:pPr>
        <w:ind w:left="500" w:hanging="495"/>
        <w:spacing w:after="0" w:line="226" w:lineRule="auto"/>
        <w:tabs>
          <w:tab w:leader="none" w:pos="50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3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determining the objectives of our executive officer compensation programs;</w:t>
      </w:r>
    </w:p>
    <w:p>
      <w:pPr>
        <w:spacing w:after="0" w:line="181" w:lineRule="exact"/>
        <w:rPr>
          <w:rFonts w:ascii="Arial" w:cs="Arial" w:eastAsia="Arial" w:hAnsi="Arial"/>
          <w:sz w:val="20"/>
          <w:szCs w:val="20"/>
          <w:color w:val="auto"/>
          <w:vertAlign w:val="superscript"/>
        </w:rPr>
      </w:pPr>
    </w:p>
    <w:p>
      <w:pPr>
        <w:ind w:left="500" w:right="380" w:hanging="495"/>
        <w:spacing w:after="0" w:line="215" w:lineRule="auto"/>
        <w:tabs>
          <w:tab w:leader="none" w:pos="50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ensuring corporate performance measures and goals regarding executive officer compensation are set and determining the extent to which they are achieved and any related compensation earned;</w:t>
      </w:r>
    </w:p>
    <w:p>
      <w:pPr>
        <w:spacing w:after="0" w:line="182" w:lineRule="exact"/>
        <w:rPr>
          <w:rFonts w:ascii="Arial" w:cs="Arial" w:eastAsia="Arial" w:hAnsi="Arial"/>
          <w:sz w:val="20"/>
          <w:szCs w:val="20"/>
          <w:color w:val="auto"/>
          <w:vertAlign w:val="superscript"/>
        </w:rPr>
      </w:pPr>
    </w:p>
    <w:p>
      <w:pPr>
        <w:ind w:left="500" w:right="620" w:hanging="495"/>
        <w:spacing w:after="0" w:line="215" w:lineRule="auto"/>
        <w:tabs>
          <w:tab w:leader="none" w:pos="500" w:val="left"/>
        </w:tabs>
        <w:numPr>
          <w:ilvl w:val="0"/>
          <w:numId w:val="50"/>
        </w:numPr>
        <w:rPr>
          <w:rFonts w:ascii="Arial" w:cs="Arial" w:eastAsia="Arial" w:hAnsi="Arial"/>
          <w:sz w:val="20"/>
          <w:szCs w:val="20"/>
          <w:color w:val="auto"/>
          <w:vertAlign w:val="superscript"/>
        </w:rPr>
      </w:pPr>
      <w:r>
        <w:rPr>
          <w:rFonts w:ascii="Arial" w:cs="Arial" w:eastAsia="Arial" w:hAnsi="Arial"/>
          <w:sz w:val="14"/>
          <w:szCs w:val="14"/>
          <w:color w:val="auto"/>
        </w:rPr>
        <w:t>establishing goals and objectives relevant to CEO compensation, evaluating CEO performance in light of such goals and objectives, and determining CEO compensation based on the evaluation;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00" w:hanging="495"/>
        <w:spacing w:after="0" w:line="228" w:lineRule="auto"/>
        <w:tabs>
          <w:tab w:leader="none" w:pos="500" w:val="left"/>
        </w:tabs>
        <w:numPr>
          <w:ilvl w:val="0"/>
          <w:numId w:val="51"/>
        </w:numPr>
        <w:rPr>
          <w:rFonts w:ascii="Arial" w:cs="Arial" w:eastAsia="Arial" w:hAnsi="Arial"/>
          <w:sz w:val="19"/>
          <w:szCs w:val="19"/>
          <w:color w:val="auto"/>
          <w:vertAlign w:val="superscript"/>
        </w:rPr>
      </w:pPr>
      <w:r>
        <w:rPr>
          <w:rFonts w:ascii="Arial" w:cs="Arial" w:eastAsia="Arial" w:hAnsi="Arial"/>
          <w:sz w:val="13"/>
          <w:szCs w:val="13"/>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3" w:lineRule="exact"/>
        <w:rPr>
          <w:rFonts w:ascii="Arial" w:cs="Arial" w:eastAsia="Arial" w:hAnsi="Arial"/>
          <w:sz w:val="19"/>
          <w:szCs w:val="19"/>
          <w:color w:val="auto"/>
          <w:vertAlign w:val="superscript"/>
        </w:rPr>
      </w:pPr>
    </w:p>
    <w:p>
      <w:pPr>
        <w:ind w:left="500" w:hanging="495"/>
        <w:spacing w:after="0"/>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new equity compensation plan or any material change to an existing plan; and</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1"/>
        </w:numPr>
        <w:rPr>
          <w:rFonts w:ascii="Arial" w:cs="Arial" w:eastAsia="Arial" w:hAnsi="Arial"/>
          <w:sz w:val="20"/>
          <w:szCs w:val="20"/>
          <w:color w:val="auto"/>
          <w:vertAlign w:val="superscript"/>
        </w:rPr>
      </w:pPr>
      <w:r>
        <w:rPr>
          <w:rFonts w:ascii="Arial" w:cs="Arial" w:eastAsia="Arial" w:hAnsi="Arial"/>
          <w:sz w:val="14"/>
          <w:szCs w:val="14"/>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Governance and Nominating Committee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82" w:lineRule="exact"/>
        <w:rPr>
          <w:sz w:val="20"/>
          <w:szCs w:val="20"/>
          <w:color w:val="auto"/>
        </w:rPr>
      </w:pPr>
    </w:p>
    <w:p>
      <w:pPr>
        <w:ind w:left="500" w:hanging="495"/>
        <w:spacing w:after="0"/>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monitoring the size and composition of the board;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making recommendations to the board with respect to the nominations or elections of our directors;</w:t>
      </w:r>
    </w:p>
    <w:p>
      <w:pPr>
        <w:spacing w:after="0" w:line="181"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reviewing the adequacy of our corporate governance policies and procedures and our Code of Business Conduct and Ethics, and recommending any proposed changes to the board for approval; and</w:t>
      </w:r>
    </w:p>
    <w:p>
      <w:pPr>
        <w:spacing w:after="0" w:line="182" w:lineRule="exact"/>
        <w:rPr>
          <w:rFonts w:ascii="Arial" w:cs="Arial" w:eastAsia="Arial" w:hAnsi="Arial"/>
          <w:sz w:val="20"/>
          <w:szCs w:val="20"/>
          <w:color w:val="auto"/>
          <w:vertAlign w:val="superscript"/>
        </w:rPr>
      </w:pPr>
    </w:p>
    <w:p>
      <w:pPr>
        <w:ind w:left="500" w:hanging="495"/>
        <w:spacing w:after="0" w:line="215" w:lineRule="auto"/>
        <w:tabs>
          <w:tab w:leader="none" w:pos="500"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4"/>
          <w:szCs w:val="14"/>
          <w:u w:val="single" w:color="auto"/>
          <w:color w:val="auto"/>
        </w:rPr>
        <w:t>www.vistagen.com</w:t>
      </w:r>
      <w:r>
        <w:rPr>
          <w:rFonts w:ascii="Arial" w:cs="Arial" w:eastAsia="Arial" w:hAnsi="Arial"/>
          <w:sz w:val="14"/>
          <w:szCs w:val="14"/>
          <w:color w:val="auto"/>
        </w:rPr>
        <w:t>. We intend to disclose any future amendments to certain provisions of our Code of Business Conduct and Ethics, or waivers of these provisions, on our website or in filings with the SEC under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Attendance at Board of Directors, Committee and Stockholder Meetings</w:t>
      </w:r>
    </w:p>
    <w:p>
      <w:pPr>
        <w:spacing w:after="0" w:line="180"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Our Board of Directors met one time and acted by unanimous written consent eight times during the fiscal year ended March 31, 2016. Our Audit Committee met four times and our Compensation Committee requested action by the entire Board of Directors for grants of warrants and the modification of certain warrants during the same period. Our Nominating and Corporate Governance Committee requested action by the entire Board of Directors with respect to the March 2016 appointment of Dr. Gin to the Board and Audit Committee. Each director serving during fiscal 2016 attended all of the meetings of the Board and the committees of the Board upon which such director served that were held during the term of his service.</w:t>
      </w:r>
    </w:p>
    <w:p>
      <w:pPr>
        <w:spacing w:after="0" w:line="129"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We do not have a formal policy regarding attendance by members of the Board at our annual meeting of stockholders, but directors are encouraged to attend. We did not hold an annual meeting of stockholders during our fiscal year ended March 31, 2016.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16 Beneficial Ownership Reporting Compliance</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Section 16(a) of the Exchange Act requires our officers, directors and persons who beneficially own more than ten percent of our common stock (collectively, </w:t>
      </w:r>
      <w:r>
        <w:rPr>
          <w:rFonts w:ascii="Arial" w:cs="Arial" w:eastAsia="Arial" w:hAnsi="Arial"/>
          <w:sz w:val="14"/>
          <w:szCs w:val="14"/>
          <w:i w:val="1"/>
          <w:iCs w:val="1"/>
          <w:color w:val="auto"/>
        </w:rPr>
        <w:t>Reporting Persons</w:t>
      </w:r>
      <w:r>
        <w:rPr>
          <w:rFonts w:ascii="Arial" w:cs="Arial" w:eastAsia="Arial" w:hAnsi="Arial"/>
          <w:sz w:val="14"/>
          <w:szCs w:val="14"/>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2016, all of the Reporting Persons, other than Platinum Long Term Growth VII and/or its affiliate, Montsant Partners LLC, Michael Goldberg, Cato BioVentures, and Morrison &amp; Foerster LLP, complied with all applicable reporting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8154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4"/>
          <w:szCs w:val="14"/>
          <w:b w:val="1"/>
          <w:bCs w:val="1"/>
          <w:color w:val="auto"/>
        </w:rPr>
        <w:t>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Compensation Objectives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Components</w:t>
      </w:r>
    </w:p>
    <w:p>
      <w:pPr>
        <w:spacing w:after="0" w:line="18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433" w:right="23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33"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following Summary Compensation Table, to conserve our cash resources during fiscal 2015 and fiscal 2014 the cash amounts of annual base salary that we paid to our executives was significantly less than their stated annual base salary rates.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Bonus</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2012 through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Equity Incentives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the compensation of our Named Executive Officers (</w:t>
      </w:r>
      <w:r>
        <w:rPr>
          <w:rFonts w:ascii="Arial" w:cs="Arial" w:eastAsia="Arial" w:hAnsi="Arial"/>
          <w:sz w:val="14"/>
          <w:szCs w:val="14"/>
          <w:i w:val="1"/>
          <w:iCs w:val="1"/>
          <w:color w:val="auto"/>
        </w:rPr>
        <w:t>NEO’s</w:t>
      </w:r>
      <w:r>
        <w:rPr>
          <w:rFonts w:ascii="Arial" w:cs="Arial" w:eastAsia="Arial" w:hAnsi="Arial"/>
          <w:sz w:val="14"/>
          <w:szCs w:val="14"/>
          <w:color w:val="auto"/>
        </w:rPr>
        <w:t>) for services performed in the fiscal years ended March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w w:val="94"/>
              </w:rPr>
              <w:t>Option and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rPr>
              <w:t>Warrant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Salary</w:t>
            </w:r>
          </w:p>
        </w:tc>
        <w:tc>
          <w:tcPr>
            <w:tcW w:w="1240" w:type="dxa"/>
            <w:vAlign w:val="bottom"/>
          </w:tcPr>
          <w:p>
            <w:pPr>
              <w:jc w:val="right"/>
              <w:ind w:right="529"/>
              <w:spacing w:after="0"/>
              <w:rPr>
                <w:sz w:val="20"/>
                <w:szCs w:val="20"/>
                <w:color w:val="auto"/>
              </w:rPr>
            </w:pPr>
            <w:r>
              <w:rPr>
                <w:rFonts w:ascii="Arial" w:cs="Arial" w:eastAsia="Arial" w:hAnsi="Arial"/>
                <w:sz w:val="14"/>
                <w:szCs w:val="14"/>
                <w:b w:val="1"/>
                <w:bCs w:val="1"/>
                <w:color w:val="auto"/>
              </w:rPr>
              <w:t>Bonus</w:t>
            </w:r>
          </w:p>
        </w:tc>
        <w:tc>
          <w:tcPr>
            <w:tcW w:w="1400" w:type="dxa"/>
            <w:vAlign w:val="bottom"/>
          </w:tcPr>
          <w:p>
            <w:pPr>
              <w:jc w:val="center"/>
              <w:ind w:right="149"/>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(7)</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w w:val="88"/>
              </w:rPr>
              <w:t>Compensation</w:t>
            </w:r>
          </w:p>
        </w:tc>
        <w:tc>
          <w:tcPr>
            <w:tcW w:w="11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84"/>
        </w:trPr>
        <w:tc>
          <w:tcPr>
            <w:tcW w:w="2840" w:type="dxa"/>
            <w:vAlign w:val="bottom"/>
          </w:tcPr>
          <w:p>
            <w:pPr>
              <w:ind w:left="46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80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649"/>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center"/>
              <w:ind w:right="169"/>
              <w:spacing w:after="0"/>
              <w:rPr>
                <w:sz w:val="20"/>
                <w:szCs w:val="20"/>
                <w:color w:val="auto"/>
              </w:rPr>
            </w:pPr>
            <w:r>
              <w:rPr>
                <w:rFonts w:ascii="Arial" w:cs="Arial" w:eastAsia="Arial" w:hAnsi="Arial"/>
                <w:sz w:val="14"/>
                <w:szCs w:val="14"/>
                <w:b w:val="1"/>
                <w:bCs w:val="1"/>
                <w:color w:val="auto"/>
                <w:w w:val="93"/>
              </w:rPr>
              <w:t>($)</w:t>
            </w:r>
          </w:p>
        </w:tc>
        <w:tc>
          <w:tcPr>
            <w:tcW w:w="1440" w:type="dxa"/>
            <w:vAlign w:val="bottom"/>
          </w:tcPr>
          <w:p>
            <w:pPr>
              <w:jc w:val="center"/>
              <w:ind w:right="2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509"/>
              <w:spacing w:after="0"/>
              <w:rPr>
                <w:sz w:val="20"/>
                <w:szCs w:val="20"/>
                <w:color w:val="auto"/>
              </w:rPr>
            </w:pPr>
            <w:r>
              <w:rPr>
                <w:rFonts w:ascii="Arial" w:cs="Arial" w:eastAsia="Arial" w:hAnsi="Arial"/>
                <w:sz w:val="14"/>
                <w:szCs w:val="14"/>
                <w:b w:val="1"/>
                <w:bCs w:val="1"/>
                <w:color w:val="auto"/>
              </w:rPr>
              <w:t>($)</w:t>
            </w:r>
          </w:p>
        </w:tc>
      </w:tr>
      <w:tr>
        <w:trPr>
          <w:trHeight w:val="171"/>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347,500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1,629,574</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1,977,074</w:t>
            </w:r>
          </w:p>
        </w:tc>
      </w:tr>
      <w:tr>
        <w:trPr>
          <w:trHeight w:val="170"/>
        </w:trPr>
        <w:tc>
          <w:tcPr>
            <w:tcW w:w="284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ind w:left="960"/>
              <w:spacing w:after="0" w:line="171" w:lineRule="exact"/>
              <w:rPr>
                <w:sz w:val="20"/>
                <w:szCs w:val="20"/>
                <w:color w:val="auto"/>
              </w:rPr>
            </w:pPr>
            <w:r>
              <w:rPr>
                <w:rFonts w:ascii="Arial" w:cs="Arial" w:eastAsia="Arial" w:hAnsi="Arial"/>
                <w:sz w:val="14"/>
                <w:szCs w:val="14"/>
                <w:color w:val="auto"/>
              </w:rPr>
              <w:t>347,500</w:t>
            </w:r>
            <w:r>
              <w:rPr>
                <w:rFonts w:ascii="Arial" w:cs="Arial" w:eastAsia="Arial" w:hAnsi="Arial"/>
                <w:sz w:val="19"/>
                <w:szCs w:val="19"/>
                <w:color w:val="auto"/>
                <w:vertAlign w:val="superscript"/>
              </w:rPr>
              <w:t>(4)</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688,050</w:t>
            </w:r>
            <w:r>
              <w:rPr>
                <w:rFonts w:ascii="Arial" w:cs="Arial" w:eastAsia="Arial" w:hAnsi="Arial"/>
                <w:sz w:val="19"/>
                <w:szCs w:val="19"/>
                <w:color w:val="auto"/>
                <w:vertAlign w:val="superscript"/>
              </w:rPr>
              <w:t>(9)</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1,035,550</w:t>
            </w:r>
          </w:p>
        </w:tc>
      </w:tr>
      <w:tr>
        <w:trPr>
          <w:trHeight w:val="170"/>
        </w:trPr>
        <w:tc>
          <w:tcPr>
            <w:tcW w:w="28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284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tcPr>
          <w:p>
            <w:pPr>
              <w:ind w:left="960"/>
              <w:spacing w:after="0"/>
              <w:rPr>
                <w:sz w:val="20"/>
                <w:szCs w:val="20"/>
                <w:color w:val="auto"/>
              </w:rPr>
            </w:pPr>
            <w:r>
              <w:rPr>
                <w:rFonts w:ascii="Arial" w:cs="Arial" w:eastAsia="Arial" w:hAnsi="Arial"/>
                <w:sz w:val="14"/>
                <w:szCs w:val="14"/>
                <w:color w:val="auto"/>
              </w:rPr>
              <w:t>305,000</w:t>
            </w:r>
          </w:p>
        </w:tc>
        <w:tc>
          <w:tcPr>
            <w:tcW w:w="12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71" w:lineRule="exact"/>
              <w:rPr>
                <w:sz w:val="20"/>
                <w:szCs w:val="20"/>
                <w:color w:val="auto"/>
              </w:rPr>
            </w:pPr>
            <w:r>
              <w:rPr>
                <w:rFonts w:ascii="Arial" w:cs="Arial" w:eastAsia="Arial" w:hAnsi="Arial"/>
                <w:sz w:val="14"/>
                <w:szCs w:val="14"/>
                <w:color w:val="auto"/>
              </w:rPr>
              <w:t>985,025</w:t>
            </w:r>
            <w:r>
              <w:rPr>
                <w:rFonts w:ascii="Arial" w:cs="Arial" w:eastAsia="Arial" w:hAnsi="Arial"/>
                <w:sz w:val="19"/>
                <w:szCs w:val="19"/>
                <w:color w:val="auto"/>
                <w:vertAlign w:val="superscript"/>
              </w:rPr>
              <w:t>(8)</w:t>
            </w:r>
          </w:p>
        </w:tc>
        <w:tc>
          <w:tcPr>
            <w:tcW w:w="14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1,290,025</w:t>
            </w:r>
          </w:p>
        </w:tc>
      </w:tr>
      <w:tr>
        <w:trPr>
          <w:trHeight w:val="170"/>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President, Chief Scientific Officer</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shd w:val="clear" w:color="auto" w:fill="CCEEFF"/>
          </w:tcPr>
          <w:p>
            <w:pPr>
              <w:ind w:left="960"/>
              <w:spacing w:after="0" w:line="171" w:lineRule="exact"/>
              <w:rPr>
                <w:sz w:val="20"/>
                <w:szCs w:val="20"/>
                <w:color w:val="auto"/>
              </w:rPr>
            </w:pPr>
            <w:r>
              <w:rPr>
                <w:rFonts w:ascii="Arial" w:cs="Arial" w:eastAsia="Arial" w:hAnsi="Arial"/>
                <w:sz w:val="14"/>
                <w:szCs w:val="14"/>
                <w:color w:val="auto"/>
              </w:rPr>
              <w:t>305,000</w:t>
            </w:r>
            <w:r>
              <w:rPr>
                <w:rFonts w:ascii="Arial" w:cs="Arial" w:eastAsia="Arial" w:hAnsi="Arial"/>
                <w:sz w:val="19"/>
                <w:szCs w:val="19"/>
                <w:color w:val="auto"/>
                <w:vertAlign w:val="superscript"/>
              </w:rPr>
              <w:t>(5)</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458,700</w:t>
            </w:r>
            <w:r>
              <w:rPr>
                <w:rFonts w:ascii="Arial" w:cs="Arial" w:eastAsia="Arial" w:hAnsi="Arial"/>
                <w:sz w:val="19"/>
                <w:szCs w:val="19"/>
                <w:color w:val="auto"/>
                <w:vertAlign w:val="superscript"/>
              </w:rPr>
              <w:t>(9)</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763,700</w:t>
            </w:r>
          </w:p>
        </w:tc>
      </w:tr>
      <w:tr>
        <w:trPr>
          <w:trHeight w:val="170"/>
        </w:trPr>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(3)</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8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250,000</w:t>
            </w:r>
          </w:p>
        </w:tc>
        <w:tc>
          <w:tcPr>
            <w:tcW w:w="12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9"/>
              <w:spacing w:after="0" w:line="171" w:lineRule="exact"/>
              <w:rPr>
                <w:sz w:val="20"/>
                <w:szCs w:val="20"/>
                <w:color w:val="auto"/>
              </w:rPr>
            </w:pPr>
            <w:r>
              <w:rPr>
                <w:rFonts w:ascii="Arial" w:cs="Arial" w:eastAsia="Arial" w:hAnsi="Arial"/>
                <w:sz w:val="14"/>
                <w:szCs w:val="14"/>
                <w:color w:val="auto"/>
              </w:rPr>
              <w:t>635,297</w:t>
            </w:r>
            <w:r>
              <w:rPr>
                <w:rFonts w:ascii="Arial" w:cs="Arial" w:eastAsia="Arial" w:hAnsi="Arial"/>
                <w:sz w:val="19"/>
                <w:szCs w:val="19"/>
                <w:color w:val="auto"/>
                <w:vertAlign w:val="superscript"/>
              </w:rPr>
              <w:t>(8)</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885,297</w:t>
            </w:r>
          </w:p>
        </w:tc>
      </w:tr>
      <w:tr>
        <w:trPr>
          <w:trHeight w:val="160"/>
        </w:trPr>
        <w:tc>
          <w:tcPr>
            <w:tcW w:w="2840" w:type="dxa"/>
            <w:vAlign w:val="bottom"/>
          </w:tcPr>
          <w:p>
            <w:pPr>
              <w:spacing w:after="0" w:line="160" w:lineRule="exact"/>
              <w:rPr>
                <w:sz w:val="20"/>
                <w:szCs w:val="20"/>
                <w:color w:val="auto"/>
              </w:rPr>
            </w:pPr>
            <w:r>
              <w:rPr>
                <w:rFonts w:ascii="Arial" w:cs="Arial" w:eastAsia="Arial" w:hAnsi="Arial"/>
                <w:sz w:val="14"/>
                <w:szCs w:val="14"/>
                <w:i w:val="1"/>
                <w:iCs w:val="1"/>
                <w:color w:val="auto"/>
              </w:rPr>
              <w:t>Vice President, Chief Financial Officer,</w:t>
            </w:r>
          </w:p>
        </w:tc>
        <w:tc>
          <w:tcPr>
            <w:tcW w:w="1600" w:type="dxa"/>
            <w:vAlign w:val="bottom"/>
          </w:tcPr>
          <w:p>
            <w:pPr>
              <w:spacing w:after="0"/>
              <w:rPr>
                <w:sz w:val="13"/>
                <w:szCs w:val="13"/>
                <w:color w:val="auto"/>
              </w:rPr>
            </w:pPr>
          </w:p>
        </w:tc>
        <w:tc>
          <w:tcPr>
            <w:tcW w:w="1800" w:type="dxa"/>
            <w:vAlign w:val="bottom"/>
          </w:tcPr>
          <w:p>
            <w:pPr>
              <w:ind w:left="960"/>
              <w:spacing w:after="0" w:line="160" w:lineRule="exact"/>
              <w:rPr>
                <w:sz w:val="20"/>
                <w:szCs w:val="20"/>
                <w:color w:val="auto"/>
              </w:rPr>
            </w:pPr>
            <w:r>
              <w:rPr>
                <w:rFonts w:ascii="Arial" w:cs="Arial" w:eastAsia="Arial" w:hAnsi="Arial"/>
                <w:sz w:val="13"/>
                <w:szCs w:val="13"/>
                <w:color w:val="auto"/>
              </w:rPr>
              <w:t>250,000</w:t>
            </w:r>
            <w:r>
              <w:rPr>
                <w:rFonts w:ascii="Arial" w:cs="Arial" w:eastAsia="Arial" w:hAnsi="Arial"/>
                <w:sz w:val="18"/>
                <w:szCs w:val="18"/>
                <w:color w:val="auto"/>
                <w:vertAlign w:val="superscript"/>
              </w:rPr>
              <w:t>(6)</w:t>
            </w:r>
          </w:p>
        </w:tc>
        <w:tc>
          <w:tcPr>
            <w:tcW w:w="124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1400" w:type="dxa"/>
            <w:vAlign w:val="bottom"/>
          </w:tcPr>
          <w:p>
            <w:pPr>
              <w:jc w:val="right"/>
              <w:ind w:right="49"/>
              <w:spacing w:after="0" w:line="160" w:lineRule="exact"/>
              <w:rPr>
                <w:sz w:val="20"/>
                <w:szCs w:val="20"/>
                <w:color w:val="auto"/>
              </w:rPr>
            </w:pPr>
            <w:r>
              <w:rPr>
                <w:rFonts w:ascii="Arial" w:cs="Arial" w:eastAsia="Arial" w:hAnsi="Arial"/>
                <w:sz w:val="13"/>
                <w:szCs w:val="13"/>
                <w:color w:val="auto"/>
              </w:rPr>
              <w:t>229,350</w:t>
            </w:r>
            <w:r>
              <w:rPr>
                <w:rFonts w:ascii="Arial" w:cs="Arial" w:eastAsia="Arial" w:hAnsi="Arial"/>
                <w:sz w:val="18"/>
                <w:szCs w:val="18"/>
                <w:color w:val="auto"/>
                <w:vertAlign w:val="superscript"/>
              </w:rPr>
              <w:t>(9)</w:t>
            </w:r>
          </w:p>
        </w:tc>
        <w:tc>
          <w:tcPr>
            <w:tcW w:w="144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line="160" w:lineRule="exact"/>
              <w:rPr>
                <w:sz w:val="20"/>
                <w:szCs w:val="20"/>
                <w:color w:val="auto"/>
              </w:rPr>
            </w:pPr>
            <w:r>
              <w:rPr>
                <w:rFonts w:ascii="Arial" w:cs="Arial" w:eastAsia="Arial" w:hAnsi="Arial"/>
                <w:sz w:val="14"/>
                <w:szCs w:val="14"/>
                <w:color w:val="auto"/>
              </w:rPr>
              <w:t>479,350</w:t>
            </w:r>
          </w:p>
        </w:tc>
      </w:tr>
      <w:tr>
        <w:trPr>
          <w:trHeight w:val="180"/>
        </w:trPr>
        <w:tc>
          <w:tcPr>
            <w:tcW w:w="2840" w:type="dxa"/>
            <w:vAlign w:val="bottom"/>
          </w:tcPr>
          <w:p>
            <w:pPr>
              <w:spacing w:after="0"/>
              <w:rPr>
                <w:sz w:val="20"/>
                <w:szCs w:val="20"/>
                <w:color w:val="auto"/>
              </w:rPr>
            </w:pPr>
            <w:r>
              <w:rPr>
                <w:rFonts w:ascii="Arial" w:cs="Arial" w:eastAsia="Arial" w:hAnsi="Arial"/>
                <w:sz w:val="14"/>
                <w:szCs w:val="14"/>
                <w:i w:val="1"/>
                <w:iCs w:val="1"/>
                <w:color w:val="auto"/>
              </w:rPr>
              <w:t>Secretary</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58"/>
        </w:trPr>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ind w:left="1140"/>
              <w:spacing w:after="0"/>
              <w:rPr>
                <w:sz w:val="20"/>
                <w:szCs w:val="20"/>
                <w:color w:val="auto"/>
              </w:rPr>
            </w:pPr>
            <w:r>
              <w:rPr>
                <w:rFonts w:ascii="Arial" w:cs="Arial" w:eastAsia="Arial" w:hAnsi="Arial"/>
                <w:sz w:val="14"/>
                <w:szCs w:val="14"/>
                <w:color w:val="auto"/>
              </w:rPr>
              <w:t>-106-</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2"/>
        </w:trPr>
        <w:tc>
          <w:tcPr>
            <w:tcW w:w="284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hanging="595"/>
        <w:spacing w:after="0" w:line="279" w:lineRule="auto"/>
        <w:tabs>
          <w:tab w:leader="none" w:pos="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Mr. Singh became VistaGen California’s Chief Executive Officer on August 20, 2009 and our Chief Executive Officer in May 2011, in connection with the Merger. In our fiscal years ended March 31, 2016 and 2015, Mr. Singh’s annual base cash salary, pursuant to his January 2010 employment agreement, was contractually set at $347,500. To conserve cash for our operations during fiscal 2015 and 2014, Mr. Singh voluntarily agreed to receive cash payments of less than his contractual base cash salary. The figures reported above reflect the amount of Mr. Singh’s salary that we expensed for accounting purposes in our financial statements for the respective fiscal years. As discussed in note (4) below, only $82,813 was actually paid in cash to Mr. Singh in our fiscal year ended March 31, 2015. The difference between the amounts expensed in fiscal 2015 and 2014 for accounting purposes and the amounts actually paid to Mr. Singh was accrued in fiscal 2015 and 2014 for payment in the future, $153,064 of which was paid during fiscal 2016. Mr. Singh also received cash payments during fiscal 2016 of $25,242 in payment of amounts previously accrued for vacation pay and $101,936 representing a tax gross up related to the forgiveness of a loan made prior to the date the Company became public. Additionally, pursuant to his employment agreement, Mr. Singh is eligible to receive an annual cash incentive bonus of up to fifty percent (50%) of his base cash salary. To conserve cash for our operations during our fiscal years ended March 31, 2016 and 2015, Mr. Singh voluntarily refrained from receiving any cash bonus.</w:t>
      </w:r>
    </w:p>
    <w:p>
      <w:pPr>
        <w:spacing w:after="0" w:line="139" w:lineRule="exact"/>
        <w:rPr>
          <w:rFonts w:ascii="Arial" w:cs="Arial" w:eastAsia="Arial" w:hAnsi="Arial"/>
          <w:sz w:val="13"/>
          <w:szCs w:val="13"/>
          <w:color w:val="auto"/>
        </w:rPr>
      </w:pPr>
    </w:p>
    <w:p>
      <w:pPr>
        <w:ind w:left="600" w:right="60" w:hanging="595"/>
        <w:spacing w:after="0" w:line="279" w:lineRule="auto"/>
        <w:tabs>
          <w:tab w:leader="none" w:pos="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2016 and 2015, Dr. Snodgrass’ annual base cash salary, pursuant to his January 2010 employment agreement, was contractually set at $305,000. To conserve cash for our operations during fiscal 2015 and 2014, Dr. Snodgrass voluntarily agreed to receive cash payments of less than his contractual base cash salary. The figures reported above reflect the amount of Dr. Snodgrass’ salary that we expensed for accounting purposes in our financial statements for the respective fiscal years. As discussed in note (5) below, only $157,292 was actually paid in cash to Dr. Snodgrass in our fiscal year ended March 31, 2015. The difference between the amounts expensed in fiscal 2015 and 2014 for accounting purposes and the amounts actually paid to Dr. Snodgrass was accrued in fiscal 2015 and 2014 for payment in the future, $160,000 of which was paid during fiscal 2016. Dr. Snodgrass also received cash payments during fiscal 2016 of $18,088 in payment of amounts previously accrued for vacation pay. Additionally,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39" w:lineRule="exact"/>
        <w:rPr>
          <w:rFonts w:ascii="Arial" w:cs="Arial" w:eastAsia="Arial" w:hAnsi="Arial"/>
          <w:sz w:val="13"/>
          <w:szCs w:val="13"/>
          <w:color w:val="auto"/>
        </w:rPr>
      </w:pPr>
    </w:p>
    <w:p>
      <w:pPr>
        <w:ind w:left="600" w:hanging="595"/>
        <w:spacing w:after="0" w:line="311" w:lineRule="auto"/>
        <w:tabs>
          <w:tab w:leader="none" w:pos="6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2016 and 2015, Mr. Dotson’s annual base cash salary was $250,000. To conserve cash for our operations during fiscal 2015 and 2014, Mr. Dotson voluntarily agreed to receive cash payments of less than his base cash salary. The figures reported above reflect the amount of Mr. Dotson’s salary that we expensed for accounting purposes in our financial statements for the respective fiscal years. As discussed in note (6) below, only $153,917 was actually paid in cash to Mr. Dotson in our fiscal year ended March 31, 2015. The difference between the amounts expensed in fiscal 2015 and 2014 for accounting purposes and the amounts actually paid to Mr. Dotson was accrued in fiscal 2015 and 2014 for payment in the future, $144,417 of which was paid during fiscal 2016. To conserve cash for our operations, Mr. Dotson did not receive a cash bonus in either of our fiscal years ended March 31, 2016 or 2015.</w:t>
      </w:r>
    </w:p>
    <w:p>
      <w:pPr>
        <w:spacing w:after="0" w:line="141" w:lineRule="exact"/>
        <w:rPr>
          <w:rFonts w:ascii="Arial" w:cs="Arial" w:eastAsia="Arial" w:hAnsi="Arial"/>
          <w:sz w:val="12"/>
          <w:szCs w:val="12"/>
          <w:color w:val="auto"/>
        </w:rPr>
      </w:pPr>
    </w:p>
    <w:p>
      <w:pPr>
        <w:ind w:left="600" w:right="400" w:hanging="595"/>
        <w:spacing w:after="0" w:line="283"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Singh received only $82,813 in cash compensation in our fiscal year ended March 31, 2015. The remaining balance of $264,687 was accrued at March 31, 2015 for future payment and $196,207 remains unpaid at the date of this prospectus.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9" w:name="page110"/>
    <w:bookmarkEnd w:id="10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10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Snodgrass received only $157,292 in cash compensation in our fiscal year ended March 31, 2015. The remaining balance of $147,708 was accrued at March 31, 2015 for future payment and $60,359 remains unpaid at the date of this prospectus.</w:t>
      </w:r>
    </w:p>
    <w:p>
      <w:pPr>
        <w:spacing w:after="0" w:line="131" w:lineRule="exact"/>
        <w:rPr>
          <w:rFonts w:ascii="Arial" w:cs="Arial" w:eastAsia="Arial" w:hAnsi="Arial"/>
          <w:sz w:val="14"/>
          <w:szCs w:val="14"/>
          <w:color w:val="auto"/>
        </w:rPr>
      </w:pPr>
    </w:p>
    <w:p>
      <w:pPr>
        <w:ind w:left="600" w:right="24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Dotson received only $153,917 in cash compensation in our fiscal year ended March 31, 2015. The remaining balance of $96,083 was accrued at March 31, 2015 and was paid during fiscal 2016..</w:t>
      </w:r>
    </w:p>
    <w:p>
      <w:pPr>
        <w:spacing w:after="0" w:line="131" w:lineRule="exact"/>
        <w:rPr>
          <w:rFonts w:ascii="Arial" w:cs="Arial" w:eastAsia="Arial" w:hAnsi="Arial"/>
          <w:sz w:val="14"/>
          <w:szCs w:val="14"/>
          <w:color w:val="auto"/>
        </w:rPr>
      </w:pPr>
    </w:p>
    <w:p>
      <w:pPr>
        <w:ind w:left="600" w:right="40" w:hanging="595"/>
        <w:spacing w:after="0" w:line="283"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to purchase restricted shares of our common stock awarded to Mr. Singh, Dr. Snodgrass and Mr. Dotson, and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600" w:right="8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88"/>
              </w:rPr>
              <w:t>Warrant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Warrant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09"/>
              <w:spacing w:after="0"/>
              <w:rPr>
                <w:sz w:val="20"/>
                <w:szCs w:val="20"/>
                <w:color w:val="auto"/>
              </w:rPr>
            </w:pPr>
            <w:r>
              <w:rPr>
                <w:rFonts w:ascii="Arial" w:cs="Arial" w:eastAsia="Arial" w:hAnsi="Arial"/>
                <w:sz w:val="14"/>
                <w:szCs w:val="14"/>
                <w:color w:val="auto"/>
                <w:w w:val="91"/>
              </w:rPr>
              <w:t>Grant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Modification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89"/>
              <w:spacing w:after="0"/>
              <w:rPr>
                <w:sz w:val="20"/>
                <w:szCs w:val="20"/>
                <w:color w:val="auto"/>
              </w:rPr>
            </w:pPr>
            <w:r>
              <w:rPr>
                <w:rFonts w:ascii="Arial" w:cs="Arial" w:eastAsia="Arial" w:hAnsi="Arial"/>
                <w:sz w:val="14"/>
                <w:szCs w:val="14"/>
                <w:color w:val="auto"/>
                <w:w w:val="91"/>
              </w:rPr>
              <w:t>9/2/2015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9"/>
              <w:spacing w:after="0"/>
              <w:rPr>
                <w:sz w:val="20"/>
                <w:szCs w:val="20"/>
                <w:color w:val="auto"/>
              </w:rPr>
            </w:pPr>
            <w:r>
              <w:rPr>
                <w:rFonts w:ascii="Arial" w:cs="Arial" w:eastAsia="Arial" w:hAnsi="Arial"/>
                <w:sz w:val="14"/>
                <w:szCs w:val="14"/>
                <w:color w:val="auto"/>
                <w:w w:val="91"/>
              </w:rPr>
              <w:t>11/11/2015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Total</w:t>
            </w:r>
          </w:p>
        </w:tc>
      </w:tr>
      <w:tr>
        <w:trPr>
          <w:trHeight w:val="170"/>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Singh</w:t>
            </w:r>
          </w:p>
        </w:tc>
        <w:tc>
          <w:tcPr>
            <w:tcW w:w="31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1,420,332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1,629,574</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Snodgrass</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852,199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132,826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985,025</w:t>
            </w:r>
          </w:p>
        </w:tc>
      </w:tr>
      <w:tr>
        <w:trPr>
          <w:trHeight w:val="172"/>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Dotson</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568,133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635,297</w:t>
            </w:r>
          </w:p>
        </w:tc>
      </w:tr>
      <w:tr>
        <w:trPr>
          <w:trHeight w:val="170"/>
        </w:trPr>
        <w:tc>
          <w:tcPr>
            <w:tcW w:w="4240" w:type="dxa"/>
            <w:vAlign w:val="bottom"/>
            <w:tcBorders>
              <w:top w:val="single" w:sz="8" w:color="CCEEFF"/>
            </w:tcBorders>
          </w:tcPr>
          <w:p>
            <w:pPr>
              <w:spacing w:after="0"/>
              <w:rPr>
                <w:sz w:val="14"/>
                <w:szCs w:val="14"/>
                <w:color w:val="auto"/>
              </w:rPr>
            </w:pPr>
          </w:p>
        </w:tc>
        <w:tc>
          <w:tcPr>
            <w:tcW w:w="296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2,840,664</w:t>
            </w: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409,232</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3,249,896</w:t>
            </w:r>
          </w:p>
        </w:tc>
        <w:tc>
          <w:tcPr>
            <w:tcW w:w="120" w:type="dxa"/>
            <w:vAlign w:val="bottom"/>
            <w:tcBorders>
              <w:top w:val="single" w:sz="8" w:color="CCEEFF"/>
            </w:tcBorders>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4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w w:val="91"/>
              </w:rPr>
              <w:t>Weighted Average (except shares)</w:t>
            </w:r>
          </w:p>
        </w:tc>
      </w:tr>
      <w:tr>
        <w:trPr>
          <w:trHeight w:val="172"/>
        </w:trPr>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rPr>
              <w:t>After</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9.11</w:t>
            </w: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top w:val="single" w:sz="8" w:color="auto"/>
            </w:tcBorders>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9.25</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w:t>
            </w: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78.75%</w:t>
            </w: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4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5.68</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4"/>
                <w:szCs w:val="14"/>
                <w:color w:val="auto"/>
              </w:rPr>
            </w:pPr>
          </w:p>
        </w:tc>
      </w:tr>
      <w:tr>
        <w:trPr>
          <w:trHeight w:val="170"/>
        </w:trPr>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952,803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952,803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600" w:right="340"/>
        <w:spacing w:after="0" w:line="283" w:lineRule="auto"/>
        <w:rPr>
          <w:sz w:val="20"/>
          <w:szCs w:val="20"/>
          <w:color w:val="auto"/>
        </w:rPr>
      </w:pPr>
      <w:r>
        <w:rPr>
          <w:rFonts w:ascii="Arial" w:cs="Arial" w:eastAsia="Arial" w:hAnsi="Arial"/>
          <w:sz w:val="14"/>
          <w:szCs w:val="14"/>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600" w:right="16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used the Black Scholes Option Pricing Model and the following assumptions for determining the grant date fair value of the warrants to purchase shares of our common stock granted in January 2015.</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7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Expected Term (years)</w:t>
            </w:r>
          </w:p>
        </w:tc>
        <w:tc>
          <w:tcPr>
            <w:tcW w:w="76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w:t>
            </w:r>
          </w:p>
        </w:tc>
      </w:tr>
      <w:tr>
        <w:trPr>
          <w:trHeight w:val="170"/>
        </w:trPr>
        <w:tc>
          <w:tcPr>
            <w:tcW w:w="934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75.86%</w:t>
            </w:r>
          </w:p>
        </w:tc>
      </w:tr>
      <w:tr>
        <w:trPr>
          <w:trHeight w:val="170"/>
        </w:trPr>
        <w:tc>
          <w:tcPr>
            <w:tcW w:w="9340" w:type="dxa"/>
            <w:vAlign w:val="bottom"/>
          </w:tcPr>
          <w:p>
            <w:pPr>
              <w:spacing w:after="0"/>
              <w:rPr>
                <w:sz w:val="20"/>
                <w:szCs w:val="20"/>
                <w:color w:val="auto"/>
              </w:rPr>
            </w:pPr>
            <w:r>
              <w:rPr>
                <w:rFonts w:ascii="Arial" w:cs="Arial" w:eastAsia="Arial" w:hAnsi="Arial"/>
                <w:sz w:val="14"/>
                <w:szCs w:val="14"/>
                <w:color w:val="auto"/>
              </w:rPr>
              <w:t>Dividend rate</w:t>
            </w: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9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0"/>
        </w:trPr>
        <w:tc>
          <w:tcPr>
            <w:tcW w:w="9340" w:type="dxa"/>
            <w:vAlign w:val="bottom"/>
          </w:tcPr>
          <w:p>
            <w:pPr>
              <w:spacing w:after="0"/>
              <w:rPr>
                <w:sz w:val="20"/>
                <w:szCs w:val="20"/>
                <w:color w:val="auto"/>
              </w:rPr>
            </w:pPr>
            <w:r>
              <w:rPr>
                <w:rFonts w:ascii="Arial" w:cs="Arial" w:eastAsia="Arial" w:hAnsi="Arial"/>
                <w:sz w:val="14"/>
                <w:szCs w:val="14"/>
                <w:color w:val="auto"/>
              </w:rPr>
              <w:t>Grant date fair value per share</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4.59</w:t>
            </w:r>
          </w:p>
        </w:tc>
      </w:tr>
      <w:tr>
        <w:trPr>
          <w:trHeight w:val="330"/>
        </w:trPr>
        <w:tc>
          <w:tcPr>
            <w:tcW w:w="9340" w:type="dxa"/>
            <w:vAlign w:val="bottom"/>
          </w:tcPr>
          <w:p>
            <w:pPr>
              <w:spacing w:after="0"/>
              <w:rPr>
                <w:sz w:val="20"/>
                <w:szCs w:val="20"/>
                <w:color w:val="auto"/>
              </w:rPr>
            </w:pPr>
            <w:r>
              <w:rPr>
                <w:rFonts w:ascii="Arial" w:cs="Arial" w:eastAsia="Arial" w:hAnsi="Arial"/>
                <w:sz w:val="14"/>
                <w:szCs w:val="14"/>
                <w:color w:val="auto"/>
                <w:w w:val="94"/>
              </w:rPr>
              <w:t>Mr. Singh, Dr. Snodgrass and Mr. Dotson were granted warrants to purchase 150,000, 100,000 and 50,000 restricted shares of our common stock, respectively.</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None of the NEOs is entitled to perquisites or other personal benefits that, in the aggregate, are worth over $50,000 or over 10% of their base salary.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Warrants Granted to NEOs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each unexercised stock option and warrant to purchase restricted shares of our common stock held by each of the named executive officers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March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5"/>
          </w:tcPr>
          <w:p>
            <w:pPr>
              <w:jc w:val="center"/>
              <w:ind w:left="889"/>
              <w:spacing w:after="0"/>
              <w:rPr>
                <w:sz w:val="20"/>
                <w:szCs w:val="20"/>
                <w:color w:val="auto"/>
              </w:rPr>
            </w:pPr>
            <w:r>
              <w:rPr>
                <w:rFonts w:ascii="Arial" w:cs="Arial" w:eastAsia="Arial" w:hAnsi="Arial"/>
                <w:sz w:val="14"/>
                <w:szCs w:val="14"/>
                <w:b w:val="1"/>
                <w:bCs w:val="1"/>
                <w:color w:val="auto"/>
                <w:w w:val="92"/>
              </w:rPr>
              <w:t>Stock Options and Warrants</w:t>
            </w:r>
          </w:p>
        </w:tc>
        <w:tc>
          <w:tcPr>
            <w:tcW w:w="96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56"/>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ind w:right="380"/>
              <w:spacing w:after="0" w:line="156"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Underlying</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Underlying</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Option</w:t>
            </w:r>
          </w:p>
        </w:tc>
        <w:tc>
          <w:tcPr>
            <w:tcW w:w="2020" w:type="dxa"/>
            <w:vAlign w:val="bottom"/>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Unexercised</w:t>
            </w:r>
          </w:p>
        </w:tc>
        <w:tc>
          <w:tcPr>
            <w:tcW w:w="15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Unexercised</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Exercise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3"/>
              </w:rPr>
              <w:t>Option</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Price</w:t>
            </w:r>
          </w:p>
        </w:tc>
        <w:tc>
          <w:tcPr>
            <w:tcW w:w="2020" w:type="dxa"/>
            <w:vAlign w:val="bottom"/>
          </w:tcPr>
          <w:p>
            <w:pPr>
              <w:jc w:val="center"/>
              <w:ind w:right="289"/>
              <w:spacing w:after="0"/>
              <w:rPr>
                <w:sz w:val="20"/>
                <w:szCs w:val="20"/>
                <w:color w:val="auto"/>
              </w:rPr>
            </w:pPr>
            <w:r>
              <w:rPr>
                <w:rFonts w:ascii="Arial" w:cs="Arial" w:eastAsia="Arial" w:hAnsi="Arial"/>
                <w:sz w:val="14"/>
                <w:szCs w:val="14"/>
                <w:b w:val="1"/>
                <w:bCs w:val="1"/>
                <w:color w:val="auto"/>
                <w:w w:val="96"/>
              </w:rPr>
              <w:t>Expiration</w:t>
            </w:r>
          </w:p>
        </w:tc>
      </w:tr>
      <w:tr>
        <w:trPr>
          <w:trHeight w:val="186"/>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Exercisable</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 Unexercisable</w:t>
            </w:r>
          </w:p>
        </w:tc>
        <w:tc>
          <w:tcPr>
            <w:tcW w:w="960" w:type="dxa"/>
            <w:vAlign w:val="bottom"/>
          </w:tcPr>
          <w:p>
            <w:pPr>
              <w:jc w:val="center"/>
              <w:ind w:right="89"/>
              <w:spacing w:after="0"/>
              <w:rPr>
                <w:sz w:val="20"/>
                <w:szCs w:val="20"/>
                <w:color w:val="auto"/>
              </w:rPr>
            </w:pPr>
            <w:r>
              <w:rPr>
                <w:rFonts w:ascii="Arial" w:cs="Arial" w:eastAsia="Arial" w:hAnsi="Arial"/>
                <w:sz w:val="14"/>
                <w:szCs w:val="14"/>
                <w:color w:val="auto"/>
                <w:w w:val="93"/>
              </w:rPr>
              <w:t>($)</w:t>
            </w:r>
          </w:p>
        </w:tc>
        <w:tc>
          <w:tcPr>
            <w:tcW w:w="480" w:type="dxa"/>
            <w:vAlign w:val="bottom"/>
          </w:tcPr>
          <w:p>
            <w:pPr>
              <w:spacing w:after="0"/>
              <w:rPr>
                <w:sz w:val="16"/>
                <w:szCs w:val="16"/>
                <w:color w:val="auto"/>
              </w:rPr>
            </w:pPr>
          </w:p>
        </w:tc>
        <w:tc>
          <w:tcPr>
            <w:tcW w:w="2020" w:type="dxa"/>
            <w:vAlign w:val="bottom"/>
          </w:tcPr>
          <w:p>
            <w:pPr>
              <w:jc w:val="center"/>
              <w:ind w:right="309"/>
              <w:spacing w:after="0"/>
              <w:rPr>
                <w:sz w:val="20"/>
                <w:szCs w:val="20"/>
                <w:color w:val="auto"/>
              </w:rPr>
            </w:pPr>
            <w:r>
              <w:rPr>
                <w:rFonts w:ascii="Arial" w:cs="Arial" w:eastAsia="Arial" w:hAnsi="Arial"/>
                <w:sz w:val="14"/>
                <w:szCs w:val="14"/>
                <w:b w:val="1"/>
                <w:bCs w:val="1"/>
                <w:color w:val="auto"/>
                <w:w w:val="92"/>
              </w:rPr>
              <w:t>Date</w:t>
            </w:r>
          </w:p>
        </w:tc>
      </w:tr>
      <w:tr>
        <w:trPr>
          <w:trHeight w:val="170"/>
        </w:trPr>
        <w:tc>
          <w:tcPr>
            <w:tcW w:w="4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5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16.00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12/21/2016</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14.40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5/17/2017</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1/17/2018</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1,125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21,250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4/26/2021</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4,017</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72,000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150,000</w:t>
            </w:r>
            <w:r>
              <w:rPr>
                <w:rFonts w:ascii="Arial" w:cs="Arial" w:eastAsia="Arial" w:hAnsi="Arial"/>
                <w:sz w:val="19"/>
                <w:szCs w:val="19"/>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250,000</w:t>
            </w:r>
            <w:r>
              <w:rPr>
                <w:rFonts w:ascii="Arial" w:cs="Arial" w:eastAsia="Arial" w:hAnsi="Arial"/>
                <w:sz w:val="9"/>
                <w:szCs w:val="9"/>
                <w:color w:val="auto"/>
              </w:rPr>
              <w:t>(3)</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0"/>
        </w:trPr>
        <w:tc>
          <w:tcPr>
            <w:tcW w:w="50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563,178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H. Ralph Snodgrass, Ph.D.</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319</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17.60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12/20/2016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3/24/2019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6/17/2019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12/30/2019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4/26/2016</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1,875</w:t>
            </w:r>
          </w:p>
        </w:tc>
        <w:tc>
          <w:tcPr>
            <w:tcW w:w="1400" w:type="dxa"/>
            <w:vAlign w:val="bottom"/>
            <w:gridSpan w:val="2"/>
          </w:tcPr>
          <w:p>
            <w:pPr>
              <w:jc w:val="right"/>
              <w:ind w:right="120"/>
              <w:spacing w:after="0" w:line="171" w:lineRule="exact"/>
              <w:rPr>
                <w:sz w:val="20"/>
                <w:szCs w:val="20"/>
                <w:color w:val="auto"/>
              </w:rPr>
            </w:pPr>
            <w:r>
              <w:rPr>
                <w:rFonts w:ascii="Arial" w:cs="Arial" w:eastAsia="Arial" w:hAnsi="Arial"/>
                <w:sz w:val="19"/>
                <w:szCs w:val="19"/>
                <w:color w:val="auto"/>
                <w:vertAlign w:val="subscript"/>
              </w:rPr>
              <w:t>625</w:t>
            </w:r>
            <w:r>
              <w:rPr>
                <w:rFonts w:ascii="Arial" w:cs="Arial" w:eastAsia="Arial" w:hAnsi="Arial"/>
                <w:sz w:val="8"/>
                <w:szCs w:val="8"/>
                <w:color w:val="auto"/>
              </w:rPr>
              <w:t>(1)</w:t>
            </w: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5,625</w:t>
            </w: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1,875</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20"/>
              <w:spacing w:after="0" w:line="171" w:lineRule="exact"/>
              <w:rPr>
                <w:sz w:val="20"/>
                <w:szCs w:val="20"/>
                <w:color w:val="auto"/>
              </w:rPr>
            </w:pPr>
            <w:r>
              <w:rPr>
                <w:rFonts w:ascii="Arial" w:cs="Arial" w:eastAsia="Arial" w:hAnsi="Arial"/>
                <w:sz w:val="14"/>
                <w:szCs w:val="14"/>
                <w:color w:val="auto"/>
              </w:rPr>
              <w:t>100,000</w:t>
            </w:r>
            <w:r>
              <w:rPr>
                <w:rFonts w:ascii="Arial" w:cs="Arial" w:eastAsia="Arial" w:hAnsi="Arial"/>
                <w:sz w:val="19"/>
                <w:szCs w:val="19"/>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150,000</w:t>
            </w:r>
            <w:r>
              <w:rPr>
                <w:rFonts w:ascii="Arial" w:cs="Arial" w:eastAsia="Arial" w:hAnsi="Arial"/>
                <w:sz w:val="9"/>
                <w:szCs w:val="9"/>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9/20/2020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70"/>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329,069</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auto"/>
              </w:rPr>
              <w:t>Jerrold D. Dotson</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5,001</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10.00</w:t>
            </w:r>
          </w:p>
        </w:tc>
        <w:tc>
          <w:tcPr>
            <w:tcW w:w="2020" w:type="dxa"/>
            <w:vAlign w:val="bottom"/>
          </w:tcPr>
          <w:p>
            <w:pPr>
              <w:jc w:val="center"/>
              <w:ind w:right="309"/>
              <w:spacing w:after="0"/>
              <w:rPr>
                <w:sz w:val="20"/>
                <w:szCs w:val="20"/>
                <w:color w:val="auto"/>
              </w:rPr>
            </w:pPr>
            <w:r>
              <w:rPr>
                <w:rFonts w:ascii="Arial" w:cs="Arial" w:eastAsia="Arial" w:hAnsi="Arial"/>
                <w:sz w:val="14"/>
                <w:szCs w:val="14"/>
                <w:color w:val="auto"/>
                <w:w w:val="91"/>
              </w:rPr>
              <w:t>10/30/2022</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8.00</w:t>
            </w:r>
          </w:p>
        </w:tc>
        <w:tc>
          <w:tcPr>
            <w:tcW w:w="2020" w:type="dxa"/>
            <w:vAlign w:val="bottom"/>
            <w:shd w:val="clear" w:color="auto" w:fill="CCEEFF"/>
          </w:tcPr>
          <w:p>
            <w:pPr>
              <w:jc w:val="center"/>
              <w:ind w:right="309"/>
              <w:spacing w:after="0"/>
              <w:rPr>
                <w:sz w:val="20"/>
                <w:szCs w:val="20"/>
                <w:color w:val="auto"/>
              </w:rPr>
            </w:pPr>
            <w:r>
              <w:rPr>
                <w:rFonts w:ascii="Arial" w:cs="Arial" w:eastAsia="Arial" w:hAnsi="Arial"/>
                <w:sz w:val="14"/>
                <w:szCs w:val="14"/>
                <w:color w:val="auto"/>
                <w:w w:val="91"/>
              </w:rPr>
              <w:t>10/27/2023</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10,000</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1"/>
              </w:rPr>
              <w:t>3/3/2023</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w:t>
            </w: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4"/>
                <w:szCs w:val="14"/>
                <w:color w:val="auto"/>
              </w:rPr>
              <w:t>1,250</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3"/>
              </w:rPr>
              <w:t>3/19/2019</w:t>
            </w:r>
          </w:p>
        </w:tc>
      </w:tr>
      <w:tr>
        <w:trPr>
          <w:trHeight w:val="170"/>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r>
              <w:rPr>
                <w:rFonts w:ascii="Arial" w:cs="Arial" w:eastAsia="Arial" w:hAnsi="Arial"/>
                <w:sz w:val="14"/>
                <w:szCs w:val="14"/>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tcPr>
          <w:p>
            <w:pPr>
              <w:jc w:val="center"/>
              <w:ind w:right="289"/>
              <w:spacing w:after="0"/>
              <w:rPr>
                <w:sz w:val="20"/>
                <w:szCs w:val="20"/>
                <w:color w:val="auto"/>
              </w:rPr>
            </w:pPr>
            <w:r>
              <w:rPr>
                <w:rFonts w:ascii="Arial" w:cs="Arial" w:eastAsia="Arial" w:hAnsi="Arial"/>
                <w:sz w:val="14"/>
                <w:szCs w:val="14"/>
                <w:color w:val="auto"/>
                <w:w w:val="93"/>
              </w:rPr>
              <w:t>1/11/2020</w:t>
            </w:r>
          </w:p>
        </w:tc>
      </w:tr>
      <w:tr>
        <w:trPr>
          <w:trHeight w:val="170"/>
        </w:trPr>
        <w:tc>
          <w:tcPr>
            <w:tcW w:w="4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w:t>
            </w:r>
            <w:r>
              <w:rPr>
                <w:rFonts w:ascii="Arial" w:cs="Arial" w:eastAsia="Arial" w:hAnsi="Arial"/>
                <w:sz w:val="9"/>
                <w:szCs w:val="9"/>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7.00</w:t>
            </w:r>
          </w:p>
        </w:tc>
        <w:tc>
          <w:tcPr>
            <w:tcW w:w="2020" w:type="dxa"/>
            <w:vAlign w:val="bottom"/>
            <w:shd w:val="clear" w:color="auto" w:fill="CCEEFF"/>
          </w:tcPr>
          <w:p>
            <w:pPr>
              <w:jc w:val="center"/>
              <w:ind w:right="289"/>
              <w:spacing w:after="0"/>
              <w:rPr>
                <w:sz w:val="20"/>
                <w:szCs w:val="20"/>
                <w:color w:val="auto"/>
              </w:rPr>
            </w:pPr>
            <w:r>
              <w:rPr>
                <w:rFonts w:ascii="Arial" w:cs="Arial" w:eastAsia="Arial" w:hAnsi="Arial"/>
                <w:sz w:val="14"/>
                <w:szCs w:val="14"/>
                <w:color w:val="auto"/>
                <w:w w:val="91"/>
              </w:rPr>
              <w:t>9/2/2020</w:t>
            </w:r>
          </w:p>
        </w:tc>
      </w:tr>
      <w:tr>
        <w:trPr>
          <w:trHeight w:val="21"/>
        </w:trPr>
        <w:tc>
          <w:tcPr>
            <w:tcW w:w="4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r>
      <w:tr>
        <w:trPr>
          <w:trHeight w:val="184"/>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169,751</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1,250</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464"/>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92"/>
        </w:trPr>
        <w:tc>
          <w:tcPr>
            <w:tcW w:w="49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180" w:hanging="375"/>
        <w:spacing w:after="0" w:line="268"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The warrant became exercisable for the remaining 25% of the shares on April 1, 2016.</w:t>
      </w:r>
    </w:p>
    <w:p>
      <w:pPr>
        <w:spacing w:after="0" w:line="142" w:lineRule="exact"/>
        <w:rPr>
          <w:rFonts w:ascii="Arial" w:cs="Arial" w:eastAsia="Arial" w:hAnsi="Arial"/>
          <w:sz w:val="14"/>
          <w:szCs w:val="14"/>
          <w:color w:val="auto"/>
        </w:rPr>
      </w:pPr>
    </w:p>
    <w:p>
      <w:pPr>
        <w:ind w:left="380" w:right="840" w:hanging="375"/>
        <w:spacing w:after="0" w:line="283"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January 11, 2015 when the market price of our common stock was $8.00 per share. Warrant was modified on November 11, 2015 to reduce the exercise price to $7.00 per share.</w:t>
      </w:r>
    </w:p>
    <w:p>
      <w:pPr>
        <w:spacing w:after="0" w:line="131" w:lineRule="exact"/>
        <w:rPr>
          <w:rFonts w:ascii="Arial" w:cs="Arial" w:eastAsia="Arial" w:hAnsi="Arial"/>
          <w:sz w:val="14"/>
          <w:szCs w:val="14"/>
          <w:color w:val="auto"/>
        </w:rPr>
      </w:pPr>
    </w:p>
    <w:p>
      <w:pPr>
        <w:ind w:left="380" w:right="760" w:hanging="375"/>
        <w:spacing w:after="0" w:line="283"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as fully exercisable on September 2, 2015 when the market price of our common stock was $9.11 per share. Warrant was modified on November 11, 2015 to reduce the exercise price to $7.00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or Severance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employment agreements with Mr. Singh and Dr. Snodgrass.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Singh Agreement</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entered into an employment agreement with Mr. Singh on April 28, 2010. Under the agreement, as amended on May 9, 2011, Mr. Singh’s base salary is $347,500 per year. However, to conserve cash for our operations, during our fiscal year ended March 31, 2015, Mr. Singh received only $82,813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01" w:lineRule="exact"/>
        <w:rPr>
          <w:sz w:val="20"/>
          <w:szCs w:val="20"/>
          <w:color w:val="auto"/>
        </w:rPr>
      </w:pPr>
    </w:p>
    <w:p>
      <w:pPr>
        <w:ind w:left="500" w:hanging="495"/>
        <w:spacing w:after="0"/>
        <w:tabs>
          <w:tab w:leader="none" w:pos="500" w:val="left"/>
        </w:tabs>
        <w:numPr>
          <w:ilvl w:val="0"/>
          <w:numId w:val="57"/>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7"/>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cash bonus that the Board of Directors determines in good faith that Mr. Singh earned prior to his termination; and</w:t>
      </w:r>
    </w:p>
    <w:p>
      <w:pPr>
        <w:spacing w:after="0" w:line="143"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such amounts required to reimburse him for Consolidated Omnibus Budget Reconciliation Act (</w:t>
      </w:r>
      <w:r>
        <w:rPr>
          <w:rFonts w:ascii="Arial" w:cs="Arial" w:eastAsia="Arial" w:hAnsi="Arial"/>
          <w:sz w:val="13"/>
          <w:szCs w:val="13"/>
          <w:i w:val="1"/>
          <w:iCs w:val="1"/>
          <w:color w:val="auto"/>
        </w:rPr>
        <w:t>COBRA</w:t>
      </w:r>
      <w:r>
        <w:rPr>
          <w:rFonts w:ascii="Arial" w:cs="Arial" w:eastAsia="Arial" w:hAnsi="Arial"/>
          <w:sz w:val="13"/>
          <w:szCs w:val="13"/>
          <w:color w:val="auto"/>
        </w:rPr>
        <w:t>) payments for continuation of his medical health benefits for such twelve-month period.</w:t>
      </w:r>
    </w:p>
    <w:p>
      <w:pPr>
        <w:spacing w:after="0" w:line="16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In addition, in the event Mr. Singh terminates his employment with good reason following a change of control, he is entitled to twelve months of his then-current base salary payable in the form of salary continuation.</w:t>
      </w:r>
    </w:p>
    <w:p>
      <w:pPr>
        <w:spacing w:after="0" w:line="13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which amount was subsequently paid. See Note 14 to our audited Consolidated Financial Statements for the fiscal years ended March 31, 2015 and 2014, which are included in this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Snodgrass Agreement</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entered into an employment agreement with Dr. Snodgrass on April 28, 2010. Under the agreement, as amended on May 9, 2011, Dr. Snodgrass’s base salary is $305,000 per year. However, to conserve cash for our operations, during our fiscal year ended March 31, 2015, Dr. Snodgrass received only $157,292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97"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twelve months of his then-current base salary payable in the form of salary continuation;</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a pro-rated portion of the incentive bonus that the Board of Directors determines in good faith that Dr. Snodgrass earned prior to his termination; and</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8"/>
        </w:numPr>
        <w:rPr>
          <w:rFonts w:ascii="Arial" w:cs="Arial" w:eastAsia="Arial" w:hAnsi="Arial"/>
          <w:sz w:val="20"/>
          <w:szCs w:val="20"/>
          <w:color w:val="auto"/>
          <w:vertAlign w:val="superscript"/>
        </w:rPr>
      </w:pPr>
      <w:r>
        <w:rPr>
          <w:rFonts w:ascii="Arial" w:cs="Arial" w:eastAsia="Arial" w:hAnsi="Arial"/>
          <w:sz w:val="14"/>
          <w:szCs w:val="14"/>
          <w:color w:val="auto"/>
        </w:rPr>
        <w:t>such amounts required to reimburse him for COBRA payments for continuation of his medical health benefits for such twelve-month period.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In addition, in the event Dr. Snodgrass terminates his employment with good reason, he is entitled to twelve months of his then-current base salary payable in the form of salary continuation.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of Control Provisions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14"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responsibility; or</w:t>
      </w:r>
    </w:p>
    <w:p>
      <w:pPr>
        <w:spacing w:after="0" w:line="13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a material reduction in the executive’s base salary except for reductions that are comparable to reductions generally applicable to similarly situated executives of VistaGen.</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63"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w:t>
      </w:r>
    </w:p>
    <w:p>
      <w:pPr>
        <w:ind w:firstLine="5"/>
        <w:spacing w:after="0" w:line="267" w:lineRule="auto"/>
        <w:tabs>
          <w:tab w:leader="none" w:pos="248"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6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5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84"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years ended March 31, 2016 or 2015.</w:t>
      </w:r>
    </w:p>
    <w:p>
      <w:pPr>
        <w:spacing w:after="0" w:line="135"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September 2015, we granted fully vested warrants to purchase 50,000 shares of our restricted common stock at an exercise price of $9.25 per share to each of Mr. Saxe and Dr. Underdown. In November 2015, we modified those warrants, and others granted to them previously, to reduce the exercise price to $7.00 per share. On March 30, 2016, we granted an option to purchase 25,000 shares of our common stock to Dr. Gin upon his appointment to the Board, in accordance with the director compensation policy described above. We expect to make future grants on the same date as our annual meeting, or as soon thereafter as reasonably practicable. Prorated grants will be made for partial years of service.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the compensation earned by our non-employee directors in our fiscal year ended March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Fees Earned or</w:t>
            </w: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Option and Warrant</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71" w:lineRule="exact"/>
              <w:rPr>
                <w:sz w:val="20"/>
                <w:szCs w:val="20"/>
                <w:color w:val="auto"/>
              </w:rPr>
            </w:pPr>
            <w:r>
              <w:rPr>
                <w:rFonts w:ascii="Arial" w:cs="Arial" w:eastAsia="Arial" w:hAnsi="Arial"/>
                <w:sz w:val="14"/>
                <w:szCs w:val="14"/>
                <w:b w:val="1"/>
                <w:bCs w:val="1"/>
                <w:color w:val="auto"/>
                <w:w w:val="88"/>
              </w:rPr>
              <w:t xml:space="preserve">Paid in Cash </w:t>
            </w:r>
            <w:r>
              <w:rPr>
                <w:rFonts w:ascii="Arial" w:cs="Arial" w:eastAsia="Arial" w:hAnsi="Arial"/>
                <w:sz w:val="19"/>
                <w:szCs w:val="19"/>
                <w:b w:val="1"/>
                <w:bCs w:val="1"/>
                <w:color w:val="auto"/>
                <w:w w:val="88"/>
                <w:vertAlign w:val="superscript"/>
              </w:rPr>
              <w:t>(1)</w:t>
            </w:r>
          </w:p>
        </w:tc>
        <w:tc>
          <w:tcPr>
            <w:tcW w:w="220" w:type="dxa"/>
            <w:vAlign w:val="bottom"/>
          </w:tcPr>
          <w:p>
            <w:pPr>
              <w:spacing w:after="0"/>
              <w:rPr>
                <w:sz w:val="14"/>
                <w:szCs w:val="14"/>
                <w:color w:val="auto"/>
              </w:rPr>
            </w:pPr>
          </w:p>
        </w:tc>
        <w:tc>
          <w:tcPr>
            <w:tcW w:w="1320" w:type="dxa"/>
            <w:vAlign w:val="bottom"/>
            <w:gridSpan w:val="2"/>
          </w:tcPr>
          <w:p>
            <w:pPr>
              <w:jc w:val="center"/>
              <w:ind w:right="460"/>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(2)</w:t>
            </w:r>
          </w:p>
        </w:tc>
        <w:tc>
          <w:tcPr>
            <w:tcW w:w="160" w:type="dxa"/>
            <w:vAlign w:val="bottom"/>
          </w:tcPr>
          <w:p>
            <w:pPr>
              <w:spacing w:after="0"/>
              <w:rPr>
                <w:sz w:val="14"/>
                <w:szCs w:val="14"/>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6"/>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r>
      <w:tr>
        <w:trPr>
          <w:trHeight w:val="170"/>
        </w:trPr>
        <w:tc>
          <w:tcPr>
            <w:tcW w:w="3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(3)</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52,500</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324,816</w:t>
            </w:r>
            <w:r>
              <w:rPr>
                <w:rFonts w:ascii="Arial" w:cs="Arial" w:eastAsia="Arial" w:hAnsi="Arial"/>
                <w:sz w:val="9"/>
                <w:szCs w:val="9"/>
                <w:color w:val="auto"/>
              </w:rPr>
              <w:t>(6)</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377,316</w:t>
            </w:r>
          </w:p>
        </w:tc>
        <w:tc>
          <w:tcPr>
            <w:tcW w:w="120" w:type="dxa"/>
            <w:vAlign w:val="bottom"/>
            <w:shd w:val="clear" w:color="auto" w:fill="CCEEFF"/>
          </w:tcPr>
          <w:p>
            <w:pPr>
              <w:spacing w:after="0"/>
              <w:rPr>
                <w:sz w:val="14"/>
                <w:szCs w:val="14"/>
                <w:color w:val="auto"/>
              </w:rPr>
            </w:pPr>
          </w:p>
        </w:tc>
      </w:tr>
      <w:tr>
        <w:trPr>
          <w:trHeight w:val="170"/>
        </w:trPr>
        <w:tc>
          <w:tcPr>
            <w:tcW w:w="354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(4)</w:t>
            </w:r>
          </w:p>
        </w:tc>
        <w:tc>
          <w:tcPr>
            <w:tcW w:w="1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57,500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324,400</w:t>
            </w:r>
            <w:r>
              <w:rPr>
                <w:rFonts w:ascii="Arial" w:cs="Arial" w:eastAsia="Arial" w:hAnsi="Arial"/>
                <w:sz w:val="9"/>
                <w:szCs w:val="9"/>
                <w:color w:val="auto"/>
              </w:rPr>
              <w:t>(6)</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381,900</w:t>
            </w:r>
          </w:p>
        </w:tc>
        <w:tc>
          <w:tcPr>
            <w:tcW w:w="120" w:type="dxa"/>
            <w:vAlign w:val="bottom"/>
          </w:tcPr>
          <w:p>
            <w:pPr>
              <w:spacing w:after="0"/>
              <w:rPr>
                <w:sz w:val="14"/>
                <w:szCs w:val="14"/>
                <w:color w:val="auto"/>
              </w:rPr>
            </w:pPr>
          </w:p>
        </w:tc>
      </w:tr>
      <w:tr>
        <w:trPr>
          <w:trHeight w:val="170"/>
        </w:trPr>
        <w:tc>
          <w:tcPr>
            <w:tcW w:w="35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(5)</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181,103</w:t>
            </w:r>
            <w:r>
              <w:rPr>
                <w:rFonts w:ascii="Arial" w:cs="Arial" w:eastAsia="Arial" w:hAnsi="Arial"/>
                <w:sz w:val="9"/>
                <w:szCs w:val="9"/>
                <w:color w:val="auto"/>
              </w:rPr>
              <w:t>(7)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181,103</w:t>
            </w: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00" w:right="400" w:hanging="495"/>
        <w:spacing w:after="0" w:line="323" w:lineRule="auto"/>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shown represent fees earned for service on our Board of Directors, and Audit Committee, Compensation Committee and Corporate Governance and Nominating Committee during the fiscal year ended March 31, 2016 which we have accrued but did not pay to the director during that period or through the date of this prospectus.</w:t>
      </w:r>
    </w:p>
    <w:p>
      <w:pPr>
        <w:spacing w:after="0" w:line="108" w:lineRule="exact"/>
        <w:rPr>
          <w:rFonts w:ascii="Arial" w:cs="Arial" w:eastAsia="Arial" w:hAnsi="Arial"/>
          <w:sz w:val="13"/>
          <w:szCs w:val="13"/>
          <w:color w:val="auto"/>
        </w:rPr>
      </w:pPr>
    </w:p>
    <w:p>
      <w:pPr>
        <w:ind w:left="500" w:right="120" w:hanging="495"/>
        <w:spacing w:after="0" w:line="283" w:lineRule="auto"/>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warrants or options to purchase shares of our common stock awarded to Mr. Saxe, Dr. Underdown and Dr. Gin, and the effect of modifications to prior grants of warrants to Mr. Saxe and Dr. Underdown occurring during our fiscal year ended March 31, 2016,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2016.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56" w:lineRule="exact"/>
        <w:rPr>
          <w:rFonts w:ascii="Arial" w:cs="Arial" w:eastAsia="Arial" w:hAnsi="Arial"/>
          <w:sz w:val="13"/>
          <w:szCs w:val="13"/>
          <w:color w:val="auto"/>
        </w:rPr>
      </w:pPr>
    </w:p>
    <w:p>
      <w:pPr>
        <w:ind w:left="500" w:right="180" w:hanging="495"/>
        <w:spacing w:after="0" w:line="263" w:lineRule="auto"/>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Saxe has served as the Chairman of our Board of Directors, the Chairman of our Audit Committee and a member of our Compensation Committee and Corporate Governance and Nominating Committee throughout our fiscal year ended March 31, 2016. At March 31, 2016, Mr. Saxe holds: (i) 1,875 restricted shares of our common stock; (ii) fully-vested options to purchase 12,250 registered shares of our common stock; and (iii) warrants to purchase 83,250 restricted shares of our common stock, of which 82,438 shares are exercisable and of which the remaining 812 shares became exercisable on April 1, 2016.</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80" w:hanging="575"/>
        <w:spacing w:after="0" w:line="263"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Underdown has served as a member of our Board of Directors, as the Chairman of our Compensation Committee and Corporate Governance and Nominating Committee and as a member of our Audit Committee throughout our fiscal year ended March 31, 2016. At March 31, 2016, Dr. Underdown holds: (i) fully-vested options to purchase 9,250 registered shares of our common stock and (ii) warrants to purchase 82,500 restricted shares of our common stock, of which 81,875 shares are exercisable as of March 31, 2016 and of which the remaining 625 shares became exercisable on April 1, 2016</w:t>
      </w:r>
    </w:p>
    <w:p>
      <w:pPr>
        <w:spacing w:after="0" w:line="167" w:lineRule="exact"/>
        <w:rPr>
          <w:rFonts w:ascii="Arial" w:cs="Arial" w:eastAsia="Arial" w:hAnsi="Arial"/>
          <w:sz w:val="14"/>
          <w:szCs w:val="14"/>
          <w:color w:val="auto"/>
        </w:rPr>
      </w:pPr>
    </w:p>
    <w:p>
      <w:pPr>
        <w:ind w:left="580" w:right="300" w:hanging="575"/>
        <w:spacing w:after="0" w:line="323" w:lineRule="auto"/>
        <w:tabs>
          <w:tab w:leader="none" w:pos="5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Dr. Gin was appointed to our Board of Directors and as a member of our Audit Committee on March 29, 2016. At March 31, 2016, Dr. Gin holds an option to purchase 25,000 registered shares of our common stock granted in connection with his appointment to the Board, in accordance with the director compensation policy described above.</w:t>
      </w:r>
    </w:p>
    <w:p>
      <w:pPr>
        <w:spacing w:after="0" w:line="130" w:lineRule="exact"/>
        <w:rPr>
          <w:rFonts w:ascii="Arial" w:cs="Arial" w:eastAsia="Arial" w:hAnsi="Arial"/>
          <w:sz w:val="13"/>
          <w:szCs w:val="13"/>
          <w:color w:val="auto"/>
        </w:rPr>
      </w:pPr>
    </w:p>
    <w:p>
      <w:pPr>
        <w:ind w:left="580" w:right="180" w:hanging="575"/>
        <w:spacing w:after="0" w:line="283"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and modifications we granted to Mr. Saxe and Dr. Underdown during fiscal 2016 and the assumptions used in the Black Scholes Option Pricing Model to determine the grant date fair values of the respective awards and modifications.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49"/>
              <w:spacing w:after="0"/>
              <w:rPr>
                <w:sz w:val="20"/>
                <w:szCs w:val="20"/>
                <w:color w:val="auto"/>
              </w:rPr>
            </w:pPr>
            <w:r>
              <w:rPr>
                <w:rFonts w:ascii="Arial" w:cs="Arial" w:eastAsia="Arial" w:hAnsi="Arial"/>
                <w:sz w:val="14"/>
                <w:szCs w:val="14"/>
                <w:color w:val="auto"/>
              </w:rPr>
              <w:t>Warrant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color w:val="auto"/>
                <w:w w:val="88"/>
              </w:rPr>
              <w:t>Warrant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Grant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9"/>
              </w:rPr>
              <w:t>Modification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42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9/2/2015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11/11/2015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70"/>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Saxe</w:t>
            </w:r>
          </w:p>
        </w:tc>
        <w:tc>
          <w:tcPr>
            <w:tcW w:w="2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40,750</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324,816</w:t>
            </w:r>
          </w:p>
        </w:tc>
      </w:tr>
      <w:tr>
        <w:trPr>
          <w:trHeight w:val="170"/>
        </w:trPr>
        <w:tc>
          <w:tcPr>
            <w:tcW w:w="4260" w:type="dxa"/>
            <w:vAlign w:val="bottom"/>
          </w:tcPr>
          <w:p>
            <w:pPr>
              <w:spacing w:after="0"/>
              <w:rPr>
                <w:sz w:val="20"/>
                <w:szCs w:val="20"/>
                <w:color w:val="auto"/>
              </w:rPr>
            </w:pPr>
            <w:r>
              <w:rPr>
                <w:rFonts w:ascii="Arial" w:cs="Arial" w:eastAsia="Arial" w:hAnsi="Arial"/>
                <w:sz w:val="14"/>
                <w:szCs w:val="14"/>
                <w:color w:val="auto"/>
              </w:rPr>
              <w:t>Underdown</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284,066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40,334</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324,400</w:t>
            </w:r>
          </w:p>
        </w:tc>
      </w:tr>
      <w:tr>
        <w:trPr>
          <w:trHeight w:val="21"/>
        </w:trPr>
        <w:tc>
          <w:tcPr>
            <w:tcW w:w="4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26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568,132</w:t>
            </w:r>
          </w:p>
        </w:tc>
        <w:tc>
          <w:tcPr>
            <w:tcW w:w="2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81,084</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649,216</w:t>
            </w: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46"/>
        </w:trPr>
        <w:tc>
          <w:tcPr>
            <w:tcW w:w="4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right"/>
              <w:ind w:right="380"/>
              <w:spacing w:after="0"/>
              <w:rPr>
                <w:sz w:val="20"/>
                <w:szCs w:val="20"/>
                <w:color w:val="auto"/>
              </w:rPr>
            </w:pPr>
            <w:r>
              <w:rPr>
                <w:rFonts w:ascii="Arial" w:cs="Arial" w:eastAsia="Arial" w:hAnsi="Arial"/>
                <w:sz w:val="14"/>
                <w:szCs w:val="14"/>
                <w:color w:val="auto"/>
                <w:w w:val="89"/>
              </w:rPr>
              <w:t>Weighted Average (except shares)</w:t>
            </w:r>
          </w:p>
        </w:tc>
      </w:tr>
      <w:tr>
        <w:trPr>
          <w:trHeight w:val="172"/>
        </w:trPr>
        <w:tc>
          <w:tcPr>
            <w:tcW w:w="42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rPr>
              <w:t>Before</w:t>
            </w:r>
          </w:p>
        </w:tc>
        <w:tc>
          <w:tcPr>
            <w:tcW w:w="24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After</w:t>
            </w:r>
          </w:p>
        </w:tc>
        <w:tc>
          <w:tcPr>
            <w:tcW w:w="100" w:type="dxa"/>
            <w:vAlign w:val="bottom"/>
          </w:tcPr>
          <w:p>
            <w:pPr>
              <w:spacing w:after="0"/>
              <w:rPr>
                <w:sz w:val="14"/>
                <w:szCs w:val="14"/>
                <w:color w:val="auto"/>
              </w:rPr>
            </w:pPr>
          </w:p>
        </w:tc>
      </w:tr>
      <w:tr>
        <w:trPr>
          <w:trHeight w:val="170"/>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9.11</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4"/>
                <w:szCs w:val="14"/>
                <w:color w:val="auto"/>
              </w:rPr>
            </w:pPr>
          </w:p>
        </w:tc>
      </w:tr>
      <w:tr>
        <w:trPr>
          <w:trHeight w:val="170"/>
        </w:trPr>
        <w:tc>
          <w:tcPr>
            <w:tcW w:w="426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9.25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4"/>
                <w:szCs w:val="14"/>
                <w:color w:val="auto"/>
              </w:rPr>
            </w:pPr>
          </w:p>
        </w:tc>
      </w:tr>
      <w:tr>
        <w:trPr>
          <w:trHeight w:val="170"/>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1.72%</w:t>
            </w:r>
          </w:p>
        </w:tc>
      </w:tr>
      <w:tr>
        <w:trPr>
          <w:trHeight w:val="170"/>
        </w:trPr>
        <w:tc>
          <w:tcPr>
            <w:tcW w:w="4260" w:type="dxa"/>
            <w:vAlign w:val="bottom"/>
          </w:tcPr>
          <w:p>
            <w:pPr>
              <w:spacing w:after="0"/>
              <w:rPr>
                <w:sz w:val="20"/>
                <w:szCs w:val="20"/>
                <w:color w:val="auto"/>
              </w:rPr>
            </w:pPr>
            <w:r>
              <w:rPr>
                <w:rFonts w:ascii="Arial" w:cs="Arial" w:eastAsia="Arial" w:hAnsi="Arial"/>
                <w:sz w:val="14"/>
                <w:szCs w:val="14"/>
                <w:color w:val="auto"/>
              </w:rPr>
              <w:t>Volatility</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77.19%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76.21%</w:t>
            </w:r>
          </w:p>
        </w:tc>
        <w:tc>
          <w:tcPr>
            <w:tcW w:w="2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78.56%</w:t>
            </w:r>
          </w:p>
        </w:tc>
      </w:tr>
      <w:tr>
        <w:trPr>
          <w:trHeight w:val="170"/>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2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5.00</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4.90</w:t>
            </w: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4"/>
                <w:szCs w:val="14"/>
                <w:color w:val="auto"/>
              </w:rPr>
            </w:pPr>
          </w:p>
        </w:tc>
      </w:tr>
      <w:tr>
        <w:trPr>
          <w:trHeight w:val="170"/>
        </w:trPr>
        <w:tc>
          <w:tcPr>
            <w:tcW w:w="4260" w:type="dxa"/>
            <w:vAlign w:val="bottom"/>
          </w:tcPr>
          <w:p>
            <w:pPr>
              <w:spacing w:after="0"/>
              <w:rPr>
                <w:sz w:val="20"/>
                <w:szCs w:val="20"/>
                <w:color w:val="auto"/>
              </w:rPr>
            </w:pPr>
            <w:r>
              <w:rPr>
                <w:rFonts w:ascii="Arial" w:cs="Arial" w:eastAsia="Arial" w:hAnsi="Arial"/>
                <w:sz w:val="14"/>
                <w:szCs w:val="14"/>
                <w:color w:val="auto"/>
              </w:rPr>
              <w:t>Dividend rate</w:t>
            </w: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70"/>
        </w:trPr>
        <w:tc>
          <w:tcPr>
            <w:tcW w:w="426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260" w:type="dxa"/>
            <w:vAlign w:val="bottom"/>
          </w:tcPr>
          <w:p>
            <w:pPr>
              <w:spacing w:after="0"/>
              <w:rPr>
                <w:sz w:val="20"/>
                <w:szCs w:val="20"/>
                <w:color w:val="auto"/>
              </w:rPr>
            </w:pPr>
            <w:r>
              <w:rPr>
                <w:rFonts w:ascii="Arial" w:cs="Arial" w:eastAsia="Arial" w:hAnsi="Arial"/>
                <w:sz w:val="14"/>
                <w:szCs w:val="14"/>
                <w:color w:val="auto"/>
              </w:rPr>
              <w:t>Fair value per share</w:t>
            </w:r>
          </w:p>
        </w:tc>
        <w:tc>
          <w:tcPr>
            <w:tcW w:w="29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5.68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4"/>
                <w:szCs w:val="14"/>
                <w:color w:val="auto"/>
              </w:rPr>
            </w:pPr>
          </w:p>
        </w:tc>
      </w:tr>
      <w:tr>
        <w:trPr>
          <w:trHeight w:val="170"/>
        </w:trPr>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Aggregate shares</w:t>
            </w:r>
          </w:p>
        </w:tc>
        <w:tc>
          <w:tcPr>
            <w:tcW w:w="2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100,000</w:t>
            </w:r>
          </w:p>
        </w:tc>
        <w:tc>
          <w:tcPr>
            <w:tcW w:w="1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165,750</w:t>
            </w: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165,750</w:t>
            </w:r>
          </w:p>
        </w:tc>
        <w:tc>
          <w:tcPr>
            <w:tcW w:w="10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ind w:left="580" w:right="300"/>
        <w:spacing w:after="0" w:line="283" w:lineRule="auto"/>
        <w:rPr>
          <w:sz w:val="20"/>
          <w:szCs w:val="20"/>
          <w:color w:val="auto"/>
        </w:rPr>
      </w:pPr>
      <w:r>
        <w:rPr>
          <w:rFonts w:ascii="Arial" w:cs="Arial" w:eastAsia="Arial" w:hAnsi="Arial"/>
          <w:sz w:val="14"/>
          <w:szCs w:val="14"/>
          <w:color w:val="auto"/>
        </w:rPr>
        <w:t>Mr. Saxe and Dr. Underdown were each granted warrants to purchase 50,000 restricted shares of our common stock. We modified warrants to purchase an aggregate of 83,250 shares and 82,500 shares held by Mr. Saxe and Dr. Underdown, respectively.</w:t>
      </w:r>
    </w:p>
    <w:p>
      <w:pPr>
        <w:spacing w:after="0" w:line="153" w:lineRule="exact"/>
        <w:rPr>
          <w:sz w:val="20"/>
          <w:szCs w:val="20"/>
          <w:color w:val="auto"/>
        </w:rPr>
      </w:pPr>
    </w:p>
    <w:p>
      <w:pPr>
        <w:ind w:left="580" w:right="700" w:hanging="575"/>
        <w:spacing w:after="0" w:line="28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option award we granted to Dr. Gin during fiscal 2016 and the assumptions used in the Black Scholes Option Pricing Model to determine the grant date fair value of the award as reported in the table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Volatility</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102.94%</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Dividend rate</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Fair value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7.24</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520" w:type="dxa"/>
            <w:vAlign w:val="bottom"/>
          </w:tcPr>
          <w:p>
            <w:pPr>
              <w:spacing w:after="0"/>
              <w:rPr>
                <w:sz w:val="20"/>
                <w:szCs w:val="20"/>
                <w:color w:val="auto"/>
              </w:rPr>
            </w:pPr>
            <w:r>
              <w:rPr>
                <w:rFonts w:ascii="Arial" w:cs="Arial" w:eastAsia="Arial" w:hAnsi="Arial"/>
                <w:sz w:val="14"/>
                <w:szCs w:val="14"/>
                <w:color w:val="auto"/>
              </w:rPr>
              <w:t>Option shares granted</w:t>
            </w:r>
          </w:p>
        </w:tc>
        <w:tc>
          <w:tcPr>
            <w:tcW w:w="454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25,000</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131"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Our Board of Directors has also determined that Mr. Saxe and Dr. Underdown, who comprise our audit committee, compensation committee, corporate governance and nominating committee, and Dr. Gin, who serves as a member of our audit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16" w:name="page117"/>
    <w:bookmarkEnd w:id="11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May 11, 2016 for:</w:t>
      </w:r>
    </w:p>
    <w:p>
      <w:pPr>
        <w:spacing w:after="0" w:line="201" w:lineRule="exact"/>
        <w:rPr>
          <w:sz w:val="20"/>
          <w:szCs w:val="20"/>
          <w:color w:val="auto"/>
        </w:rPr>
      </w:pPr>
    </w:p>
    <w:p>
      <w:pPr>
        <w:ind w:left="500" w:hanging="495"/>
        <w:spacing w:after="0"/>
        <w:tabs>
          <w:tab w:leader="none" w:pos="500" w:val="left"/>
        </w:tabs>
        <w:numPr>
          <w:ilvl w:val="0"/>
          <w:numId w:val="64"/>
        </w:numPr>
        <w:rPr>
          <w:rFonts w:ascii="Arial" w:cs="Arial" w:eastAsia="Arial" w:hAnsi="Arial"/>
          <w:sz w:val="10"/>
          <w:szCs w:val="10"/>
          <w:color w:val="auto"/>
        </w:rPr>
      </w:pPr>
      <w:r>
        <w:rPr>
          <w:rFonts w:ascii="Arial" w:cs="Arial" w:eastAsia="Arial" w:hAnsi="Arial"/>
          <w:sz w:val="14"/>
          <w:szCs w:val="14"/>
          <w:color w:val="auto"/>
        </w:rPr>
        <w:t>each stockholder known by us to be the beneficial owner of more than 5% of our common stock;</w:t>
      </w:r>
    </w:p>
    <w:p>
      <w:pPr>
        <w:spacing w:after="0" w:line="19" w:lineRule="exact"/>
        <w:rPr>
          <w:rFonts w:ascii="Arial" w:cs="Arial" w:eastAsia="Arial" w:hAnsi="Arial"/>
          <w:sz w:val="10"/>
          <w:szCs w:val="10"/>
          <w:color w:val="auto"/>
        </w:rPr>
      </w:pPr>
    </w:p>
    <w:p>
      <w:pPr>
        <w:ind w:left="500" w:hanging="495"/>
        <w:spacing w:after="0"/>
        <w:tabs>
          <w:tab w:leader="none" w:pos="500" w:val="left"/>
        </w:tabs>
        <w:numPr>
          <w:ilvl w:val="0"/>
          <w:numId w:val="64"/>
        </w:numPr>
        <w:rPr>
          <w:rFonts w:ascii="Arial" w:cs="Arial" w:eastAsia="Arial" w:hAnsi="Arial"/>
          <w:sz w:val="10"/>
          <w:szCs w:val="10"/>
          <w:color w:val="auto"/>
        </w:rPr>
      </w:pPr>
      <w:r>
        <w:rPr>
          <w:rFonts w:ascii="Arial" w:cs="Arial" w:eastAsia="Arial" w:hAnsi="Arial"/>
          <w:sz w:val="14"/>
          <w:szCs w:val="14"/>
          <w:color w:val="auto"/>
        </w:rPr>
        <w:t>each of our directors;</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4"/>
        </w:numPr>
        <w:rPr>
          <w:rFonts w:ascii="Arial" w:cs="Arial" w:eastAsia="Arial" w:hAnsi="Arial"/>
          <w:sz w:val="10"/>
          <w:szCs w:val="10"/>
          <w:color w:val="auto"/>
        </w:rPr>
      </w:pPr>
      <w:r>
        <w:rPr>
          <w:rFonts w:ascii="Arial" w:cs="Arial" w:eastAsia="Arial" w:hAnsi="Arial"/>
          <w:sz w:val="14"/>
          <w:szCs w:val="14"/>
          <w:color w:val="auto"/>
        </w:rPr>
        <w:t>each of our named executive officers; and</w:t>
      </w:r>
    </w:p>
    <w:p>
      <w:pPr>
        <w:spacing w:after="0" w:line="9" w:lineRule="exact"/>
        <w:rPr>
          <w:rFonts w:ascii="Arial" w:cs="Arial" w:eastAsia="Arial" w:hAnsi="Arial"/>
          <w:sz w:val="10"/>
          <w:szCs w:val="10"/>
          <w:color w:val="auto"/>
        </w:rPr>
      </w:pPr>
    </w:p>
    <w:p>
      <w:pPr>
        <w:ind w:left="500" w:hanging="495"/>
        <w:spacing w:after="0"/>
        <w:tabs>
          <w:tab w:leader="none" w:pos="500" w:val="left"/>
        </w:tabs>
        <w:numPr>
          <w:ilvl w:val="0"/>
          <w:numId w:val="64"/>
        </w:numPr>
        <w:rPr>
          <w:rFonts w:ascii="Arial" w:cs="Arial" w:eastAsia="Arial" w:hAnsi="Arial"/>
          <w:sz w:val="10"/>
          <w:szCs w:val="10"/>
          <w:color w:val="auto"/>
        </w:rPr>
      </w:pPr>
      <w:r>
        <w:rPr>
          <w:rFonts w:ascii="Arial" w:cs="Arial" w:eastAsia="Arial" w:hAnsi="Arial"/>
          <w:sz w:val="14"/>
          <w:szCs w:val="14"/>
          <w:color w:val="auto"/>
        </w:rPr>
        <w:t>all of our directors and executive officers as a group.</w:t>
      </w:r>
    </w:p>
    <w:p>
      <w:pPr>
        <w:spacing w:after="0" w:line="19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Applicable percentage ownership is based on 2,525,276 shares of capital stock outstanding at May 11,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May 11,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May 11, 2016. Unless otherwise noted below, the address of each beneficial owner listed in the table is c/o VistaGen Therapeutics, Inc., 343 Allerton Avenue, South San Francisco, California 94080.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w:t>
            </w:r>
          </w:p>
        </w:tc>
      </w:t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of shares</w:t>
            </w:r>
          </w:p>
        </w:tc>
      </w:tr>
      <w:tr>
        <w:trPr>
          <w:trHeight w:val="170"/>
        </w:trPr>
        <w:tc>
          <w:tcPr>
            <w:tcW w:w="818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Number of shares</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r>
      <w:tr>
        <w:trPr>
          <w:trHeight w:val="186"/>
        </w:trPr>
        <w:tc>
          <w:tcPr>
            <w:tcW w:w="818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beneficially owned</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owned (1)</w:t>
            </w: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Executive officers and directors:</w:t>
            </w:r>
          </w:p>
        </w:tc>
        <w:tc>
          <w:tcPr>
            <w:tcW w:w="15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(2)</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589,412</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19.08%</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386,793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13.56%</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(4)</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171,677</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6.37%</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(5)</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97,376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(6)</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91,750</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3.51%</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Jerry B. Gin, Ph.D, MBA </w:t>
            </w:r>
            <w:r>
              <w:rPr>
                <w:rFonts w:ascii="Arial" w:cs="Arial" w:eastAsia="Arial" w:hAnsi="Arial"/>
                <w:sz w:val="19"/>
                <w:szCs w:val="19"/>
                <w:color w:val="auto"/>
                <w:vertAlign w:val="superscript"/>
              </w:rPr>
              <w:t>(7)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6,250</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70"/>
        </w:trPr>
        <w:tc>
          <w:tcPr>
            <w:tcW w:w="8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0"/>
        </w:trPr>
        <w:tc>
          <w:tcPr>
            <w:tcW w:w="8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5% Stockholders:</w:t>
            </w: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Platinum Long Term Growth Fund VII/Montsant Partners, LLC </w:t>
            </w:r>
            <w:r>
              <w:rPr>
                <w:rFonts w:ascii="Arial" w:cs="Arial" w:eastAsia="Arial" w:hAnsi="Arial"/>
                <w:sz w:val="19"/>
                <w:szCs w:val="19"/>
                <w:color w:val="auto"/>
                <w:vertAlign w:val="superscript"/>
              </w:rPr>
              <w:t>(8)</w:t>
            </w:r>
          </w:p>
        </w:tc>
        <w:tc>
          <w:tcPr>
            <w:tcW w:w="1580" w:type="dxa"/>
            <w:vAlign w:val="bottom"/>
          </w:tcPr>
          <w:p>
            <w:pPr>
              <w:jc w:val="right"/>
              <w:spacing w:after="0"/>
              <w:rPr>
                <w:sz w:val="20"/>
                <w:szCs w:val="20"/>
                <w:color w:val="auto"/>
              </w:rPr>
            </w:pPr>
            <w:r>
              <w:rPr>
                <w:rFonts w:ascii="Arial" w:cs="Arial" w:eastAsia="Arial" w:hAnsi="Arial"/>
                <w:sz w:val="14"/>
                <w:szCs w:val="14"/>
                <w:color w:val="auto"/>
              </w:rPr>
              <w:t>4,864,931</w:t>
            </w:r>
          </w:p>
        </w:tc>
        <w:tc>
          <w:tcPr>
            <w:tcW w:w="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66.60%</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Michael Goldberg </w:t>
            </w:r>
            <w:r>
              <w:rPr>
                <w:rFonts w:ascii="Arial" w:cs="Arial" w:eastAsia="Arial" w:hAnsi="Arial"/>
                <w:sz w:val="19"/>
                <w:szCs w:val="19"/>
                <w:color w:val="auto"/>
                <w:vertAlign w:val="superscript"/>
              </w:rPr>
              <w:t>(9)</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437,488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15.74%</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Cato BioVentures </w:t>
            </w:r>
            <w:r>
              <w:rPr>
                <w:rFonts w:ascii="Arial" w:cs="Arial" w:eastAsia="Arial" w:hAnsi="Arial"/>
                <w:sz w:val="19"/>
                <w:szCs w:val="19"/>
                <w:color w:val="auto"/>
                <w:vertAlign w:val="superscript"/>
              </w:rPr>
              <w:t>(10)</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549,008</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19.24%</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Morrison &amp; Foerster LLP </w:t>
            </w:r>
            <w:r>
              <w:rPr>
                <w:rFonts w:ascii="Arial" w:cs="Arial" w:eastAsia="Arial" w:hAnsi="Arial"/>
                <w:sz w:val="19"/>
                <w:szCs w:val="19"/>
                <w:color w:val="auto"/>
                <w:vertAlign w:val="superscript"/>
              </w:rPr>
              <w:t>(11)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377,591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13.05%</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Calm Seas Capital, LLC </w:t>
            </w:r>
            <w:r>
              <w:rPr>
                <w:rFonts w:ascii="Arial" w:cs="Arial" w:eastAsia="Arial" w:hAnsi="Arial"/>
                <w:sz w:val="19"/>
                <w:szCs w:val="19"/>
                <w:color w:val="auto"/>
                <w:vertAlign w:val="superscript"/>
              </w:rPr>
              <w:t>(12)</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161,691</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6.13%</w:t>
            </w:r>
          </w:p>
        </w:tc>
      </w:tr>
      <w:tr>
        <w:trPr>
          <w:trHeight w:val="170"/>
        </w:trPr>
        <w:tc>
          <w:tcPr>
            <w:tcW w:w="81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150,678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5.75%</w:t>
            </w:r>
          </w:p>
        </w:tc>
      </w:tr>
      <w:tr>
        <w:trPr>
          <w:trHeight w:val="170"/>
        </w:trPr>
        <w:tc>
          <w:tcPr>
            <w:tcW w:w="8180" w:type="dxa"/>
            <w:vAlign w:val="bottom"/>
          </w:tcPr>
          <w:p>
            <w:pPr>
              <w:spacing w:after="0" w:line="171" w:lineRule="exact"/>
              <w:rPr>
                <w:sz w:val="20"/>
                <w:szCs w:val="20"/>
                <w:color w:val="auto"/>
              </w:rPr>
            </w:pPr>
            <w:r>
              <w:rPr>
                <w:rFonts w:ascii="Arial" w:cs="Arial" w:eastAsia="Arial" w:hAnsi="Arial"/>
                <w:sz w:val="14"/>
                <w:szCs w:val="14"/>
                <w:color w:val="auto"/>
              </w:rPr>
              <w:t xml:space="preserve">Nexthera Capital Master Fund LP </w:t>
            </w:r>
            <w:r>
              <w:rPr>
                <w:rFonts w:ascii="Arial" w:cs="Arial" w:eastAsia="Arial" w:hAnsi="Arial"/>
                <w:sz w:val="19"/>
                <w:szCs w:val="19"/>
                <w:color w:val="auto"/>
                <w:vertAlign w:val="superscript"/>
              </w:rPr>
              <w:t>(14)</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131,250</w:t>
            </w: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5.05%</w:t>
            </w:r>
          </w:p>
        </w:tc>
      </w:tr>
      <w:tr>
        <w:trPr>
          <w:trHeight w:val="170"/>
        </w:trPr>
        <w:tc>
          <w:tcPr>
            <w:tcW w:w="8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259"/>
        </w:trPr>
        <w:tc>
          <w:tcPr>
            <w:tcW w:w="8180" w:type="dxa"/>
            <w:vAlign w:val="bottom"/>
          </w:tcPr>
          <w:p>
            <w:pPr>
              <w:spacing w:after="0"/>
              <w:rPr>
                <w:sz w:val="20"/>
                <w:szCs w:val="20"/>
                <w:color w:val="auto"/>
              </w:rPr>
            </w:pPr>
            <w:r>
              <w:rPr>
                <w:rFonts w:ascii="Arial" w:cs="Arial" w:eastAsia="Arial" w:hAnsi="Arial"/>
                <w:sz w:val="14"/>
                <w:szCs w:val="14"/>
                <w:color w:val="auto"/>
              </w:rPr>
              <w:t xml:space="preserve">All executive officers and directors as a group (6 persons) </w:t>
            </w:r>
            <w:r>
              <w:rPr>
                <w:rFonts w:ascii="Arial" w:cs="Arial" w:eastAsia="Arial" w:hAnsi="Arial"/>
                <w:sz w:val="19"/>
                <w:szCs w:val="19"/>
                <w:color w:val="auto"/>
                <w:vertAlign w:val="superscript"/>
              </w:rPr>
              <w:t>(15)</w:t>
            </w:r>
          </w:p>
        </w:tc>
        <w:tc>
          <w:tcPr>
            <w:tcW w:w="1580" w:type="dxa"/>
            <w:vAlign w:val="bottom"/>
          </w:tcPr>
          <w:p>
            <w:pPr>
              <w:jc w:val="right"/>
              <w:spacing w:after="0"/>
              <w:rPr>
                <w:sz w:val="20"/>
                <w:szCs w:val="20"/>
                <w:color w:val="auto"/>
              </w:rPr>
            </w:pPr>
            <w:r>
              <w:rPr>
                <w:rFonts w:ascii="Arial" w:cs="Arial" w:eastAsia="Arial" w:hAnsi="Arial"/>
                <w:sz w:val="14"/>
                <w:szCs w:val="14"/>
                <w:color w:val="auto"/>
              </w:rPr>
              <w:t>1,343,258</w:t>
            </w:r>
          </w:p>
        </w:tc>
        <w:tc>
          <w:tcPr>
            <w:tcW w:w="6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35.53%</w:t>
            </w:r>
          </w:p>
        </w:tc>
      </w:tr>
      <w:tr>
        <w:trPr>
          <w:trHeight w:val="262"/>
        </w:trPr>
        <w:tc>
          <w:tcPr>
            <w:tcW w:w="8180" w:type="dxa"/>
            <w:vAlign w:val="bottom"/>
          </w:tcPr>
          <w:p>
            <w:pPr>
              <w:spacing w:after="0"/>
              <w:rPr>
                <w:sz w:val="20"/>
                <w:szCs w:val="20"/>
                <w:color w:val="auto"/>
              </w:rPr>
            </w:pPr>
            <w:r>
              <w:rPr>
                <w:rFonts w:ascii="Arial" w:cs="Arial" w:eastAsia="Arial" w:hAnsi="Arial"/>
                <w:sz w:val="14"/>
                <w:szCs w:val="14"/>
                <w:color w:val="auto"/>
              </w:rPr>
              <w:t>____________</w:t>
            </w: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80"/>
        </w:trPr>
        <w:tc>
          <w:tcPr>
            <w:tcW w:w="8180" w:type="dxa"/>
            <w:vAlign w:val="bottom"/>
          </w:tcPr>
          <w:p>
            <w:pPr>
              <w:spacing w:after="0"/>
              <w:rPr>
                <w:sz w:val="20"/>
                <w:szCs w:val="20"/>
                <w:color w:val="auto"/>
              </w:rPr>
            </w:pPr>
            <w:r>
              <w:rPr>
                <w:rFonts w:ascii="Arial" w:cs="Arial" w:eastAsia="Arial" w:hAnsi="Arial"/>
                <w:sz w:val="14"/>
                <w:szCs w:val="14"/>
                <w:color w:val="auto"/>
              </w:rPr>
              <w:t>*  less than 1%</w:t>
            </w: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182" w:lineRule="exact"/>
        <w:rPr>
          <w:sz w:val="20"/>
          <w:szCs w:val="20"/>
          <w:color w:val="auto"/>
        </w:rPr>
      </w:pPr>
    </w:p>
    <w:p>
      <w:pPr>
        <w:ind w:left="380" w:hanging="375"/>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2,525,276 shares of common stock issued and outstanding as of May 11, 2016.</w:t>
      </w:r>
    </w:p>
    <w:p>
      <w:pPr>
        <w:spacing w:after="0" w:line="179" w:lineRule="exact"/>
        <w:rPr>
          <w:rFonts w:ascii="Arial" w:cs="Arial" w:eastAsia="Arial" w:hAnsi="Arial"/>
          <w:sz w:val="14"/>
          <w:szCs w:val="14"/>
          <w:color w:val="auto"/>
        </w:rPr>
      </w:pPr>
    </w:p>
    <w:p>
      <w:pPr>
        <w:ind w:left="380" w:right="580" w:hanging="375"/>
        <w:spacing w:after="0" w:line="283"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options to purchase 85,375 registered shares of common stock exercisable within 60 days of May 11, 2016 and warrants to purchase 477,803 restricted shares of common stock exercisable within 60 days of May 11, 2016.</w:t>
      </w:r>
    </w:p>
    <w:p>
      <w:pPr>
        <w:spacing w:after="0" w:line="131" w:lineRule="exact"/>
        <w:rPr>
          <w:rFonts w:ascii="Arial" w:cs="Arial" w:eastAsia="Arial" w:hAnsi="Arial"/>
          <w:sz w:val="14"/>
          <w:szCs w:val="14"/>
          <w:color w:val="auto"/>
        </w:rPr>
      </w:pPr>
    </w:p>
    <w:p>
      <w:pPr>
        <w:ind w:left="380" w:right="580" w:hanging="375"/>
        <w:spacing w:after="0" w:line="283"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options to purchase 16,569 registered shares of common stock exercisable within 60 days of May 11, 2016 and warrants to purchase 310,000 restricted shares of common stock exercisable within 60 days of May 11, 2016.</w:t>
      </w:r>
    </w:p>
    <w:p>
      <w:pPr>
        <w:spacing w:after="0" w:line="131" w:lineRule="exact"/>
        <w:rPr>
          <w:rFonts w:ascii="Arial" w:cs="Arial" w:eastAsia="Arial" w:hAnsi="Arial"/>
          <w:sz w:val="14"/>
          <w:szCs w:val="14"/>
          <w:color w:val="auto"/>
        </w:rPr>
      </w:pPr>
    </w:p>
    <w:p>
      <w:pPr>
        <w:ind w:left="380" w:right="480" w:hanging="375"/>
        <w:spacing w:after="0" w:line="283"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options to purchase 6,677 registered shares of common stock exercisable within 60 days of May 11, 2016, including options to purchase 676 shares of common stock held by Mr. Dotson’s wife, and warrants to purchase 165,000 restricted shares of common stock exercisable within 60 days of May 11, 2016.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7" w:name="page118"/>
    <w:bookmarkEnd w:id="11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380" w:right="6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12,250 registered shares of common stock exercisable within 60 days of May 11, 2016 and warrants to purchase 83,250 restricted shares of common stock exercisable within 60 days of May 11, 2016.</w:t>
      </w:r>
    </w:p>
    <w:p>
      <w:pPr>
        <w:spacing w:after="0" w:line="131" w:lineRule="exact"/>
        <w:rPr>
          <w:rFonts w:ascii="Arial" w:cs="Arial" w:eastAsia="Arial" w:hAnsi="Arial"/>
          <w:sz w:val="14"/>
          <w:szCs w:val="14"/>
          <w:color w:val="auto"/>
        </w:rPr>
      </w:pPr>
    </w:p>
    <w:p>
      <w:pPr>
        <w:ind w:left="380" w:right="40" w:hanging="375"/>
        <w:spacing w:after="0" w:line="283"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9,250 registered shares of common stock exercisable within 60 days of May 11, 2016 and warrants to purchase 82,500 restricted shares of common stock exercisable within 60 days of May 11, 2016.</w:t>
      </w:r>
    </w:p>
    <w:p>
      <w:pPr>
        <w:spacing w:after="0" w:line="131" w:lineRule="exact"/>
        <w:rPr>
          <w:rFonts w:ascii="Arial" w:cs="Arial" w:eastAsia="Arial" w:hAnsi="Arial"/>
          <w:sz w:val="14"/>
          <w:szCs w:val="14"/>
          <w:color w:val="auto"/>
        </w:rPr>
      </w:pPr>
    </w:p>
    <w:p>
      <w:pPr>
        <w:ind w:left="380" w:hanging="375"/>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6,250 registered shares of common stock exercisable within 60 days of May 11, 2016.</w:t>
      </w:r>
    </w:p>
    <w:p>
      <w:pPr>
        <w:spacing w:after="0" w:line="201" w:lineRule="exact"/>
        <w:rPr>
          <w:rFonts w:ascii="Arial" w:cs="Arial" w:eastAsia="Arial" w:hAnsi="Arial"/>
          <w:sz w:val="14"/>
          <w:szCs w:val="14"/>
          <w:color w:val="auto"/>
        </w:rPr>
      </w:pPr>
    </w:p>
    <w:p>
      <w:pPr>
        <w:ind w:left="380" w:right="180" w:hanging="375"/>
        <w:spacing w:after="0" w:line="268" w:lineRule="auto"/>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upon information contained in Schedule 13G/A filed on February 18, 2015 by Platinum Long Term Growth Fund VII (</w:t>
      </w:r>
      <w:r>
        <w:rPr>
          <w:rFonts w:ascii="Arial" w:cs="Arial" w:eastAsia="Arial" w:hAnsi="Arial"/>
          <w:sz w:val="14"/>
          <w:szCs w:val="14"/>
          <w:i w:val="1"/>
          <w:iCs w:val="1"/>
          <w:color w:val="auto"/>
        </w:rPr>
        <w:t>Platinum</w:t>
      </w:r>
      <w:r>
        <w:rPr>
          <w:rFonts w:ascii="Arial" w:cs="Arial" w:eastAsia="Arial" w:hAnsi="Arial"/>
          <w:sz w:val="14"/>
          <w:szCs w:val="14"/>
          <w:color w:val="auto"/>
        </w:rPr>
        <w:t>) and adjusted to give effect to the transactions consummated between Platinum, Montsant Partners, LLC (</w:t>
      </w:r>
      <w:r>
        <w:rPr>
          <w:rFonts w:ascii="Arial" w:cs="Arial" w:eastAsia="Arial" w:hAnsi="Arial"/>
          <w:sz w:val="14"/>
          <w:szCs w:val="14"/>
          <w:i w:val="1"/>
          <w:iCs w:val="1"/>
          <w:color w:val="auto"/>
        </w:rPr>
        <w:t>Montsant</w:t>
      </w:r>
      <w:r>
        <w:rPr>
          <w:rFonts w:ascii="Arial" w:cs="Arial" w:eastAsia="Arial" w:hAnsi="Arial"/>
          <w:sz w:val="14"/>
          <w:szCs w:val="14"/>
          <w:color w:val="auto"/>
        </w:rPr>
        <w:t>), a Platinum affiliate, and Platinum Partners Value Arbitrage Fund, L.P. (</w:t>
      </w:r>
      <w:r>
        <w:rPr>
          <w:rFonts w:ascii="Arial" w:cs="Arial" w:eastAsia="Arial" w:hAnsi="Arial"/>
          <w:sz w:val="14"/>
          <w:szCs w:val="14"/>
          <w:i w:val="1"/>
          <w:iCs w:val="1"/>
          <w:color w:val="auto"/>
        </w:rPr>
        <w:t>PPVA</w:t>
      </w:r>
      <w:r>
        <w:rPr>
          <w:rFonts w:ascii="Arial" w:cs="Arial" w:eastAsia="Arial" w:hAnsi="Arial"/>
          <w:sz w:val="14"/>
          <w:szCs w:val="14"/>
          <w:color w:val="auto"/>
        </w:rPr>
        <w:t>), another Platinum affiliate, and us through May 11, 2016.</w:t>
      </w:r>
    </w:p>
    <w:p>
      <w:pPr>
        <w:spacing w:after="0" w:line="142" w:lineRule="exact"/>
        <w:rPr>
          <w:rFonts w:ascii="Arial" w:cs="Arial" w:eastAsia="Arial" w:hAnsi="Arial"/>
          <w:sz w:val="14"/>
          <w:szCs w:val="14"/>
          <w:color w:val="auto"/>
        </w:rPr>
      </w:pPr>
    </w:p>
    <w:p>
      <w:pPr>
        <w:ind w:left="380" w:right="60"/>
        <w:spacing w:after="0" w:line="285" w:lineRule="auto"/>
        <w:rPr>
          <w:rFonts w:ascii="Arial" w:cs="Arial" w:eastAsia="Arial" w:hAnsi="Arial"/>
          <w:sz w:val="14"/>
          <w:szCs w:val="14"/>
          <w:color w:val="auto"/>
        </w:rPr>
      </w:pPr>
      <w:r>
        <w:rPr>
          <w:rFonts w:ascii="Arial" w:cs="Arial" w:eastAsia="Arial" w:hAnsi="Arial"/>
          <w:sz w:val="13"/>
          <w:szCs w:val="13"/>
          <w:color w:val="auto"/>
        </w:rPr>
        <w:t>The number of beneficially owned shares reported includes 637,500 restricted shares of common stock that may currently be acquired by Montsant upon exchange of 425,000 restricted shares of our Series A Preferred Stock (</w:t>
      </w:r>
      <w:r>
        <w:rPr>
          <w:rFonts w:ascii="Arial" w:cs="Arial" w:eastAsia="Arial" w:hAnsi="Arial"/>
          <w:sz w:val="13"/>
          <w:szCs w:val="13"/>
          <w:i w:val="1"/>
          <w:iCs w:val="1"/>
          <w:color w:val="auto"/>
        </w:rPr>
        <w:t>Series A Preferred</w:t>
      </w:r>
      <w:r>
        <w:rPr>
          <w:rFonts w:ascii="Arial" w:cs="Arial" w:eastAsia="Arial" w:hAnsi="Arial"/>
          <w:sz w:val="13"/>
          <w:szCs w:val="13"/>
          <w:color w:val="auto"/>
        </w:rPr>
        <w:t>). Pursuant to the October 11, 2012 Note Exchange and Purchase Agreement by and between us and Platinum, there is, however,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34" w:lineRule="exact"/>
        <w:rPr>
          <w:rFonts w:ascii="Arial" w:cs="Arial" w:eastAsia="Arial" w:hAnsi="Arial"/>
          <w:sz w:val="14"/>
          <w:szCs w:val="14"/>
          <w:color w:val="auto"/>
        </w:rPr>
      </w:pPr>
    </w:p>
    <w:p>
      <w:pPr>
        <w:ind w:left="380" w:right="40"/>
        <w:spacing w:after="0" w:line="259" w:lineRule="auto"/>
        <w:rPr>
          <w:rFonts w:ascii="Arial" w:cs="Arial" w:eastAsia="Arial" w:hAnsi="Arial"/>
          <w:sz w:val="14"/>
          <w:szCs w:val="14"/>
          <w:color w:val="auto"/>
        </w:rPr>
      </w:pPr>
      <w:r>
        <w:rPr>
          <w:rFonts w:ascii="Arial" w:cs="Arial" w:eastAsia="Arial" w:hAnsi="Arial"/>
          <w:sz w:val="14"/>
          <w:szCs w:val="14"/>
          <w:color w:val="auto"/>
        </w:rPr>
        <w:t>Further, the reported number of shares beneficially owned by Montsant also includes 1,823,669 shares of common stock pursuant to its ownership of 1,823,669 shares of our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50" w:lineRule="exact"/>
        <w:rPr>
          <w:rFonts w:ascii="Arial" w:cs="Arial" w:eastAsia="Arial" w:hAnsi="Arial"/>
          <w:sz w:val="14"/>
          <w:szCs w:val="14"/>
          <w:color w:val="auto"/>
        </w:rPr>
      </w:pPr>
    </w:p>
    <w:p>
      <w:pPr>
        <w:ind w:left="380"/>
        <w:spacing w:after="0" w:line="314" w:lineRule="auto"/>
        <w:rPr>
          <w:rFonts w:ascii="Arial" w:cs="Arial" w:eastAsia="Arial" w:hAnsi="Arial"/>
          <w:sz w:val="14"/>
          <w:szCs w:val="14"/>
          <w:color w:val="auto"/>
        </w:rPr>
      </w:pPr>
      <w:r>
        <w:rPr>
          <w:rFonts w:ascii="Arial" w:cs="Arial" w:eastAsia="Arial" w:hAnsi="Arial"/>
          <w:sz w:val="12"/>
          <w:szCs w:val="12"/>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2"/>
          <w:szCs w:val="12"/>
          <w:i w:val="1"/>
          <w:iCs w:val="1"/>
          <w:color w:val="auto"/>
        </w:rPr>
        <w:t>Series C Preferred</w:t>
      </w:r>
      <w:r>
        <w:rPr>
          <w:rFonts w:ascii="Arial" w:cs="Arial" w:eastAsia="Arial" w:hAnsi="Arial"/>
          <w:sz w:val="12"/>
          <w:szCs w:val="12"/>
          <w:color w:val="auto"/>
        </w:rPr>
        <w:t>), immediately convertible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19" w:lineRule="exact"/>
        <w:rPr>
          <w:rFonts w:ascii="Arial" w:cs="Arial" w:eastAsia="Arial" w:hAnsi="Arial"/>
          <w:sz w:val="14"/>
          <w:szCs w:val="14"/>
          <w:color w:val="auto"/>
        </w:rPr>
      </w:pPr>
    </w:p>
    <w:p>
      <w:pPr>
        <w:ind w:left="380" w:right="120"/>
        <w:spacing w:after="0" w:line="268" w:lineRule="auto"/>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Platinum, Montsant and PPVA beneficially own 85,750 shares or 3.40% of our common stock. The primary business address of Platinum Long Term Growth Fund VII and Montsant Partners, LLC is c/o Platinum Partners, 250 West 55th Street, 14th Floor, New York, New York 10019. Mark Nordlicht has voting and investment control over the shares held by Platinum, Montsant and PPVA.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8" w:name="page119"/>
    <w:bookmarkEnd w:id="11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00" w:right="300" w:hanging="395"/>
        <w:spacing w:after="0" w:line="283" w:lineRule="auto"/>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Platinum has transferred to Michael Goldberg (</w:t>
      </w:r>
      <w:r>
        <w:rPr>
          <w:rFonts w:ascii="Arial" w:cs="Arial" w:eastAsia="Arial" w:hAnsi="Arial"/>
          <w:sz w:val="14"/>
          <w:szCs w:val="14"/>
          <w:i w:val="1"/>
          <w:iCs w:val="1"/>
          <w:color w:val="auto"/>
        </w:rPr>
        <w:t>Goldberg</w:t>
      </w:r>
      <w:r>
        <w:rPr>
          <w:rFonts w:ascii="Arial" w:cs="Arial" w:eastAsia="Arial" w:hAnsi="Arial"/>
          <w:sz w:val="14"/>
          <w:szCs w:val="14"/>
          <w:color w:val="auto"/>
        </w:rPr>
        <w:t>) certain of the equity securities initially issued by us to Platinum. The conversion or exercise restrictions in those securities initially applicable to Platinum remain applicable to Goldberg.</w:t>
      </w:r>
    </w:p>
    <w:p>
      <w:pPr>
        <w:spacing w:after="0" w:line="131" w:lineRule="exact"/>
        <w:rPr>
          <w:rFonts w:ascii="Arial" w:cs="Arial" w:eastAsia="Arial" w:hAnsi="Arial"/>
          <w:sz w:val="14"/>
          <w:szCs w:val="14"/>
          <w:color w:val="auto"/>
        </w:rPr>
      </w:pPr>
    </w:p>
    <w:p>
      <w:pPr>
        <w:ind w:left="400" w:right="220"/>
        <w:spacing w:after="0" w:line="261" w:lineRule="auto"/>
        <w:rPr>
          <w:rFonts w:ascii="Arial" w:cs="Arial" w:eastAsia="Arial" w:hAnsi="Arial"/>
          <w:sz w:val="14"/>
          <w:szCs w:val="14"/>
          <w:color w:val="auto"/>
        </w:rPr>
      </w:pPr>
      <w:r>
        <w:rPr>
          <w:rFonts w:ascii="Arial" w:cs="Arial" w:eastAsia="Arial" w:hAnsi="Arial"/>
          <w:sz w:val="14"/>
          <w:szCs w:val="14"/>
          <w:color w:val="auto"/>
        </w:rPr>
        <w:t>The number of shares reported as beneficially owned by Goldberg includes 112,500 restricted shares of common stock that may currently be acquired by Goldberg upon exchange of 75,000 restricted shares of our Series A Preferred. Pursuant to the October 11, 2012 Note Exchange and Purchase Agreement by and between us and Platinum, there is, however,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46" w:lineRule="exact"/>
        <w:rPr>
          <w:rFonts w:ascii="Arial" w:cs="Arial" w:eastAsia="Arial" w:hAnsi="Arial"/>
          <w:sz w:val="14"/>
          <w:szCs w:val="14"/>
          <w:color w:val="auto"/>
        </w:rPr>
      </w:pPr>
    </w:p>
    <w:p>
      <w:pPr>
        <w:ind w:left="400" w:right="40"/>
        <w:spacing w:after="0" w:line="285" w:lineRule="auto"/>
        <w:rPr>
          <w:rFonts w:ascii="Arial" w:cs="Arial" w:eastAsia="Arial" w:hAnsi="Arial"/>
          <w:sz w:val="14"/>
          <w:szCs w:val="14"/>
          <w:color w:val="auto"/>
        </w:rPr>
      </w:pPr>
      <w:r>
        <w:rPr>
          <w:rFonts w:ascii="Arial" w:cs="Arial" w:eastAsia="Arial" w:hAnsi="Arial"/>
          <w:sz w:val="13"/>
          <w:szCs w:val="13"/>
          <w:color w:val="auto"/>
        </w:rPr>
        <w:t>Further, the reported number of shares beneficially owned by Goldberg also includes 142,527 shares of common stock pursuant to his ownership of 142,527 shares of our Series B Preferred, immediately convertible into a like number of shares of our registered common stock. Pursuant to the terms of the Certificate of Designation of the Relative Rights and Preferences of the Series B 10% Convertible Preferred Stock, there is, however, a limitation on conversion of the Series B Preferred such that the number of shares of common stock that Goldberg may beneficially acquire upon such conversion is limited to the extent necessary to ensure that, following such conversion, the total number of shares of common stock then beneficially owned by Goldberg does not exceed 9.99% of the total number of then issued and outstanding shares of our common stock without providing us with 61 days’ prior notice thereof.</w:t>
      </w:r>
    </w:p>
    <w:p>
      <w:pPr>
        <w:spacing w:after="0" w:line="134"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Goldberg beneficially owns 182,461 shares or 7.23% of our common stock.</w:t>
      </w:r>
    </w:p>
    <w:p>
      <w:pPr>
        <w:spacing w:after="0" w:line="179" w:lineRule="exact"/>
        <w:rPr>
          <w:rFonts w:ascii="Arial" w:cs="Arial" w:eastAsia="Arial" w:hAnsi="Arial"/>
          <w:sz w:val="14"/>
          <w:szCs w:val="14"/>
          <w:color w:val="auto"/>
        </w:rPr>
      </w:pPr>
    </w:p>
    <w:p>
      <w:pPr>
        <w:ind w:left="400" w:hanging="395"/>
        <w:spacing w:after="0" w:line="280" w:lineRule="auto"/>
        <w:tabs>
          <w:tab w:leader="none" w:pos="4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Based upon information contained in Form 4 filed on January 9, 2012, as updated to give effect to transactions through May 11, 2016 as recorded on our books. The reported number of shares beneficially owned by Cato Holding Company, dba Cato BioVentures, includes 328,571 restricted shares of our Series B Preferred stock currently exchangeable for 328,571 registered shares of our common stock. Pursuant to the terms of the Certificate of Designation of the Relative Rights and Preferences of the Series B 10% Convertible Preferred Stock, however,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Excluding the shares subject to the beneficial ownership restrictions noted above, Cato beneficially owns 220,437 shares or 8.73% of our common stock. Lynda Sutton has voting and investment authority over the shares held by Cato Holding Company. The primary business address of Cato BioVentures is 4364 South Alston Avenue, Durham, North Carolina 27713.</w:t>
      </w:r>
    </w:p>
    <w:p>
      <w:pPr>
        <w:spacing w:after="0" w:line="138" w:lineRule="exact"/>
        <w:rPr>
          <w:rFonts w:ascii="Arial" w:cs="Arial" w:eastAsia="Arial" w:hAnsi="Arial"/>
          <w:sz w:val="13"/>
          <w:szCs w:val="13"/>
          <w:color w:val="auto"/>
        </w:rPr>
      </w:pPr>
    </w:p>
    <w:p>
      <w:pPr>
        <w:ind w:left="400" w:right="20" w:hanging="395"/>
        <w:spacing w:after="0" w:line="258" w:lineRule="auto"/>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currently exercisable warrants to purchase 110,448 restricted shares of common stock and 257,143 restricted shares of our Series B Preferred stock currently exchangeable for 257,143 registered shares of our common stock. Pursuant to the terms of the Certificate of Designation of Rights and Preferences of the Series B Preferred, however,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151" w:lineRule="exact"/>
        <w:rPr>
          <w:rFonts w:ascii="Arial" w:cs="Arial" w:eastAsia="Arial" w:hAnsi="Arial"/>
          <w:sz w:val="14"/>
          <w:szCs w:val="14"/>
          <w:color w:val="auto"/>
        </w:rPr>
      </w:pPr>
    </w:p>
    <w:p>
      <w:pPr>
        <w:ind w:left="400" w:hanging="395"/>
        <w:spacing w:after="0" w:line="323" w:lineRule="auto"/>
        <w:tabs>
          <w:tab w:leader="none" w:pos="4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114,286 restricted shares of our Series B Preferred currently exchangeable for 114,286 registered shares of our common stock. The primary business address of Calm Seas Capital, LLC is 4650 Wedekind Road, Suite 2, Sparks, Nevada 89431. Michael McCarthy has voting and investment authority over the shares held by Calm Seas Capital, LLC.</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19" w:name="page120"/>
    <w:bookmarkEnd w:id="11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left="380" w:right="20" w:hanging="375"/>
        <w:spacing w:after="0" w:line="323" w:lineRule="auto"/>
        <w:tabs>
          <w:tab w:leader="none" w:pos="3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93,775 restricted shares of our Series B Preferred currently exchangeable for 93,775 registered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08" w:lineRule="exact"/>
        <w:rPr>
          <w:rFonts w:ascii="Arial" w:cs="Arial" w:eastAsia="Arial" w:hAnsi="Arial"/>
          <w:sz w:val="13"/>
          <w:szCs w:val="13"/>
          <w:color w:val="auto"/>
        </w:rPr>
      </w:pPr>
    </w:p>
    <w:p>
      <w:pPr>
        <w:ind w:left="380" w:right="100" w:hanging="375"/>
        <w:spacing w:after="0" w:line="311" w:lineRule="auto"/>
        <w:tabs>
          <w:tab w:leader="none" w:pos="3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Includes 75,000 restricted shares of our Series B Preferred stock currently exchangeable for 75,000 restricted shares of our common stock. Pursuant to the terms of the Certificate of Designation of Rights and Preferences of the Series B Preferred there is, however, a limitation on conversion of the Series B Preferred such that the number of shares of common stock that Nexthera Capital may beneficially acquire upon such conversion is limited to the extent necessary to ensure that, following such conversion, the total number of shares of common stock then beneficially owned by Nexthera Capital does not exceed 9.99% of the total number of issued and outstanding shares of our common stock without providing us with 61 days’ prior notice thereof. Excluding the shares subject to the beneficial ownership restrictions noted above, Nexthera Capital beneficially owns 56,250 shares or 2.23% of our common stock. The primary business address of Nexthera Capital Master Fund LP is 900 Third Avenue, Suite 201.1, New York, NY 10022. Daniel Malek has voting and investment authority over the shares held by Nexthera Capital.</w:t>
      </w:r>
    </w:p>
    <w:p>
      <w:pPr>
        <w:spacing w:after="0" w:line="119" w:lineRule="exact"/>
        <w:rPr>
          <w:rFonts w:ascii="Arial" w:cs="Arial" w:eastAsia="Arial" w:hAnsi="Arial"/>
          <w:sz w:val="12"/>
          <w:szCs w:val="12"/>
          <w:color w:val="auto"/>
        </w:rPr>
      </w:pPr>
    </w:p>
    <w:p>
      <w:pPr>
        <w:ind w:left="380" w:right="560" w:hanging="375"/>
        <w:spacing w:after="0" w:line="283" w:lineRule="auto"/>
        <w:tabs>
          <w:tab w:leader="none" w:pos="3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options to purchase an aggregate of 136,371 registered shares of common stock exercisable within 60 days of May 11, 2016 and warrants to purchase an aggregate of 1,118,553 restricted shares of common stock exercisable within 60 days of May 11, 2016.</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Grants</w:t>
      </w:r>
    </w:p>
    <w:p>
      <w:pPr>
        <w:spacing w:after="0" w:line="180" w:lineRule="exact"/>
        <w:rPr>
          <w:sz w:val="20"/>
          <w:szCs w:val="20"/>
          <w:color w:val="auto"/>
        </w:rPr>
      </w:pPr>
    </w:p>
    <w:p>
      <w:pPr>
        <w:ind w:right="100"/>
        <w:spacing w:after="0" w:line="333" w:lineRule="auto"/>
        <w:rPr>
          <w:sz w:val="20"/>
          <w:szCs w:val="20"/>
          <w:color w:val="auto"/>
        </w:rPr>
      </w:pPr>
      <w:r>
        <w:rPr>
          <w:rFonts w:ascii="Arial" w:cs="Arial" w:eastAsia="Arial" w:hAnsi="Arial"/>
          <w:sz w:val="12"/>
          <w:szCs w:val="12"/>
          <w:color w:val="auto"/>
        </w:rPr>
        <w:t>As of March 31, 2016, options to purchase a total of 336,987 restricted shares of our common stock were outstanding at a weighted average exercise price of $9.56 per share, of which 201,779 options were vested and exercisable at a weighted average exercise price of $10.11 per share and 135,208 were unvested and not exercisable at a weighted average exercise price of $8.74 per share. These options were issued under our 2008 Plan and our 1999 Plan, each as described below. At March 31, 2016, an additional 660,242 shares remained available for future equity grants under our 2008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available for</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future issuance</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 equity</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to be issued upon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of</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plans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 price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(excluding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options,</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options, warrants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reflected in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column (a))</w:t>
            </w:r>
          </w:p>
        </w:tc>
      </w:tr>
      <w:tr>
        <w:trPr>
          <w:trHeight w:val="186"/>
        </w:trPr>
        <w:tc>
          <w:tcPr>
            <w:tcW w:w="45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6"/>
                <w:szCs w:val="16"/>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43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324,758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660,242</w:t>
            </w:r>
          </w:p>
        </w:tc>
      </w:tr>
      <w:tr>
        <w:trPr>
          <w:trHeight w:val="170"/>
        </w:trPr>
        <w:tc>
          <w:tcPr>
            <w:tcW w:w="452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9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12,229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11.64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4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w:t>
            </w:r>
          </w:p>
        </w:tc>
        <w:tc>
          <w:tcPr>
            <w:tcW w:w="2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336,987</w:t>
            </w: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51" w:lineRule="exact"/>
              <w:rPr>
                <w:sz w:val="20"/>
                <w:szCs w:val="20"/>
                <w:color w:val="auto"/>
              </w:rPr>
            </w:pPr>
            <w:r>
              <w:rPr>
                <w:rFonts w:ascii="Arial" w:cs="Arial" w:eastAsia="Arial" w:hAnsi="Arial"/>
                <w:sz w:val="14"/>
                <w:szCs w:val="14"/>
                <w:color w:val="auto"/>
              </w:rPr>
              <w:t>9.56</w:t>
            </w:r>
          </w:p>
        </w:tc>
        <w:tc>
          <w:tcPr>
            <w:tcW w:w="12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660,242</w:t>
            </w:r>
          </w:p>
        </w:tc>
      </w:tr>
      <w:tr>
        <w:trPr>
          <w:trHeight w:val="440"/>
        </w:trPr>
        <w:tc>
          <w:tcPr>
            <w:tcW w:w="452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jc w:val="right"/>
              <w:ind w:right="1509"/>
              <w:spacing w:after="0"/>
              <w:rPr>
                <w:sz w:val="20"/>
                <w:szCs w:val="20"/>
                <w:color w:val="auto"/>
              </w:rPr>
            </w:pPr>
            <w:r>
              <w:rPr>
                <w:rFonts w:ascii="Arial" w:cs="Arial" w:eastAsia="Arial" w:hAnsi="Arial"/>
                <w:sz w:val="14"/>
                <w:szCs w:val="14"/>
                <w:color w:val="auto"/>
              </w:rPr>
              <w:t>-118-</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52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0" w:name="page121"/>
    <w:bookmarkEnd w:id="12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Stockholders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4"/>
          <w:szCs w:val="14"/>
          <w:i w:val="1"/>
          <w:iCs w:val="1"/>
          <w:color w:val="auto"/>
        </w:rPr>
        <w:t>Code</w:t>
      </w:r>
      <w:r>
        <w:rPr>
          <w:rFonts w:ascii="Arial" w:cs="Arial" w:eastAsia="Arial" w:hAnsi="Arial"/>
          <w:sz w:val="14"/>
          <w:szCs w:val="14"/>
          <w:color w:val="auto"/>
        </w:rPr>
        <w:t>), is 1.0 million.</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3"/>
          <w:szCs w:val="13"/>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6"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03" w:lineRule="exact"/>
        <w:rPr>
          <w:sz w:val="20"/>
          <w:szCs w:val="20"/>
          <w:color w:val="auto"/>
        </w:rPr>
      </w:pPr>
    </w:p>
    <w:p>
      <w:pPr>
        <w:ind w:left="480" w:hanging="475"/>
        <w:spacing w:after="0"/>
        <w:tabs>
          <w:tab w:leader="none" w:pos="480" w:val="left"/>
        </w:tabs>
        <w:numPr>
          <w:ilvl w:val="0"/>
          <w:numId w:val="69"/>
        </w:numPr>
        <w:rPr>
          <w:rFonts w:ascii="Arial" w:cs="Arial" w:eastAsia="Arial" w:hAnsi="Arial"/>
          <w:sz w:val="20"/>
          <w:szCs w:val="20"/>
          <w:color w:val="auto"/>
          <w:vertAlign w:val="superscript"/>
        </w:rPr>
      </w:pPr>
      <w:r>
        <w:rPr>
          <w:rFonts w:ascii="Arial" w:cs="Arial" w:eastAsia="Arial" w:hAnsi="Arial"/>
          <w:sz w:val="14"/>
          <w:szCs w:val="14"/>
          <w:color w:val="auto"/>
        </w:rPr>
        <w:t>by will and by the laws of descent and distribution; and</w:t>
      </w:r>
    </w:p>
    <w:p>
      <w:pPr>
        <w:spacing w:after="0" w:line="181" w:lineRule="exact"/>
        <w:rPr>
          <w:rFonts w:ascii="Arial" w:cs="Arial" w:eastAsia="Arial" w:hAnsi="Arial"/>
          <w:sz w:val="20"/>
          <w:szCs w:val="20"/>
          <w:color w:val="auto"/>
          <w:vertAlign w:val="superscript"/>
        </w:rPr>
      </w:pPr>
    </w:p>
    <w:p>
      <w:pPr>
        <w:ind w:left="480" w:right="60" w:hanging="475"/>
        <w:spacing w:after="0" w:line="215" w:lineRule="auto"/>
        <w:tabs>
          <w:tab w:leader="none" w:pos="480" w:val="left"/>
        </w:tabs>
        <w:numPr>
          <w:ilvl w:val="0"/>
          <w:numId w:val="69"/>
        </w:numPr>
        <w:rPr>
          <w:rFonts w:ascii="Arial" w:cs="Arial" w:eastAsia="Arial" w:hAnsi="Arial"/>
          <w:sz w:val="20"/>
          <w:szCs w:val="20"/>
          <w:color w:val="auto"/>
          <w:vertAlign w:val="superscript"/>
        </w:rPr>
      </w:pPr>
      <w:r>
        <w:rPr>
          <w:rFonts w:ascii="Arial" w:cs="Arial" w:eastAsia="Arial" w:hAnsi="Arial"/>
          <w:sz w:val="14"/>
          <w:szCs w:val="14"/>
          <w:color w:val="auto"/>
        </w:rPr>
        <w:t>during the lifetime of the participant, to the extent and in the manner authorized by the Administrator by gift or pursuant to a domestic relations order to members of the participant’s immediate family.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1" w:name="page122"/>
    <w:bookmarkEnd w:id="12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termination of a participant’s service for any reason other than disability or death, such participant may, but only during the period specified in the award agreement of not less than</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Administrator).</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14" w:lineRule="exact"/>
        <w:rPr>
          <w:sz w:val="20"/>
          <w:szCs w:val="20"/>
          <w:color w:val="auto"/>
        </w:rPr>
      </w:pPr>
    </w:p>
    <w:p>
      <w:pPr>
        <w:ind w:left="500" w:hanging="495"/>
        <w:spacing w:after="0"/>
        <w:tabs>
          <w:tab w:leader="none" w:pos="500" w:val="left"/>
        </w:tabs>
        <w:numPr>
          <w:ilvl w:val="0"/>
          <w:numId w:val="70"/>
        </w:numPr>
        <w:rPr>
          <w:rFonts w:ascii="Arial" w:cs="Arial" w:eastAsia="Arial" w:hAnsi="Arial"/>
          <w:sz w:val="20"/>
          <w:szCs w:val="20"/>
          <w:color w:val="auto"/>
          <w:vertAlign w:val="superscript"/>
        </w:rPr>
      </w:pPr>
      <w:r>
        <w:rPr>
          <w:rFonts w:ascii="Arial" w:cs="Arial" w:eastAsia="Arial" w:hAnsi="Arial"/>
          <w:sz w:val="14"/>
          <w:szCs w:val="14"/>
          <w:color w:val="auto"/>
        </w:rPr>
        <w:t>increase in share price;</w:t>
      </w:r>
    </w:p>
    <w:p>
      <w:pPr>
        <w:spacing w:after="0" w:line="1" w:lineRule="exact"/>
        <w:rPr>
          <w:rFonts w:ascii="Arial" w:cs="Arial" w:eastAsia="Arial" w:hAnsi="Arial"/>
          <w:sz w:val="20"/>
          <w:szCs w:val="20"/>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earnings per share;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total stockholder return;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operating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gross margin;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return on equity;</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return on assets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return on investment;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net operating income;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pre-tax profit;</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cash flow;</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revenue;</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expenses;</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earnings before interest, taxes and depreciation;</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economic value added; and</w:t>
      </w:r>
    </w:p>
    <w:p>
      <w:pPr>
        <w:spacing w:after="0" w:line="1" w:lineRule="exact"/>
        <w:rPr>
          <w:rFonts w:ascii="Arial" w:cs="Arial" w:eastAsia="Arial" w:hAnsi="Arial"/>
          <w:sz w:val="19"/>
          <w:szCs w:val="19"/>
          <w:color w:val="auto"/>
          <w:vertAlign w:val="superscript"/>
        </w:rPr>
      </w:pPr>
    </w:p>
    <w:p>
      <w:pPr>
        <w:ind w:left="500" w:hanging="495"/>
        <w:spacing w:after="0" w:line="185" w:lineRule="auto"/>
        <w:tabs>
          <w:tab w:leader="none" w:pos="5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market share.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2" w:name="page123"/>
    <w:bookmarkEnd w:id="12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Under our 2008 Plan, a Corporate Transaction is generally defined as:</w:t>
      </w:r>
    </w:p>
    <w:p>
      <w:pPr>
        <w:spacing w:after="0" w:line="180" w:lineRule="exact"/>
        <w:rPr>
          <w:sz w:val="20"/>
          <w:szCs w:val="20"/>
          <w:color w:val="auto"/>
        </w:rPr>
      </w:pPr>
    </w:p>
    <w:p>
      <w:pPr>
        <w:ind w:left="500" w:hanging="495"/>
        <w:spacing w:after="0" w:line="215" w:lineRule="auto"/>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60" w:lineRule="exact"/>
        <w:rPr>
          <w:rFonts w:ascii="Arial" w:cs="Arial" w:eastAsia="Arial" w:hAnsi="Arial"/>
          <w:sz w:val="20"/>
          <w:szCs w:val="20"/>
          <w:color w:val="auto"/>
          <w:vertAlign w:val="superscript"/>
        </w:rPr>
      </w:pPr>
    </w:p>
    <w:p>
      <w:pPr>
        <w:jc w:val="both"/>
        <w:ind w:left="500" w:hanging="495"/>
        <w:spacing w:after="0" w:line="226" w:lineRule="auto"/>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12"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a sale, transfer or other disposition of all or substantially all of the assets of our Corporation;</w:t>
      </w:r>
    </w:p>
    <w:p>
      <w:pPr>
        <w:spacing w:after="0" w:line="110"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a merger or consolidation in which our Corporation is not the surviving entity; or</w:t>
      </w:r>
    </w:p>
    <w:p>
      <w:pPr>
        <w:spacing w:after="0" w:line="110" w:lineRule="exact"/>
        <w:rPr>
          <w:rFonts w:ascii="Arial" w:cs="Arial" w:eastAsia="Arial" w:hAnsi="Arial"/>
          <w:sz w:val="20"/>
          <w:szCs w:val="20"/>
          <w:color w:val="auto"/>
          <w:vertAlign w:val="superscript"/>
        </w:rPr>
      </w:pPr>
    </w:p>
    <w:p>
      <w:pPr>
        <w:ind w:left="500" w:hanging="495"/>
        <w:spacing w:after="0"/>
        <w:tabs>
          <w:tab w:leader="none" w:pos="500" w:val="left"/>
        </w:tabs>
        <w:numPr>
          <w:ilvl w:val="0"/>
          <w:numId w:val="71"/>
        </w:numPr>
        <w:rPr>
          <w:rFonts w:ascii="Arial" w:cs="Arial" w:eastAsia="Arial" w:hAnsi="Arial"/>
          <w:sz w:val="20"/>
          <w:szCs w:val="20"/>
          <w:color w:val="auto"/>
          <w:vertAlign w:val="superscript"/>
        </w:rPr>
      </w:pPr>
      <w:r>
        <w:rPr>
          <w:rFonts w:ascii="Arial" w:cs="Arial" w:eastAsia="Arial" w:hAnsi="Arial"/>
          <w:sz w:val="14"/>
          <w:szCs w:val="14"/>
          <w:color w:val="auto"/>
        </w:rPr>
        <w:t>a complete liquidation or dissolution.</w:t>
      </w:r>
    </w:p>
    <w:p>
      <w:pPr>
        <w:spacing w:after="0" w:line="182" w:lineRule="exact"/>
        <w:rPr>
          <w:sz w:val="20"/>
          <w:szCs w:val="20"/>
          <w:color w:val="auto"/>
        </w:rPr>
      </w:pPr>
    </w:p>
    <w:p>
      <w:pPr>
        <w:jc w:val="both"/>
        <w:ind w:right="140"/>
        <w:spacing w:after="0" w:line="268" w:lineRule="auto"/>
        <w:rPr>
          <w:sz w:val="20"/>
          <w:szCs w:val="20"/>
          <w:color w:val="auto"/>
        </w:rPr>
      </w:pPr>
      <w:r>
        <w:rPr>
          <w:rFonts w:ascii="Arial" w:cs="Arial" w:eastAsia="Arial" w:hAnsi="Arial"/>
          <w:sz w:val="14"/>
          <w:szCs w:val="14"/>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will obtain stockholder approval of any such amendment to the 2008 Stock Plan in such a manner and to such a degree as required.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May 11, 2016, we have options to purchase an aggregate of 319,758 registered shares of our common stock outstanding under our 2008 Plan.</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3" w:name="page124"/>
    <w:bookmarkEnd w:id="12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18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67"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As of May 11, 2016, we have options outstanding under the 1999 Plan to purchase an aggregate of 12,229 registered shares of our common stock.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4" w:name="page125"/>
    <w:bookmarkEnd w:id="12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of Securities to Cato Holding Company</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Cato Holding Company (</w:t>
      </w:r>
      <w:r>
        <w:rPr>
          <w:rFonts w:ascii="Arial" w:cs="Arial" w:eastAsia="Arial" w:hAnsi="Arial"/>
          <w:sz w:val="14"/>
          <w:szCs w:val="14"/>
          <w:i w:val="1"/>
          <w:iCs w:val="1"/>
          <w:color w:val="auto"/>
        </w:rPr>
        <w:t>CHC</w:t>
      </w:r>
      <w:r>
        <w:rPr>
          <w:rFonts w:ascii="Arial" w:cs="Arial" w:eastAsia="Arial" w:hAnsi="Arial"/>
          <w:sz w:val="14"/>
          <w:szCs w:val="14"/>
          <w:color w:val="auto"/>
        </w:rPr>
        <w:t>),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4"/>
          <w:szCs w:val="14"/>
          <w:i w:val="1"/>
          <w:iCs w:val="1"/>
          <w:color w:val="auto"/>
        </w:rPr>
        <w:t>2012 CHC Note</w:t>
      </w:r>
      <w:r>
        <w:rPr>
          <w:rFonts w:ascii="Arial" w:cs="Arial" w:eastAsia="Arial" w:hAnsi="Arial"/>
          <w:sz w:val="14"/>
          <w:szCs w:val="14"/>
          <w:color w:val="auto"/>
        </w:rPr>
        <w:t xml:space="preserve">) and a five-year warrant to purchase 12,500 restricted shares of the Company’s common stock at a price of $30.00 per share (the </w:t>
      </w:r>
      <w:r>
        <w:rPr>
          <w:rFonts w:ascii="Arial" w:cs="Arial" w:eastAsia="Arial" w:hAnsi="Arial"/>
          <w:sz w:val="14"/>
          <w:szCs w:val="14"/>
          <w:i w:val="1"/>
          <w:iCs w:val="1"/>
          <w:color w:val="auto"/>
        </w:rPr>
        <w:t>CHC Warrant</w:t>
      </w:r>
      <w:r>
        <w:rPr>
          <w:rFonts w:ascii="Arial" w:cs="Arial" w:eastAsia="Arial" w:hAnsi="Arial"/>
          <w:sz w:val="14"/>
          <w:szCs w:val="14"/>
          <w:color w:val="auto"/>
        </w:rPr>
        <w:t>).</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Each of the CRL Note and 2012 CHC Note were scheduled to mature on March 31, 2016.</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In June 2015, the outstanding balance of the CHC Note, the CRL Note and all other outstanding amounts owed to CRL for CRO services were converted into shares of our Series B Preferred, and the exercise prices of the CHC Warrant and the CRL Warrant were each reduced to $7.00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Development Agreement with Cato Research Ltd.</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Advances to us by Shawn Singh</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had completely repaid the remaining balance of the advances and the $50,000 promissory note issued in connection with his investment in the 2013 Unit Private Placement to Mr. Singh.</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125" w:name="page126"/>
    <w:bookmarkEnd w:id="12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5"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3"/>
          <w:szCs w:val="13"/>
          <w:i w:val="1"/>
          <w:iCs w:val="1"/>
          <w:color w:val="auto"/>
        </w:rPr>
        <w:t>Bylaws</w:t>
      </w:r>
      <w:r>
        <w:rPr>
          <w:rFonts w:ascii="Arial" w:cs="Arial" w:eastAsia="Arial" w:hAnsi="Arial"/>
          <w:sz w:val="13"/>
          <w:szCs w:val="13"/>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May 11, 2016, there were issued and outstanding, or reserved for issuance:</w:t>
      </w:r>
    </w:p>
    <w:p>
      <w:pPr>
        <w:spacing w:after="0" w:line="201" w:lineRule="exact"/>
        <w:rPr>
          <w:sz w:val="20"/>
          <w:szCs w:val="20"/>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2,525,276 shares of common stock held by approximately 300 stockholders of record;</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750,000 shares of common stock reserved for issuance upon conversion of 500,000 shares our Series A Preferred, all of which is held by one institutional investor and one accredited investor;</w:t>
      </w:r>
    </w:p>
    <w:p>
      <w:pPr>
        <w:spacing w:after="0" w:line="212" w:lineRule="exact"/>
        <w:rPr>
          <w:rFonts w:ascii="Arial" w:cs="Arial" w:eastAsia="Arial" w:hAnsi="Arial"/>
          <w:sz w:val="13"/>
          <w:szCs w:val="13"/>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3,695,291 shares of common stock reserved for issuance upon conversion of the same number of shares of our Series B Preferred held by approximately 59 investors;</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the same number of shares of our Series C Preferred, held by one institutional investor;</w:t>
      </w:r>
    </w:p>
    <w:p>
      <w:pPr>
        <w:spacing w:after="0" w:line="201" w:lineRule="exact"/>
        <w:rPr>
          <w:rFonts w:ascii="Arial" w:cs="Arial" w:eastAsia="Arial" w:hAnsi="Arial"/>
          <w:sz w:val="14"/>
          <w:szCs w:val="14"/>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1,901,103 shares of common stock that have been reserved for issuance upon exercise of outstanding warrants, with a weighted average exercise price of $8.17 per share;</w:t>
      </w:r>
    </w:p>
    <w:p>
      <w:pPr>
        <w:spacing w:after="0" w:line="201" w:lineRule="exact"/>
        <w:rPr>
          <w:rFonts w:ascii="Arial" w:cs="Arial" w:eastAsia="Arial" w:hAnsi="Arial"/>
          <w:sz w:val="14"/>
          <w:szCs w:val="14"/>
          <w:color w:val="auto"/>
        </w:rPr>
      </w:pPr>
    </w:p>
    <w:p>
      <w:pPr>
        <w:ind w:left="320" w:hanging="315"/>
        <w:spacing w:after="0" w:line="283"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331,987 shares of common stock reserved for issuance upon exercise of outstanding stock options under our 1999 Stock Incentive Plan and our 2008 Stock Incentive Plan, with a weighted average exercise price of $9.55 per share; and</w:t>
      </w:r>
    </w:p>
    <w:p>
      <w:pPr>
        <w:spacing w:after="0" w:line="152" w:lineRule="exact"/>
        <w:rPr>
          <w:rFonts w:ascii="Arial" w:cs="Arial" w:eastAsia="Arial" w:hAnsi="Arial"/>
          <w:sz w:val="14"/>
          <w:szCs w:val="14"/>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665,242 shares of common stock reserved for issuance in connection with future grants under our 2008 Stock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5" w:lineRule="exact"/>
        <w:rPr>
          <w:sz w:val="20"/>
          <w:szCs w:val="20"/>
          <w:color w:val="auto"/>
        </w:rPr>
      </w:pPr>
    </w:p>
    <w:p>
      <w:pPr>
        <w:ind w:right="360"/>
        <w:spacing w:after="0" w:line="323" w:lineRule="auto"/>
        <w:rPr>
          <w:sz w:val="20"/>
          <w:szCs w:val="20"/>
          <w:color w:val="auto"/>
        </w:rPr>
      </w:pPr>
      <w:r>
        <w:rPr>
          <w:rFonts w:ascii="Arial" w:cs="Arial" w:eastAsia="Arial" w:hAnsi="Arial"/>
          <w:sz w:val="13"/>
          <w:szCs w:val="13"/>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jc w:val="both"/>
        <w:ind w:right="160"/>
        <w:spacing w:after="0" w:line="298" w:lineRule="auto"/>
        <w:rPr>
          <w:sz w:val="20"/>
          <w:szCs w:val="20"/>
          <w:color w:val="auto"/>
        </w:rPr>
      </w:pPr>
      <w:r>
        <w:rPr>
          <w:rFonts w:ascii="Arial" w:cs="Arial" w:eastAsia="Arial" w:hAnsi="Arial"/>
          <w:sz w:val="13"/>
          <w:szCs w:val="13"/>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4"/>
          <w:szCs w:val="14"/>
          <w:i w:val="1"/>
          <w:iCs w:val="1"/>
          <w:color w:val="auto"/>
        </w:rPr>
        <w:t>Dividend Policy</w:t>
      </w:r>
      <w:r>
        <w:rPr>
          <w:rFonts w:ascii="Arial" w:cs="Arial" w:eastAsia="Arial" w:hAnsi="Arial"/>
          <w:sz w:val="14"/>
          <w:szCs w:val="14"/>
          <w:color w:val="auto"/>
        </w:rPr>
        <w:t>” for more information.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6" w:name="page127"/>
    <w:bookmarkEnd w:id="1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Preemptive or Similar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subject to conversion, redemption, sinking fund or similar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A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At May 11, 2016, there were 500,000 shares of Series A Preferred outstanding, which shares are exchangeable at the option of the holders into an aggregate of 750,000 shares of our common stock. The Series A Preferred ranks prior to our common stock for purposes of liquidation preference.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7" w:name="page128"/>
    <w:bookmarkEnd w:id="1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B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In May 2015, our board of directors authorized the creation of a series of up to 4.0 million shares of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xml:space="preserve">). The Certificate of Designation of the Relative Rights and Preferences of the Series B 10% Convertible Preferred Stock was filed with the Nevada Secretary of State on May 7, 2015 (the </w:t>
      </w:r>
      <w:r>
        <w:rPr>
          <w:rFonts w:ascii="Arial" w:cs="Arial" w:eastAsia="Arial" w:hAnsi="Arial"/>
          <w:sz w:val="13"/>
          <w:szCs w:val="13"/>
          <w:i w:val="1"/>
          <w:iCs w:val="1"/>
          <w:color w:val="auto"/>
        </w:rPr>
        <w:t>Series B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the Company’s common stock. All outstanding shares of Series B Preferred are also automatically convertible into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6"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At May 11, 2016, there were 3,695,291 shares of Series B Preferred outstanding, which shares are exchangeable at the option of the respective holders into an aggregate of 3,695,291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Series B Preferred ranks prior to our common stock,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Series A Preferred for purposes of liquidation preference.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8" w:name="page129"/>
    <w:bookmarkEnd w:id="1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3"/>
          <w:szCs w:val="13"/>
          <w:i w:val="1"/>
          <w:iCs w:val="1"/>
          <w:color w:val="auto"/>
        </w:rPr>
        <w:t>Accrued Dividend</w:t>
      </w:r>
      <w:r>
        <w:rPr>
          <w:rFonts w:ascii="Arial" w:cs="Arial" w:eastAsia="Arial" w:hAnsi="Arial"/>
          <w:sz w:val="13"/>
          <w:szCs w:val="13"/>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Accrued Dividend will be payable on the date of either a Voluntary Conversion or Automatic Conversion solely in that number of shares of Common Stock equal to the Accrued Dividend.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C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1" w:lineRule="exact"/>
        <w:rPr>
          <w:sz w:val="20"/>
          <w:szCs w:val="20"/>
          <w:color w:val="auto"/>
        </w:rPr>
      </w:pPr>
    </w:p>
    <w:p>
      <w:pPr>
        <w:ind w:right="120"/>
        <w:spacing w:after="0" w:line="323" w:lineRule="auto"/>
        <w:rPr>
          <w:sz w:val="20"/>
          <w:szCs w:val="20"/>
          <w:color w:val="auto"/>
        </w:rPr>
      </w:pPr>
      <w:r>
        <w:rPr>
          <w:rFonts w:ascii="Arial" w:cs="Arial" w:eastAsia="Arial" w:hAnsi="Arial"/>
          <w:sz w:val="13"/>
          <w:szCs w:val="13"/>
          <w:color w:val="auto"/>
        </w:rPr>
        <w:t>In January 2016, our board of directors authorized the creation of a series of up to 3.0 million shares of Series C Convertible Preferred Stock (</w:t>
      </w:r>
      <w:r>
        <w:rPr>
          <w:rFonts w:ascii="Arial" w:cs="Arial" w:eastAsia="Arial" w:hAnsi="Arial"/>
          <w:sz w:val="13"/>
          <w:szCs w:val="13"/>
          <w:i w:val="1"/>
          <w:iCs w:val="1"/>
          <w:color w:val="auto"/>
        </w:rPr>
        <w:t>Series C Preferred</w:t>
      </w:r>
      <w:r>
        <w:rPr>
          <w:rFonts w:ascii="Arial" w:cs="Arial" w:eastAsia="Arial" w:hAnsi="Arial"/>
          <w:sz w:val="13"/>
          <w:szCs w:val="13"/>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3"/>
          <w:szCs w:val="13"/>
          <w:i w:val="1"/>
          <w:iCs w:val="1"/>
          <w:color w:val="auto"/>
        </w:rPr>
        <w:t>Series C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180" w:lineRule="exact"/>
        <w:rPr>
          <w:sz w:val="20"/>
          <w:szCs w:val="20"/>
          <w:color w:val="auto"/>
        </w:rPr>
      </w:pPr>
    </w:p>
    <w:p>
      <w:pPr>
        <w:ind w:right="180"/>
        <w:spacing w:after="0" w:line="323" w:lineRule="auto"/>
        <w:rPr>
          <w:sz w:val="20"/>
          <w:szCs w:val="20"/>
          <w:color w:val="auto"/>
        </w:rPr>
      </w:pPr>
      <w:r>
        <w:rPr>
          <w:rFonts w:ascii="Arial" w:cs="Arial" w:eastAsia="Arial" w:hAnsi="Arial"/>
          <w:sz w:val="13"/>
          <w:szCs w:val="13"/>
          <w:color w:val="auto"/>
        </w:rPr>
        <w:t xml:space="preserve">At May 11, 2016,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Series A Preferred and Series B Preferred.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9" w:name="page130"/>
    <w:bookmarkEnd w:id="12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May 11, 2016, we had options to purchase 331,987 shares of our common stock outstanding pursuant to our 1999 Plan and our 2008 Plan.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May 11, 2016, warrants to purchase 1,901,103 shares of our common stock were outstanding, with a weighted average exercise price of $8.17 per share.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 Offered Hereby</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We are offering warrants to purchase up to 2,352,942 shares of our common stock to purchasers in this Offering. Each warrant entitles the holder thereof to purchase one share of common stock at an exercise price of $5.30 per share (125% of the public offering price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brief summary of certain terms and conditions of the warrants to be issued in connection with this Offering and are subject in all respects to the provisions contained in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w:t>
      </w:r>
    </w:p>
    <w:p>
      <w:pPr>
        <w:spacing w:after="0" w:line="18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The warrants will be issued either in physical certificated form or in electronic book-entry form to the investors. You should review a copy of the form of warrant, which is filed as an exhibit to the registration statement of which this prospectus forms a part, for a complete description of the terms and conditions applicable to the warrants.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Exercisability</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warrants are exercisable at any time after their original issuance, expected to be May 16, 2016,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shares of common stock underlying the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 If a registration statement registering the issuance of the shares of common stock underlying the warrants under the Securities Act is not effective or available and an exemption from registration under the Securities Act is not available for the issuance of such shares, the holder may, in its sole discretion, elect to exercise the warrant through a cashless exercise, in which case the holder would receive upon such exercise the net number of shares of common stock determined according to the formula set forth in the warrant. No fractional shares of common stock will be issued in connection with the exercise of a warrant. In lieu of fractional shares, we will pay the holder an amount in cash equal to the fractional amount multiplied by the exercise price.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Limitation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A holder will not have the right to exercise any portion of the warrant if the holder (together with its affiliates) would beneficially own in excess of 4.99%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Price</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4"/>
          <w:szCs w:val="14"/>
          <w:color w:val="auto"/>
        </w:rPr>
        <w:t>The exercise price per share of common stock purchasable upon exercise of the warrants is $5.30. The exercise price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Transferability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Subject to applicable laws, the warrants may be offered for sale, sold, transferred or assigned without our consent.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Exchange Listing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There is no established public trading market for the warrants and we do not intend to apply to list the warrants on any securities exchange or automated quotation system.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Fundamental Transactions</w:t>
      </w:r>
    </w:p>
    <w:p>
      <w:pPr>
        <w:spacing w:after="0" w:line="180" w:lineRule="exact"/>
        <w:rPr>
          <w:sz w:val="20"/>
          <w:szCs w:val="20"/>
          <w:color w:val="auto"/>
        </w:rPr>
      </w:pPr>
    </w:p>
    <w:p>
      <w:pPr>
        <w:ind w:right="260"/>
        <w:spacing w:after="0" w:line="320" w:lineRule="auto"/>
        <w:rPr>
          <w:sz w:val="20"/>
          <w:szCs w:val="20"/>
          <w:color w:val="auto"/>
        </w:rPr>
      </w:pPr>
      <w:r>
        <w:rPr>
          <w:rFonts w:ascii="Arial" w:cs="Arial" w:eastAsia="Arial" w:hAnsi="Arial"/>
          <w:sz w:val="12"/>
          <w:szCs w:val="12"/>
          <w:color w:val="auto"/>
        </w:rPr>
        <w:t>In the event of a fundamental transaction, as described in the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Rights as a Stockholder</w:t>
      </w:r>
    </w:p>
    <w:p>
      <w:pPr>
        <w:spacing w:after="0" w:line="180"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Except as otherwise provided in the warrants or by virtue of such holder’s ownership of shares of our common stock, the holder of a warrant does not have the rights or privileges of a holder of our common stock, including any voting rights, until the holder exercises the warrant.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Computershare Trust Company, N.A., Jersey City, New Jersey.</w:t>
      </w:r>
    </w:p>
    <w:p>
      <w:pPr>
        <w:sectPr>
          <w:pgSz w:w="11900" w:h="16838" w:orient="portrait"/>
          <w:cols w:equalWidth="0" w:num="1">
            <w:col w:w="11460"/>
          </w:cols>
          <w:pgMar w:left="220" w:top="133" w:right="21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type w:val="continuous"/>
        </w:sectPr>
      </w:pPr>
    </w:p>
    <w:bookmarkStart w:id="130" w:name="page131"/>
    <w:bookmarkEnd w:id="1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SHARES ELIGIBLE FOR FUTURE SALE</w:t>
      </w:r>
    </w:p>
    <w:p>
      <w:pPr>
        <w:spacing w:after="0" w:line="184" w:lineRule="exact"/>
        <w:rPr>
          <w:sz w:val="20"/>
          <w:szCs w:val="20"/>
          <w:color w:val="auto"/>
        </w:rPr>
      </w:pPr>
    </w:p>
    <w:p>
      <w:pPr>
        <w:jc w:val="both"/>
        <w:ind w:right="260"/>
        <w:spacing w:after="0" w:line="298" w:lineRule="auto"/>
        <w:rPr>
          <w:sz w:val="20"/>
          <w:szCs w:val="20"/>
          <w:color w:val="auto"/>
        </w:rPr>
      </w:pPr>
      <w:r>
        <w:rPr>
          <w:rFonts w:ascii="Arial" w:cs="Arial" w:eastAsia="Arial" w:hAnsi="Arial"/>
          <w:sz w:val="13"/>
          <w:szCs w:val="13"/>
          <w:color w:val="auto"/>
        </w:rPr>
        <w:t>Prior to this Offering, there has a limited public market for shares of our common stock. Future sales of substantial amounts of shares of our common stock, including sales of shares issued upon the exchange of outstanding preferred stock and exercise of outstanding options and warrants, including the warrants offered in this Offering, in the public market after this Offering or the possibility of these issuances and sales occurring, could cause the prevailing market price for our common stock to fall or impair our ability to raise equity capital in the future.</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Upon the completion of this Offering, based on the number of shares outstanding as of May 11, 2016, we will have approximately 12,305,907 million shares of common stock outstanding, assuming exercise of all outstanding options and warrants, including the warrants issued in connection with the Offering, and conversion of shares of our Series B Preferred not otherwise subject to ownership limitations. Of these outstanding shares, all shares of common stock sold by us in this Offering, as well as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Series B Preferred and Series C Preferred outstanding after this Offering, will remain deemed restricted under the Federal securities laws.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the expiration of the lock-up agreements described below, within any three-month period, a number of shares that does not exceed the greater of:</w:t>
      </w:r>
    </w:p>
    <w:p>
      <w:pPr>
        <w:spacing w:after="0" w:line="82" w:lineRule="exact"/>
        <w:rPr>
          <w:sz w:val="20"/>
          <w:szCs w:val="20"/>
          <w:color w:val="auto"/>
        </w:rPr>
      </w:pPr>
    </w:p>
    <w:p>
      <w:pPr>
        <w:ind w:left="360" w:hanging="355"/>
        <w:spacing w:after="0"/>
        <w:tabs>
          <w:tab w:leader="none" w:pos="36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1% of the number of shares of common stock then outstanding; or</w:t>
      </w:r>
    </w:p>
    <w:p>
      <w:pPr>
        <w:spacing w:after="0" w:line="132" w:lineRule="exact"/>
        <w:rPr>
          <w:rFonts w:ascii="Arial" w:cs="Arial" w:eastAsia="Arial" w:hAnsi="Arial"/>
          <w:sz w:val="20"/>
          <w:szCs w:val="20"/>
          <w:color w:val="auto"/>
          <w:vertAlign w:val="superscript"/>
        </w:rPr>
      </w:pPr>
    </w:p>
    <w:p>
      <w:pPr>
        <w:ind w:left="340" w:hanging="335"/>
        <w:spacing w:after="0"/>
        <w:tabs>
          <w:tab w:leader="none" w:pos="340" w:val="left"/>
        </w:tabs>
        <w:numPr>
          <w:ilvl w:val="0"/>
          <w:numId w:val="73"/>
        </w:numPr>
        <w:rPr>
          <w:rFonts w:ascii="Arial" w:cs="Arial" w:eastAsia="Arial" w:hAnsi="Arial"/>
          <w:sz w:val="20"/>
          <w:szCs w:val="20"/>
          <w:color w:val="auto"/>
          <w:vertAlign w:val="superscript"/>
        </w:rPr>
      </w:pPr>
      <w:r>
        <w:rPr>
          <w:rFonts w:ascii="Arial" w:cs="Arial" w:eastAsia="Arial" w:hAnsi="Arial"/>
          <w:sz w:val="14"/>
          <w:szCs w:val="14"/>
          <w:color w:val="auto"/>
        </w:rPr>
        <w:t>the average weekly trading volume of the common stock during the four calendar weeks preceding the filing of a notice on Form 144 with respect to such sale.</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 and Market Standoff Provisions</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All of our directors and executive officers, and certain of our 5% or greater stockholders are each subject to lock-up agreements with the underwriters or market standoff provisions in agreements with us that, subject to certain exceptions, prohibit them from offering, pledging, selling, contracting to sell, selling any option or contracting to purchase, purchasing any option or contracting to sell, granting any option, right or warrant to purchase, or otherwise transferring or disposing of, directly or indirectly, or entering into any swap or other arrangement that transfers to another, in whole or in part, any of the economic consequences of ownership of any shares of common stock or any securities convertible into or exercisable or exchangeable for shares of common stock for a period of 90 days after the date of this prospectus, without the prior written consent of the representatives of the underwriters or us, as the case may be. While we anticipate that substantially all of our 5% or greater stockholders will be subject to such lock-up agreements, this cannot be assured at this time. See the section titled “</w:t>
      </w:r>
      <w:r>
        <w:rPr>
          <w:rFonts w:ascii="Arial" w:cs="Arial" w:eastAsia="Arial" w:hAnsi="Arial"/>
          <w:sz w:val="13"/>
          <w:szCs w:val="13"/>
          <w:i w:val="1"/>
          <w:iCs w:val="1"/>
          <w:color w:val="auto"/>
        </w:rPr>
        <w:t>Underwriting</w:t>
      </w:r>
      <w:r>
        <w:rPr>
          <w:rFonts w:ascii="Arial" w:cs="Arial" w:eastAsia="Arial" w:hAnsi="Arial"/>
          <w:sz w:val="13"/>
          <w:szCs w:val="13"/>
          <w:color w:val="auto"/>
        </w:rPr>
        <w: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1" w:name="page132"/>
    <w:bookmarkEnd w:id="1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Under the terms and subject to the conditions contained in an underwriting agreement, we have agreed to sell to the underwriters named below, for which Chardan Capital Markets, LLC, and WallachBeth Capital, LLC are acting as representatives, and the underwriters named below have agreed to purchase from us, the number of shares of common stock and warrants set forth opposite their respective names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4920" w:type="dxa"/>
            <w:vAlign w:val="bottom"/>
            <w:gridSpan w:val="3"/>
          </w:tcPr>
          <w:p>
            <w:pPr>
              <w:ind w:left="3540"/>
              <w:spacing w:after="0"/>
              <w:rPr>
                <w:sz w:val="20"/>
                <w:szCs w:val="20"/>
                <w:color w:val="auto"/>
              </w:rPr>
            </w:pPr>
            <w:r>
              <w:rPr>
                <w:rFonts w:ascii="Arial" w:cs="Arial" w:eastAsia="Arial" w:hAnsi="Arial"/>
                <w:sz w:val="14"/>
                <w:szCs w:val="14"/>
                <w:b w:val="1"/>
                <w:bCs w:val="1"/>
                <w:color w:val="auto"/>
              </w:rPr>
              <w:t>Number of Shares</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 of</w:t>
            </w:r>
          </w:p>
        </w:tc>
      </w:tr>
      <w:tr>
        <w:trPr>
          <w:trHeight w:val="185"/>
        </w:trPr>
        <w:tc>
          <w:tcPr>
            <w:tcW w:w="530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4920" w:type="dxa"/>
            <w:vAlign w:val="bottom"/>
            <w:gridSpan w:val="3"/>
          </w:tcPr>
          <w:p>
            <w:pPr>
              <w:ind w:left="3540"/>
              <w:spacing w:after="0"/>
              <w:rPr>
                <w:sz w:val="20"/>
                <w:szCs w:val="20"/>
                <w:color w:val="auto"/>
              </w:rPr>
            </w:pPr>
            <w:r>
              <w:rPr>
                <w:rFonts w:ascii="Arial" w:cs="Arial" w:eastAsia="Arial" w:hAnsi="Arial"/>
                <w:sz w:val="14"/>
                <w:szCs w:val="14"/>
                <w:b w:val="1"/>
                <w:bCs w:val="1"/>
                <w:color w:val="auto"/>
              </w:rPr>
              <w:t>of Common Stock</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Warrants</w:t>
            </w:r>
          </w:p>
        </w:tc>
      </w:tr>
      <w:tr>
        <w:trPr>
          <w:trHeight w:val="22"/>
        </w:trPr>
        <w:tc>
          <w:tcPr>
            <w:tcW w:w="5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Chardan Capital Markets, LLC</w:t>
            </w:r>
          </w:p>
        </w:tc>
        <w:tc>
          <w:tcPr>
            <w:tcW w:w="35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1,529,412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1,529,412</w:t>
            </w:r>
          </w:p>
        </w:tc>
      </w:tr>
      <w:tr>
        <w:trPr>
          <w:trHeight w:val="170"/>
        </w:trPr>
        <w:tc>
          <w:tcPr>
            <w:tcW w:w="5300" w:type="dxa"/>
            <w:vAlign w:val="bottom"/>
          </w:tcPr>
          <w:p>
            <w:pPr>
              <w:spacing w:after="0"/>
              <w:rPr>
                <w:sz w:val="20"/>
                <w:szCs w:val="20"/>
                <w:color w:val="auto"/>
              </w:rPr>
            </w:pPr>
            <w:r>
              <w:rPr>
                <w:rFonts w:ascii="Arial" w:cs="Arial" w:eastAsia="Arial" w:hAnsi="Arial"/>
                <w:sz w:val="14"/>
                <w:szCs w:val="14"/>
                <w:color w:val="auto"/>
              </w:rPr>
              <w:t>WallachBeth Capital, LLC</w:t>
            </w:r>
          </w:p>
        </w:tc>
        <w:tc>
          <w:tcPr>
            <w:tcW w:w="4920" w:type="dxa"/>
            <w:vAlign w:val="bottom"/>
            <w:gridSpan w:val="3"/>
          </w:tcPr>
          <w:p>
            <w:pPr>
              <w:jc w:val="right"/>
              <w:ind w:right="240"/>
              <w:spacing w:after="0"/>
              <w:rPr>
                <w:sz w:val="20"/>
                <w:szCs w:val="20"/>
                <w:color w:val="auto"/>
              </w:rPr>
            </w:pPr>
            <w:r>
              <w:rPr>
                <w:rFonts w:ascii="Arial" w:cs="Arial" w:eastAsia="Arial" w:hAnsi="Arial"/>
                <w:sz w:val="14"/>
                <w:szCs w:val="14"/>
                <w:color w:val="auto"/>
              </w:rPr>
              <w:t>823,530</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823,530</w:t>
            </w:r>
          </w:p>
        </w:tc>
      </w:tr>
      <w:tr>
        <w:trPr>
          <w:trHeight w:val="170"/>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4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2,352,942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2,352,942</w:t>
            </w:r>
          </w:p>
        </w:tc>
      </w:tr>
    </w:tbl>
    <w:p>
      <w:pPr>
        <w:spacing w:after="0" w:line="181" w:lineRule="exact"/>
        <w:rPr>
          <w:sz w:val="20"/>
          <w:szCs w:val="20"/>
          <w:color w:val="auto"/>
        </w:rPr>
      </w:pPr>
    </w:p>
    <w:p>
      <w:pPr>
        <w:jc w:val="both"/>
        <w:ind w:right="80"/>
        <w:spacing w:after="0" w:line="283" w:lineRule="auto"/>
        <w:rPr>
          <w:sz w:val="20"/>
          <w:szCs w:val="20"/>
          <w:color w:val="auto"/>
        </w:rPr>
      </w:pPr>
      <w:r>
        <w:rPr>
          <w:rFonts w:ascii="Arial" w:cs="Arial" w:eastAsia="Arial" w:hAnsi="Arial"/>
          <w:sz w:val="14"/>
          <w:szCs w:val="14"/>
          <w:color w:val="auto"/>
        </w:rPr>
        <w:t>The underwriting agreement provides that the obligation of the underwriters to purchase the shares and warrants offered hereby is subject to certain conditions and that the underwriters are obligated to purchase all of the shares offered hereby if any of the shares and warrants are purchased.</w:t>
      </w:r>
    </w:p>
    <w:p>
      <w:pPr>
        <w:spacing w:after="0" w:line="131"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If the underwriters sell more shares and warrants than the above number, the underwriters have an option for 45 days to buy up to an aggregate of 352,942 additional shares and/or warrants to purchase up to 352,942 additional shares from us at the public offering price less the underwriting commissions and discounts to cover these sales.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Discounts and Other Compensation</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4"/>
          <w:szCs w:val="14"/>
          <w:color w:val="auto"/>
        </w:rPr>
        <w:t>The underwriters have advised us that they propose to offer the shares and warrants to the public at the public offering price set forth on the cover page of this prospectus and to certain dealers at that price less a concession not in excess of $0.2125 per share and warrant. After this Offering, the public offering price and concession may be changed by the underwriters. No such change shall change the amount of proceeds to be received by us as set forth on the cover page of this prospectus. The shares and warrants are offered by the underwriters as stated herein, subject to receipt and acceptance by the underwriters and subject to their right to reject any order in whole or in part.</w:t>
      </w:r>
    </w:p>
    <w:p>
      <w:pPr>
        <w:spacing w:after="0" w:line="146"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We have agreed to pay to the underwriters a fee equal to 9.3% of the aggregate gross proceeds of the shares and warrants sold in this Offering. This fee is to be paid by means of a discount from the offering price to purchasers in the Offering. In addition, we have agreed to reimburse the representatives for their reasonable out-of-pocket accountable expenses incurred in connection with this Offering in an aggregate amount not to exceed $150,000 for all such expenses. We estimate that expenses payable by us in connection with this Offering, other than the underwriting discounts and commissions referred to above, will be approximately $362,296.</w:t>
      </w:r>
    </w:p>
    <w:p>
      <w:pPr>
        <w:spacing w:after="0" w:line="14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following table summarizes the public offering price, underwriting discounts and commissions and proceeds before expenses to us assuming both no exercise and full exercise of the underwriters’ option to purchase additional shares and/or warrants: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240"/>
              <w:spacing w:after="0" w:line="156" w:lineRule="exact"/>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5"/>
              </w:rPr>
              <w:t>Without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49"/>
              <w:spacing w:after="0" w:line="156" w:lineRule="exact"/>
              <w:rPr>
                <w:sz w:val="20"/>
                <w:szCs w:val="20"/>
                <w:color w:val="auto"/>
              </w:rPr>
            </w:pPr>
            <w:r>
              <w:rPr>
                <w:rFonts w:ascii="Arial" w:cs="Arial" w:eastAsia="Arial" w:hAnsi="Arial"/>
                <w:sz w:val="14"/>
                <w:szCs w:val="14"/>
                <w:b w:val="1"/>
                <w:bCs w:val="1"/>
                <w:color w:val="auto"/>
              </w:rPr>
              <w:t>With</w:t>
            </w:r>
          </w:p>
        </w:tc>
        <w:tc>
          <w:tcPr>
            <w:tcW w:w="100" w:type="dxa"/>
            <w:vAlign w:val="bottom"/>
          </w:tcPr>
          <w:p>
            <w:pPr>
              <w:spacing w:after="0"/>
              <w:rPr>
                <w:sz w:val="13"/>
                <w:szCs w:val="13"/>
                <w:color w:val="auto"/>
              </w:rPr>
            </w:pPr>
          </w:p>
        </w:tc>
      </w:tr>
      <w:tr>
        <w:trPr>
          <w:trHeight w:val="186"/>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Per Warrant</w:t>
            </w: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Over- Allotment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Over-Allotment</w:t>
            </w:r>
          </w:p>
        </w:tc>
        <w:tc>
          <w:tcPr>
            <w:tcW w:w="100" w:type="dxa"/>
            <w:vAlign w:val="bottom"/>
          </w:tcPr>
          <w:p>
            <w:pPr>
              <w:spacing w:after="0"/>
              <w:rPr>
                <w:sz w:val="16"/>
                <w:szCs w:val="16"/>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10,000,003.50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11,500,007.00</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Underwriting discounts and commissions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0.39432</w:t>
            </w:r>
          </w:p>
        </w:tc>
        <w:tc>
          <w:tcPr>
            <w:tcW w:w="12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0.00093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930,000.33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1,069,500.65</w:t>
            </w: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3.84568</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0.00907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9,070,003.17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10,430,506.35</w:t>
            </w:r>
          </w:p>
        </w:tc>
      </w:tr>
    </w:tbl>
    <w:p>
      <w:pPr>
        <w:spacing w:after="0" w:line="160" w:lineRule="exact"/>
        <w:rPr>
          <w:sz w:val="20"/>
          <w:szCs w:val="20"/>
          <w:color w:val="auto"/>
        </w:rPr>
      </w:pPr>
    </w:p>
    <w:p>
      <w:pPr>
        <w:jc w:val="both"/>
        <w:ind w:right="160"/>
        <w:spacing w:after="0" w:line="268" w:lineRule="auto"/>
        <w:rPr>
          <w:sz w:val="20"/>
          <w:szCs w:val="20"/>
          <w:color w:val="auto"/>
        </w:rPr>
      </w:pPr>
      <w:r>
        <w:rPr>
          <w:rFonts w:ascii="Arial" w:cs="Arial" w:eastAsia="Arial" w:hAnsi="Arial"/>
          <w:sz w:val="14"/>
          <w:szCs w:val="14"/>
          <w:color w:val="auto"/>
        </w:rPr>
        <w:t>On November 23, 2015, we issued to Chardan Capital Markets, LLC 15,750 shares of common stock and five-year warrants to acquire 7,500 shares of common stock at an exercise price of $7.00 per share, in connection with a private placement of shares of our Series B 10% Convertible Preferred Stock. On February 12, 2016 these warrants were canceled in exchange for 5,625 shares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These shares are subject to a 180- day lock-up, pursuant to FINRA Rule 5110(g)(1), and will be deemed to be an item of value in connection with this Offering, pursuant to FINRA Rule 5110(c)(3).</w:t>
      </w:r>
    </w:p>
    <w:p>
      <w:pPr>
        <w:spacing w:after="0" w:line="213"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Pursuant to FINRA Rule 5110(g)(1), these shares shall not be sold during this Offering, or sold, transferred, assigned, pledged, or hypothecated, or be the subject of any hedging, short sale, derivative, put, or call transaction that would result in the effective economic disposition of the shares by any person for a period of 180 days immediately following the date of effectiveness or commencement of this Offering, except as provided in FINRA Rule 5110(g)(2).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2" w:name="page133"/>
    <w:bookmarkEnd w:id="13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agreed not to offer, sell, contract to sell, pledge, grant options to purchase, or otherwise dispose of any of our shares of common stock or securities exchangeable for or convertible into our shares of common stock for a period of 90 days after the date of this prospectus without the prior written consent of the representatives. This agreement does not apply to the issuance of shares upon the exercise of rights to acquire shares of common stock pursuant to any existing stock option or similar equity incentive or compensation plan. Our directors and executive officers, and certain of our 5% or greater stockholders have agreed, subject to certain exceptions, not to, directly or indirectly, sell, pledge, offer or otherwise dispose of any shares of common stock, options to acquire shares of common stock or securities exchangeable for or convertible into shares of common stock, for a period of 90 days from the date on which the Registration Statement of which this prospectus forms a part is declared effective by the SEC without the prior written consent of the representatives. While we anticipate that substantially all of our 5% or greater stockholders will be subject to such lock-up agreements, this cannot be assured at this time.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First Refusal</w:t>
      </w:r>
    </w:p>
    <w:p>
      <w:pPr>
        <w:spacing w:after="0" w:line="184"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Subject to certain terms and exceptions, for a period of twelve months after the date of effectiveness of the Registration Statement of which this prospectus is a part, the representatives have a right of first refusal to act as co-lead underwriters or co-book-running managers or co-placement agents (or if only one representative exercises such right, lead underwriter or book-running manager or placement agent) for each and every future public and private equity and debt offerings we do, or any successor to or any subsidiary of us, on any U.S. stock exchange during such twelve month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and Contribution</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underwriting agreement provides for indemnification between us and the underwriters against specified liabilities, including liabilities under the Securities Act, and for contribution by us and the underwriters to payments that may be required to be made with respect to those liabilities. We have been advised that, in the opinion of the SEC, indemnification of liabilities under the Securities Act is against public policy as expressed in the Securities Act, and is therefore, unenforceable.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 Sales, Stabilizing Transactions and Penalty Bids</w:t>
      </w:r>
    </w:p>
    <w:p>
      <w:pPr>
        <w:spacing w:after="0" w:line="18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order to facilitate this Offering, persons participating in this Offering may engage in transactions that stabilize, maintain, or otherwise affect the price of shares of common stock during and after this Offering. Specifically, the underwriters may engage in the following activities in accordance with the rules of the SEC.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3" w:name="page134"/>
    <w:bookmarkEnd w:id="13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i w:val="1"/>
          <w:iCs w:val="1"/>
          <w:color w:val="auto"/>
        </w:rPr>
        <w:t xml:space="preserve">Short sales. </w:t>
      </w:r>
      <w:r>
        <w:rPr>
          <w:rFonts w:ascii="Arial" w:cs="Arial" w:eastAsia="Arial" w:hAnsi="Arial"/>
          <w:sz w:val="14"/>
          <w:szCs w:val="14"/>
          <w:color w:val="auto"/>
        </w:rPr>
        <w:t>Short sales involve the sales by the underwriters of a greater number of shares than they are required to purchase in the Offering. Covered short sales are short sales made in an amount not</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after pricing that could adversely affect investors who purchase in this Offering.</w:t>
      </w:r>
    </w:p>
    <w:p>
      <w:pPr>
        <w:spacing w:after="0" w:line="152"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i w:val="1"/>
          <w:iCs w:val="1"/>
          <w:color w:val="auto"/>
        </w:rPr>
        <w:t xml:space="preserve">Stabilizing transactions. </w:t>
      </w:r>
      <w:r>
        <w:rPr>
          <w:rFonts w:ascii="Arial" w:cs="Arial" w:eastAsia="Arial" w:hAnsi="Arial"/>
          <w:sz w:val="14"/>
          <w:szCs w:val="14"/>
          <w:color w:val="auto"/>
        </w:rPr>
        <w:t>The underwriters may make bids for or purchases of the shares for the purpose of pegging, fixing, or maintaining the price of the shares, so long as stabilizing bids do not</w:t>
      </w:r>
      <w:r>
        <w:rPr>
          <w:rFonts w:ascii="Arial" w:cs="Arial" w:eastAsia="Arial" w:hAnsi="Arial"/>
          <w:sz w:val="14"/>
          <w:szCs w:val="14"/>
          <w:i w:val="1"/>
          <w:iCs w:val="1"/>
          <w:color w:val="auto"/>
        </w:rPr>
        <w:t xml:space="preserve"> </w:t>
      </w:r>
      <w:r>
        <w:rPr>
          <w:rFonts w:ascii="Arial" w:cs="Arial" w:eastAsia="Arial" w:hAnsi="Arial"/>
          <w:sz w:val="14"/>
          <w:szCs w:val="14"/>
          <w:color w:val="auto"/>
        </w:rPr>
        <w:t>exceed a specified maximum.</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i w:val="1"/>
          <w:iCs w:val="1"/>
          <w:color w:val="auto"/>
        </w:rPr>
        <w:t xml:space="preserve">Penalty bids. </w:t>
      </w:r>
      <w:r>
        <w:rPr>
          <w:rFonts w:ascii="Arial" w:cs="Arial" w:eastAsia="Arial" w:hAnsi="Arial"/>
          <w:sz w:val="14"/>
          <w:szCs w:val="14"/>
          <w:color w:val="auto"/>
        </w:rPr>
        <w:t>If the underwriters purchase shares in the open market in a stabilizing transaction or syndicate covering transaction, they may reclaim a selling concession from the underwriters and selling</w:t>
      </w:r>
      <w:r>
        <w:rPr>
          <w:rFonts w:ascii="Arial" w:cs="Arial" w:eastAsia="Arial" w:hAnsi="Arial"/>
          <w:sz w:val="14"/>
          <w:szCs w:val="14"/>
          <w:i w:val="1"/>
          <w:iCs w:val="1"/>
          <w:color w:val="auto"/>
        </w:rPr>
        <w:t xml:space="preserve"> </w:t>
      </w:r>
      <w:r>
        <w:rPr>
          <w:rFonts w:ascii="Arial" w:cs="Arial" w:eastAsia="Arial" w:hAnsi="Arial"/>
          <w:sz w:val="14"/>
          <w:szCs w:val="14"/>
          <w:color w:val="auto"/>
        </w:rPr>
        <w:t>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42"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Discretionary Sales</w:t>
      </w:r>
    </w:p>
    <w:p>
      <w:pPr>
        <w:spacing w:after="0" w:line="184" w:lineRule="exact"/>
        <w:rPr>
          <w:sz w:val="20"/>
          <w:szCs w:val="20"/>
          <w:color w:val="auto"/>
        </w:rPr>
      </w:pPr>
    </w:p>
    <w:p>
      <w:pPr>
        <w:ind w:right="460"/>
        <w:spacing w:after="0" w:line="283" w:lineRule="auto"/>
        <w:rPr>
          <w:sz w:val="20"/>
          <w:szCs w:val="20"/>
          <w:color w:val="auto"/>
        </w:rPr>
      </w:pPr>
      <w:r>
        <w:rPr>
          <w:rFonts w:ascii="Arial" w:cs="Arial" w:eastAsia="Arial" w:hAnsi="Arial"/>
          <w:sz w:val="14"/>
          <w:szCs w:val="14"/>
          <w:color w:val="auto"/>
        </w:rPr>
        <w:t>The underwriters have informed us that they do not expect to confirm sales of shares of common stock and warrants offered by this prospectus to accounts over which they exercise discretionary authority without obtaining the specific approval of the account 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Distribution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underwriters and their affiliates may in the future provide various investment banking and other financial services for us for which services they may in the future receive, customary fees. Except for services provided in connection with this Offering, and in connection with the offering of our Series B 10% Convertible Preferred Stock, none of the underwriters has provided any investment banking or other financial services to us during the past 180 days and we do not expect to retain any of the underwriters to perform any investment banking or other financial services to us for at least 90 days after the date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Offer Restrictions Outside the United States</w:t>
      </w:r>
    </w:p>
    <w:p>
      <w:pPr>
        <w:spacing w:after="0" w:line="184"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4" w:name="page135"/>
    <w:bookmarkEnd w:id="13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for the offeree under this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China</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w:t>
      </w:r>
      <w:r>
        <w:rPr>
          <w:rFonts w:ascii="Arial" w:cs="Arial" w:eastAsia="Arial" w:hAnsi="Arial"/>
          <w:sz w:val="14"/>
          <w:szCs w:val="14"/>
          <w:i w:val="1"/>
          <w:iCs w:val="1"/>
          <w:color w:val="auto"/>
        </w:rPr>
        <w:t>PRC</w:t>
      </w:r>
      <w:r>
        <w:rPr>
          <w:rFonts w:ascii="Arial" w:cs="Arial" w:eastAsia="Arial" w:hAnsi="Arial"/>
          <w:sz w:val="14"/>
          <w:szCs w:val="14"/>
          <w:color w:val="auto"/>
        </w:rPr>
        <w:t>). The securities may not be offered or sold directly or indirectly in the PRC to legal or natural persons other than directly to “qualified domestic institutional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Economic Area — Belgium, Germany, Luxembourg and the Netherlands</w:t>
      </w:r>
    </w:p>
    <w:p>
      <w:pPr>
        <w:spacing w:after="0" w:line="180" w:lineRule="exact"/>
        <w:rPr>
          <w:sz w:val="20"/>
          <w:szCs w:val="20"/>
          <w:color w:val="auto"/>
        </w:rPr>
      </w:pPr>
    </w:p>
    <w:p>
      <w:pPr>
        <w:ind w:right="660"/>
        <w:spacing w:after="0" w:line="323" w:lineRule="auto"/>
        <w:rPr>
          <w:sz w:val="20"/>
          <w:szCs w:val="20"/>
          <w:color w:val="auto"/>
        </w:rPr>
      </w:pPr>
      <w:r>
        <w:rPr>
          <w:rFonts w:ascii="Arial" w:cs="Arial" w:eastAsia="Arial" w:hAnsi="Arial"/>
          <w:sz w:val="13"/>
          <w:szCs w:val="13"/>
          <w:color w:val="auto"/>
        </w:rPr>
        <w:t>The information in this document has been prepared on the basis that all offers of securities will be made pursuant to an exemption under the Directive 2003/71/EC (</w:t>
      </w:r>
      <w:r>
        <w:rPr>
          <w:rFonts w:ascii="Arial" w:cs="Arial" w:eastAsia="Arial" w:hAnsi="Arial"/>
          <w:sz w:val="13"/>
          <w:szCs w:val="13"/>
          <w:i w:val="1"/>
          <w:iCs w:val="1"/>
          <w:color w:val="auto"/>
        </w:rPr>
        <w:t>Prospectus Directive</w:t>
      </w:r>
      <w:r>
        <w:rPr>
          <w:rFonts w:ascii="Arial" w:cs="Arial" w:eastAsia="Arial" w:hAnsi="Arial"/>
          <w:sz w:val="13"/>
          <w:szCs w:val="13"/>
          <w:color w:val="auto"/>
        </w:rPr>
        <w:t xml:space="preserve">), as implemented in Member States of the European Economic Area (each, a </w:t>
      </w:r>
      <w:r>
        <w:rPr>
          <w:rFonts w:ascii="Arial" w:cs="Arial" w:eastAsia="Arial" w:hAnsi="Arial"/>
          <w:sz w:val="13"/>
          <w:szCs w:val="13"/>
          <w:i w:val="1"/>
          <w:iCs w:val="1"/>
          <w:color w:val="auto"/>
        </w:rPr>
        <w:t>Relevant Member State</w:t>
      </w:r>
      <w:r>
        <w:rPr>
          <w:rFonts w:ascii="Arial" w:cs="Arial" w:eastAsia="Arial" w:hAnsi="Arial"/>
          <w:sz w:val="13"/>
          <w:szCs w:val="13"/>
          <w:color w:val="auto"/>
        </w:rPr>
        <w:t>), from the requirement to produce a prospectus for offers of securities.</w:t>
      </w:r>
    </w:p>
    <w:p>
      <w:pPr>
        <w:spacing w:after="0" w:line="109" w:lineRule="exact"/>
        <w:rPr>
          <w:sz w:val="20"/>
          <w:szCs w:val="20"/>
          <w:color w:val="auto"/>
        </w:rPr>
      </w:pPr>
    </w:p>
    <w:p>
      <w:pPr>
        <w:ind w:right="580"/>
        <w:spacing w:after="0" w:line="283" w:lineRule="auto"/>
        <w:rPr>
          <w:sz w:val="20"/>
          <w:szCs w:val="20"/>
          <w:color w:val="auto"/>
        </w:rPr>
      </w:pPr>
      <w:r>
        <w:rPr>
          <w:rFonts w:ascii="Arial" w:cs="Arial" w:eastAsia="Arial" w:hAnsi="Arial"/>
          <w:sz w:val="14"/>
          <w:szCs w:val="14"/>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82" w:lineRule="exact"/>
        <w:rPr>
          <w:sz w:val="20"/>
          <w:szCs w:val="20"/>
          <w:color w:val="auto"/>
        </w:rPr>
      </w:pPr>
    </w:p>
    <w:p>
      <w:pPr>
        <w:ind w:left="480" w:hanging="475"/>
        <w:spacing w:after="0"/>
        <w:tabs>
          <w:tab w:leader="none" w:pos="48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to legal entities that are authorized or regulated to operate in the financial markets or, if not so authorized or regulated, whose corporate purpose is solely to invest in securities;</w:t>
      </w:r>
    </w:p>
    <w:p>
      <w:pPr>
        <w:spacing w:after="0" w:line="160" w:lineRule="exact"/>
        <w:rPr>
          <w:rFonts w:ascii="Arial" w:cs="Arial" w:eastAsia="Arial" w:hAnsi="Arial"/>
          <w:sz w:val="20"/>
          <w:szCs w:val="20"/>
          <w:color w:val="auto"/>
          <w:vertAlign w:val="superscript"/>
        </w:rPr>
      </w:pPr>
    </w:p>
    <w:p>
      <w:pPr>
        <w:ind w:left="480" w:right="120" w:hanging="475"/>
        <w:spacing w:after="0" w:line="290" w:lineRule="auto"/>
        <w:tabs>
          <w:tab w:leader="none" w:pos="480" w:val="left"/>
        </w:tabs>
        <w:numPr>
          <w:ilvl w:val="0"/>
          <w:numId w:val="74"/>
        </w:numPr>
        <w:rPr>
          <w:rFonts w:ascii="Arial" w:cs="Arial" w:eastAsia="Arial" w:hAnsi="Arial"/>
          <w:sz w:val="16"/>
          <w:szCs w:val="16"/>
          <w:color w:val="auto"/>
          <w:vertAlign w:val="superscript"/>
        </w:rPr>
      </w:pPr>
      <w:r>
        <w:rPr>
          <w:rFonts w:ascii="Arial" w:cs="Arial" w:eastAsia="Arial" w:hAnsi="Arial"/>
          <w:sz w:val="12"/>
          <w:szCs w:val="12"/>
          <w:color w:val="auto"/>
        </w:rPr>
        <w:t>to any legal entity that has two or more of (i) an average of at least 250 employees during its last fiscal year; (ii) a total balance sheet of more than €43 million (as shown on its last annual unconsolidated or consolidated financial statements); and (iii) an annual net turnover of more than €50 million (as shown on its last annual unconsolidated or consolidated financial statement);</w:t>
      </w:r>
    </w:p>
    <w:p>
      <w:pPr>
        <w:spacing w:after="0" w:line="122" w:lineRule="exact"/>
        <w:rPr>
          <w:rFonts w:ascii="Arial" w:cs="Arial" w:eastAsia="Arial" w:hAnsi="Arial"/>
          <w:sz w:val="16"/>
          <w:szCs w:val="16"/>
          <w:color w:val="auto"/>
          <w:vertAlign w:val="superscript"/>
        </w:rPr>
      </w:pPr>
    </w:p>
    <w:p>
      <w:pPr>
        <w:ind w:left="480" w:right="20" w:hanging="475"/>
        <w:spacing w:after="0" w:line="215" w:lineRule="auto"/>
        <w:tabs>
          <w:tab w:leader="none" w:pos="48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to fewer than 100 natural or legal persons (other than qualified investors within the meaning of Article 2(1)I of the Prospectus Directive) subject to obtaining the prior consent of the company or any underwriter for any such offer; or</w:t>
      </w:r>
    </w:p>
    <w:p>
      <w:pPr>
        <w:spacing w:after="0" w:line="160" w:lineRule="exact"/>
        <w:rPr>
          <w:rFonts w:ascii="Arial" w:cs="Arial" w:eastAsia="Arial" w:hAnsi="Arial"/>
          <w:sz w:val="20"/>
          <w:szCs w:val="20"/>
          <w:color w:val="auto"/>
          <w:vertAlign w:val="superscript"/>
        </w:rPr>
      </w:pPr>
    </w:p>
    <w:p>
      <w:pPr>
        <w:ind w:left="480" w:right="40" w:hanging="475"/>
        <w:spacing w:after="0" w:line="215" w:lineRule="auto"/>
        <w:tabs>
          <w:tab w:leader="none" w:pos="48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in any other circumstances falling within Article 3(2) of the Prospectus Directive, provided that no such offer of the securities shall result in a requirement for the publication by the company of a prospectus pursuant to Article 3 of the Prospectus Directive.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5" w:name="page136"/>
    <w:bookmarkEnd w:id="1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France</w:t>
      </w:r>
    </w:p>
    <w:p>
      <w:pPr>
        <w:spacing w:after="0" w:line="180"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auto"/>
        </w:rPr>
        <w:t>This document is not being distributed in the context of a public offering of financial securities (offre au public de titres financiers) in France within the meaning of Article L.411-1 of the French Monetary and Financial Code (Code mon</w:t>
      </w:r>
      <w:r>
        <w:rPr>
          <w:rFonts w:ascii="Arial" w:cs="Arial" w:eastAsia="Arial" w:hAnsi="Arial"/>
          <w:sz w:val="14"/>
          <w:szCs w:val="14"/>
          <w:color w:val="auto"/>
        </w:rPr>
        <w:t>й</w:t>
      </w:r>
      <w:r>
        <w:rPr>
          <w:rFonts w:ascii="Arial" w:cs="Arial" w:eastAsia="Arial" w:hAnsi="Arial"/>
          <w:sz w:val="14"/>
          <w:szCs w:val="14"/>
          <w:color w:val="auto"/>
        </w:rPr>
        <w:t>taire et financier) and Articles 211-1 et seq. of the General Regulation of the French Autorite des marches financiers (</w:t>
      </w:r>
      <w:r>
        <w:rPr>
          <w:rFonts w:ascii="Arial" w:cs="Arial" w:eastAsia="Arial" w:hAnsi="Arial"/>
          <w:sz w:val="14"/>
          <w:szCs w:val="14"/>
          <w:i w:val="1"/>
          <w:iCs w:val="1"/>
          <w:color w:val="auto"/>
        </w:rPr>
        <w:t>AMF</w:t>
      </w:r>
      <w:r>
        <w:rPr>
          <w:rFonts w:ascii="Arial" w:cs="Arial" w:eastAsia="Arial" w:hAnsi="Arial"/>
          <w:sz w:val="14"/>
          <w:szCs w:val="14"/>
          <w:color w:val="auto"/>
        </w:rPr>
        <w:t>). The securities have not been offered or sold and will not be offered or sold, directly or indirectly, to the public in France.</w:t>
      </w:r>
    </w:p>
    <w:p>
      <w:pPr>
        <w:spacing w:after="0" w:line="14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non-qualifiés) acting for their own account, as defined in and in accordance with Articles L.411-2-II-2° and D.411-4, D.744-1, D.754-1 and D.764-1 of the French Monetary and Financial Code and any implementing regulation.</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201"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 xml:space="preserve">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Regulations</w:t>
      </w:r>
      <w:r>
        <w:rPr>
          <w:rFonts w:ascii="Arial" w:cs="Arial" w:eastAsia="Arial" w:hAnsi="Arial"/>
          <w:sz w:val="13"/>
          <w:szCs w:val="13"/>
          <w:color w:val="auto"/>
        </w:rPr>
        <w:t>). The securities have not been offered or sold, and will not be offered, sold or delivered directly or indirectly in Ireland by way of a public offering, except to (i) qualified investors as</w:t>
      </w:r>
      <w:r>
        <w:rPr>
          <w:rFonts w:ascii="Arial" w:cs="Arial" w:eastAsia="Arial" w:hAnsi="Arial"/>
          <w:sz w:val="13"/>
          <w:szCs w:val="13"/>
          <w:i w:val="1"/>
          <w:iCs w:val="1"/>
          <w:color w:val="auto"/>
        </w:rPr>
        <w:t xml:space="preserve"> </w:t>
      </w:r>
      <w:r>
        <w:rPr>
          <w:rFonts w:ascii="Arial" w:cs="Arial" w:eastAsia="Arial" w:hAnsi="Arial"/>
          <w:sz w:val="13"/>
          <w:szCs w:val="13"/>
          <w:color w:val="auto"/>
        </w:rPr>
        <w:t>defined in Regulation 2(l) of the Prospectus Regulations; and (ii) fewer than 100 natural or legal persons who are not qualified investors.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Israel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The securities offered by this prospectus may not be offered or sold to any person resident in Israel or entity organized or formed in Israel, unless it is an “institutional investor,” as set forth in Section 15A(b)(1) of the Israeli Securities Law 5728-1968, or the Israeli Securities Law, and has provided the requisite certification under the First Addendum of the Israeli Securities Law, or pursuant to other exemptions available under the Israeli Securities Law.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Italy</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The offering of the securities in the Republic of Italy has not been authorized by the Italian Securities and Exchange Commission (Commissione Nazionale per le Societ</w:t>
      </w:r>
      <w:r>
        <w:rPr>
          <w:rFonts w:ascii="Arial" w:cs="Arial" w:eastAsia="Arial" w:hAnsi="Arial"/>
          <w:sz w:val="14"/>
          <w:szCs w:val="14"/>
          <w:color w:val="auto"/>
        </w:rPr>
        <w:t>а</w:t>
      </w:r>
      <w:r>
        <w:rPr>
          <w:rFonts w:ascii="Arial" w:cs="Arial" w:eastAsia="Arial" w:hAnsi="Arial"/>
          <w:sz w:val="14"/>
          <w:szCs w:val="14"/>
          <w:color w:val="auto"/>
        </w:rPr>
        <w:t xml:space="preserve"> e la Borsa, or </w:t>
      </w:r>
      <w:r>
        <w:rPr>
          <w:rFonts w:ascii="Arial" w:cs="Arial" w:eastAsia="Arial" w:hAnsi="Arial"/>
          <w:sz w:val="14"/>
          <w:szCs w:val="14"/>
          <w:i w:val="1"/>
          <w:iCs w:val="1"/>
          <w:color w:val="auto"/>
        </w:rPr>
        <w:t>CONSOB</w:t>
      </w:r>
      <w:r>
        <w:rPr>
          <w:rFonts w:ascii="Arial" w:cs="Arial" w:eastAsia="Arial" w:hAnsi="Arial"/>
          <w:sz w:val="14"/>
          <w:szCs w:val="14"/>
          <w:color w:val="auto"/>
        </w:rPr>
        <w:t>)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w:t>
      </w:r>
      <w:r>
        <w:rPr>
          <w:rFonts w:ascii="Arial" w:cs="Arial" w:eastAsia="Arial" w:hAnsi="Arial"/>
          <w:sz w:val="14"/>
          <w:szCs w:val="14"/>
          <w:i w:val="1"/>
          <w:iCs w:val="1"/>
          <w:color w:val="auto"/>
        </w:rPr>
        <w:t>Decree No. 58</w:t>
      </w:r>
      <w:r>
        <w:rPr>
          <w:rFonts w:ascii="Arial" w:cs="Arial" w:eastAsia="Arial" w:hAnsi="Arial"/>
          <w:sz w:val="14"/>
          <w:szCs w:val="14"/>
          <w:color w:val="auto"/>
        </w:rPr>
        <w:t>), other than:</w:t>
      </w:r>
    </w:p>
    <w:p>
      <w:pPr>
        <w:spacing w:after="0" w:line="142" w:lineRule="exact"/>
        <w:rPr>
          <w:sz w:val="20"/>
          <w:szCs w:val="20"/>
          <w:color w:val="auto"/>
        </w:rPr>
      </w:pPr>
    </w:p>
    <w:p>
      <w:pPr>
        <w:ind w:left="480" w:right="260" w:hanging="475"/>
        <w:spacing w:after="0" w:line="215"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to Italian qualified investors, as defined in Article 100 of Decree no. 58 by reference to Article 34-ter of CONSOB Regulation no. 11971 of 14 May 1999 (</w:t>
      </w:r>
      <w:r>
        <w:rPr>
          <w:rFonts w:ascii="Arial" w:cs="Arial" w:eastAsia="Arial" w:hAnsi="Arial"/>
          <w:sz w:val="14"/>
          <w:szCs w:val="14"/>
          <w:i w:val="1"/>
          <w:iCs w:val="1"/>
          <w:color w:val="auto"/>
        </w:rPr>
        <w:t>Regulation no. 1197l</w:t>
      </w:r>
      <w:r>
        <w:rPr>
          <w:rFonts w:ascii="Arial" w:cs="Arial" w:eastAsia="Arial" w:hAnsi="Arial"/>
          <w:sz w:val="14"/>
          <w:szCs w:val="14"/>
          <w:color w:val="auto"/>
        </w:rPr>
        <w:t>) as amended (</w:t>
      </w:r>
      <w:r>
        <w:rPr>
          <w:rFonts w:ascii="Arial" w:cs="Arial" w:eastAsia="Arial" w:hAnsi="Arial"/>
          <w:sz w:val="14"/>
          <w:szCs w:val="14"/>
          <w:i w:val="1"/>
          <w:iCs w:val="1"/>
          <w:color w:val="auto"/>
        </w:rPr>
        <w:t>Qualified Investors</w:t>
      </w:r>
      <w:r>
        <w:rPr>
          <w:rFonts w:ascii="Arial" w:cs="Arial" w:eastAsia="Arial" w:hAnsi="Arial"/>
          <w:sz w:val="14"/>
          <w:szCs w:val="14"/>
          <w:color w:val="auto"/>
        </w:rPr>
        <w:t>); and</w:t>
      </w:r>
    </w:p>
    <w:p>
      <w:pPr>
        <w:spacing w:after="0" w:line="160" w:lineRule="exact"/>
        <w:rPr>
          <w:rFonts w:ascii="Arial" w:cs="Arial" w:eastAsia="Arial" w:hAnsi="Arial"/>
          <w:sz w:val="20"/>
          <w:szCs w:val="20"/>
          <w:color w:val="auto"/>
          <w:vertAlign w:val="superscript"/>
        </w:rPr>
      </w:pPr>
    </w:p>
    <w:p>
      <w:pPr>
        <w:ind w:left="480" w:right="320" w:hanging="475"/>
        <w:spacing w:after="0" w:line="226" w:lineRule="auto"/>
        <w:tabs>
          <w:tab w:leader="none" w:pos="480" w:val="left"/>
        </w:tabs>
        <w:numPr>
          <w:ilvl w:val="0"/>
          <w:numId w:val="75"/>
        </w:numPr>
        <w:rPr>
          <w:rFonts w:ascii="Arial" w:cs="Arial" w:eastAsia="Arial" w:hAnsi="Arial"/>
          <w:sz w:val="20"/>
          <w:szCs w:val="20"/>
          <w:color w:val="auto"/>
          <w:vertAlign w:val="superscript"/>
        </w:rPr>
      </w:pPr>
      <w:r>
        <w:rPr>
          <w:rFonts w:ascii="Arial" w:cs="Arial" w:eastAsia="Arial" w:hAnsi="Arial"/>
          <w:sz w:val="14"/>
          <w:szCs w:val="14"/>
          <w:color w:val="auto"/>
        </w:rPr>
        <w:t>in other circumstances that are exempt from the rules on public offer pursuant to Article 100 of Decree No. 58 and Article 34-ter of Regulation No. 11971 as amended. Any offer, sale or delivery of the securities or distribution of any offer document relating to the securities in Italy (excluding placements where a Qualified Investor solicits an offer from the issuer) under the paragraphs above must be: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220"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396" w:lineRule="exact"/>
        <w:rPr>
          <w:sz w:val="20"/>
          <w:szCs w:val="20"/>
          <w:color w:val="auto"/>
        </w:rPr>
      </w:pPr>
    </w:p>
    <w:p>
      <w:pPr>
        <w:ind w:left="48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 compliance with all relevant Italian securities, tax and exchange controls and any other applicable laws.</w:t>
      </w:r>
    </w:p>
    <w:p>
      <w:pPr>
        <w:spacing w:after="0" w:line="180" w:lineRule="exact"/>
        <w:rPr>
          <w:sz w:val="20"/>
          <w:szCs w:val="20"/>
          <w:color w:val="auto"/>
        </w:rPr>
      </w:pPr>
    </w:p>
    <w:p>
      <w:pPr>
        <w:sectPr>
          <w:pgSz w:w="11900" w:h="16838" w:orient="portrait"/>
          <w:cols w:equalWidth="0" w:num="2">
            <w:col w:w="900" w:space="220"/>
            <w:col w:w="10280"/>
          </w:cols>
          <w:pgMar w:left="220" w:top="133" w:right="279" w:bottom="1440" w:gutter="0" w:footer="0" w:header="0"/>
        </w:sectPr>
      </w:pPr>
    </w:p>
    <w:p>
      <w:pPr>
        <w:spacing w:after="0" w:line="268" w:lineRule="auto"/>
        <w:rPr>
          <w:sz w:val="20"/>
          <w:szCs w:val="20"/>
          <w:color w:val="auto"/>
        </w:rPr>
      </w:pPr>
      <w:r>
        <w:rPr>
          <w:rFonts w:ascii="Arial" w:cs="Arial" w:eastAsia="Arial" w:hAnsi="Arial"/>
          <w:sz w:val="14"/>
          <w:szCs w:val="14"/>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Japan</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 xml:space="preserve">The securities have not been and will not be registered under Article 4, paragraph 1 of the Financial Instruments and Exchange Law of Japan (Law No. 25 of 1948), as amended (the </w:t>
      </w:r>
      <w:r>
        <w:rPr>
          <w:rFonts w:ascii="Arial" w:cs="Arial" w:eastAsia="Arial" w:hAnsi="Arial"/>
          <w:sz w:val="14"/>
          <w:szCs w:val="14"/>
          <w:i w:val="1"/>
          <w:iCs w:val="1"/>
          <w:color w:val="auto"/>
        </w:rPr>
        <w:t>FIEL</w:t>
      </w:r>
      <w:r>
        <w:rPr>
          <w:rFonts w:ascii="Arial" w:cs="Arial" w:eastAsia="Arial" w:hAnsi="Arial"/>
          <w:sz w:val="14"/>
          <w:szCs w:val="14"/>
          <w:color w:val="auto"/>
        </w:rPr>
        <w:t>)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Portugal</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document is not being distributed in the context of a public offer of financial securities (oferta p</w:t>
      </w:r>
      <w:r>
        <w:rPr>
          <w:rFonts w:ascii="Arial" w:cs="Arial" w:eastAsia="Arial" w:hAnsi="Arial"/>
          <w:sz w:val="13"/>
          <w:szCs w:val="13"/>
          <w:color w:val="auto"/>
        </w:rPr>
        <w:t>ъ</w:t>
      </w:r>
      <w:r>
        <w:rPr>
          <w:rFonts w:ascii="Arial" w:cs="Arial" w:eastAsia="Arial" w:hAnsi="Arial"/>
          <w:sz w:val="13"/>
          <w:szCs w:val="13"/>
          <w:color w:val="auto"/>
        </w:rPr>
        <w:t>blica de valores mobili</w:t>
      </w:r>
      <w:r>
        <w:rPr>
          <w:rFonts w:ascii="Arial" w:cs="Arial" w:eastAsia="Arial" w:hAnsi="Arial"/>
          <w:sz w:val="13"/>
          <w:szCs w:val="13"/>
          <w:color w:val="auto"/>
        </w:rPr>
        <w:t>б</w:t>
      </w:r>
      <w:r>
        <w:rPr>
          <w:rFonts w:ascii="Arial" w:cs="Arial" w:eastAsia="Arial" w:hAnsi="Arial"/>
          <w:sz w:val="13"/>
          <w:szCs w:val="13"/>
          <w:color w:val="auto"/>
        </w:rPr>
        <w:t>rios) in Portugal, within the meaning of Article 109 of the Portuguese Securities Code (C</w:t>
      </w:r>
      <w:r>
        <w:rPr>
          <w:rFonts w:ascii="Arial" w:cs="Arial" w:eastAsia="Arial" w:hAnsi="Arial"/>
          <w:sz w:val="13"/>
          <w:szCs w:val="13"/>
          <w:color w:val="auto"/>
        </w:rPr>
        <w:t>у</w:t>
      </w:r>
      <w:r>
        <w:rPr>
          <w:rFonts w:ascii="Arial" w:cs="Arial" w:eastAsia="Arial" w:hAnsi="Arial"/>
          <w:sz w:val="13"/>
          <w:szCs w:val="13"/>
          <w:color w:val="auto"/>
        </w:rPr>
        <w:t>digo dos Valores Mobili</w:t>
      </w:r>
      <w:r>
        <w:rPr>
          <w:rFonts w:ascii="Arial" w:cs="Arial" w:eastAsia="Arial" w:hAnsi="Arial"/>
          <w:sz w:val="13"/>
          <w:szCs w:val="13"/>
          <w:color w:val="auto"/>
        </w:rPr>
        <w:t>б</w:t>
      </w:r>
      <w:r>
        <w:rPr>
          <w:rFonts w:ascii="Arial" w:cs="Arial" w:eastAsia="Arial" w:hAnsi="Arial"/>
          <w:sz w:val="13"/>
          <w:szCs w:val="13"/>
          <w:color w:val="auto"/>
        </w:rPr>
        <w:t>rios). The securities have not been offered or sold and will not be offered or sold, directly or indirectly, to the public in Portugal. This document and any other offering material relating to the securities has not been, and will not be, submitted to the Portuguese Securities Market Commission (Comiss</w:t>
      </w:r>
      <w:r>
        <w:rPr>
          <w:rFonts w:ascii="Arial" w:cs="Arial" w:eastAsia="Arial" w:hAnsi="Arial"/>
          <w:sz w:val="13"/>
          <w:szCs w:val="13"/>
          <w:color w:val="auto"/>
        </w:rPr>
        <w:t>г</w:t>
      </w:r>
      <w:r>
        <w:rPr>
          <w:rFonts w:ascii="Arial" w:cs="Arial" w:eastAsia="Arial" w:hAnsi="Arial"/>
          <w:sz w:val="13"/>
          <w:szCs w:val="13"/>
          <w:color w:val="auto"/>
        </w:rPr>
        <w:t>o do Mercado de Valores Mobili</w:t>
      </w:r>
      <w:r>
        <w:rPr>
          <w:rFonts w:ascii="Arial" w:cs="Arial" w:eastAsia="Arial" w:hAnsi="Arial"/>
          <w:sz w:val="13"/>
          <w:szCs w:val="13"/>
          <w:color w:val="auto"/>
        </w:rPr>
        <w:t>б</w:t>
      </w:r>
      <w:r>
        <w:rPr>
          <w:rFonts w:ascii="Arial" w:cs="Arial" w:eastAsia="Arial" w:hAnsi="Arial"/>
          <w:sz w:val="13"/>
          <w:szCs w:val="13"/>
          <w:color w:val="auto"/>
        </w:rPr>
        <w:t>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Sweden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type w:val="continuous"/>
        </w:sectPr>
      </w:pPr>
    </w:p>
    <w:bookmarkStart w:id="137" w:name="page138"/>
    <w:bookmarkEnd w:id="1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Switzerland</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securities may not be publicly offered in Switzerland and will not be listed on the SIX Swiss Exchange (</w:t>
      </w:r>
      <w:r>
        <w:rPr>
          <w:rFonts w:ascii="Arial" w:cs="Arial" w:eastAsia="Arial" w:hAnsi="Arial"/>
          <w:sz w:val="14"/>
          <w:szCs w:val="14"/>
          <w:i w:val="1"/>
          <w:iCs w:val="1"/>
          <w:color w:val="auto"/>
        </w:rPr>
        <w:t>SIX</w:t>
      </w:r>
      <w:r>
        <w:rPr>
          <w:rFonts w:ascii="Arial" w:cs="Arial" w:eastAsia="Arial" w:hAnsi="Arial"/>
          <w:sz w:val="14"/>
          <w:szCs w:val="14"/>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46"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Neither this document nor any other offering material relating to the securities has been or will be filed with or approved by any Swiss regulatory authority. In particular, this document will not be filed with, and the offer of securities will not be supervised by, the Swiss Financial Market Supervisory Authority (</w:t>
      </w:r>
      <w:r>
        <w:rPr>
          <w:rFonts w:ascii="Arial" w:cs="Arial" w:eastAsia="Arial" w:hAnsi="Arial"/>
          <w:sz w:val="14"/>
          <w:szCs w:val="14"/>
          <w:i w:val="1"/>
          <w:iCs w:val="1"/>
          <w:color w:val="auto"/>
        </w:rPr>
        <w:t>FINMA</w:t>
      </w:r>
      <w:r>
        <w:rPr>
          <w:rFonts w:ascii="Arial" w:cs="Arial" w:eastAsia="Arial" w:hAnsi="Arial"/>
          <w:sz w:val="14"/>
          <w:szCs w:val="14"/>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This document is personal to the recipient only and not for general circulation in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Arab Emirates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us.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offer or invitation to subscribe for securities is valid or permitted in the Dubai International Financial Centre.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Kingdom</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w:t>
      </w:r>
      <w:r>
        <w:rPr>
          <w:rFonts w:ascii="Arial" w:cs="Arial" w:eastAsia="Arial" w:hAnsi="Arial"/>
          <w:sz w:val="13"/>
          <w:szCs w:val="13"/>
          <w:i w:val="1"/>
          <w:iCs w:val="1"/>
          <w:color w:val="auto"/>
        </w:rPr>
        <w:t>FSMA</w:t>
      </w:r>
      <w:r>
        <w:rPr>
          <w:rFonts w:ascii="Arial" w:cs="Arial" w:eastAsia="Arial" w:hAnsi="Arial"/>
          <w:sz w:val="13"/>
          <w:szCs w:val="13"/>
          <w:color w:val="auto"/>
        </w:rPr>
        <w:t>))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that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Arial" w:cs="Arial" w:eastAsia="Arial" w:hAnsi="Arial"/>
          <w:sz w:val="14"/>
          <w:szCs w:val="14"/>
          <w:i w:val="1"/>
          <w:iCs w:val="1"/>
          <w:color w:val="auto"/>
        </w:rPr>
        <w:t>FPO</w:t>
      </w:r>
      <w:r>
        <w:rPr>
          <w:rFonts w:ascii="Arial" w:cs="Arial" w:eastAsia="Arial" w:hAnsi="Arial"/>
          <w:sz w:val="14"/>
          <w:szCs w:val="14"/>
          <w:color w:val="auto"/>
        </w:rPr>
        <w:t>);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38" w:name="page139"/>
    <w:bookmarkEnd w:id="13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Disclosure Law Group, a Professional Corporation (</w:t>
      </w:r>
      <w:r>
        <w:rPr>
          <w:rFonts w:ascii="Arial" w:cs="Arial" w:eastAsia="Arial" w:hAnsi="Arial"/>
          <w:sz w:val="14"/>
          <w:szCs w:val="14"/>
          <w:i w:val="1"/>
          <w:iCs w:val="1"/>
          <w:color w:val="auto"/>
        </w:rPr>
        <w:t>DLG</w:t>
      </w:r>
      <w:r>
        <w:rPr>
          <w:rFonts w:ascii="Arial" w:cs="Arial" w:eastAsia="Arial" w:hAnsi="Arial"/>
          <w:sz w:val="14"/>
          <w:szCs w:val="14"/>
          <w:color w:val="auto"/>
        </w:rPr>
        <w:t>), of San Diego, California, will pass upon the validity of the shares of common stock and warrants offered hereby. A partner and an associate of DLG beneficially own an aggregate of 40,987 registered and/or restricted shares of our common stock. Legal counsel to the underwriters is Zysman, Aharoni, Gayer and Sullivan &amp; Worcester LLP, New York, New York (</w:t>
      </w:r>
      <w:r>
        <w:rPr>
          <w:rFonts w:ascii="Arial" w:cs="Arial" w:eastAsia="Arial" w:hAnsi="Arial"/>
          <w:sz w:val="14"/>
          <w:szCs w:val="14"/>
          <w:i w:val="1"/>
          <w:iCs w:val="1"/>
          <w:color w:val="auto"/>
        </w:rPr>
        <w:t>ZAG</w:t>
      </w:r>
      <w:r>
        <w:rPr>
          <w:rFonts w:ascii="Arial" w:cs="Arial" w:eastAsia="Arial" w:hAnsi="Arial"/>
          <w:sz w:val="14"/>
          <w:szCs w:val="14"/>
          <w:color w:val="auto"/>
        </w:rPr>
        <w:t>-</w:t>
      </w:r>
      <w:r>
        <w:rPr>
          <w:rFonts w:ascii="Arial" w:cs="Arial" w:eastAsia="Arial" w:hAnsi="Arial"/>
          <w:sz w:val="14"/>
          <w:szCs w:val="14"/>
          <w:i w:val="1"/>
          <w:iCs w:val="1"/>
          <w:color w:val="auto"/>
        </w:rPr>
        <w:t>S&amp;W</w:t>
      </w:r>
      <w:r>
        <w:rPr>
          <w:rFonts w:ascii="Arial" w:cs="Arial" w:eastAsia="Arial" w:hAnsi="Arial"/>
          <w:sz w:val="14"/>
          <w:szCs w:val="14"/>
          <w:color w:val="auto"/>
        </w:rPr>
        <w:t>). ZAG-S&amp;W beneficially owns 3,125 restricted shares of our common stock.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184"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INTEREST OF NAMED EXPERTS AND COUNSEL</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4"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25"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9" w:name="page140"/>
    <w:bookmarkEnd w:id="13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Pr>
          <w:p>
            <w:pPr>
              <w:jc w:val="center"/>
              <w:ind w:left="1429"/>
              <w:spacing w:after="0"/>
              <w:rPr>
                <w:sz w:val="20"/>
                <w:szCs w:val="20"/>
                <w:color w:val="auto"/>
              </w:rPr>
            </w:pPr>
            <w:r>
              <w:rPr>
                <w:rFonts w:ascii="Arial" w:cs="Arial" w:eastAsia="Arial" w:hAnsi="Arial"/>
                <w:sz w:val="14"/>
                <w:szCs w:val="14"/>
                <w:b w:val="1"/>
                <w:bCs w:val="1"/>
                <w:color w:val="auto"/>
              </w:rPr>
              <w:t>VISTAGEN THERAPEUTICS INC.</w:t>
            </w:r>
          </w:p>
        </w:tc>
        <w:tc>
          <w:tcPr>
            <w:tcW w:w="1460" w:type="dxa"/>
            <w:vAlign w:val="bottom"/>
          </w:tcPr>
          <w:p>
            <w:pPr>
              <w:spacing w:after="0"/>
              <w:rPr>
                <w:sz w:val="14"/>
                <w:szCs w:val="14"/>
                <w:color w:val="auto"/>
              </w:rPr>
            </w:pPr>
          </w:p>
        </w:tc>
      </w:tr>
      <w:tr>
        <w:trPr>
          <w:trHeight w:val="184"/>
        </w:trPr>
        <w:tc>
          <w:tcPr>
            <w:tcW w:w="10000" w:type="dxa"/>
            <w:vAlign w:val="bottom"/>
          </w:tcPr>
          <w:p>
            <w:pPr>
              <w:jc w:val="center"/>
              <w:ind w:left="1409"/>
              <w:spacing w:after="0"/>
              <w:rPr>
                <w:sz w:val="20"/>
                <w:szCs w:val="20"/>
                <w:color w:val="auto"/>
              </w:rPr>
            </w:pPr>
            <w:r>
              <w:rPr>
                <w:rFonts w:ascii="Arial" w:cs="Arial" w:eastAsia="Arial" w:hAnsi="Arial"/>
                <w:sz w:val="14"/>
                <w:szCs w:val="14"/>
                <w:b w:val="1"/>
                <w:bCs w:val="1"/>
                <w:color w:val="auto"/>
              </w:rPr>
              <w:t>INDEX TO FINANCIAL STATEMENTS</w:t>
            </w:r>
          </w:p>
        </w:tc>
        <w:tc>
          <w:tcPr>
            <w:tcW w:w="1460" w:type="dxa"/>
            <w:vAlign w:val="bottom"/>
          </w:tcPr>
          <w:p>
            <w:pPr>
              <w:spacing w:after="0"/>
              <w:rPr>
                <w:sz w:val="16"/>
                <w:szCs w:val="16"/>
                <w:color w:val="auto"/>
              </w:rPr>
            </w:pPr>
          </w:p>
        </w:tc>
      </w:tr>
      <w:tr>
        <w:trPr>
          <w:trHeight w:val="534"/>
        </w:trPr>
        <w:tc>
          <w:tcPr>
            <w:tcW w:w="100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Audited Financial Statements for the years ended March 31, 2015 and 2014</w:t>
            </w:r>
          </w:p>
        </w:tc>
        <w:tc>
          <w:tcPr>
            <w:tcW w:w="1460" w:type="dxa"/>
            <w:vAlign w:val="bottom"/>
          </w:tcPr>
          <w:p>
            <w:pPr>
              <w:spacing w:after="0"/>
              <w:rPr>
                <w:sz w:val="14"/>
                <w:szCs w:val="14"/>
                <w:color w:val="auto"/>
              </w:rPr>
            </w:pPr>
          </w:p>
        </w:tc>
      </w:tr>
      <w:tr>
        <w:trPr>
          <w:trHeight w:val="171"/>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F-2</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F-3</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Operations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F-4</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F-5</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Stockholders' Deficit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F-6</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F-7</w:t>
            </w:r>
          </w:p>
        </w:tc>
      </w:tr>
      <w:tr>
        <w:trPr>
          <w:trHeight w:val="170"/>
        </w:trPr>
        <w:tc>
          <w:tcPr>
            <w:tcW w:w="10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Financial statements for the nine-month periods ended December 31, 2015 and 2014 (Unaudited)</w:t>
            </w:r>
          </w:p>
        </w:tc>
        <w:tc>
          <w:tcPr>
            <w:tcW w:w="1460" w:type="dxa"/>
            <w:vAlign w:val="bottom"/>
          </w:tcPr>
          <w:p>
            <w:pPr>
              <w:spacing w:after="0"/>
              <w:rPr>
                <w:sz w:val="14"/>
                <w:szCs w:val="14"/>
                <w:color w:val="auto"/>
              </w:rPr>
            </w:pP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Balance Sheets at December 31, 2015 and March 31, 2015</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F-50</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Condensed Consolidated Statements of Operations and Comprehensive Loss for the nine months ended December 31 2015 and 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F-51</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Statements of Cash Flows for the nine months ended December 31, 2015 and 2014</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F-52</w:t>
            </w:r>
          </w:p>
        </w:tc>
      </w:tr>
      <w:tr>
        <w:trPr>
          <w:trHeight w:val="180"/>
        </w:trPr>
        <w:tc>
          <w:tcPr>
            <w:tcW w:w="1000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F-53</w:t>
            </w:r>
          </w:p>
        </w:tc>
      </w:tr>
      <w:tr>
        <w:trPr>
          <w:trHeight w:val="660"/>
        </w:trPr>
        <w:tc>
          <w:tcPr>
            <w:tcW w:w="10000" w:type="dxa"/>
            <w:vAlign w:val="bottom"/>
          </w:tcPr>
          <w:p>
            <w:pPr>
              <w:jc w:val="center"/>
              <w:ind w:left="1409"/>
              <w:spacing w:after="0"/>
              <w:rPr>
                <w:sz w:val="20"/>
                <w:szCs w:val="20"/>
                <w:color w:val="auto"/>
              </w:rPr>
            </w:pPr>
            <w:r>
              <w:rPr>
                <w:rFonts w:ascii="Arial" w:cs="Arial" w:eastAsia="Arial" w:hAnsi="Arial"/>
                <w:sz w:val="14"/>
                <w:szCs w:val="14"/>
                <w:color w:val="auto"/>
                <w:w w:val="95"/>
              </w:rPr>
              <w:t>F-1</w:t>
            </w:r>
          </w:p>
        </w:tc>
        <w:tc>
          <w:tcPr>
            <w:tcW w:w="1460" w:type="dxa"/>
            <w:vAlign w:val="bottom"/>
          </w:tcPr>
          <w:p>
            <w:pPr>
              <w:spacing w:after="0"/>
              <w:rPr>
                <w:sz w:val="24"/>
                <w:szCs w:val="24"/>
                <w:color w:val="auto"/>
              </w:rPr>
            </w:pPr>
          </w:p>
        </w:tc>
      </w:tr>
      <w:tr>
        <w:trPr>
          <w:trHeight w:val="92"/>
        </w:trPr>
        <w:tc>
          <w:tcPr>
            <w:tcW w:w="100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0" w:name="page141"/>
    <w:bookmarkEnd w:id="14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5"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29, 2015</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41" w:name="page142"/>
    <w:bookmarkEnd w:id="1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VISTAGEN THERAPEUTICS, INC.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60"/>
        </w:trPr>
        <w:tc>
          <w:tcPr>
            <w:tcW w:w="8720" w:type="dxa"/>
            <w:vAlign w:val="bottom"/>
          </w:tcPr>
          <w:p>
            <w:pPr>
              <w:ind w:left="5420"/>
              <w:spacing w:after="0" w:line="160"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35,700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40,500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117,100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176,300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Security deposits and other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8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20" w:type="dxa"/>
            <w:vAlign w:val="bottom"/>
          </w:tcPr>
          <w:p>
            <w:pPr>
              <w:ind w:left="4120"/>
              <w:spacing w:after="0"/>
              <w:rPr>
                <w:sz w:val="20"/>
                <w:szCs w:val="20"/>
                <w:color w:val="auto"/>
              </w:rPr>
            </w:pPr>
            <w:r>
              <w:rPr>
                <w:rFonts w:ascii="Arial" w:cs="Arial" w:eastAsia="Arial" w:hAnsi="Arial"/>
                <w:sz w:val="14"/>
                <w:szCs w:val="14"/>
                <w:b w:val="1"/>
                <w:bCs w:val="1"/>
                <w:color w:val="auto"/>
              </w:rPr>
              <w:t>LIABILITIES AND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2,251,100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2,443,900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Advance from officer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Current portion of notes payable, net of discount of $474,500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4,117,000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1,442,300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notes payable to related parties, net of discount of $54,500 at March 31, 2015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1,508,800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290,400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 promissory notes and accrued interest, net of discount of $180,000 at March 31, 2015 and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80"/>
              <w:spacing w:after="0"/>
              <w:rPr>
                <w:sz w:val="20"/>
                <w:szCs w:val="20"/>
                <w:color w:val="auto"/>
              </w:rPr>
            </w:pPr>
            <w:r>
              <w:rPr>
                <w:rFonts w:ascii="Arial" w:cs="Arial" w:eastAsia="Arial" w:hAnsi="Arial"/>
                <w:sz w:val="14"/>
                <w:szCs w:val="14"/>
                <w:color w:val="auto"/>
              </w:rPr>
              <w:t>$697,400 at March 31, 2014, respectively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4,157,600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396,000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2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17,388,100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5,205,700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Senior secured convertible promissory notes, net of discount of $0 at March 31, 2015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$2,085,900 at March 31, 2014, respectively,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296,200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1,929,800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net of discount of $0 at March 31, 2015 and $848,100 at March 31, 2014,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to related parties, net of discount of $103,200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1,057,100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3,008,500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Deferred rent liability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83,000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380"/>
              <w:spacing w:after="0"/>
              <w:rPr>
                <w:sz w:val="20"/>
                <w:szCs w:val="20"/>
                <w:color w:val="auto"/>
              </w:rPr>
            </w:pPr>
            <w:r>
              <w:rPr>
                <w:rFonts w:ascii="Arial" w:cs="Arial" w:eastAsia="Arial" w:hAnsi="Arial"/>
                <w:sz w:val="14"/>
                <w:szCs w:val="14"/>
                <w:color w:val="auto"/>
              </w:rPr>
              <w:t>Total non-current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3,424,400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7,857,900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20,812,500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13,063,600</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spacing w:after="0" w:line="160" w:lineRule="exact"/>
              <w:rPr>
                <w:sz w:val="20"/>
                <w:szCs w:val="20"/>
                <w:color w:val="auto"/>
              </w:rPr>
            </w:pPr>
            <w:r>
              <w:rPr>
                <w:rFonts w:ascii="Arial" w:cs="Arial" w:eastAsia="Arial" w:hAnsi="Arial"/>
                <w:sz w:val="14"/>
                <w:szCs w:val="14"/>
                <w:color w:val="auto"/>
              </w:rPr>
              <w:t>Preferred stock, $0.001 par value; 10,000,000 shares, including 500,000 Series A shares, authorized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at March 31, 2015 and March 31, 2014, respectively; 500,000 Series A shares issued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outstanding at March 31, 2015 and March 31, 2014, respectively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$0.001 par value; 10,000,000 shares authorized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 1,677,110 shares and 1,310,093 shares issued at March 31, 2015 and March 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2014, 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67,945,800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62,001,400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stock, at cost, 135,665 shares of common stock held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 receivable from sale of 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(198,100)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(84,522,700)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(70,636,900)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(20,542,800)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(12,799,900)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deficit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2" w:name="page143"/>
    <w:bookmarkEnd w:id="1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23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4"/>
                <w:szCs w:val="14"/>
                <w:color w:val="auto"/>
              </w:rPr>
              <w:t>Operating expenses:</w:t>
            </w: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2,432,700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2,480,600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4,344,400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2,548,300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from operations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(6,777,100)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(4,548,700)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(1,503,000)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liability</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(34,600)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(2,388,000)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(13,883,400)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(2,965,000)</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tcPr>
          <w:p>
            <w:pPr>
              <w:spacing w:after="0"/>
              <w:rPr>
                <w:sz w:val="14"/>
                <w:szCs w:val="14"/>
                <w:color w:val="auto"/>
              </w:rPr>
            </w:pPr>
          </w:p>
        </w:tc>
        <w:tc>
          <w:tcPr>
            <w:tcW w:w="60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w w:val="99"/>
              </w:rPr>
              <w:t>Weighted average shares used in computing</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Basic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80" w:type="dxa"/>
            <w:vAlign w:val="bottom"/>
            <w:shd w:val="clear" w:color="auto" w:fill="CCEEFF"/>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Diluted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780" w:type="dxa"/>
            <w:vAlign w:val="bottom"/>
          </w:tcPr>
          <w:p>
            <w:pPr>
              <w:spacing w:after="0"/>
              <w:rPr>
                <w:sz w:val="24"/>
                <w:szCs w:val="24"/>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780" w:type="dxa"/>
            <w:vAlign w:val="bottom"/>
            <w:tcBorders>
              <w:bottom w:val="single" w:sz="8" w:color="808080"/>
            </w:tcBorders>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3" w:name="page144"/>
    <w:bookmarkEnd w:id="14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VISTAGEN THERAPEUTICS, INC.</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CONSOLIDATED STATEMENTS OF CASH FLOWS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w w:val="92"/>
              </w:rPr>
              <w:t>(Amounts in dollars)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59,100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Amortization of discounts on convertible and promissory notes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3,372,000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warrant liability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2,460,100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1,137,300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 related to modification of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98,400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204,300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Non-cash rent and relocation expense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(14,400)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 on note receivable for stock purchase</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settlement of note receivable for stock purchase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134,900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Fair value of common stock granted for services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Fair value of warrants granted for services and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44,500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currency fluctuation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2,388,000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107,400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Security deposits and other assets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(17,900)</w:t>
            </w: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Accounts payable and accrued expenses, including accrued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2,024,100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2,229,900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(2,768,900)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(2,126,000)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Purchases of equipment, net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3,146,600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1,075,500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modified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264,200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Proceeds from sale of note and warrant to Platinum</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Advance from officer</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Repayment of capital lease obligations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notes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(148,600)</w:t>
            </w:r>
          </w:p>
        </w:tc>
        <w:tc>
          <w:tcPr>
            <w:tcW w:w="0" w:type="dxa"/>
            <w:vAlign w:val="bottom"/>
          </w:tcPr>
          <w:p>
            <w:pPr>
              <w:spacing w:after="0"/>
              <w:rPr>
                <w:sz w:val="1"/>
                <w:szCs w:val="1"/>
                <w:color w:val="auto"/>
              </w:rPr>
            </w:pPr>
          </w:p>
        </w:tc>
      </w:tr>
      <w:tr>
        <w:trPr>
          <w:trHeight w:val="21"/>
        </w:trPr>
        <w:tc>
          <w:tcPr>
            <w:tcW w:w="8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2,838,900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1,497,500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1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Supplemental disclosure of cash flow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paid for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35,700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Cash paid for income taxes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noncash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Insurance premiums settled by issuing note payable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105,300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settled by issuance of stock or notes payable and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438,400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Recognition of warrant liability upon issuance to Platinum of July 2013</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Secured Convertible Note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4" w:name="page145"/>
    <w:bookmarkEnd w:id="144"/>
    <w:p>
      <w:pPr>
        <w:spacing w:after="0" w:line="62" w:lineRule="exact"/>
        <w:rPr>
          <w:sz w:val="20"/>
          <w:szCs w:val="20"/>
          <w:color w:val="auto"/>
        </w:rPr>
      </w:pPr>
    </w:p>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Fiscal Years Ended march 31, 2015 and 2014</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(Amounts in dollars, except share amounts)</w:t>
      </w:r>
    </w:p>
    <w:p>
      <w:pPr>
        <w:sectPr>
          <w:pgSz w:w="11900" w:h="16900" w:orient="portrait"/>
          <w:cols w:equalWidth="0" w:num="1">
            <w:col w:w="11460"/>
          </w:cols>
          <w:pgMar w:left="220" w:top="133" w:right="219" w:bottom="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A Preferred Stock</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r>
      <w:tr>
        <w:trPr>
          <w:trHeight w:val="172"/>
        </w:trPr>
        <w:tc>
          <w:tcPr>
            <w:tcW w:w="128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r>
      <w:tr>
        <w:trPr>
          <w:trHeight w:val="326"/>
        </w:trPr>
        <w:tc>
          <w:tcPr>
            <w:tcW w:w="1280" w:type="dxa"/>
            <w:vAlign w:val="bottom"/>
          </w:tcPr>
          <w:p>
            <w:pPr>
              <w:spacing w:after="0"/>
              <w:rPr>
                <w:sz w:val="20"/>
                <w:szCs w:val="20"/>
                <w:color w:val="auto"/>
              </w:rPr>
            </w:pPr>
            <w:r>
              <w:rPr>
                <w:rFonts w:ascii="Arial" w:cs="Arial" w:eastAsia="Arial" w:hAnsi="Arial"/>
                <w:sz w:val="14"/>
                <w:szCs w:val="14"/>
                <w:b w:val="1"/>
                <w:bCs w:val="1"/>
                <w:color w:val="auto"/>
              </w:rPr>
              <w:t>Balances at March</w:t>
            </w: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184"/>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94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500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1,174,092</w:t>
            </w:r>
          </w:p>
        </w:tc>
        <w:tc>
          <w:tcPr>
            <w:tcW w:w="2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1,200</w:t>
            </w:r>
          </w:p>
        </w:tc>
      </w:tr>
      <w:tr>
        <w:trPr>
          <w:trHeight w:val="331"/>
        </w:trPr>
        <w:tc>
          <w:tcPr>
            <w:tcW w:w="1280" w:type="dxa"/>
            <w:vAlign w:val="bottom"/>
          </w:tcPr>
          <w:p>
            <w:pPr>
              <w:spacing w:after="0"/>
              <w:rPr>
                <w:sz w:val="20"/>
                <w:szCs w:val="20"/>
                <w:color w:val="auto"/>
              </w:rPr>
            </w:pPr>
            <w:r>
              <w:rPr>
                <w:rFonts w:ascii="Arial" w:cs="Arial" w:eastAsia="Arial" w:hAnsi="Arial"/>
                <w:sz w:val="14"/>
                <w:szCs w:val="14"/>
                <w:color w:val="auto"/>
              </w:rPr>
              <w:t>Share-based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Proceeds from sale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of common 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under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Discount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 Program</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32,751</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on note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Platinum in July</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Payment on note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receivable from</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sale of stock</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2013</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100,750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2014</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Incremental fair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value of warrant</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modifications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issued 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Morrison &amp;</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Foerster, Cato</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Research Ltd. and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University Health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Network in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connection with</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underlying notes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year 2014</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-5422265</wp:posOffset>
            </wp:positionV>
            <wp:extent cx="7275830" cy="2165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-5097780</wp:posOffset>
            </wp:positionV>
            <wp:extent cx="7275830" cy="324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-4015740</wp:posOffset>
            </wp:positionV>
            <wp:extent cx="7275830" cy="541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5830" cy="5410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-3150235</wp:posOffset>
            </wp:positionV>
            <wp:extent cx="7275830" cy="7575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5830" cy="7575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-1635760</wp:posOffset>
            </wp:positionV>
            <wp:extent cx="7275830" cy="324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5830" cy="324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275830" cy="229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5830" cy="229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84"/>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from Sale of</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r>
    </w:tbl>
    <w:p>
      <w:pPr>
        <w:spacing w:after="0" w:line="326" w:lineRule="exact"/>
        <w:rPr>
          <w:sz w:val="20"/>
          <w:szCs w:val="20"/>
          <w:color w:val="auto"/>
        </w:rPr>
      </w:pPr>
    </w:p>
    <w:p>
      <w:pPr>
        <w:ind w:left="285" w:hanging="285"/>
        <w:spacing w:after="0"/>
        <w:tabs>
          <w:tab w:leader="none" w:pos="285" w:val="left"/>
        </w:tabs>
        <w:numPr>
          <w:ilvl w:val="0"/>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59,288,300   $   (3,968,100)  $(209,100)  $  (67,669,200)  $  (12,556,400)</w:t>
      </w:r>
    </w:p>
    <w:p>
      <w:pPr>
        <w:spacing w:after="0" w:line="200" w:lineRule="exact"/>
        <w:rPr>
          <w:sz w:val="20"/>
          <w:szCs w:val="20"/>
          <w:color w:val="auto"/>
        </w:rPr>
      </w:pPr>
    </w:p>
    <w:p>
      <w:pPr>
        <w:spacing w:after="0" w:line="325" w:lineRule="exact"/>
        <w:rPr>
          <w:sz w:val="20"/>
          <w:szCs w:val="20"/>
          <w:color w:val="auto"/>
        </w:rPr>
      </w:pPr>
    </w:p>
    <w:p>
      <w:pPr>
        <w:ind w:left="365"/>
        <w:spacing w:after="0"/>
        <w:tabs>
          <w:tab w:leader="none" w:pos="2025" w:val="left"/>
          <w:tab w:leader="none" w:pos="3145" w:val="left"/>
          <w:tab w:leader="none" w:pos="4265" w:val="left"/>
          <w:tab w:leader="none" w:pos="4845" w:val="left"/>
        </w:tabs>
        <w:rPr>
          <w:sz w:val="20"/>
          <w:szCs w:val="20"/>
          <w:color w:val="auto"/>
        </w:rPr>
      </w:pPr>
      <w:r>
        <w:rPr>
          <w:rFonts w:ascii="Arial" w:cs="Arial" w:eastAsia="Arial" w:hAnsi="Arial"/>
          <w:sz w:val="14"/>
          <w:szCs w:val="14"/>
          <w:color w:val="auto"/>
        </w:rPr>
        <w:t>1,137,300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1,137,300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 w:type="dxa"/>
        <w:tblCellMar>
          <w:top w:w="0" w:type="dxa"/>
          <w:left w:w="0" w:type="dxa"/>
          <w:bottom w:w="0" w:type="dxa"/>
          <w:right w:w="0" w:type="dxa"/>
        </w:tblCellMar>
      </w:tblPr>
      <w:tr>
        <w:trPr>
          <w:trHeight w:val="180"/>
        </w:trPr>
        <w:tc>
          <w:tcPr>
            <w:tcW w:w="920" w:type="dxa"/>
            <w:vAlign w:val="bottom"/>
          </w:tcPr>
          <w:p>
            <w:pPr>
              <w:jc w:val="right"/>
              <w:spacing w:after="0"/>
              <w:rPr>
                <w:sz w:val="20"/>
                <w:szCs w:val="20"/>
                <w:color w:val="auto"/>
              </w:rPr>
            </w:pPr>
            <w:r>
              <w:rPr>
                <w:rFonts w:ascii="Arial" w:cs="Arial" w:eastAsia="Arial" w:hAnsi="Arial"/>
                <w:sz w:val="14"/>
                <w:szCs w:val="14"/>
                <w:color w:val="auto"/>
              </w:rPr>
              <w:t>335,900</w:t>
            </w:r>
          </w:p>
        </w:tc>
        <w:tc>
          <w:tcPr>
            <w:tcW w:w="2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335,900</w:t>
            </w:r>
          </w:p>
        </w:tc>
      </w:tr>
      <w:tr>
        <w:trPr>
          <w:trHeight w:val="852"/>
        </w:trPr>
        <w:tc>
          <w:tcPr>
            <w:tcW w:w="920" w:type="dxa"/>
            <w:vAlign w:val="bottom"/>
          </w:tcPr>
          <w:p>
            <w:pPr>
              <w:jc w:val="right"/>
              <w:spacing w:after="0"/>
              <w:rPr>
                <w:sz w:val="20"/>
                <w:szCs w:val="20"/>
                <w:color w:val="auto"/>
              </w:rPr>
            </w:pPr>
            <w:r>
              <w:rPr>
                <w:rFonts w:ascii="Arial" w:cs="Arial" w:eastAsia="Arial" w:hAnsi="Arial"/>
                <w:sz w:val="14"/>
                <w:szCs w:val="14"/>
                <w:color w:val="auto"/>
              </w:rPr>
              <w:t>100,700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100,700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11,000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11,000</w:t>
            </w:r>
          </w:p>
        </w:tc>
      </w:tr>
      <w:tr>
        <w:trPr>
          <w:trHeight w:val="1193"/>
        </w:trPr>
        <w:tc>
          <w:tcPr>
            <w:tcW w:w="920" w:type="dxa"/>
            <w:vAlign w:val="bottom"/>
          </w:tcPr>
          <w:p>
            <w:pPr>
              <w:jc w:val="right"/>
              <w:spacing w:after="0"/>
              <w:rPr>
                <w:sz w:val="20"/>
                <w:szCs w:val="20"/>
                <w:color w:val="auto"/>
              </w:rPr>
            </w:pPr>
            <w:r>
              <w:rPr>
                <w:rFonts w:ascii="Arial" w:cs="Arial" w:eastAsia="Arial" w:hAnsi="Arial"/>
                <w:sz w:val="14"/>
                <w:szCs w:val="14"/>
                <w:color w:val="auto"/>
              </w:rPr>
              <w:t>838,100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838,200</w:t>
            </w:r>
          </w:p>
        </w:tc>
      </w:tr>
      <w:tr>
        <w:trPr>
          <w:trHeight w:val="1193"/>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36,000</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36,000</w:t>
            </w:r>
          </w:p>
        </w:tc>
      </w:tr>
      <w:tr>
        <w:trPr>
          <w:trHeight w:val="511"/>
        </w:trPr>
        <w:tc>
          <w:tcPr>
            <w:tcW w:w="920" w:type="dxa"/>
            <w:vAlign w:val="bottom"/>
          </w:tcPr>
          <w:p>
            <w:pPr>
              <w:jc w:val="right"/>
              <w:spacing w:after="0"/>
              <w:rPr>
                <w:sz w:val="20"/>
                <w:szCs w:val="20"/>
                <w:color w:val="auto"/>
              </w:rPr>
            </w:pPr>
            <w:r>
              <w:rPr>
                <w:rFonts w:ascii="Arial" w:cs="Arial" w:eastAsia="Arial" w:hAnsi="Arial"/>
                <w:sz w:val="14"/>
                <w:szCs w:val="14"/>
                <w:color w:val="auto"/>
              </w:rPr>
              <w:t>204,300</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204,300</w:t>
            </w:r>
          </w:p>
        </w:tc>
      </w:tr>
      <w:tr>
        <w:trPr>
          <w:trHeight w:val="170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60,800</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60,800</w:t>
            </w:r>
          </w:p>
        </w:tc>
      </w:tr>
      <w:tr>
        <w:trPr>
          <w:trHeight w:val="34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(2,967,700)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(2,967,700)</w:t>
            </w:r>
          </w:p>
        </w:tc>
      </w:tr>
      <w:tr>
        <w:trPr>
          <w:trHeight w:val="22"/>
        </w:trPr>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900" w:orient="portrait"/>
          <w:cols w:equalWidth="0" w:num="2">
            <w:col w:w="5680" w:space="235"/>
            <w:col w:w="5545"/>
          </w:cols>
          <w:pgMar w:left="220" w:top="133" w:right="21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at March</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5"/>
        </w:trPr>
        <w:tc>
          <w:tcPr>
            <w:tcW w:w="1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500,000</w:t>
            </w:r>
          </w:p>
        </w:tc>
        <w:tc>
          <w:tcPr>
            <w:tcW w:w="5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500</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1,310,093</w:t>
            </w:r>
          </w:p>
        </w:tc>
        <w:tc>
          <w:tcPr>
            <w:tcW w:w="46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62,001,400</w:t>
            </w:r>
          </w:p>
        </w:tc>
        <w:tc>
          <w:tcPr>
            <w:tcW w:w="3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(3,968,100)</w:t>
            </w:r>
          </w:p>
        </w:tc>
        <w:tc>
          <w:tcPr>
            <w:tcW w:w="3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(198,100)</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  (70,636,900)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(12,799,900)</w:t>
            </w:r>
          </w:p>
        </w:tc>
      </w:tr>
      <w:tr>
        <w:trPr>
          <w:trHeight w:val="170"/>
        </w:trPr>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Allocated proceeds</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from sale of Units</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for cash under 2014</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Unit Private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including beneficial</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280,350</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2,746,800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2,747,100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Share-based</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compensation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2,460,100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2,460,100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Payment on and</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settlement of note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sale of stock</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198,100</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198,100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Incremental fair</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value of modified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warrants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98,400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98,400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71,667</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635,600</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635,700</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common stock and</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warrants issued in</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settlement of</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Arial" w:cs="Arial" w:eastAsia="Arial" w:hAnsi="Arial"/>
                <w:sz w:val="14"/>
                <w:szCs w:val="14"/>
                <w:color w:val="auto"/>
              </w:rPr>
              <w:t>technology license</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1440" w:type="dxa"/>
            <w:vAlign w:val="bottom"/>
          </w:tcPr>
          <w:p>
            <w:pPr>
              <w:spacing w:after="0"/>
              <w:rPr>
                <w:sz w:val="20"/>
                <w:szCs w:val="20"/>
                <w:color w:val="auto"/>
              </w:rPr>
            </w:pPr>
            <w:r>
              <w:rPr>
                <w:rFonts w:ascii="Arial" w:cs="Arial" w:eastAsia="Arial" w:hAnsi="Arial"/>
                <w:sz w:val="14"/>
                <w:szCs w:val="14"/>
                <w:color w:val="auto"/>
              </w:rPr>
              <w:t>expenses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15,000</w:t>
            </w:r>
          </w:p>
        </w:tc>
        <w:tc>
          <w:tcPr>
            <w:tcW w:w="46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230,200</w:t>
            </w:r>
          </w:p>
        </w:tc>
        <w:tc>
          <w:tcPr>
            <w:tcW w:w="3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230,200</w:t>
            </w:r>
          </w:p>
        </w:tc>
      </w:tr>
      <w:tr>
        <w:trPr>
          <w:trHeight w:val="160"/>
        </w:trPr>
        <w:tc>
          <w:tcPr>
            <w:tcW w:w="14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8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29"/>
              <w:spacing w:after="0" w:line="16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44,400</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9"/>
              <w:spacing w:after="0" w:line="160"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9"/>
              <w:spacing w:after="0" w:line="160" w:lineRule="exact"/>
              <w:rPr>
                <w:sz w:val="20"/>
                <w:szCs w:val="20"/>
                <w:color w:val="auto"/>
              </w:rPr>
            </w:pPr>
            <w:r>
              <w:rPr>
                <w:rFonts w:ascii="Arial" w:cs="Arial" w:eastAsia="Arial" w:hAnsi="Arial"/>
                <w:sz w:val="14"/>
                <w:szCs w:val="14"/>
                <w:color w:val="auto"/>
              </w:rPr>
              <w:t>44,400</w:t>
            </w: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to</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Morrison &amp;</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Foerster, Cato</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09"/>
        </w:trPr>
        <w:tc>
          <w:tcPr>
            <w:tcW w:w="14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20" w:top="133" w:right="219" w:bottom="0" w:gutter="0" w:footer="0" w:header="0"/>
          <w:type w:val="continuous"/>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Research Ltd. and</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University Health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Network in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underlying notes</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amendments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 Unit Notes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and warrants,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repurchase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109,300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amendments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Platinum Senior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w w:val="99"/>
              </w:rPr>
              <w:t>Secured Promissory</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Notes, including</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repurchase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beneficial</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(380,400)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(380,400)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year 2015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(13,885,800)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(13,885,800)</w:t>
            </w:r>
          </w:p>
        </w:tc>
      </w:tr>
      <w:tr>
        <w:trPr>
          <w:trHeight w:val="170"/>
        </w:trPr>
        <w:tc>
          <w:tcPr>
            <w:tcW w:w="128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1,677,110</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67,945,800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(3,968,100)  $</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  (84,522,700)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(20,542,800)</w:t>
            </w:r>
          </w:p>
        </w:tc>
      </w:tr>
      <w:tr>
        <w:trPr>
          <w:trHeight w:val="20"/>
        </w:trPr>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46" w:name="page147"/>
    <w:bookmarkEnd w:id="14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VistaGen Therapeutics, Inc., a Nevada corporation, is a clinical-stage biopharmaceutical company committed to developing and commercializing product candidates for patients with depression, other diseases and disorders related to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and cancer.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 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4"/>
          <w:szCs w:val="14"/>
          <w:i w:val="1"/>
          <w:iCs w:val="1"/>
          <w:color w:val="auto"/>
        </w:rPr>
        <w:t>Merger</w:t>
      </w:r>
      <w:r>
        <w:rPr>
          <w:rFonts w:ascii="Arial" w:cs="Arial" w:eastAsia="Arial" w:hAnsi="Arial"/>
          <w:sz w:val="14"/>
          <w:szCs w:val="14"/>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Our lead product candidate, AV-101, is an orally-active small molecule prodrug in Phase 2 development for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AV-101’s mechanism of action (MOA), as an N-methyl-D-aspartate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our two successful randomized, double-blind, placebo-controlled Phase 1 safety studies funded by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4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February 2015, we entered a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Under this agreement, we will collaborate with the NIH on a Phase 2 clinical study of AV-101 in subjects with treatment resistant MDD.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developing AV-101 for MDD and other CNS indications, we are using our stem cell technology platform for drug rescue –to identify and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xml:space="preserve">) for our internal drug candidate pipeline by leveraging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bioassay system uses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xml:space="preserve">)-derived cardiomyocytes, or heart cells. Our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3D™bioassay system uses our stem cell-derived hepatocytes, or liver cells.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both efficacy and safety, using both established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when available,</w:t>
      </w:r>
      <w:r>
        <w:rPr>
          <w:rFonts w:ascii="Arial" w:cs="Arial" w:eastAsia="Arial" w:hAnsi="Arial"/>
          <w:sz w:val="14"/>
          <w:szCs w:val="14"/>
          <w:i w:val="1"/>
          <w:iCs w:val="1"/>
          <w:color w:val="auto"/>
        </w:rPr>
        <w:t xml:space="preserve"> LiverSafe </w:t>
      </w:r>
      <w:r>
        <w:rPr>
          <w:rFonts w:ascii="Arial" w:cs="Arial" w:eastAsia="Arial" w:hAnsi="Arial"/>
          <w:sz w:val="14"/>
          <w:szCs w:val="14"/>
          <w:color w:val="auto"/>
        </w:rPr>
        <w:t>3D.</w:t>
      </w:r>
    </w:p>
    <w:p>
      <w:pPr>
        <w:spacing w:after="0" w:line="152"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7" w:name="page148"/>
    <w:bookmarkEnd w:id="14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Going Concern</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Effective August 14, 2014, we consummated a 1-for-20 reverse split of our authorized, and issued and outstanding shares of common stock (the </w:t>
      </w:r>
      <w:r>
        <w:rPr>
          <w:rFonts w:ascii="Arial" w:cs="Arial" w:eastAsia="Arial" w:hAnsi="Arial"/>
          <w:sz w:val="14"/>
          <w:szCs w:val="14"/>
          <w:i w:val="1"/>
          <w:iCs w:val="1"/>
          <w:color w:val="auto"/>
        </w:rPr>
        <w:t>Stock Consolidation</w:t>
      </w:r>
      <w:r>
        <w:rPr>
          <w:rFonts w:ascii="Arial" w:cs="Arial" w:eastAsia="Arial" w:hAnsi="Arial"/>
          <w:sz w:val="14"/>
          <w:szCs w:val="14"/>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4"/>
          <w:szCs w:val="14"/>
          <w:i w:val="1"/>
          <w:iCs w:val="1"/>
          <w:color w:val="auto"/>
        </w:rPr>
        <w:t>Capital Stock</w:t>
      </w:r>
      <w:r>
        <w:rPr>
          <w:rFonts w:ascii="Arial" w:cs="Arial" w:eastAsia="Arial" w:hAnsi="Arial"/>
          <w:sz w:val="14"/>
          <w:szCs w:val="14"/>
          <w:color w:val="auto"/>
        </w:rPr>
        <w:t>, for more information regarding the Stock Consolidation.</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6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6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4"/>
          <w:szCs w:val="14"/>
          <w:i w:val="1"/>
          <w:iCs w:val="1"/>
          <w:color w:val="auto"/>
        </w:rPr>
        <w:t>2014 Units</w:t>
      </w:r>
      <w:r>
        <w:rPr>
          <w:rFonts w:ascii="Arial" w:cs="Arial" w:eastAsia="Arial" w:hAnsi="Arial"/>
          <w:sz w:val="14"/>
          <w:szCs w:val="14"/>
          <w:color w:val="auto"/>
        </w:rPr>
        <w:t xml:space="preserve"> or </w:t>
      </w:r>
      <w:r>
        <w:rPr>
          <w:rFonts w:ascii="Arial" w:cs="Arial" w:eastAsia="Arial" w:hAnsi="Arial"/>
          <w:sz w:val="14"/>
          <w:szCs w:val="14"/>
          <w:i w:val="1"/>
          <w:iCs w:val="1"/>
          <w:color w:val="auto"/>
        </w:rPr>
        <w:t>2014 Unit Private Placement</w:t>
      </w:r>
      <w:r>
        <w:rPr>
          <w:rFonts w:ascii="Arial" w:cs="Arial" w:eastAsia="Arial" w:hAnsi="Arial"/>
          <w:sz w:val="14"/>
          <w:szCs w:val="14"/>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exercisable through December 31, 2016 to purchase an aggregate of 282,850 restricted shares of our common stock at an exercise price of $10.00 per share (</w:t>
      </w:r>
      <w:r>
        <w:rPr>
          <w:rFonts w:ascii="Arial" w:cs="Arial" w:eastAsia="Arial" w:hAnsi="Arial"/>
          <w:sz w:val="14"/>
          <w:szCs w:val="14"/>
          <w:i w:val="1"/>
          <w:iCs w:val="1"/>
          <w:color w:val="auto"/>
        </w:rPr>
        <w:t>2014 Unit Warrants).</w:t>
      </w:r>
      <w:r>
        <w:rPr>
          <w:rFonts w:ascii="Arial" w:cs="Arial" w:eastAsia="Arial" w:hAnsi="Arial"/>
          <w:sz w:val="14"/>
          <w:szCs w:val="14"/>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As described more completely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4"/>
          <w:szCs w:val="14"/>
          <w:i w:val="1"/>
          <w:iCs w:val="1"/>
          <w:color w:val="auto"/>
        </w:rPr>
        <w:t>Platinum Agreement</w:t>
      </w:r>
      <w:r>
        <w:rPr>
          <w:rFonts w:ascii="Arial" w:cs="Arial" w:eastAsia="Arial" w:hAnsi="Arial"/>
          <w:sz w:val="14"/>
          <w:szCs w:val="14"/>
          <w:color w:val="auto"/>
        </w:rPr>
        <w:t>), pursuant to which, Platinum has, among other things:</w:t>
      </w:r>
    </w:p>
    <w:p>
      <w:pPr>
        <w:spacing w:after="0" w:line="168" w:lineRule="exact"/>
        <w:rPr>
          <w:sz w:val="20"/>
          <w:szCs w:val="20"/>
          <w:color w:val="auto"/>
        </w:rPr>
      </w:pPr>
    </w:p>
    <w:p>
      <w:pPr>
        <w:ind w:left="160" w:right="20" w:hanging="155"/>
        <w:spacing w:after="0" w:line="215" w:lineRule="auto"/>
        <w:tabs>
          <w:tab w:leader="none" w:pos="160" w:val="left"/>
        </w:tabs>
        <w:numPr>
          <w:ilvl w:val="0"/>
          <w:numId w:val="77"/>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 thereby cancelling approximately $4.5 million of our outstanding indebtedness;</w:t>
      </w:r>
    </w:p>
    <w:p>
      <w:pPr>
        <w:spacing w:after="0" w:line="182"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77"/>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which we had entered into with Platinum in October 2012;</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77"/>
        </w:numPr>
        <w:rPr>
          <w:rFonts w:ascii="Arial" w:cs="Arial" w:eastAsia="Arial" w:hAnsi="Arial"/>
          <w:sz w:val="20"/>
          <w:szCs w:val="20"/>
          <w:color w:val="auto"/>
          <w:vertAlign w:val="superscript"/>
        </w:rPr>
      </w:pPr>
      <w:r>
        <w:rPr>
          <w:rFonts w:ascii="Arial" w:cs="Arial" w:eastAsia="Arial" w:hAnsi="Arial"/>
          <w:sz w:val="14"/>
          <w:szCs w:val="14"/>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4"/>
          <w:szCs w:val="14"/>
          <w:i w:val="1"/>
          <w:iCs w:val="1"/>
          <w:color w:val="auto"/>
        </w:rPr>
        <w:t>2014 Unit Notes</w:t>
      </w:r>
      <w:r>
        <w:rPr>
          <w:rFonts w:ascii="Arial" w:cs="Arial" w:eastAsia="Arial" w:hAnsi="Arial"/>
          <w:sz w:val="14"/>
          <w:szCs w:val="14"/>
          <w:color w:val="auto"/>
        </w:rPr>
        <w:t>)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w:t>
      </w:r>
      <w:r>
        <w:rPr>
          <w:rFonts w:ascii="Arial" w:cs="Arial" w:eastAsia="Arial" w:hAnsi="Arial"/>
          <w:sz w:val="14"/>
          <w:szCs w:val="14"/>
          <w:color w:val="auto"/>
        </w:rPr>
        <w:t xml:space="preserve"> </w:t>
      </w:r>
      <w:r>
        <w:rPr>
          <w:rFonts w:ascii="Arial" w:cs="Arial" w:eastAsia="Arial" w:hAnsi="Arial"/>
          <w:sz w:val="14"/>
          <w:szCs w:val="14"/>
          <w:i w:val="1"/>
          <w:iCs w:val="1"/>
          <w:color w:val="auto"/>
        </w:rPr>
        <w:t>Warrants</w:t>
      </w:r>
      <w:r>
        <w:rPr>
          <w:rFonts w:ascii="Arial" w:cs="Arial" w:eastAsia="Arial" w:hAnsi="Arial"/>
          <w:sz w:val="14"/>
          <w:szCs w:val="14"/>
          <w:color w:val="auto"/>
        </w:rPr>
        <w:t>), thereby cancelling approximately $1.3 million of our outstanding indebtedness;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8" w:name="page149"/>
    <w:bookmarkEnd w:id="14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jc w:val="both"/>
        <w:ind w:left="160" w:right="240" w:hanging="155"/>
        <w:spacing w:after="0" w:line="226"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hanging="155"/>
        <w:spacing w:after="0" w:line="215" w:lineRule="auto"/>
        <w:tabs>
          <w:tab w:leader="none" w:pos="160" w:val="left"/>
        </w:tabs>
        <w:numPr>
          <w:ilvl w:val="0"/>
          <w:numId w:val="78"/>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w:t>
      </w:r>
      <w:r>
        <w:rPr>
          <w:rFonts w:ascii="Arial" w:cs="Arial" w:eastAsia="Arial" w:hAnsi="Arial"/>
          <w:sz w:val="14"/>
          <w:szCs w:val="14"/>
          <w:i w:val="1"/>
          <w:iCs w:val="1"/>
          <w:color w:val="auto"/>
        </w:rPr>
        <w:t>Series B Preferred Unit</w:t>
      </w:r>
      <w:r>
        <w:rPr>
          <w:rFonts w:ascii="Arial" w:cs="Arial" w:eastAsia="Arial" w:hAnsi="Arial"/>
          <w:sz w:val="14"/>
          <w:szCs w:val="14"/>
          <w:color w:val="auto"/>
        </w:rPr>
        <w:t>) to purchase 142,857 shares of our common stock, on or before June 11, 2015 (a portion of which purchase was consummated on June 19, 2015).</w:t>
      </w:r>
    </w:p>
    <w:p>
      <w:pPr>
        <w:spacing w:after="0" w:line="16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 xml:space="preserve">As further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3"/>
          <w:szCs w:val="13"/>
          <w:i w:val="1"/>
          <w:iCs w:val="1"/>
          <w:color w:val="auto"/>
        </w:rPr>
        <w:t>Series B Preferred Units</w:t>
      </w:r>
      <w:r>
        <w:rPr>
          <w:rFonts w:ascii="Arial" w:cs="Arial" w:eastAsia="Arial" w:hAnsi="Arial"/>
          <w:sz w:val="13"/>
          <w:szCs w:val="13"/>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Additionally, as further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9" w:name="page150"/>
    <w:bookmarkEnd w:id="14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Summary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w:t>
      </w:r>
      <w:r>
        <w:rPr>
          <w:rFonts w:ascii="Arial" w:cs="Arial" w:eastAsia="Arial" w:hAnsi="Arial"/>
          <w:sz w:val="14"/>
          <w:szCs w:val="14"/>
          <w:i w:val="1"/>
          <w:iCs w:val="1"/>
          <w:color w:val="auto"/>
        </w:rPr>
        <w:t>U.S. GAAP</w:t>
      </w:r>
      <w:r>
        <w:rPr>
          <w:rFonts w:ascii="Arial" w:cs="Arial" w:eastAsia="Arial" w:hAnsi="Arial"/>
          <w:sz w:val="14"/>
          <w:szCs w:val="14"/>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The accompanying consolidated financial statements include the Company’s accounts, and the accounts of VistaGen California’s wholly-owned inactive subsidiaries, Artemis Neurosciences and VistaStem Canada.</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are considered to be highly liquid investments with maturities of three months or less at the date of purchase.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or Disposal of Long-Lived Assets</w:t>
      </w:r>
    </w:p>
    <w:p>
      <w:pPr>
        <w:spacing w:after="0" w:line="201"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50" w:name="page151"/>
    <w:bookmarkEnd w:id="15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160" w:hanging="155"/>
        <w:spacing w:after="0" w:line="263" w:lineRule="auto"/>
        <w:tabs>
          <w:tab w:leader="none" w:pos="160" w:val="left"/>
        </w:tabs>
        <w:numPr>
          <w:ilvl w:val="0"/>
          <w:numId w:val="79"/>
        </w:numPr>
        <w:rPr>
          <w:rFonts w:ascii="Arial" w:cs="Arial" w:eastAsia="Arial" w:hAnsi="Arial"/>
          <w:sz w:val="19"/>
          <w:szCs w:val="19"/>
          <w:color w:val="auto"/>
          <w:vertAlign w:val="superscript"/>
        </w:rPr>
      </w:pPr>
      <w:r>
        <w:rPr>
          <w:rFonts w:ascii="Arial" w:cs="Arial" w:eastAsia="Arial" w:hAnsi="Arial"/>
          <w:sz w:val="13"/>
          <w:szCs w:val="13"/>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8" w:lineRule="exact"/>
        <w:rPr>
          <w:rFonts w:ascii="Arial" w:cs="Arial" w:eastAsia="Arial" w:hAnsi="Arial"/>
          <w:sz w:val="19"/>
          <w:szCs w:val="19"/>
          <w:color w:val="auto"/>
          <w:vertAlign w:val="superscript"/>
        </w:rPr>
      </w:pPr>
    </w:p>
    <w:p>
      <w:pPr>
        <w:ind w:left="160" w:right="200" w:hanging="155"/>
        <w:spacing w:after="0" w:line="251" w:lineRule="auto"/>
        <w:tabs>
          <w:tab w:leader="none" w:pos="160" w:val="left"/>
        </w:tabs>
        <w:numPr>
          <w:ilvl w:val="0"/>
          <w:numId w:val="79"/>
        </w:numPr>
        <w:rPr>
          <w:rFonts w:ascii="Arial" w:cs="Arial" w:eastAsia="Arial" w:hAnsi="Arial"/>
          <w:sz w:val="19"/>
          <w:szCs w:val="19"/>
          <w:color w:val="auto"/>
          <w:vertAlign w:val="superscript"/>
        </w:rPr>
      </w:pPr>
      <w:r>
        <w:rPr>
          <w:rFonts w:ascii="Arial" w:cs="Arial" w:eastAsia="Arial" w:hAnsi="Arial"/>
          <w:sz w:val="13"/>
          <w:szCs w:val="13"/>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75" w:lineRule="exact"/>
        <w:rPr>
          <w:rFonts w:ascii="Arial" w:cs="Arial" w:eastAsia="Arial" w:hAnsi="Arial"/>
          <w:sz w:val="19"/>
          <w:szCs w:val="19"/>
          <w:color w:val="auto"/>
          <w:vertAlign w:val="superscript"/>
        </w:rPr>
      </w:pPr>
    </w:p>
    <w:p>
      <w:pPr>
        <w:ind w:left="160" w:right="600" w:hanging="155"/>
        <w:spacing w:after="0" w:line="215" w:lineRule="auto"/>
        <w:tabs>
          <w:tab w:leader="none" w:pos="160" w:val="left"/>
        </w:tabs>
        <w:numPr>
          <w:ilvl w:val="0"/>
          <w:numId w:val="79"/>
        </w:numPr>
        <w:rPr>
          <w:rFonts w:ascii="Arial" w:cs="Arial" w:eastAsia="Arial" w:hAnsi="Arial"/>
          <w:sz w:val="20"/>
          <w:szCs w:val="20"/>
          <w:color w:val="auto"/>
          <w:vertAlign w:val="superscript"/>
        </w:rPr>
      </w:pPr>
      <w:r>
        <w:rPr>
          <w:rFonts w:ascii="Arial" w:cs="Arial" w:eastAsia="Arial" w:hAnsi="Arial"/>
          <w:sz w:val="14"/>
          <w:szCs w:val="14"/>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1" w:name="page152"/>
    <w:bookmarkEnd w:id="15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201" w:lineRule="exact"/>
        <w:rPr>
          <w:sz w:val="20"/>
          <w:szCs w:val="20"/>
          <w:color w:val="auto"/>
        </w:rPr>
      </w:pPr>
    </w:p>
    <w:p>
      <w:pPr>
        <w:jc w:val="both"/>
        <w:ind w:right="220"/>
        <w:spacing w:after="0" w:line="268" w:lineRule="auto"/>
        <w:rPr>
          <w:sz w:val="20"/>
          <w:szCs w:val="20"/>
          <w:color w:val="auto"/>
        </w:rPr>
      </w:pPr>
      <w:r>
        <w:rPr>
          <w:rFonts w:ascii="Arial" w:cs="Arial" w:eastAsia="Arial" w:hAnsi="Arial"/>
          <w:sz w:val="14"/>
          <w:szCs w:val="14"/>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have issued to Platinum Long Term Growth VII, LLC, our largest investor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3"/>
          <w:szCs w:val="13"/>
          <w:i w:val="1"/>
          <w:iCs w:val="1"/>
          <w:color w:val="auto"/>
        </w:rPr>
        <w:t>Platinum Warrants</w:t>
      </w:r>
      <w:r>
        <w:rPr>
          <w:rFonts w:ascii="Arial" w:cs="Arial" w:eastAsia="Arial" w:hAnsi="Arial"/>
          <w:sz w:val="13"/>
          <w:szCs w:val="13"/>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3"/>
          <w:szCs w:val="13"/>
          <w:i w:val="1"/>
          <w:iCs w:val="1"/>
          <w:color w:val="auto"/>
        </w:rPr>
        <w:t xml:space="preserve">Fair Value Measurements, </w:t>
      </w:r>
      <w:r>
        <w:rPr>
          <w:rFonts w:ascii="Arial" w:cs="Arial" w:eastAsia="Arial" w:hAnsi="Arial"/>
          <w:sz w:val="13"/>
          <w:szCs w:val="13"/>
          <w:color w:val="auto"/>
        </w:rPr>
        <w:t>Note 8,</w:t>
      </w:r>
      <w:r>
        <w:rPr>
          <w:rFonts w:ascii="Arial" w:cs="Arial" w:eastAsia="Arial" w:hAnsi="Arial"/>
          <w:sz w:val="13"/>
          <w:szCs w:val="13"/>
          <w:i w:val="1"/>
          <w:iCs w:val="1"/>
          <w:color w:val="auto"/>
        </w:rPr>
        <w:t xml:space="preserve"> Convertible Promissory Notes and Other Notes Payable</w:t>
      </w:r>
      <w:r>
        <w:rPr>
          <w:rFonts w:ascii="Arial" w:cs="Arial" w:eastAsia="Arial" w:hAnsi="Arial"/>
          <w:sz w:val="13"/>
          <w:szCs w:val="13"/>
          <w:color w:val="auto"/>
        </w:rPr>
        <w:t>, and Note 9</w:t>
      </w:r>
      <w:r>
        <w:rPr>
          <w:rFonts w:ascii="Arial" w:cs="Arial" w:eastAsia="Arial" w:hAnsi="Arial"/>
          <w:sz w:val="13"/>
          <w:szCs w:val="13"/>
          <w:i w:val="1"/>
          <w:iCs w:val="1"/>
          <w:color w:val="auto"/>
        </w:rPr>
        <w:t>, Capital Stock</w:t>
      </w:r>
      <w:r>
        <w:rPr>
          <w:rFonts w:ascii="Arial" w:cs="Arial" w:eastAsia="Arial" w:hAnsi="Arial"/>
          <w:sz w:val="13"/>
          <w:szCs w:val="13"/>
          <w:color w:val="auto"/>
        </w:rPr>
        <w:t>. We compute the fair value of the warrant liability at each reporting period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to fix the exercise price thereof at $7.00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per Common Share</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822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320" w:type="dxa"/>
            <w:vAlign w:val="bottom"/>
          </w:tcPr>
          <w:p>
            <w:pPr>
              <w:jc w:val="center"/>
              <w:ind w:left="2269"/>
              <w:spacing w:after="0"/>
              <w:rPr>
                <w:sz w:val="20"/>
                <w:szCs w:val="20"/>
                <w:color w:val="auto"/>
              </w:rPr>
            </w:pPr>
            <w:r>
              <w:rPr>
                <w:rFonts w:ascii="Arial" w:cs="Arial" w:eastAsia="Arial" w:hAnsi="Arial"/>
                <w:sz w:val="14"/>
                <w:szCs w:val="14"/>
                <w:b w:val="1"/>
                <w:bCs w:val="1"/>
                <w:color w:val="auto"/>
              </w:rPr>
              <w:t>VISTAGEN THERAPEUTICS, INC.</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320" w:type="dxa"/>
            <w:vAlign w:val="bottom"/>
          </w:tcPr>
          <w:p>
            <w:pPr>
              <w:jc w:val="center"/>
              <w:ind w:left="2289"/>
              <w:spacing w:after="0"/>
              <w:rPr>
                <w:sz w:val="20"/>
                <w:szCs w:val="20"/>
                <w:color w:val="auto"/>
              </w:rPr>
            </w:pPr>
            <w:r>
              <w:rPr>
                <w:rFonts w:ascii="Arial" w:cs="Arial" w:eastAsia="Arial" w:hAnsi="Arial"/>
                <w:sz w:val="14"/>
                <w:szCs w:val="14"/>
                <w:b w:val="1"/>
                <w:bCs w:val="1"/>
                <w:color w:val="auto"/>
              </w:rPr>
              <w:t>NOTES TO CONSOLIDATED FINANCIAL STATEMENTS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220" w:type="dxa"/>
            <w:vAlign w:val="bottom"/>
            <w:gridSpan w:val="2"/>
          </w:tcPr>
          <w:p>
            <w:pPr>
              <w:spacing w:after="0"/>
              <w:rPr>
                <w:sz w:val="20"/>
                <w:szCs w:val="20"/>
                <w:color w:val="auto"/>
              </w:rPr>
            </w:pPr>
            <w:r>
              <w:rPr>
                <w:rFonts w:ascii="Arial" w:cs="Arial" w:eastAsia="Arial" w:hAnsi="Arial"/>
                <w:sz w:val="14"/>
                <w:szCs w:val="14"/>
                <w:color w:val="auto"/>
              </w:rPr>
              <w:t>Basic and diluted net loss attributable to common stockholders per share was computed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2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r>
      <w:tr>
        <w:trPr>
          <w:trHeight w:val="172"/>
        </w:trPr>
        <w:tc>
          <w:tcPr>
            <w:tcW w:w="8220" w:type="dxa"/>
            <w:vAlign w:val="bottom"/>
            <w:gridSpan w:val="2"/>
          </w:tcPr>
          <w:p>
            <w:pPr>
              <w:spacing w:after="0"/>
              <w:rPr>
                <w:sz w:val="20"/>
                <w:szCs w:val="20"/>
                <w:color w:val="auto"/>
              </w:rPr>
            </w:pPr>
            <w:r>
              <w:rPr>
                <w:rFonts w:ascii="Arial" w:cs="Arial" w:eastAsia="Arial" w:hAnsi="Arial"/>
                <w:sz w:val="14"/>
                <w:szCs w:val="14"/>
                <w:color w:val="auto"/>
              </w:rPr>
              <w:t>less: change in fair value of warrant liability attributable to Exchange, Investment and Bridge Warrants issued to Platinum</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(1,219,500)</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(13,991,000)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(4,187,200)</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22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2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Weighted average basic common shares outstanding</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1,098,742</w:t>
            </w: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Assumed conversion of dilutive securities: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w:t>
            </w:r>
          </w:p>
        </w:tc>
      </w:tr>
      <w:tr>
        <w:trPr>
          <w:trHeight w:val="21"/>
        </w:trPr>
        <w:tc>
          <w:tcPr>
            <w:tcW w:w="900" w:type="dxa"/>
            <w:vAlign w:val="bottom"/>
            <w:shd w:val="clear" w:color="auto" w:fill="CCEEFF"/>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900" w:type="dxa"/>
            <w:vAlign w:val="bottom"/>
          </w:tcPr>
          <w:p>
            <w:pPr>
              <w:spacing w:after="0"/>
              <w:rPr>
                <w:sz w:val="14"/>
                <w:szCs w:val="14"/>
                <w:color w:val="auto"/>
              </w:rPr>
            </w:pPr>
          </w:p>
        </w:tc>
        <w:tc>
          <w:tcPr>
            <w:tcW w:w="7320" w:type="dxa"/>
            <w:vAlign w:val="bottom"/>
          </w:tcPr>
          <w:p>
            <w:pPr>
              <w:ind w:left="20"/>
              <w:spacing w:after="0"/>
              <w:rPr>
                <w:sz w:val="20"/>
                <w:szCs w:val="20"/>
                <w:color w:val="auto"/>
              </w:rPr>
            </w:pPr>
            <w:r>
              <w:rPr>
                <w:rFonts w:ascii="Arial" w:cs="Arial" w:eastAsia="Arial" w:hAnsi="Arial"/>
                <w:sz w:val="14"/>
                <w:szCs w:val="14"/>
                <w:color w:val="auto"/>
              </w:rPr>
              <w:t>Potentially dilutive common shares assumed converted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474</w:t>
            </w:r>
          </w:p>
        </w:tc>
      </w:tr>
      <w:tr>
        <w:trPr>
          <w:trHeight w:val="170"/>
        </w:trPr>
        <w:tc>
          <w:tcPr>
            <w:tcW w:w="900" w:type="dxa"/>
            <w:vAlign w:val="bottom"/>
            <w:shd w:val="clear" w:color="auto" w:fill="CCEEFF"/>
          </w:tcPr>
          <w:p>
            <w:pPr>
              <w:spacing w:after="0"/>
              <w:rPr>
                <w:sz w:val="14"/>
                <w:szCs w:val="14"/>
                <w:color w:val="auto"/>
              </w:rPr>
            </w:pPr>
          </w:p>
        </w:tc>
        <w:tc>
          <w:tcPr>
            <w:tcW w:w="7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220" w:type="dxa"/>
            <w:vAlign w:val="bottom"/>
            <w:gridSpan w:val="2"/>
          </w:tcPr>
          <w:p>
            <w:pPr>
              <w:ind w:left="4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r>
      <w:tr>
        <w:trPr>
          <w:trHeight w:val="20"/>
        </w:trPr>
        <w:tc>
          <w:tcPr>
            <w:tcW w:w="9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90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73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653"/>
        </w:trPr>
        <w:tc>
          <w:tcPr>
            <w:tcW w:w="900" w:type="dxa"/>
            <w:vAlign w:val="bottom"/>
            <w:tcBorders>
              <w:top w:val="single" w:sz="8" w:color="CCEEFF"/>
            </w:tcBorders>
          </w:tcPr>
          <w:p>
            <w:pPr>
              <w:spacing w:after="0"/>
              <w:rPr>
                <w:sz w:val="24"/>
                <w:szCs w:val="24"/>
                <w:color w:val="auto"/>
              </w:rPr>
            </w:pPr>
          </w:p>
        </w:tc>
        <w:tc>
          <w:tcPr>
            <w:tcW w:w="7320" w:type="dxa"/>
            <w:vAlign w:val="bottom"/>
            <w:tcBorders>
              <w:top w:val="single" w:sz="8" w:color="CCEEFF"/>
            </w:tcBorders>
          </w:tcPr>
          <w:p>
            <w:pPr>
              <w:jc w:val="center"/>
              <w:ind w:left="2269"/>
              <w:spacing w:after="0"/>
              <w:rPr>
                <w:sz w:val="20"/>
                <w:szCs w:val="20"/>
                <w:color w:val="auto"/>
              </w:rPr>
            </w:pPr>
            <w:r>
              <w:rPr>
                <w:rFonts w:ascii="Arial" w:cs="Arial" w:eastAsia="Arial" w:hAnsi="Arial"/>
                <w:sz w:val="14"/>
                <w:szCs w:val="14"/>
                <w:color w:val="auto"/>
                <w:w w:val="90"/>
              </w:rPr>
              <w:t>F-13</w:t>
            </w: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7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3" w:name="page154"/>
    <w:bookmarkEnd w:id="15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Potentially dilutive securities excluded in determining diluted net loss per common share for the fiscal years ended March 31, 2015 and 2014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ind w:left="34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issuable to Platinum upon exercise of common stock warrants by Platinum</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upon exchange of Series A Preferred under the terms of the October 11, 2012 Note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Exchange and Purchase Agreement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212,486</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854,782</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Exchange Note and Investment Notes issued to Platinum in October 2012,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2013 and March 2013, including accrued interest through March 31, 2015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and 2014, respectively </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374,798</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 issued to Platinum on July 26, 2013, including accrued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through March 31, 2015 and 2014, respectively</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26,776</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accrued interest through March 31, 2015 and 2014, respectively </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109,341</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2,703,183</w:t>
            </w:r>
          </w:p>
        </w:tc>
      </w:tr>
      <w:tr>
        <w:trPr>
          <w:trHeight w:val="150"/>
        </w:trPr>
        <w:tc>
          <w:tcPr>
            <w:tcW w:w="872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4" w:name="page155"/>
    <w:bookmarkEnd w:id="15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In May 2014, the Financial Accounting Standards Board (</w:t>
      </w:r>
      <w:r>
        <w:rPr>
          <w:rFonts w:ascii="Arial" w:cs="Arial" w:eastAsia="Arial" w:hAnsi="Arial"/>
          <w:sz w:val="14"/>
          <w:szCs w:val="14"/>
          <w:i w:val="1"/>
          <w:i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i w:val="1"/>
          <w:iCs w:val="1"/>
          <w:color w:val="auto"/>
        </w:rPr>
        <w:t>ASU</w:t>
      </w:r>
      <w:r>
        <w:rPr>
          <w:rFonts w:ascii="Arial" w:cs="Arial" w:eastAsia="Arial" w:hAnsi="Arial"/>
          <w:sz w:val="14"/>
          <w:szCs w:val="14"/>
          <w:color w:val="auto"/>
        </w:rPr>
        <w:t xml:space="preserv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which supersedes the revenue recognition requirements in ASC 605, Revenue Recognition.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In June 2014, the FASB issued ASU No. 2014-10, </w:t>
      </w:r>
      <w:r>
        <w:rPr>
          <w:rFonts w:ascii="Arial" w:cs="Arial" w:eastAsia="Arial" w:hAnsi="Arial"/>
          <w:sz w:val="14"/>
          <w:szCs w:val="14"/>
          <w:i w:val="1"/>
          <w:iCs w:val="1"/>
          <w:color w:val="auto"/>
        </w:rPr>
        <w:t>Development Stage Entities (Topic 915): Elimination of Certain Financial Reporting Requirements, Including an Amendment to 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Guidance in Topic 810, Consolidation</w:t>
      </w:r>
      <w:r>
        <w:rPr>
          <w:rFonts w:ascii="Arial" w:cs="Arial" w:eastAsia="Arial" w:hAnsi="Arial"/>
          <w:sz w:val="14"/>
          <w:szCs w:val="14"/>
          <w:color w:val="auto"/>
        </w:rPr>
        <w:t>. The amendments in this ASU remove all incremental financial reporting requirements for development stage entities. Among other changes, this ASU no</w:t>
      </w:r>
      <w:r>
        <w:rPr>
          <w:rFonts w:ascii="Arial" w:cs="Arial" w:eastAsia="Arial" w:hAnsi="Arial"/>
          <w:sz w:val="14"/>
          <w:szCs w:val="14"/>
          <w:i w:val="1"/>
          <w:iCs w:val="1"/>
          <w:color w:val="auto"/>
        </w:rPr>
        <w:t xml:space="preserve"> </w:t>
      </w:r>
      <w:r>
        <w:rPr>
          <w:rFonts w:ascii="Arial" w:cs="Arial" w:eastAsia="Arial" w:hAnsi="Arial"/>
          <w:sz w:val="14"/>
          <w:szCs w:val="14"/>
          <w:color w:val="auto"/>
        </w:rPr>
        <w:t>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Presentation of Financial Statements—Going Concern (Subtopic 205-40): Disclosure of Uncertainties about an Entity’s Ability to Continue as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Going Concern. </w:t>
      </w:r>
      <w:r>
        <w:rPr>
          <w:rFonts w:ascii="Arial" w:cs="Arial" w:eastAsia="Arial" w:hAnsi="Arial"/>
          <w:sz w:val="13"/>
          <w:szCs w:val="13"/>
          <w:color w:val="auto"/>
        </w:rPr>
        <w:t>The amendments in this ASU define when and how an entity is required to disclose going concern uncertainties, which must be evaluated each interim and annual period. Specifically,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5" w:name="page156"/>
    <w:bookmarkEnd w:id="15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56" w:lineRule="exact"/>
        <w:rPr>
          <w:sz w:val="20"/>
          <w:szCs w:val="20"/>
          <w:color w:val="auto"/>
        </w:rPr>
      </w:pPr>
    </w:p>
    <w:p>
      <w:pPr>
        <w:ind w:left="660" w:right="360" w:hanging="250"/>
        <w:spacing w:after="0" w:line="215" w:lineRule="auto"/>
        <w:tabs>
          <w:tab w:leader="none" w:pos="660" w:val="left"/>
        </w:tabs>
        <w:numPr>
          <w:ilvl w:val="0"/>
          <w:numId w:val="81"/>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that are accessible at the measurement date for assets or liabilities. The fair value hierarchy gives the highest priority to Level 1</w:t>
      </w:r>
      <w:r>
        <w:rPr>
          <w:rFonts w:ascii="Arial" w:cs="Arial" w:eastAsia="Arial" w:hAnsi="Arial"/>
          <w:sz w:val="14"/>
          <w:szCs w:val="14"/>
          <w:i w:val="1"/>
          <w:iCs w:val="1"/>
          <w:color w:val="auto"/>
        </w:rPr>
        <w:t xml:space="preserve"> </w:t>
      </w:r>
      <w:r>
        <w:rPr>
          <w:rFonts w:ascii="Arial" w:cs="Arial" w:eastAsia="Arial" w:hAnsi="Arial"/>
          <w:sz w:val="14"/>
          <w:szCs w:val="14"/>
          <w:color w:val="auto"/>
        </w:rPr>
        <w:t>inputs.</w:t>
      </w:r>
    </w:p>
    <w:p>
      <w:pPr>
        <w:spacing w:after="0" w:line="182" w:lineRule="exact"/>
        <w:rPr>
          <w:rFonts w:ascii="Arial" w:cs="Arial" w:eastAsia="Arial" w:hAnsi="Arial"/>
          <w:sz w:val="20"/>
          <w:szCs w:val="20"/>
          <w:color w:val="auto"/>
          <w:vertAlign w:val="superscript"/>
        </w:rPr>
      </w:pPr>
    </w:p>
    <w:p>
      <w:pPr>
        <w:ind w:left="660" w:right="20" w:hanging="250"/>
        <w:spacing w:after="0" w:line="215" w:lineRule="auto"/>
        <w:tabs>
          <w:tab w:leader="none" w:pos="660" w:val="left"/>
        </w:tabs>
        <w:numPr>
          <w:ilvl w:val="0"/>
          <w:numId w:val="81"/>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660" w:right="280" w:hanging="250"/>
        <w:spacing w:after="0" w:line="215" w:lineRule="auto"/>
        <w:tabs>
          <w:tab w:leader="none" w:pos="660" w:val="left"/>
        </w:tabs>
        <w:numPr>
          <w:ilvl w:val="0"/>
          <w:numId w:val="81"/>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 an</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are used when little or no market data is available. The fair value hierarchy gives the lowest priority to Level 3 inputs.</w:t>
      </w:r>
    </w:p>
    <w:p>
      <w:pPr>
        <w:spacing w:after="0" w:line="182"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and the contingently issuable Series A Exchange Warrant (see Note 9, </w:t>
      </w:r>
      <w:r>
        <w:rPr>
          <w:rFonts w:ascii="Arial" w:cs="Arial" w:eastAsia="Arial" w:hAnsi="Arial"/>
          <w:sz w:val="14"/>
          <w:szCs w:val="14"/>
          <w:i w:val="1"/>
          <w:iCs w:val="1"/>
          <w:color w:val="auto"/>
        </w:rPr>
        <w:t>Capital Stock</w:t>
      </w:r>
      <w:r>
        <w:rPr>
          <w:rFonts w:ascii="Arial" w:cs="Arial" w:eastAsia="Arial" w:hAnsi="Arial"/>
          <w:sz w:val="14"/>
          <w:szCs w:val="14"/>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Pr>
          <w:p>
            <w:pPr>
              <w:spacing w:after="0"/>
              <w:rPr>
                <w:sz w:val="20"/>
                <w:szCs w:val="20"/>
                <w:color w:val="auto"/>
              </w:rPr>
            </w:pPr>
            <w:r>
              <w:rPr>
                <w:rFonts w:ascii="Arial" w:cs="Arial" w:eastAsia="Arial" w:hAnsi="Arial"/>
                <w:sz w:val="14"/>
                <w:szCs w:val="14"/>
                <w:color w:val="auto"/>
                <w:w w:val="94"/>
              </w:rPr>
              <w:t>The fair value hierarchy for liabilities measured at fair value on a recurring basis is as follows: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5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6"/>
              </w:rPr>
              <w:t>for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March 31, 2015:</w:t>
            </w:r>
          </w:p>
        </w:tc>
        <w:tc>
          <w:tcPr>
            <w:tcW w:w="6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7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32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153"/>
        </w:trPr>
        <w:tc>
          <w:tcPr>
            <w:tcW w:w="54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2014:</w:t>
            </w:r>
          </w:p>
        </w:tc>
        <w:tc>
          <w:tcPr>
            <w:tcW w:w="6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2,973,900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461"/>
        </w:trPr>
        <w:tc>
          <w:tcPr>
            <w:tcW w:w="54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F-16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54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6" w:name="page157"/>
    <w:bookmarkEnd w:id="15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During the fiscal years ended March 31, 2015 and 2014, there were no significant changes to the valuation models used for purposes of determining the fair value of the Level 3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80" w:type="dxa"/>
            <w:vAlign w:val="bottom"/>
          </w:tcPr>
          <w:p>
            <w:pPr>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8"/>
        </w:trPr>
        <w:tc>
          <w:tcPr>
            <w:tcW w:w="10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Measurements</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Using Significant</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Unobservable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10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72"/>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 Liability</w:t>
            </w:r>
          </w:p>
        </w:tc>
        <w:tc>
          <w:tcPr>
            <w:tcW w:w="100" w:type="dxa"/>
            <w:vAlign w:val="bottom"/>
          </w:tcPr>
          <w:p>
            <w:pPr>
              <w:spacing w:after="0"/>
              <w:rPr>
                <w:sz w:val="14"/>
                <w:szCs w:val="14"/>
                <w:color w:val="auto"/>
              </w:rPr>
            </w:pP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6,394,000</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Recognition of warrant liability upon issuance of Senior Secured Convertible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and warrant to Platinum on July 26, 2013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Mark to market gain included in 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(3,566,900)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Balance at March 31, 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2,973,900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Mark to market loss included in net loss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assets or other liabilities were measured on a recurring basis at fair value at March 31, 2015 or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Arial" w:cs="Arial" w:eastAsia="Arial" w:hAnsi="Arial"/>
                <w:sz w:val="14"/>
                <w:szCs w:val="14"/>
                <w:b w:val="1"/>
                <w:bCs w:val="1"/>
                <w:color w:val="auto"/>
              </w:rPr>
              <w:t>5. Prepaid Expenses and Other Current Assets</w:t>
            </w:r>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4680" w:type="dxa"/>
            <w:vAlign w:val="bottom"/>
          </w:tcPr>
          <w:p>
            <w:pPr>
              <w:spacing w:after="0"/>
              <w:rPr>
                <w:sz w:val="20"/>
                <w:szCs w:val="20"/>
                <w:color w:val="auto"/>
              </w:rPr>
            </w:pPr>
            <w:r>
              <w:rPr>
                <w:rFonts w:ascii="Arial" w:cs="Arial" w:eastAsia="Arial" w:hAnsi="Arial"/>
                <w:sz w:val="14"/>
                <w:szCs w:val="14"/>
                <w:color w:val="auto"/>
              </w:rPr>
              <w:t>Prepaid expenses and other current assets consist of the following:</w:t>
            </w: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Insurance</w:t>
            </w: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27,300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21,800</w:t>
            </w: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Legal fees</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3,400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3,400</w:t>
            </w: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receivable on note receivable from sale</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of common stock</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2,800</w:t>
            </w:r>
          </w:p>
        </w:tc>
      </w:tr>
      <w:tr>
        <w:trPr>
          <w:trHeight w:val="17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 fees and all other</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r>
      <w:tr>
        <w:trPr>
          <w:trHeight w:val="170"/>
        </w:trPr>
        <w:tc>
          <w:tcPr>
            <w:tcW w:w="4680" w:type="dxa"/>
            <w:vAlign w:val="bottom"/>
            <w:tcBorders>
              <w:top w:val="single" w:sz="8" w:color="CCEEFF"/>
            </w:tcBorders>
          </w:tcPr>
          <w:p>
            <w:pPr>
              <w:spacing w:after="0"/>
              <w:rPr>
                <w:sz w:val="14"/>
                <w:szCs w:val="14"/>
                <w:color w:val="auto"/>
              </w:rPr>
            </w:pPr>
          </w:p>
        </w:tc>
        <w:tc>
          <w:tcPr>
            <w:tcW w:w="416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35,700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461"/>
        </w:trPr>
        <w:tc>
          <w:tcPr>
            <w:tcW w:w="468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tcPr>
          <w:p>
            <w:pPr>
              <w:ind w:left="920"/>
              <w:spacing w:after="0"/>
              <w:rPr>
                <w:sz w:val="20"/>
                <w:szCs w:val="20"/>
                <w:color w:val="auto"/>
              </w:rPr>
            </w:pPr>
            <w:r>
              <w:rPr>
                <w:rFonts w:ascii="Arial" w:cs="Arial" w:eastAsia="Arial" w:hAnsi="Arial"/>
                <w:sz w:val="14"/>
                <w:szCs w:val="14"/>
                <w:color w:val="auto"/>
              </w:rPr>
              <w:t>F-17</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680" w:type="dxa"/>
            <w:vAlign w:val="bottom"/>
            <w:tcBorders>
              <w:bottom w:val="single" w:sz="8" w:color="808080"/>
            </w:tcBorders>
          </w:tcPr>
          <w:p>
            <w:pPr>
              <w:spacing w:after="0"/>
              <w:rPr>
                <w:sz w:val="7"/>
                <w:szCs w:val="7"/>
                <w:color w:val="auto"/>
              </w:rPr>
            </w:pPr>
          </w:p>
        </w:tc>
        <w:tc>
          <w:tcPr>
            <w:tcW w:w="41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5720" w:type="dxa"/>
            <w:vAlign w:val="bottom"/>
            <w:gridSpan w:val="2"/>
          </w:tcPr>
          <w:p>
            <w:pPr>
              <w:jc w:val="right"/>
              <w:ind w:right="222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 Property and Equipment</w:t>
            </w:r>
          </w:p>
        </w:tc>
        <w:tc>
          <w:tcPr>
            <w:tcW w:w="572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NOTES TO CONSOLIDATED FINANCIAL STATEMENTS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6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3360" w:type="dxa"/>
            <w:vAlign w:val="bottom"/>
            <w:gridSpan w:val="2"/>
          </w:tcPr>
          <w:p>
            <w:pPr>
              <w:spacing w:after="0"/>
              <w:rPr>
                <w:sz w:val="20"/>
                <w:szCs w:val="20"/>
                <w:color w:val="auto"/>
              </w:rPr>
            </w:pPr>
            <w:r>
              <w:rPr>
                <w:rFonts w:ascii="Arial" w:cs="Arial" w:eastAsia="Arial" w:hAnsi="Arial"/>
                <w:sz w:val="14"/>
                <w:szCs w:val="14"/>
                <w:color w:val="auto"/>
              </w:rPr>
              <w:t>Property and equipment consists of the following:</w:t>
            </w: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653,600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653,600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Tenant improvements</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26,900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Computers and network equipment</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Office furniture and equipment</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69,500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69,500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782,200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 and amortization</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(605,900)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spacing w:after="0"/>
              <w:rPr>
                <w:sz w:val="14"/>
                <w:szCs w:val="14"/>
                <w:color w:val="auto"/>
              </w:rPr>
            </w:pPr>
          </w:p>
        </w:tc>
        <w:tc>
          <w:tcPr>
            <w:tcW w:w="54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176,300</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during May 2015, we entered into an agreement with Platinum pursuant to which Platinum converted all of the Senior Secured Convertible Promissory Notes it held into shares of our newly created Series B Preferred stock and terminated its security interests in our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20"/>
                <w:szCs w:val="20"/>
                <w:color w:val="auto"/>
              </w:rPr>
            </w:pPr>
            <w:r>
              <w:rPr>
                <w:rFonts w:ascii="Arial" w:cs="Arial" w:eastAsia="Arial" w:hAnsi="Arial"/>
                <w:sz w:val="14"/>
                <w:szCs w:val="14"/>
                <w:b w:val="1"/>
                <w:bCs w:val="1"/>
                <w:color w:val="auto"/>
              </w:rPr>
              <w:t>7. Accrued Expenses</w:t>
            </w: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660" w:type="dxa"/>
            <w:vAlign w:val="bottom"/>
          </w:tcPr>
          <w:p>
            <w:pPr>
              <w:spacing w:after="0"/>
              <w:rPr>
                <w:sz w:val="20"/>
                <w:szCs w:val="20"/>
                <w:color w:val="auto"/>
              </w:rPr>
            </w:pPr>
            <w:r>
              <w:rPr>
                <w:rFonts w:ascii="Arial" w:cs="Arial" w:eastAsia="Arial" w:hAnsi="Arial"/>
                <w:sz w:val="14"/>
                <w:szCs w:val="14"/>
                <w:color w:val="auto"/>
              </w:rPr>
              <w:t>Accrued expenses consist of:</w:t>
            </w: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135,700</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20"/>
                <w:szCs w:val="20"/>
                <w:color w:val="auto"/>
              </w:rPr>
            </w:pPr>
            <w:r>
              <w:rPr>
                <w:rFonts w:ascii="Arial" w:cs="Arial" w:eastAsia="Arial" w:hAnsi="Arial"/>
                <w:sz w:val="14"/>
                <w:szCs w:val="14"/>
                <w:color w:val="auto"/>
              </w:rPr>
              <w:t>Accrued compensation</w:t>
            </w: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489,900</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660" w:type="dxa"/>
            <w:vAlign w:val="bottom"/>
            <w:tcBorders>
              <w:top w:val="single" w:sz="8" w:color="CCEEFF"/>
            </w:tcBorders>
          </w:tcPr>
          <w:p>
            <w:pPr>
              <w:spacing w:after="0"/>
              <w:rPr>
                <w:sz w:val="14"/>
                <w:szCs w:val="14"/>
                <w:color w:val="auto"/>
              </w:rPr>
            </w:pPr>
          </w:p>
        </w:tc>
        <w:tc>
          <w:tcPr>
            <w:tcW w:w="5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c>
          <w:tcPr>
            <w:tcW w:w="0" w:type="dxa"/>
            <w:vAlign w:val="bottom"/>
          </w:tcPr>
          <w:p>
            <w:pPr>
              <w:spacing w:after="0"/>
              <w:rPr>
                <w:sz w:val="1"/>
                <w:szCs w:val="1"/>
                <w:color w:val="auto"/>
              </w:rPr>
            </w:pPr>
          </w:p>
        </w:tc>
      </w:tr>
      <w:tr>
        <w:trPr>
          <w:trHeight w:val="653"/>
        </w:trPr>
        <w:tc>
          <w:tcPr>
            <w:tcW w:w="3660" w:type="dxa"/>
            <w:vAlign w:val="bottom"/>
            <w:tcBorders>
              <w:top w:val="single" w:sz="8" w:color="CCEEFF"/>
            </w:tcBorders>
          </w:tcPr>
          <w:p>
            <w:pPr>
              <w:spacing w:after="0"/>
              <w:rPr>
                <w:sz w:val="24"/>
                <w:szCs w:val="24"/>
                <w:color w:val="auto"/>
              </w:rPr>
            </w:pPr>
          </w:p>
        </w:tc>
        <w:tc>
          <w:tcPr>
            <w:tcW w:w="5180" w:type="dxa"/>
            <w:vAlign w:val="bottom"/>
            <w:tcBorders>
              <w:top w:val="single" w:sz="8" w:color="CCEEFF"/>
            </w:tcBorders>
          </w:tcPr>
          <w:p>
            <w:pPr>
              <w:ind w:left="1940"/>
              <w:spacing w:after="0"/>
              <w:rPr>
                <w:sz w:val="20"/>
                <w:szCs w:val="20"/>
                <w:color w:val="auto"/>
              </w:rPr>
            </w:pPr>
            <w:r>
              <w:rPr>
                <w:rFonts w:ascii="Arial" w:cs="Arial" w:eastAsia="Arial" w:hAnsi="Arial"/>
                <w:sz w:val="14"/>
                <w:szCs w:val="14"/>
                <w:color w:val="auto"/>
              </w:rPr>
              <w:t>F-18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660" w:type="dxa"/>
            <w:vAlign w:val="bottom"/>
            <w:tcBorders>
              <w:bottom w:val="single" w:sz="8" w:color="808080"/>
            </w:tcBorders>
          </w:tcPr>
          <w:p>
            <w:pPr>
              <w:spacing w:after="0"/>
              <w:rPr>
                <w:sz w:val="7"/>
                <w:szCs w:val="7"/>
                <w:color w:val="auto"/>
              </w:rPr>
            </w:pPr>
          </w:p>
        </w:tc>
        <w:tc>
          <w:tcPr>
            <w:tcW w:w="5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VISTAGEN THERAPEUTICS,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8. Convertible Promissory Notes and Other Notes Payable</w:t>
            </w:r>
          </w:p>
        </w:tc>
        <w:tc>
          <w:tcPr>
            <w:tcW w:w="4120" w:type="dxa"/>
            <w:vAlign w:val="bottom"/>
            <w:gridSpan w:val="11"/>
          </w:tcPr>
          <w:p>
            <w:pPr>
              <w:jc w:val="right"/>
              <w:ind w:right="49"/>
              <w:spacing w:after="0"/>
              <w:rPr>
                <w:sz w:val="20"/>
                <w:szCs w:val="20"/>
                <w:color w:val="auto"/>
              </w:rPr>
            </w:pPr>
            <w:r>
              <w:rPr>
                <w:rFonts w:ascii="Arial" w:cs="Arial" w:eastAsia="Arial" w:hAnsi="Arial"/>
                <w:sz w:val="14"/>
                <w:szCs w:val="14"/>
                <w:b w:val="1"/>
                <w:bCs w:val="1"/>
                <w:color w:val="auto"/>
              </w:rPr>
              <w:t>NOTES TO CONSOLIDATED FINANCIAL STATEMENTS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7500" w:type="dxa"/>
            <w:vAlign w:val="bottom"/>
            <w:gridSpan w:val="13"/>
          </w:tcPr>
          <w:p>
            <w:pPr>
              <w:spacing w:after="0"/>
              <w:rPr>
                <w:sz w:val="20"/>
                <w:szCs w:val="20"/>
                <w:color w:val="auto"/>
              </w:rPr>
            </w:pPr>
            <w:r>
              <w:rPr>
                <w:rFonts w:ascii="Arial" w:cs="Arial" w:eastAsia="Arial" w:hAnsi="Arial"/>
                <w:sz w:val="14"/>
                <w:szCs w:val="14"/>
                <w:color w:val="auto"/>
                <w:w w:val="99"/>
              </w:rPr>
              <w:t>The following table summarizes the components of the Company’s convertible promissory notes and other notes payable: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420"/>
              <w:spacing w:after="0" w:line="160" w:lineRule="exact"/>
              <w:rPr>
                <w:sz w:val="20"/>
                <w:szCs w:val="20"/>
                <w:color w:val="auto"/>
              </w:rPr>
            </w:pPr>
            <w:r>
              <w:rPr>
                <w:rFonts w:ascii="Arial" w:cs="Arial" w:eastAsia="Arial" w:hAnsi="Arial"/>
                <w:sz w:val="14"/>
                <w:szCs w:val="14"/>
                <w:color w:val="auto"/>
              </w:rPr>
              <w:t>Principal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3"/>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Balance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tcPr>
          <w:p>
            <w:pPr>
              <w:ind w:left="260"/>
              <w:spacing w:after="0" w:line="160" w:lineRule="exact"/>
              <w:rPr>
                <w:sz w:val="20"/>
                <w:szCs w:val="20"/>
                <w:color w:val="auto"/>
              </w:rPr>
            </w:pPr>
            <w:r>
              <w:rPr>
                <w:rFonts w:ascii="Arial" w:cs="Arial" w:eastAsia="Arial" w:hAnsi="Arial"/>
                <w:sz w:val="14"/>
                <w:szCs w:val="14"/>
                <w:b w:val="1"/>
                <w:bCs w:val="1"/>
                <w:i w:val="1"/>
                <w:iCs w:val="1"/>
                <w:color w:val="auto"/>
              </w:rPr>
              <w:t>Senior Secured 10% Convertible Promissory</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Notes issued to Platinum:</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Exchange Note issued on October 11,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1,632,800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1,272,600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October 11, 2012</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641,500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79,900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579,900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October 19, 2012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640,100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78,600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February 22, 2013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59,100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309,100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29,400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279,400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March 12, 2013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922,600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834,100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873,500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4,146,100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475,400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3,748,000</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rPr>
              <w:t>Convertible promissory note issued on July 26,</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2013</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267,700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Senior notes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4,015,700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Aggregate note discount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(2,085,900)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(2,085,900)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Net Senior notes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(3,272,600)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(4,146,100)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Senior notes - non-current portion and discount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00" w:type="dxa"/>
            <w:vAlign w:val="bottom"/>
            <w:tcBorders>
              <w:bottom w:val="single" w:sz="8" w:color="auto"/>
            </w:tcBorders>
            <w:shd w:val="clear" w:color="auto" w:fill="CCEEFF"/>
          </w:tcPr>
          <w:p>
            <w:pPr>
              <w:spacing w:after="0"/>
              <w:rPr>
                <w:sz w:val="13"/>
                <w:szCs w:val="13"/>
                <w:color w:val="auto"/>
              </w:rPr>
            </w:pPr>
          </w:p>
        </w:tc>
        <w:tc>
          <w:tcPr>
            <w:tcW w:w="24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w w:val="96"/>
              </w:rPr>
              <w:t>10% Convertible Promissory Notes (Unit Notes)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2013 Unit Notes, due 7/31/14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1,007,500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1,043,200</w:t>
            </w: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w w:val="99"/>
              </w:rPr>
              <w:t>2014 Unit Notes, including amended notes, due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3/31/15</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50,200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1,057,500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Note discounts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(697,400)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(697,400)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convertible notes (all current)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3,886,900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4,157,600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396,000</w:t>
            </w:r>
          </w:p>
        </w:tc>
        <w:tc>
          <w:tcPr>
            <w:tcW w:w="0" w:type="dxa"/>
            <w:vAlign w:val="bottom"/>
          </w:tcPr>
          <w:p>
            <w:pPr>
              <w:spacing w:after="0"/>
              <w:rPr>
                <w:sz w:val="1"/>
                <w:szCs w:val="1"/>
                <w:color w:val="auto"/>
              </w:rPr>
            </w:pPr>
          </w:p>
        </w:tc>
      </w:tr>
      <w:tr>
        <w:trPr>
          <w:trHeight w:val="154"/>
        </w:trPr>
        <w:tc>
          <w:tcPr>
            <w:tcW w:w="900" w:type="dxa"/>
            <w:vAlign w:val="bottom"/>
            <w:tcBorders>
              <w:top w:val="single" w:sz="8" w:color="CCEEFF"/>
              <w:bottom w:val="single" w:sz="8" w:color="auto"/>
            </w:tcBorders>
          </w:tcPr>
          <w:p>
            <w:pPr>
              <w:spacing w:after="0"/>
              <w:rPr>
                <w:sz w:val="13"/>
                <w:szCs w:val="13"/>
                <w:color w:val="auto"/>
              </w:rPr>
            </w:pPr>
          </w:p>
        </w:tc>
        <w:tc>
          <w:tcPr>
            <w:tcW w:w="2440" w:type="dxa"/>
            <w:vAlign w:val="bottom"/>
            <w:tcBorders>
              <w:top w:val="single" w:sz="8" w:color="CCEEFF"/>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7.5% Notes payable to service providers for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w w:val="98"/>
              </w:rPr>
              <w:t>accounts payable converted to notes payable: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Burr, Pilger, Mayer</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Desjardins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156,300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180,400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178,600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192,700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McCarthy Tetrault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319,700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365,700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August 2012 Morrison &amp; Foerster Note A</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918,200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1,111,400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1,006,100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line="171" w:lineRule="exact"/>
              <w:rPr>
                <w:sz w:val="20"/>
                <w:szCs w:val="20"/>
                <w:color w:val="auto"/>
              </w:rPr>
            </w:pPr>
            <w:r>
              <w:rPr>
                <w:rFonts w:ascii="Arial" w:cs="Arial" w:eastAsia="Arial" w:hAnsi="Arial"/>
                <w:sz w:val="14"/>
                <w:szCs w:val="14"/>
                <w:color w:val="auto"/>
              </w:rPr>
              <w:t xml:space="preserve">August 2012 Morrison &amp; Foerster Note B </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1,712,500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1,574,600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549,500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101,800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651,300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60,600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610,100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3,413,500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4,124,800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3,477,000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3,866,400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(474,500)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2,628,900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3,018,300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(3,413,500)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(4,124,800)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(1,130,100)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(133,600)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(1,263,700)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(474,500)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1,754,600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5.75% and 10.25% Notes payable to insurance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premium financing company (current)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10% Notes payable to vendors for accounts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payable converted to notes payable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(378,300)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(429,800)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(119,400)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 payable (August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66,700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(23,200)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(31,100)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Notes payable -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unrelated parties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3,856,400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4,627,100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4,088,000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(3,820,800)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(770,700)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(4,591,500)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(1,270,200)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(172,100)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(1,442,300)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2,389,900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discount (current at March 31, 2015)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Net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1,541,800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c>
          <w:tcPr>
            <w:tcW w:w="0" w:type="dxa"/>
            <w:vAlign w:val="bottom"/>
          </w:tcPr>
          <w:p>
            <w:pPr>
              <w:spacing w:after="0"/>
              <w:rPr>
                <w:sz w:val="1"/>
                <w:szCs w:val="1"/>
                <w:color w:val="auto"/>
              </w:rPr>
            </w:pPr>
          </w:p>
        </w:tc>
      </w:tr>
      <w:tr>
        <w:trPr>
          <w:trHeight w:val="176"/>
        </w:trPr>
        <w:tc>
          <w:tcPr>
            <w:tcW w:w="900" w:type="dxa"/>
            <w:vAlign w:val="bottom"/>
            <w:tcBorders>
              <w:top w:val="single" w:sz="8" w:color="CCEEFF"/>
              <w:bottom w:val="single" w:sz="8" w:color="auto"/>
            </w:tcBorders>
          </w:tcPr>
          <w:p>
            <w:pPr>
              <w:spacing w:after="0"/>
              <w:rPr>
                <w:sz w:val="15"/>
                <w:szCs w:val="15"/>
                <w:color w:val="auto"/>
              </w:rPr>
            </w:pPr>
          </w:p>
        </w:tc>
        <w:tc>
          <w:tcPr>
            <w:tcW w:w="244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October 2012 7.5% Note to Cato Holding Co.</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349,500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30,800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324,400</w:t>
            </w:r>
          </w:p>
        </w:tc>
        <w:tc>
          <w:tcPr>
            <w:tcW w:w="0" w:type="dxa"/>
            <w:vAlign w:val="bottom"/>
          </w:tcPr>
          <w:p>
            <w:pPr>
              <w:spacing w:after="0"/>
              <w:rPr>
                <w:sz w:val="1"/>
                <w:szCs w:val="1"/>
                <w:color w:val="auto"/>
              </w:rPr>
            </w:pPr>
          </w:p>
        </w:tc>
      </w:tr>
      <w:tr>
        <w:trPr>
          <w:trHeight w:val="159"/>
        </w:trPr>
        <w:tc>
          <w:tcPr>
            <w:tcW w:w="3340" w:type="dxa"/>
            <w:vAlign w:val="bottom"/>
            <w:gridSpan w:val="2"/>
          </w:tcPr>
          <w:p>
            <w:pPr>
              <w:ind w:left="380"/>
              <w:spacing w:after="0" w:line="159" w:lineRule="exact"/>
              <w:rPr>
                <w:sz w:val="20"/>
                <w:szCs w:val="20"/>
                <w:color w:val="auto"/>
              </w:rPr>
            </w:pPr>
            <w:r>
              <w:rPr>
                <w:rFonts w:ascii="Arial" w:cs="Arial" w:eastAsia="Arial" w:hAnsi="Arial"/>
                <w:sz w:val="14"/>
                <w:szCs w:val="14"/>
                <w:color w:val="auto"/>
                <w:w w:val="99"/>
              </w:rPr>
              <w:t>October 2012 7.5% Note to Cato Research Ltd.</w:t>
            </w:r>
          </w:p>
        </w:tc>
        <w:tc>
          <w:tcPr>
            <w:tcW w:w="240" w:type="dxa"/>
            <w:vAlign w:val="bottom"/>
          </w:tcPr>
          <w:p>
            <w:pPr>
              <w:spacing w:after="0"/>
              <w:rPr>
                <w:sz w:val="13"/>
                <w:szCs w:val="13"/>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1,009,000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204,800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1,213,800</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117,300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1,126,300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20"/>
                <w:szCs w:val="20"/>
                <w:color w:val="auto"/>
              </w:rPr>
            </w:pPr>
            <w:r>
              <w:rPr>
                <w:rFonts w:ascii="Arial" w:cs="Arial" w:eastAsia="Arial" w:hAnsi="Arial"/>
                <w:sz w:val="10"/>
                <w:szCs w:val="10"/>
                <w:color w:val="auto"/>
              </w:rPr>
              <w:t>(1)</w:t>
            </w: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1,563,300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1,450,700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(103,200)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related parties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1,248,100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1,508,800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1,347,500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(1,248,100)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(1,508,800)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(259,600)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(290,400)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939,800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1,057,100</w:t>
            </w:r>
          </w:p>
        </w:tc>
        <w:tc>
          <w:tcPr>
            <w:tcW w:w="0" w:type="dxa"/>
            <w:vAlign w:val="bottom"/>
          </w:tcPr>
          <w:p>
            <w:pPr>
              <w:spacing w:after="0"/>
              <w:rPr>
                <w:sz w:val="1"/>
                <w:szCs w:val="1"/>
                <w:color w:val="auto"/>
              </w:rPr>
            </w:pPr>
          </w:p>
        </w:tc>
      </w:tr>
      <w:tr>
        <w:trPr>
          <w:trHeight w:val="150"/>
        </w:trPr>
        <w:tc>
          <w:tcPr>
            <w:tcW w:w="3340" w:type="dxa"/>
            <w:vAlign w:val="bottom"/>
            <w:tcBorders>
              <w:top w:val="single" w:sz="8" w:color="CCEEFF"/>
            </w:tcBorders>
            <w:gridSpan w:val="2"/>
          </w:tcPr>
          <w:p>
            <w:pPr>
              <w:ind w:left="520"/>
              <w:spacing w:after="0" w:line="150" w:lineRule="exact"/>
              <w:rPr>
                <w:sz w:val="20"/>
                <w:szCs w:val="20"/>
                <w:color w:val="auto"/>
              </w:rPr>
            </w:pPr>
            <w:r>
              <w:rPr>
                <w:rFonts w:ascii="Arial" w:cs="Arial" w:eastAsia="Arial" w:hAnsi="Arial"/>
                <w:sz w:val="14"/>
                <w:szCs w:val="14"/>
                <w:color w:val="auto"/>
              </w:rPr>
              <w:t>____________</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ind w:left="660" w:hanging="144"/>
        <w:spacing w:after="0" w:line="225" w:lineRule="auto"/>
        <w:tabs>
          <w:tab w:leader="none" w:pos="660" w:val="left"/>
        </w:tabs>
        <w:numPr>
          <w:ilvl w:val="0"/>
          <w:numId w:val="82"/>
        </w:numPr>
        <w:rPr>
          <w:rFonts w:ascii="Arial" w:cs="Arial" w:eastAsia="Arial" w:hAnsi="Arial"/>
          <w:sz w:val="16"/>
          <w:szCs w:val="16"/>
          <w:color w:val="auto"/>
          <w:vertAlign w:val="superscript"/>
        </w:rPr>
      </w:pPr>
      <w:r>
        <w:rPr>
          <w:rFonts w:ascii="Arial" w:cs="Arial" w:eastAsia="Arial" w:hAnsi="Arial"/>
          <w:sz w:val="12"/>
          <w:szCs w:val="12"/>
          <w:color w:val="auto"/>
        </w:rPr>
        <w:t>Note and interest payable solely in restricted shares of the Company's common stock.</w:t>
      </w:r>
    </w:p>
    <w:p>
      <w:pPr>
        <w:sectPr>
          <w:pgSz w:w="11900" w:h="16838" w:orient="portrait"/>
          <w:cols w:equalWidth="0" w:num="1">
            <w:col w:w="11460"/>
          </w:cols>
          <w:pgMar w:left="220" w:top="118" w:right="219" w:bottom="417"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417" w:gutter="0" w:footer="0" w:header="0"/>
          <w:type w:val="continuous"/>
        </w:sectPr>
      </w:pPr>
    </w:p>
    <w:bookmarkStart w:id="159" w:name="page160"/>
    <w:bookmarkEnd w:id="15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our convertible promissory notes and other promissory notes during the fiscal years ended March 31, 2015 and 2014 are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2014 Unit Private Placement</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As described more completely in the section entitled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late March 2014 and March 31, 2015, we issued to accredited investors 10% convertible notes (the </w:t>
      </w:r>
      <w:r>
        <w:rPr>
          <w:rFonts w:ascii="Arial" w:cs="Arial" w:eastAsia="Arial" w:hAnsi="Arial"/>
          <w:sz w:val="13"/>
          <w:szCs w:val="13"/>
          <w:i w:val="1"/>
          <w:iCs w:val="1"/>
          <w:color w:val="auto"/>
        </w:rPr>
        <w:t>2014Unit Notes</w:t>
      </w:r>
      <w:r>
        <w:rPr>
          <w:rFonts w:ascii="Arial" w:cs="Arial" w:eastAsia="Arial" w:hAnsi="Arial"/>
          <w:sz w:val="13"/>
          <w:szCs w:val="13"/>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notes issued in connection with the 2014 Unit Private Placement after March 31, 2015.) The 2014 Unit Notes mature on March 31,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Outstanding Balance of all of the 2014 Unit Notes pursuant to a private placement financing in May 2015.</w:t>
      </w:r>
    </w:p>
    <w:p>
      <w:pPr>
        <w:spacing w:after="0" w:line="161"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0" w:name="page161"/>
    <w:bookmarkEnd w:id="16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October 11, 2012, we entered into a Note Exchange and Purchase Agreement (</w:t>
      </w:r>
      <w:r>
        <w:rPr>
          <w:rFonts w:ascii="Arial" w:cs="Arial" w:eastAsia="Arial" w:hAnsi="Arial"/>
          <w:sz w:val="14"/>
          <w:szCs w:val="14"/>
          <w:i w:val="1"/>
          <w:iCs w:val="1"/>
          <w:color w:val="auto"/>
        </w:rPr>
        <w:t>NEPA Agreement</w:t>
      </w:r>
      <w:r>
        <w:rPr>
          <w:rFonts w:ascii="Arial" w:cs="Arial" w:eastAsia="Arial" w:hAnsi="Arial"/>
          <w:sz w:val="14"/>
          <w:szCs w:val="14"/>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4"/>
          <w:szCs w:val="14"/>
          <w:i w:val="1"/>
          <w:iCs w:val="1"/>
          <w:color w:val="auto"/>
        </w:rPr>
        <w:t>Exchange Note</w:t>
      </w:r>
      <w:r>
        <w:rPr>
          <w:rFonts w:ascii="Arial" w:cs="Arial" w:eastAsia="Arial" w:hAnsi="Arial"/>
          <w:sz w:val="14"/>
          <w:szCs w:val="14"/>
          <w:color w:val="auto"/>
        </w:rPr>
        <w:t xml:space="preserve">) and Platinum agreed to purchase four additional 10% senior secured convertible promissory notes in the aggregate principal amount of $2.0 million (the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The Exchange Note and each Investment Note (together, </w:t>
      </w:r>
      <w:r>
        <w:rPr>
          <w:rFonts w:ascii="Arial" w:cs="Arial" w:eastAsia="Arial" w:hAnsi="Arial"/>
          <w:sz w:val="13"/>
          <w:szCs w:val="13"/>
          <w:i w:val="1"/>
          <w:iCs w:val="1"/>
          <w:color w:val="auto"/>
        </w:rPr>
        <w:t>SeniorNotes</w:t>
      </w:r>
      <w:r>
        <w:rPr>
          <w:rFonts w:ascii="Arial" w:cs="Arial" w:eastAsia="Arial" w:hAnsi="Arial"/>
          <w:sz w:val="13"/>
          <w:szCs w:val="13"/>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conversion of the Senior Notes and accrued interest into shares of Series B Preferred stock during May 2015.</w:t>
      </w:r>
    </w:p>
    <w:p>
      <w:pPr>
        <w:spacing w:after="0" w:line="159"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3"/>
          <w:szCs w:val="13"/>
          <w:i w:val="1"/>
          <w:iCs w:val="1"/>
          <w:color w:val="auto"/>
        </w:rPr>
        <w:t>Investment Warrant</w:t>
      </w:r>
      <w:r>
        <w:rPr>
          <w:rFonts w:ascii="Arial" w:cs="Arial" w:eastAsia="Arial" w:hAnsi="Arial"/>
          <w:sz w:val="13"/>
          <w:szCs w:val="13"/>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3"/>
          <w:szCs w:val="13"/>
          <w:i w:val="1"/>
          <w:iCs w:val="1"/>
          <w:color w:val="auto"/>
        </w:rPr>
        <w:t>Exchange Warrant</w:t>
      </w:r>
      <w:r>
        <w:rPr>
          <w:rFonts w:ascii="Arial" w:cs="Arial" w:eastAsia="Arial" w:hAnsi="Arial"/>
          <w:sz w:val="13"/>
          <w:szCs w:val="13"/>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5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On July 26, 2013, we issued an additional senior secured convertible promissory note in the principal amount of $250,000 to Platinum (</w:t>
      </w:r>
      <w:r>
        <w:rPr>
          <w:rFonts w:ascii="Arial" w:cs="Arial" w:eastAsia="Arial" w:hAnsi="Arial"/>
          <w:sz w:val="13"/>
          <w:szCs w:val="13"/>
          <w:i w:val="1"/>
          <w:iCs w:val="1"/>
          <w:color w:val="auto"/>
        </w:rPr>
        <w:t>July 2013 Note</w:t>
      </w:r>
      <w:r>
        <w:rPr>
          <w:rFonts w:ascii="Arial" w:cs="Arial" w:eastAsia="Arial" w:hAnsi="Arial"/>
          <w:sz w:val="13"/>
          <w:szCs w:val="13"/>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3"/>
          <w:szCs w:val="13"/>
          <w:i w:val="1"/>
          <w:iCs w:val="1"/>
          <w:color w:val="auto"/>
        </w:rPr>
        <w:t>July 2013 Warrant</w:t>
      </w:r>
      <w:r>
        <w:rPr>
          <w:rFonts w:ascii="Arial" w:cs="Arial" w:eastAsia="Arial" w:hAnsi="Arial"/>
          <w:sz w:val="13"/>
          <w:szCs w:val="13"/>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1" w:name="page162"/>
    <w:bookmarkEnd w:id="16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Conversion and Warrant Amendment Agreement with Platinum</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July 18, 2014, we entered into an Amended and Restated Note Conversion Agreement and Warrant Amendment with Platinum (</w:t>
      </w:r>
      <w:r>
        <w:rPr>
          <w:rFonts w:ascii="Arial" w:cs="Arial" w:eastAsia="Arial" w:hAnsi="Arial"/>
          <w:sz w:val="13"/>
          <w:szCs w:val="13"/>
          <w:i w:val="1"/>
          <w:iCs w:val="1"/>
          <w:color w:val="auto"/>
        </w:rPr>
        <w:t>Amendment</w:t>
      </w:r>
      <w:r>
        <w:rPr>
          <w:rFonts w:ascii="Arial" w:cs="Arial" w:eastAsia="Arial" w:hAnsi="Arial"/>
          <w:sz w:val="13"/>
          <w:szCs w:val="13"/>
          <w:color w:val="auto"/>
        </w:rPr>
        <w:t>), pursuant to which Platinum agreed to convert into our unregistered equity securities all Senior Secured Convertible Promissory Notes (</w:t>
      </w:r>
      <w:r>
        <w:rPr>
          <w:rFonts w:ascii="Arial" w:cs="Arial" w:eastAsia="Arial" w:hAnsi="Arial"/>
          <w:sz w:val="13"/>
          <w:szCs w:val="13"/>
          <w:i w:val="1"/>
          <w:iCs w:val="1"/>
          <w:color w:val="auto"/>
        </w:rPr>
        <w:t>Senior Notes</w:t>
      </w:r>
      <w:r>
        <w:rPr>
          <w:rFonts w:ascii="Arial" w:cs="Arial" w:eastAsia="Arial" w:hAnsi="Arial"/>
          <w:sz w:val="13"/>
          <w:szCs w:val="13"/>
          <w:color w:val="auto"/>
        </w:rPr>
        <w:t>) held by Platinum, including accrued but unpaid interest thereon (</w:t>
      </w:r>
      <w:r>
        <w:rPr>
          <w:rFonts w:ascii="Arial" w:cs="Arial" w:eastAsia="Arial" w:hAnsi="Arial"/>
          <w:sz w:val="13"/>
          <w:szCs w:val="13"/>
          <w:i w:val="1"/>
          <w:iCs w:val="1"/>
          <w:color w:val="auto"/>
        </w:rPr>
        <w:t>Outstanding Balance</w:t>
      </w:r>
      <w:r>
        <w:rPr>
          <w:rFonts w:ascii="Arial" w:cs="Arial" w:eastAsia="Arial" w:hAnsi="Arial"/>
          <w:sz w:val="13"/>
          <w:szCs w:val="13"/>
          <w:color w:val="auto"/>
        </w:rPr>
        <w:t>), in the aggregate amount of approximately $4.2 million at the date of the agreement, upon our consummation on or before August 31, 2014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equity financing resulting in aggregate gross proceeds of at least $36.0 million (</w:t>
      </w:r>
      <w:r>
        <w:rPr>
          <w:rFonts w:ascii="Arial" w:cs="Arial" w:eastAsia="Arial" w:hAnsi="Arial"/>
          <w:sz w:val="13"/>
          <w:szCs w:val="13"/>
          <w:i w:val="1"/>
          <w:iCs w:val="1"/>
          <w:color w:val="auto"/>
        </w:rPr>
        <w:t>Private Financing</w:t>
      </w:r>
      <w:r>
        <w:rPr>
          <w:rFonts w:ascii="Arial" w:cs="Arial" w:eastAsia="Arial" w:hAnsi="Arial"/>
          <w:sz w:val="13"/>
          <w:szCs w:val="13"/>
          <w:color w:val="auto"/>
        </w:rPr>
        <w:t>), or (ii) a public offering of our equity securities registered with the SEC resulting in gross proceeds of at least $10.0 million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(the Private Financing and Public Offering are referred to in this discussion as a </w:t>
      </w:r>
      <w:r>
        <w:rPr>
          <w:rFonts w:ascii="Arial" w:cs="Arial" w:eastAsia="Arial" w:hAnsi="Arial"/>
          <w:sz w:val="13"/>
          <w:szCs w:val="13"/>
          <w:i w:val="1"/>
          <w:iCs w:val="1"/>
          <w:color w:val="auto"/>
        </w:rPr>
        <w:t>Platinum Qualified Financing</w:t>
      </w:r>
      <w:r>
        <w:rPr>
          <w:rFonts w:ascii="Arial" w:cs="Arial" w:eastAsia="Arial" w:hAnsi="Arial"/>
          <w:sz w:val="13"/>
          <w:szCs w:val="13"/>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at the lower of $10.00 per share or the lowest per-share price in the Public Offering.</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3"/>
          <w:szCs w:val="13"/>
          <w:i w:val="1"/>
          <w:iCs w:val="1"/>
          <w:color w:val="auto"/>
        </w:rPr>
        <w:t>NEPA</w:t>
      </w:r>
      <w:r>
        <w:rPr>
          <w:rFonts w:ascii="Arial" w:cs="Arial" w:eastAsia="Arial" w:hAnsi="Arial"/>
          <w:sz w:val="13"/>
          <w:szCs w:val="13"/>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51" w:lineRule="exact"/>
        <w:rPr>
          <w:sz w:val="20"/>
          <w:szCs w:val="20"/>
          <w:color w:val="auto"/>
        </w:rPr>
      </w:pPr>
    </w:p>
    <w:p>
      <w:pPr>
        <w:jc w:val="both"/>
        <w:ind w:right="340"/>
        <w:spacing w:after="0" w:line="298" w:lineRule="auto"/>
        <w:rPr>
          <w:sz w:val="20"/>
          <w:szCs w:val="20"/>
          <w:color w:val="auto"/>
        </w:rPr>
      </w:pPr>
      <w:r>
        <w:rPr>
          <w:rFonts w:ascii="Arial" w:cs="Arial" w:eastAsia="Arial" w:hAnsi="Arial"/>
          <w:sz w:val="13"/>
          <w:szCs w:val="13"/>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At the execution of the Amendment, we determined that the Amendment resulted in a modification of the Senior Notes that should be accounted for as an extinguishment of debt. Considering, among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other factors, the cash flows and conversion features of the Senior Notes as modified by the Amendment, market interest rates for debt of similar quality and the relative probabilities of conversion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into either shares of our common stock or Series B Preferred upon consummation of a Qualified Financing, we determined that the fair values of the Senior Notes at July 18, 2014,</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aggregating $6,475,000, represented a substantial premium over their aggregate $4,138,700 face values plus accrued interest. In accordance with the provisions of ASC 470-20, </w:t>
      </w:r>
      <w:r>
        <w:rPr>
          <w:rFonts w:ascii="Arial" w:cs="Arial" w:eastAsia="Arial" w:hAnsi="Arial"/>
          <w:sz w:val="13"/>
          <w:szCs w:val="13"/>
          <w:i w:val="1"/>
          <w:iCs w:val="1"/>
          <w:color w:val="auto"/>
        </w:rPr>
        <w:t>Debt with Conversion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and Other Options, </w:t>
      </w:r>
      <w:r>
        <w:rPr>
          <w:rFonts w:ascii="Arial" w:cs="Arial" w:eastAsia="Arial" w:hAnsi="Arial"/>
          <w:sz w:val="12"/>
          <w:szCs w:val="12"/>
          <w:color w:val="auto"/>
        </w:rPr>
        <w:t>we recognized the premium in excess of the face value and accrued interest, $2,336,300, as a non-cash component of loss on extinguishment of debt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Operations and Comprehensive (Loss) Income with a credit to additional paid-in capital, an equity account. Consequently, we recorded the liability for the Senior Notes at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their face values plus accrued interest. We recognized the difference between the pre-modification carrying values of the notes and their face values, an aggregate of $1,983,700, as an additional non-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cash charge to loss on extinguishment of debt in the accompanying Condensed Consolidated Statement of Operations and Comprehensive (Loss) Income. Certain of the Senior Notes contained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beneficial conversion feature at the time they were originally issued. We have accounted for the repurchase of the beneficial conversion feature at the time of the modification,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$2,716,600, as a reduction to the loss on extinguishment of debt in the accompanying Condensed Consolidated Statements of Operations and Comprehensive (Loss) Income, with a corresponding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reduction to additional paid-in capital. The net amount of the loss on extinguishment of debt related to the amendment of the Senior Notes recognized in the accompanying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Statements of Operations and Comprehensive (Loss) Income for the nine months ended December 31, 2014 is $1,603,400.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2" w:name="page163"/>
    <w:bookmarkEnd w:id="16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We re-measure the fair value of the Exchange Warrant, the Investment Warrants and the July 2013 Warrant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2013 Unit Private Placement</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As described more completely in the section entitled 2013 Unit Private Placement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between August 2013 and March 2014, we issued to accredited investors 10% convertible promissory notes (the </w:t>
      </w:r>
      <w:r>
        <w:rPr>
          <w:rFonts w:ascii="Arial" w:cs="Arial" w:eastAsia="Arial" w:hAnsi="Arial"/>
          <w:sz w:val="14"/>
          <w:szCs w:val="14"/>
          <w:i w:val="1"/>
          <w:iCs w:val="1"/>
          <w:color w:val="auto"/>
        </w:rPr>
        <w:t>2013 Unit Notes</w:t>
      </w:r>
      <w:r>
        <w:rPr>
          <w:rFonts w:ascii="Arial" w:cs="Arial" w:eastAsia="Arial" w:hAnsi="Arial"/>
          <w:sz w:val="14"/>
          <w:szCs w:val="14"/>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Warrants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2"/>
          <w:szCs w:val="12"/>
          <w:i w:val="1"/>
          <w:iCs w:val="1"/>
          <w:color w:val="auto"/>
        </w:rPr>
        <w:t>Amended 2013 Unit Notes</w:t>
      </w:r>
      <w:r>
        <w:rPr>
          <w:rFonts w:ascii="Arial" w:cs="Arial" w:eastAsia="Arial" w:hAnsi="Arial"/>
          <w:sz w:val="12"/>
          <w:szCs w:val="12"/>
          <w:color w:val="auto"/>
        </w:rPr>
        <w:t>), and</w:t>
      </w:r>
    </w:p>
    <w:p>
      <w:pPr>
        <w:ind w:right="80" w:firstLine="5"/>
        <w:spacing w:after="0" w:line="257" w:lineRule="auto"/>
        <w:tabs>
          <w:tab w:leader="none" w:pos="209" w:val="left"/>
        </w:tabs>
        <w:numPr>
          <w:ilvl w:val="0"/>
          <w:numId w:val="83"/>
        </w:numPr>
        <w:rPr>
          <w:rFonts w:ascii="Arial" w:cs="Arial" w:eastAsia="Arial" w:hAnsi="Arial"/>
          <w:sz w:val="14"/>
          <w:szCs w:val="14"/>
          <w:color w:val="auto"/>
        </w:rPr>
      </w:pPr>
      <w:r>
        <w:rPr>
          <w:rFonts w:ascii="Arial" w:cs="Arial" w:eastAsia="Arial" w:hAnsi="Arial"/>
          <w:sz w:val="14"/>
          <w:szCs w:val="14"/>
          <w:color w:val="auto"/>
        </w:rPr>
        <w:t>modify certain terms of their 2013 Unit Warrants, including the exercise price and expiration date, to conform to the corresponding terms of the 2014 Unit Warrants (</w:t>
      </w:r>
      <w:r>
        <w:rPr>
          <w:rFonts w:ascii="Arial" w:cs="Arial" w:eastAsia="Arial" w:hAnsi="Arial"/>
          <w:sz w:val="14"/>
          <w:szCs w:val="14"/>
          <w:i w:val="1"/>
          <w:iCs w:val="1"/>
          <w:color w:val="auto"/>
        </w:rPr>
        <w:t>Amended 2013 Unit Warrants</w:t>
      </w:r>
      <w:r>
        <w:rPr>
          <w:rFonts w:ascii="Arial" w:cs="Arial" w:eastAsia="Arial" w:hAnsi="Arial"/>
          <w:sz w:val="14"/>
          <w:szCs w:val="14"/>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3" w:name="page164"/>
    <w:bookmarkEnd w:id="16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02" w:lineRule="auto"/>
        <w:rPr>
          <w:sz w:val="20"/>
          <w:szCs w:val="20"/>
          <w:color w:val="auto"/>
        </w:rPr>
      </w:pPr>
      <w:r>
        <w:rPr>
          <w:rFonts w:ascii="Arial" w:cs="Arial" w:eastAsia="Arial" w:hAnsi="Arial"/>
          <w:sz w:val="12"/>
          <w:szCs w:val="12"/>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2"/>
          <w:szCs w:val="12"/>
          <w:i w:val="1"/>
          <w:iCs w:val="1"/>
          <w:color w:val="auto"/>
        </w:rPr>
        <w:t>Capital Stock</w:t>
      </w:r>
      <w:r>
        <w:rPr>
          <w:rFonts w:ascii="Arial" w:cs="Arial" w:eastAsia="Arial" w:hAnsi="Arial"/>
          <w:sz w:val="12"/>
          <w:szCs w:val="12"/>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p>
      <w:pPr>
        <w:spacing w:after="0" w:line="205"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to Morrison &amp; Foerster</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 xml:space="preserve">On May 5, 2011, we amended a previously outstanding note (the </w:t>
      </w:r>
      <w:r>
        <w:rPr>
          <w:rFonts w:ascii="Arial" w:cs="Arial" w:eastAsia="Arial" w:hAnsi="Arial"/>
          <w:sz w:val="14"/>
          <w:szCs w:val="14"/>
          <w:i w:val="1"/>
          <w:iCs w:val="1"/>
          <w:color w:val="auto"/>
        </w:rPr>
        <w:t>Original Note</w:t>
      </w:r>
      <w:r>
        <w:rPr>
          <w:rFonts w:ascii="Arial" w:cs="Arial" w:eastAsia="Arial" w:hAnsi="Arial"/>
          <w:sz w:val="14"/>
          <w:szCs w:val="14"/>
          <w:color w:val="auto"/>
        </w:rPr>
        <w:t>) issued to Morrison &amp; Foerster LLP (</w:t>
      </w:r>
      <w:r>
        <w:rPr>
          <w:rFonts w:ascii="Arial" w:cs="Arial" w:eastAsia="Arial" w:hAnsi="Arial"/>
          <w:sz w:val="14"/>
          <w:szCs w:val="14"/>
          <w:i w:val="1"/>
          <w:iCs w:val="1"/>
          <w:color w:val="auto"/>
        </w:rPr>
        <w:t>Morrison &amp; Foerster</w:t>
      </w:r>
      <w:r>
        <w:rPr>
          <w:rFonts w:ascii="Arial" w:cs="Arial" w:eastAsia="Arial" w:hAnsi="Arial"/>
          <w:sz w:val="14"/>
          <w:szCs w:val="14"/>
          <w:color w:val="auto"/>
        </w:rPr>
        <w:t xml:space="preserve">), then our general corporate and intellectual property counsel, in payment of legal services (the </w:t>
      </w:r>
      <w:r>
        <w:rPr>
          <w:rFonts w:ascii="Arial" w:cs="Arial" w:eastAsia="Arial" w:hAnsi="Arial"/>
          <w:sz w:val="14"/>
          <w:szCs w:val="14"/>
          <w:i w:val="1"/>
          <w:iCs w:val="1"/>
          <w:color w:val="auto"/>
        </w:rPr>
        <w:t>Amended Note</w:t>
      </w:r>
      <w:r>
        <w:rPr>
          <w:rFonts w:ascii="Arial" w:cs="Arial" w:eastAsia="Arial" w:hAnsi="Arial"/>
          <w:sz w:val="14"/>
          <w:szCs w:val="14"/>
          <w:color w:val="auto"/>
        </w:rPr>
        <w:t>). Under the terms of Amended Note, the principal balance of the Original Note was increased to $2,200,000, interest accrued at the rate of 7.5% per annum, and we were required to make certain payments to Morrison &amp; Foerster.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4" w:name="page165"/>
    <w:bookmarkEnd w:id="16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 xml:space="preserve">On August 31, 2012, we restructured the Amended Note (the </w:t>
      </w:r>
      <w:r>
        <w:rPr>
          <w:rFonts w:ascii="Arial" w:cs="Arial" w:eastAsia="Arial" w:hAnsi="Arial"/>
          <w:sz w:val="13"/>
          <w:szCs w:val="13"/>
          <w:i w:val="1"/>
          <w:iCs w:val="1"/>
          <w:color w:val="auto"/>
        </w:rPr>
        <w:t>Restructuring Agreement</w:t>
      </w:r>
      <w:r>
        <w:rPr>
          <w:rFonts w:ascii="Arial" w:cs="Arial" w:eastAsia="Arial" w:hAnsi="Arial"/>
          <w:sz w:val="13"/>
          <w:szCs w:val="13"/>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3"/>
          <w:szCs w:val="13"/>
          <w:i w:val="1"/>
          <w:iCs w:val="1"/>
          <w:color w:val="auto"/>
        </w:rPr>
        <w:t>Replacement Note A</w:t>
      </w:r>
      <w:r>
        <w:rPr>
          <w:rFonts w:ascii="Arial" w:cs="Arial" w:eastAsia="Arial" w:hAnsi="Arial"/>
          <w:sz w:val="13"/>
          <w:szCs w:val="13"/>
          <w:color w:val="auto"/>
        </w:rPr>
        <w:t>) and the other in the principal amount of $1,379,400 (</w:t>
      </w:r>
      <w:r>
        <w:rPr>
          <w:rFonts w:ascii="Arial" w:cs="Arial" w:eastAsia="Arial" w:hAnsi="Arial"/>
          <w:sz w:val="13"/>
          <w:szCs w:val="13"/>
          <w:i w:val="1"/>
          <w:iCs w:val="1"/>
          <w:color w:val="auto"/>
        </w:rPr>
        <w:t>Replacement Note B</w:t>
      </w:r>
      <w:r>
        <w:rPr>
          <w:rFonts w:ascii="Arial" w:cs="Arial" w:eastAsia="Arial" w:hAnsi="Arial"/>
          <w:sz w:val="13"/>
          <w:szCs w:val="13"/>
          <w:color w:val="auto"/>
        </w:rPr>
        <w:t xml:space="preserve">) (together, the </w:t>
      </w:r>
      <w:r>
        <w:rPr>
          <w:rFonts w:ascii="Arial" w:cs="Arial" w:eastAsia="Arial" w:hAnsi="Arial"/>
          <w:sz w:val="13"/>
          <w:szCs w:val="13"/>
          <w:i w:val="1"/>
          <w:iCs w:val="1"/>
          <w:color w:val="auto"/>
        </w:rPr>
        <w:t>Replacement Notes</w:t>
      </w:r>
      <w:r>
        <w:rPr>
          <w:rFonts w:ascii="Arial" w:cs="Arial" w:eastAsia="Arial" w:hAnsi="Arial"/>
          <w:sz w:val="13"/>
          <w:szCs w:val="13"/>
          <w:color w:val="auto"/>
        </w:rPr>
        <w:t>); amended an outstanding warrant to purchase restricted shares of our common stock (the</w:t>
      </w:r>
      <w:r>
        <w:rPr>
          <w:rFonts w:ascii="Arial" w:cs="Arial" w:eastAsia="Arial" w:hAnsi="Arial"/>
          <w:sz w:val="13"/>
          <w:szCs w:val="13"/>
          <w:i w:val="1"/>
          <w:iCs w:val="1"/>
          <w:color w:val="auto"/>
        </w:rPr>
        <w:t xml:space="preserve"> Amended M&amp;F Warrant)</w:t>
      </w:r>
      <w:r>
        <w:rPr>
          <w:rFonts w:ascii="Arial" w:cs="Arial" w:eastAsia="Arial" w:hAnsi="Arial"/>
          <w:sz w:val="13"/>
          <w:szCs w:val="13"/>
          <w:color w:val="auto"/>
        </w:rPr>
        <w:t>; and issued a new warrant exercisable at $20.00 per share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September 15, 2017 to purchase restricted shares of our common stock (the </w:t>
      </w:r>
      <w:r>
        <w:rPr>
          <w:rFonts w:ascii="Arial" w:cs="Arial" w:eastAsia="Arial" w:hAnsi="Arial"/>
          <w:sz w:val="13"/>
          <w:szCs w:val="13"/>
          <w:i w:val="1"/>
          <w:iCs w:val="1"/>
          <w:color w:val="auto"/>
        </w:rPr>
        <w:t>New M&amp;F Warrant).</w:t>
      </w:r>
      <w:r>
        <w:rPr>
          <w:rFonts w:ascii="Arial" w:cs="Arial" w:eastAsia="Arial" w:hAnsi="Arial"/>
          <w:sz w:val="13"/>
          <w:szCs w:val="13"/>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Research Ltd.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On October 10, 2012, we issued to Cato Research Ltd (</w:t>
      </w:r>
      <w:r>
        <w:rPr>
          <w:rFonts w:ascii="Arial" w:cs="Arial" w:eastAsia="Arial" w:hAnsi="Arial"/>
          <w:sz w:val="13"/>
          <w:szCs w:val="13"/>
          <w:i w:val="1"/>
          <w:iCs w:val="1"/>
          <w:color w:val="auto"/>
        </w:rPr>
        <w:t>CRL</w:t>
      </w:r>
      <w:r>
        <w:rPr>
          <w:rFonts w:ascii="Arial" w:cs="Arial" w:eastAsia="Arial" w:hAnsi="Arial"/>
          <w:sz w:val="13"/>
          <w:szCs w:val="13"/>
          <w:color w:val="auto"/>
        </w:rPr>
        <w:t>) a contract research and development partner and a related party: (i) an unsecured promissory note in the initial principal amount of</w:t>
      </w: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w:t>
      </w:r>
      <w:r>
        <w:rPr>
          <w:rFonts w:ascii="Arial" w:cs="Arial" w:eastAsia="Arial" w:hAnsi="Arial"/>
          <w:sz w:val="13"/>
          <w:szCs w:val="13"/>
          <w:i w:val="1"/>
          <w:iCs w:val="1"/>
          <w:color w:val="auto"/>
        </w:rPr>
        <w:t>CRO Services</w:t>
      </w:r>
      <w:r>
        <w:rPr>
          <w:rFonts w:ascii="Arial" w:cs="Arial" w:eastAsia="Arial" w:hAnsi="Arial"/>
          <w:sz w:val="13"/>
          <w:szCs w:val="13"/>
          <w:color w:val="auto"/>
        </w:rPr>
        <w:t xml:space="preserve">) rendered by CRL to us and our affiliates through December 31, 2012 with respect to the non-clinical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3"/>
          <w:szCs w:val="13"/>
          <w:i w:val="1"/>
          <w:iCs w:val="1"/>
          <w:color w:val="auto"/>
        </w:rPr>
        <w:t>CRL Warrant</w:t>
      </w:r>
      <w:r>
        <w:rPr>
          <w:rFonts w:ascii="Arial" w:cs="Arial" w:eastAsia="Arial" w:hAnsi="Arial"/>
          <w:sz w:val="13"/>
          <w:szCs w:val="13"/>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5" w:name="page166"/>
    <w:bookmarkEnd w:id="16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Holding Company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On October 10, 2012, we exchanged a previously outstanding note issued to Cato Holding Company (</w:t>
      </w:r>
      <w:r>
        <w:rPr>
          <w:rFonts w:ascii="Arial" w:cs="Arial" w:eastAsia="Arial" w:hAnsi="Arial"/>
          <w:sz w:val="14"/>
          <w:szCs w:val="14"/>
          <w:i w:val="1"/>
          <w:iCs w:val="1"/>
          <w:color w:val="auto"/>
        </w:rPr>
        <w:t>CHC</w:t>
      </w:r>
      <w:r>
        <w:rPr>
          <w:rFonts w:ascii="Arial" w:cs="Arial" w:eastAsia="Arial" w:hAnsi="Arial"/>
          <w:sz w:val="14"/>
          <w:szCs w:val="14"/>
          <w:color w:val="auto"/>
        </w:rPr>
        <w:t xml:space="preserve">) for a new unsecured promissory note in the principal amount of $310,400 (the </w:t>
      </w:r>
      <w:r>
        <w:rPr>
          <w:rFonts w:ascii="Arial" w:cs="Arial" w:eastAsia="Arial" w:hAnsi="Arial"/>
          <w:sz w:val="14"/>
          <w:szCs w:val="14"/>
          <w:i w:val="1"/>
          <w:iCs w:val="1"/>
          <w:color w:val="auto"/>
        </w:rPr>
        <w:t>2012 CHC</w:t>
      </w:r>
      <w:r>
        <w:rPr>
          <w:rFonts w:ascii="Arial" w:cs="Arial" w:eastAsia="Arial" w:hAnsi="Arial"/>
          <w:sz w:val="14"/>
          <w:szCs w:val="14"/>
          <w:color w:val="auto"/>
        </w:rPr>
        <w:t xml:space="preserve"> </w:t>
      </w:r>
      <w:r>
        <w:rPr>
          <w:rFonts w:ascii="Arial" w:cs="Arial" w:eastAsia="Arial" w:hAnsi="Arial"/>
          <w:sz w:val="14"/>
          <w:szCs w:val="14"/>
          <w:i w:val="1"/>
          <w:iCs w:val="1"/>
          <w:color w:val="auto"/>
        </w:rPr>
        <w:t>Note</w:t>
      </w:r>
      <w:r>
        <w:rPr>
          <w:rFonts w:ascii="Arial" w:cs="Arial" w:eastAsia="Arial" w:hAnsi="Arial"/>
          <w:sz w:val="14"/>
          <w:szCs w:val="14"/>
          <w:color w:val="auto"/>
        </w:rPr>
        <w:t>) and a five-year warrant to purchase 12,500 restricted shares of the Company’s common stock at a price of $30.00 per share (the</w:t>
      </w:r>
      <w:r>
        <w:rPr>
          <w:rFonts w:ascii="Arial" w:cs="Arial" w:eastAsia="Arial" w:hAnsi="Arial"/>
          <w:sz w:val="14"/>
          <w:szCs w:val="14"/>
          <w:i w:val="1"/>
          <w:iCs w:val="1"/>
          <w:color w:val="auto"/>
        </w:rPr>
        <w:t xml:space="preserve"> CHC Warrant</w:t>
      </w:r>
      <w:r>
        <w:rPr>
          <w:rFonts w:ascii="Arial" w:cs="Arial" w:eastAsia="Arial" w:hAnsi="Arial"/>
          <w:sz w:val="14"/>
          <w:szCs w:val="14"/>
          <w:color w:val="auto"/>
        </w:rPr>
        <w:t>). The 2012 CHC Note accrues interest at a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University Health Network</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October 10, 2012, we issued to the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3"/>
          <w:szCs w:val="13"/>
          <w:i w:val="1"/>
          <w:iCs w:val="1"/>
          <w:color w:val="auto"/>
        </w:rPr>
        <w:t>UHN Note</w:t>
      </w:r>
      <w:r>
        <w:rPr>
          <w:rFonts w:ascii="Arial" w:cs="Arial" w:eastAsia="Arial" w:hAnsi="Arial"/>
          <w:sz w:val="13"/>
          <w:szCs w:val="13"/>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3"/>
          <w:szCs w:val="13"/>
          <w:i w:val="1"/>
          <w:iCs w:val="1"/>
          <w:color w:val="auto"/>
        </w:rPr>
        <w:t>UHN Warrant</w:t>
      </w:r>
      <w:r>
        <w:rPr>
          <w:rFonts w:ascii="Arial" w:cs="Arial" w:eastAsia="Arial" w:hAnsi="Arial"/>
          <w:sz w:val="13"/>
          <w:szCs w:val="13"/>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for Cancellation of Amounts Payable for Services and Royalties</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On February 25, 2011, we issued to Burr, Pilger, and Mayer, LLC (</w:t>
      </w:r>
      <w:r>
        <w:rPr>
          <w:rFonts w:ascii="Arial" w:cs="Arial" w:eastAsia="Arial" w:hAnsi="Arial"/>
          <w:sz w:val="14"/>
          <w:szCs w:val="14"/>
          <w:i w:val="1"/>
          <w:iCs w:val="1"/>
          <w:color w:val="auto"/>
        </w:rPr>
        <w:t>BPM</w:t>
      </w:r>
      <w:r>
        <w:rPr>
          <w:rFonts w:ascii="Arial" w:cs="Arial" w:eastAsia="Arial" w:hAnsi="Arial"/>
          <w:sz w:val="14"/>
          <w:szCs w:val="14"/>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On April 29, 2011, we issued to Desjardins Securities, Inc. (</w:t>
      </w:r>
      <w:r>
        <w:rPr>
          <w:rFonts w:ascii="Arial" w:cs="Arial" w:eastAsia="Arial" w:hAnsi="Arial"/>
          <w:sz w:val="14"/>
          <w:szCs w:val="14"/>
          <w:i w:val="1"/>
          <w:iCs w:val="1"/>
          <w:color w:val="auto"/>
        </w:rPr>
        <w:t>Desjardins</w:t>
      </w:r>
      <w:r>
        <w:rPr>
          <w:rFonts w:ascii="Arial" w:cs="Arial" w:eastAsia="Arial" w:hAnsi="Arial"/>
          <w:sz w:val="14"/>
          <w:szCs w:val="14"/>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6" w:name="page167"/>
    <w:bookmarkEnd w:id="16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On May 5, 2011, we issued to McCarthy Tetrault LLP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3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On October 12, 2009, VistaGen California issued a promissory note payable to the Regents of the University of California “</w:t>
      </w:r>
      <w:r>
        <w:rPr>
          <w:rFonts w:ascii="Arial" w:cs="Arial" w:eastAsia="Arial" w:hAnsi="Arial"/>
          <w:sz w:val="13"/>
          <w:szCs w:val="13"/>
          <w:i w:val="1"/>
          <w:iCs w:val="1"/>
          <w:color w:val="auto"/>
        </w:rPr>
        <w:t>UC</w:t>
      </w:r>
      <w:r>
        <w:rPr>
          <w:rFonts w:ascii="Arial" w:cs="Arial" w:eastAsia="Arial" w:hAnsi="Arial"/>
          <w:sz w:val="13"/>
          <w:szCs w:val="13"/>
          <w:color w:val="auto"/>
        </w:rPr>
        <w:t>” with a principal balance of $90,000 in exchange for the cancellation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certain amounts payable under a research collaboration agreement (the </w:t>
      </w:r>
      <w:r>
        <w:rPr>
          <w:rFonts w:ascii="Arial" w:cs="Arial" w:eastAsia="Arial" w:hAnsi="Arial"/>
          <w:sz w:val="13"/>
          <w:szCs w:val="13"/>
          <w:i w:val="1"/>
          <w:iCs w:val="1"/>
          <w:color w:val="auto"/>
        </w:rPr>
        <w:t>UC Note 1</w:t>
      </w:r>
      <w:r>
        <w:rPr>
          <w:rFonts w:ascii="Arial" w:cs="Arial" w:eastAsia="Arial" w:hAnsi="Arial"/>
          <w:sz w:val="13"/>
          <w:szCs w:val="13"/>
          <w:color w:val="auto"/>
        </w:rPr>
        <w:t>) On February 25, 2010, VistaGen California issued a promissory note payable to UC having a principal balance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$170,000 in exchange for the cancellation of the remaining $60,000 principal balance of UC Note 1 and certain amounts payable under a research collaboration agreement (</w:t>
      </w:r>
      <w:r>
        <w:rPr>
          <w:rFonts w:ascii="Arial" w:cs="Arial" w:eastAsia="Arial" w:hAnsi="Arial"/>
          <w:sz w:val="12"/>
          <w:szCs w:val="12"/>
          <w:i w:val="1"/>
          <w:iCs w:val="1"/>
          <w:color w:val="auto"/>
        </w:rPr>
        <w:t>UC Note 2</w:t>
      </w:r>
      <w:r>
        <w:rPr>
          <w:rFonts w:ascii="Arial" w:cs="Arial" w:eastAsia="Arial" w:hAnsi="Arial"/>
          <w:sz w:val="12"/>
          <w:szCs w:val="12"/>
          <w:color w:val="auto"/>
        </w:rPr>
        <w:t>). UC Note 2 was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payable in monthly principal installments of $15,000 through May 31, 2010, with the remaining $125,000 plus all accrued and unpaid interest due on or before June 30, 2010. Between June 2010 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December 2010, VistaGen California amended UC Note 2 multiple times, ultimately resulting in a decrease in the monthly payment amount to $5,000, with payments continuing until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balance of principal and interest is paid in full. We made no payments on UC Note 2 during the fiscal year ended March 31, 2015.</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4"/>
          <w:szCs w:val="14"/>
          <w:i w:val="1"/>
          <w:iCs w:val="1"/>
          <w:color w:val="auto"/>
        </w:rPr>
        <w:t>March 2010 Note</w:t>
      </w:r>
      <w:r>
        <w:rPr>
          <w:rFonts w:ascii="Arial" w:cs="Arial" w:eastAsia="Arial" w:hAnsi="Arial"/>
          <w:sz w:val="14"/>
          <w:szCs w:val="14"/>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7" w:name="page168"/>
    <w:bookmarkEnd w:id="16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Split (Stock Consolidation) of our Common Stock</w:t>
      </w:r>
    </w:p>
    <w:p>
      <w:pPr>
        <w:spacing w:after="0" w:line="205"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 xml:space="preserve">As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3"/>
          <w:szCs w:val="13"/>
          <w:i w:val="1"/>
          <w:iCs w:val="1"/>
          <w:color w:val="auto"/>
        </w:rPr>
        <w:t>FINRA</w:t>
      </w:r>
      <w:r>
        <w:rPr>
          <w:rFonts w:ascii="Arial" w:cs="Arial" w:eastAsia="Arial" w:hAnsi="Arial"/>
          <w:sz w:val="13"/>
          <w:szCs w:val="13"/>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Series A Preferred Stock</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par value $0.001 (</w:t>
      </w:r>
      <w:r>
        <w:rPr>
          <w:rFonts w:ascii="Arial" w:cs="Arial" w:eastAsia="Arial" w:hAnsi="Arial"/>
          <w:sz w:val="14"/>
          <w:szCs w:val="14"/>
          <w:i w:val="1"/>
          <w:iCs w:val="1"/>
          <w:color w:val="auto"/>
        </w:rPr>
        <w:t>Series A Preferred</w:t>
      </w:r>
      <w:r>
        <w:rPr>
          <w:rFonts w:ascii="Arial" w:cs="Arial" w:eastAsia="Arial" w:hAnsi="Arial"/>
          <w:sz w:val="14"/>
          <w:szCs w:val="14"/>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63"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53"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37"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4" w:lineRule="exact"/>
        <w:rPr>
          <w:sz w:val="20"/>
          <w:szCs w:val="20"/>
          <w:color w:val="auto"/>
        </w:rPr>
      </w:pPr>
    </w:p>
    <w:p>
      <w:pPr>
        <w:ind w:left="1020" w:hanging="534"/>
        <w:spacing w:after="0"/>
        <w:tabs>
          <w:tab w:leader="none" w:pos="1020" w:val="left"/>
        </w:tabs>
        <w:numPr>
          <w:ilvl w:val="0"/>
          <w:numId w:val="85"/>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Common Stock Exchange Agreement with Platinum</w:t>
      </w:r>
    </w:p>
    <w:p>
      <w:pPr>
        <w:spacing w:after="0" w:line="181" w:lineRule="exact"/>
        <w:rPr>
          <w:rFonts w:ascii="Arial" w:cs="Arial" w:eastAsia="Arial" w:hAnsi="Arial"/>
          <w:sz w:val="20"/>
          <w:szCs w:val="20"/>
          <w:color w:val="auto"/>
          <w:vertAlign w:val="superscript"/>
        </w:rPr>
      </w:pPr>
    </w:p>
    <w:p>
      <w:pPr>
        <w:ind w:left="1020" w:right="80"/>
        <w:spacing w:after="0" w:line="290" w:lineRule="auto"/>
        <w:rPr>
          <w:rFonts w:ascii="Arial" w:cs="Arial" w:eastAsia="Arial" w:hAnsi="Arial"/>
          <w:sz w:val="20"/>
          <w:szCs w:val="20"/>
          <w:color w:val="auto"/>
          <w:vertAlign w:val="superscript"/>
        </w:rPr>
      </w:pPr>
      <w:r>
        <w:rPr>
          <w:rFonts w:ascii="Arial" w:cs="Arial" w:eastAsia="Arial" w:hAnsi="Arial"/>
          <w:sz w:val="13"/>
          <w:szCs w:val="13"/>
          <w:color w:val="auto"/>
        </w:rPr>
        <w:t xml:space="preserve">On December 22, 2011, we entered into a Common Stock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xml:space="preserve">") with Platinum, pursuant to which Platinum converted 24,200 restricted shares of our common stock into 45,980 restricted shares of Series A Preferred (the </w:t>
      </w:r>
      <w:r>
        <w:rPr>
          <w:rFonts w:ascii="Arial" w:cs="Arial" w:eastAsia="Arial" w:hAnsi="Arial"/>
          <w:sz w:val="13"/>
          <w:szCs w:val="13"/>
          <w:i w:val="1"/>
          <w:iCs w:val="1"/>
          <w:color w:val="auto"/>
        </w:rPr>
        <w:t>Exchange</w:t>
      </w:r>
      <w:r>
        <w:rPr>
          <w:rFonts w:ascii="Arial" w:cs="Arial" w:eastAsia="Arial" w:hAnsi="Arial"/>
          <w:sz w:val="13"/>
          <w:szCs w:val="13"/>
          <w:color w:val="auto"/>
        </w:rPr>
        <w:t>).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8" w:name="page169"/>
    <w:bookmarkEnd w:id="16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41" w:lineRule="exact"/>
        <w:rPr>
          <w:sz w:val="20"/>
          <w:szCs w:val="20"/>
          <w:color w:val="auto"/>
        </w:rPr>
      </w:pPr>
    </w:p>
    <w:p>
      <w:pPr>
        <w:ind w:left="1020" w:hanging="534"/>
        <w:spacing w:after="0"/>
        <w:tabs>
          <w:tab w:leader="none" w:pos="102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December 2011 Note and Warrant Exchange Agreement with Platinum</w:t>
      </w:r>
    </w:p>
    <w:p>
      <w:pPr>
        <w:spacing w:after="0" w:line="181" w:lineRule="exact"/>
        <w:rPr>
          <w:rFonts w:ascii="Arial" w:cs="Arial" w:eastAsia="Arial" w:hAnsi="Arial"/>
          <w:sz w:val="20"/>
          <w:szCs w:val="20"/>
          <w:color w:val="auto"/>
          <w:vertAlign w:val="superscript"/>
        </w:rPr>
      </w:pPr>
    </w:p>
    <w:p>
      <w:pPr>
        <w:ind w:left="1020"/>
        <w:spacing w:after="0" w:line="281" w:lineRule="auto"/>
        <w:rPr>
          <w:rFonts w:ascii="Arial" w:cs="Arial" w:eastAsia="Arial" w:hAnsi="Arial"/>
          <w:sz w:val="20"/>
          <w:szCs w:val="20"/>
          <w:color w:val="auto"/>
          <w:vertAlign w:val="superscript"/>
        </w:rPr>
      </w:pPr>
      <w:r>
        <w:rPr>
          <w:rFonts w:ascii="Arial" w:cs="Arial" w:eastAsia="Arial" w:hAnsi="Arial"/>
          <w:sz w:val="13"/>
          <w:szCs w:val="13"/>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09" w:lineRule="exact"/>
        <w:rPr>
          <w:rFonts w:ascii="Arial" w:cs="Arial" w:eastAsia="Arial" w:hAnsi="Arial"/>
          <w:sz w:val="20"/>
          <w:szCs w:val="20"/>
          <w:color w:val="auto"/>
          <w:vertAlign w:val="superscript"/>
        </w:rPr>
      </w:pPr>
    </w:p>
    <w:p>
      <w:pPr>
        <w:ind w:left="1020" w:hanging="534"/>
        <w:spacing w:after="0"/>
        <w:tabs>
          <w:tab w:leader="none" w:pos="102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b w:val="1"/>
          <w:bCs w:val="1"/>
          <w:i w:val="1"/>
          <w:iCs w:val="1"/>
          <w:color w:val="auto"/>
        </w:rPr>
        <w:t>2012 Exchange Agreement with Platinum</w:t>
      </w:r>
    </w:p>
    <w:p>
      <w:pPr>
        <w:spacing w:after="0" w:line="182" w:lineRule="exact"/>
        <w:rPr>
          <w:sz w:val="20"/>
          <w:szCs w:val="20"/>
          <w:color w:val="auto"/>
        </w:rPr>
      </w:pPr>
    </w:p>
    <w:p>
      <w:pPr>
        <w:ind w:left="1020" w:right="80"/>
        <w:spacing w:after="0" w:line="285" w:lineRule="auto"/>
        <w:rPr>
          <w:sz w:val="20"/>
          <w:szCs w:val="20"/>
          <w:color w:val="auto"/>
        </w:rPr>
      </w:pPr>
      <w:r>
        <w:rPr>
          <w:rFonts w:ascii="Arial" w:cs="Arial" w:eastAsia="Arial" w:hAnsi="Arial"/>
          <w:sz w:val="13"/>
          <w:szCs w:val="13"/>
          <w:color w:val="auto"/>
        </w:rPr>
        <w:t xml:space="preserve">On June 29, 2012, we entered into an Exchange Agreement (the </w:t>
      </w:r>
      <w:r>
        <w:rPr>
          <w:rFonts w:ascii="Arial" w:cs="Arial" w:eastAsia="Arial" w:hAnsi="Arial"/>
          <w:sz w:val="13"/>
          <w:szCs w:val="13"/>
          <w:i w:val="1"/>
          <w:iCs w:val="1"/>
          <w:color w:val="auto"/>
        </w:rPr>
        <w:t>2012 Platinum Exchange Agreement</w:t>
      </w:r>
      <w:r>
        <w:rPr>
          <w:rFonts w:ascii="Arial" w:cs="Arial" w:eastAsia="Arial" w:hAnsi="Arial"/>
          <w:sz w:val="13"/>
          <w:szCs w:val="13"/>
          <w:color w:val="auto"/>
        </w:rPr>
        <w: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Series A Preferred Exchange Right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Pursuant to the October 2012 Agreement described more completely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4"/>
          <w:szCs w:val="14"/>
          <w:i w:val="1"/>
          <w:iCs w:val="1"/>
          <w:color w:val="auto"/>
        </w:rPr>
        <w:t>Series A Exchange Warrant</w:t>
      </w:r>
      <w:r>
        <w:rPr>
          <w:rFonts w:ascii="Arial" w:cs="Arial" w:eastAsia="Arial" w:hAnsi="Arial"/>
          <w:sz w:val="14"/>
          <w:szCs w:val="14"/>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4"/>
          <w:szCs w:val="14"/>
          <w:i w:val="1"/>
          <w:iCs w:val="1"/>
          <w:color w:val="auto"/>
        </w:rPr>
        <w:t>Amendment and Waiver</w:t>
      </w:r>
      <w:r>
        <w:rPr>
          <w:rFonts w:ascii="Arial" w:cs="Arial" w:eastAsia="Arial" w:hAnsi="Arial"/>
          <w:sz w:val="14"/>
          <w:szCs w:val="14"/>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9" w:name="page170"/>
    <w:bookmarkEnd w:id="16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B Preferred Stock</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On July 17, 2014, our Board of Directors authorized the creation of a class of Series B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filing of a Certificate of Designation for the Series B Preferred with the Nevada Secretary of State and the issuance of Series B Preferred in May and June 2015.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w:t>
      </w:r>
    </w:p>
    <w:p>
      <w:pPr>
        <w:ind w:right="80" w:firstLine="5"/>
        <w:spacing w:after="0" w:line="277" w:lineRule="auto"/>
        <w:tabs>
          <w:tab w:leader="none" w:pos="201"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3"/>
          <w:szCs w:val="13"/>
          <w:i w:val="1"/>
          <w:iCs w:val="1"/>
          <w:color w:val="auto"/>
        </w:rPr>
        <w:t>2014 Unit Stock)</w:t>
      </w:r>
      <w:r>
        <w:rPr>
          <w:rFonts w:ascii="Arial" w:cs="Arial" w:eastAsia="Arial" w:hAnsi="Arial"/>
          <w:sz w:val="13"/>
          <w:szCs w:val="13"/>
          <w:color w:val="auto"/>
        </w:rPr>
        <w:t>; and (iii) warrants exercisable through December 31, 2016 to purchase an aggregate of 282,850 restricted shares of our common stock at an exercise price of $10.00 per share (</w:t>
      </w:r>
      <w:r>
        <w:rPr>
          <w:rFonts w:ascii="Arial" w:cs="Arial" w:eastAsia="Arial" w:hAnsi="Arial"/>
          <w:sz w:val="13"/>
          <w:szCs w:val="13"/>
          <w:i w:val="1"/>
          <w:iCs w:val="1"/>
          <w:color w:val="auto"/>
        </w:rPr>
        <w:t>2014 Unit Warrants</w:t>
      </w:r>
      <w:r>
        <w:rPr>
          <w:rFonts w:ascii="Arial" w:cs="Arial" w:eastAsia="Arial" w:hAnsi="Arial"/>
          <w:sz w:val="13"/>
          <w:szCs w:val="13"/>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sales of 2014 Unit Notes in April and May 2015 and the conversion of the 2014 Unit Notes pursuant to a private placement financing in May 2015.</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4"/>
          <w:szCs w:val="14"/>
          <w:i w:val="1"/>
          <w:iCs w:val="1"/>
          <w:color w:val="auto"/>
        </w:rPr>
        <w:t>Convertible PromissoryNotes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based on the short-term nature of the Unit Notes, we determined that fair value of the 2014 Unit Notes was equal to their face value. We determined the fair value of the 2014 Unit</w:t>
      </w:r>
      <w:r>
        <w:rPr>
          <w:rFonts w:ascii="Arial" w:cs="Arial" w:eastAsia="Arial" w:hAnsi="Arial"/>
          <w:sz w:val="14"/>
          <w:szCs w:val="14"/>
          <w:i w:val="1"/>
          <w:iCs w:val="1"/>
          <w:color w:val="auto"/>
        </w:rPr>
        <w:t xml:space="preserve"> </w:t>
      </w:r>
      <w:r>
        <w:rPr>
          <w:rFonts w:ascii="Arial" w:cs="Arial" w:eastAsia="Arial" w:hAnsi="Arial"/>
          <w:sz w:val="14"/>
          <w:szCs w:val="14"/>
          <w:color w:val="auto"/>
        </w:rPr>
        <w:t>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Unit Warrants</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2"/>
              </w:rPr>
              <w:t>Weighted Average Issuance Date Valuation Assumptions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Aggregate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Aggregate</w:t>
            </w:r>
          </w:p>
        </w:tc>
        <w:tc>
          <w:tcPr>
            <w:tcW w:w="29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0"/>
              </w:rPr>
              <w:t>Risk free</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Fair Value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Proceeds</w:t>
            </w:r>
          </w:p>
        </w:tc>
        <w:tc>
          <w:tcPr>
            <w:tcW w:w="2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88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89"/>
              </w:rPr>
              <w:t>Interest</w:t>
            </w:r>
          </w:p>
        </w:tc>
        <w:tc>
          <w:tcPr>
            <w:tcW w:w="96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9"/>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8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rPr>
              <w:t>of Unit</w:t>
            </w:r>
          </w:p>
        </w:tc>
        <w:tc>
          <w:tcPr>
            <w:tcW w:w="880" w:type="dxa"/>
            <w:vAlign w:val="bottom"/>
          </w:tcPr>
          <w:p>
            <w:pPr>
              <w:jc w:val="center"/>
              <w:ind w:right="29"/>
              <w:spacing w:after="0" w:line="160" w:lineRule="exact"/>
              <w:rPr>
                <w:sz w:val="20"/>
                <w:szCs w:val="20"/>
                <w:color w:val="auto"/>
              </w:rPr>
            </w:pPr>
            <w:r>
              <w:rPr>
                <w:rFonts w:ascii="Arial" w:cs="Arial" w:eastAsia="Arial" w:hAnsi="Arial"/>
                <w:sz w:val="14"/>
                <w:szCs w:val="14"/>
                <w:color w:val="auto"/>
              </w:rPr>
              <w:t>of Unit</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9"/>
              <w:spacing w:after="0" w:line="160" w:lineRule="exact"/>
              <w:rPr>
                <w:sz w:val="20"/>
                <w:szCs w:val="20"/>
                <w:color w:val="auto"/>
              </w:rPr>
            </w:pPr>
            <w:r>
              <w:rPr>
                <w:rFonts w:ascii="Arial" w:cs="Arial" w:eastAsia="Arial" w:hAnsi="Arial"/>
                <w:sz w:val="14"/>
                <w:szCs w:val="14"/>
                <w:color w:val="auto"/>
              </w:rPr>
              <w:t>Unit</w:t>
            </w: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880" w:type="dxa"/>
            <w:vAlign w:val="bottom"/>
          </w:tcPr>
          <w:p>
            <w:pPr>
              <w:jc w:val="center"/>
              <w:ind w:right="109"/>
              <w:spacing w:after="0"/>
              <w:rPr>
                <w:sz w:val="20"/>
                <w:szCs w:val="20"/>
                <w:color w:val="auto"/>
              </w:rPr>
            </w:pPr>
            <w:r>
              <w:rPr>
                <w:rFonts w:ascii="Arial" w:cs="Arial" w:eastAsia="Arial" w:hAnsi="Arial"/>
                <w:sz w:val="14"/>
                <w:szCs w:val="14"/>
                <w:color w:val="auto"/>
                <w:w w:val="87"/>
              </w:rPr>
              <w:t>Rate</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Volatility</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2"/>
              </w:rPr>
              <w:t>Warrant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Warrants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Unit Stock</w:t>
            </w:r>
          </w:p>
        </w:tc>
        <w:tc>
          <w:tcPr>
            <w:tcW w:w="900" w:type="dxa"/>
            <w:vAlign w:val="bottom"/>
          </w:tcPr>
          <w:p>
            <w:pPr>
              <w:jc w:val="center"/>
              <w:ind w:right="169"/>
              <w:spacing w:after="0"/>
              <w:rPr>
                <w:sz w:val="20"/>
                <w:szCs w:val="20"/>
                <w:color w:val="auto"/>
              </w:rPr>
            </w:pPr>
            <w:r>
              <w:rPr>
                <w:rFonts w:ascii="Arial" w:cs="Arial" w:eastAsia="Arial" w:hAnsi="Arial"/>
                <w:sz w:val="14"/>
                <w:szCs w:val="14"/>
                <w:color w:val="auto"/>
                <w:w w:val="92"/>
              </w:rPr>
              <w:t>Warrant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0.62%</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$3,133,500</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$1,122,400</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$1,556,900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0" w:name="page171"/>
    <w:bookmarkEnd w:id="17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4"/>
          <w:szCs w:val="14"/>
          <w:i w:val="1"/>
          <w:iCs w:val="1"/>
          <w:color w:val="auto"/>
        </w:rPr>
        <w:t>2013 Units</w:t>
      </w:r>
      <w:r>
        <w:rPr>
          <w:rFonts w:ascii="Arial" w:cs="Arial" w:eastAsia="Arial" w:hAnsi="Arial"/>
          <w:sz w:val="14"/>
          <w:szCs w:val="14"/>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4"/>
          <w:szCs w:val="14"/>
          <w:i w:val="1"/>
          <w:iCs w:val="1"/>
          <w:color w:val="auto"/>
        </w:rPr>
        <w:t>2013 Unit Notes)</w:t>
      </w:r>
      <w:r>
        <w:rPr>
          <w:rFonts w:ascii="Arial" w:cs="Arial" w:eastAsia="Arial" w:hAnsi="Arial"/>
          <w:sz w:val="14"/>
          <w:szCs w:val="14"/>
          <w:color w:val="auto"/>
        </w:rPr>
        <w:t xml:space="preserve"> (ii) an aggregate 100,750 restricted shares of our common stock (</w:t>
      </w:r>
      <w:r>
        <w:rPr>
          <w:rFonts w:ascii="Arial" w:cs="Arial" w:eastAsia="Arial" w:hAnsi="Arial"/>
          <w:sz w:val="14"/>
          <w:szCs w:val="14"/>
          <w:i w:val="1"/>
          <w:iCs w:val="1"/>
          <w:color w:val="auto"/>
        </w:rPr>
        <w:t>2013</w:t>
      </w:r>
      <w:r>
        <w:rPr>
          <w:rFonts w:ascii="Arial" w:cs="Arial" w:eastAsia="Arial" w:hAnsi="Arial"/>
          <w:sz w:val="14"/>
          <w:szCs w:val="14"/>
          <w:color w:val="auto"/>
        </w:rPr>
        <w:t xml:space="preserve"> </w:t>
      </w:r>
      <w:r>
        <w:rPr>
          <w:rFonts w:ascii="Arial" w:cs="Arial" w:eastAsia="Arial" w:hAnsi="Arial"/>
          <w:sz w:val="14"/>
          <w:szCs w:val="14"/>
          <w:i w:val="1"/>
          <w:iCs w:val="1"/>
          <w:color w:val="auto"/>
        </w:rPr>
        <w:t>Unit Stock</w:t>
      </w:r>
      <w:r>
        <w:rPr>
          <w:rFonts w:ascii="Arial" w:cs="Arial" w:eastAsia="Arial" w:hAnsi="Arial"/>
          <w:sz w:val="14"/>
          <w:szCs w:val="14"/>
          <w:color w:val="auto"/>
        </w:rPr>
        <w:t>); and (iii) warrants exercisable through July 30, 2016 to purchase an aggregate of 100,750 restricted shares of our common stock at an exercise price of $20.00 per share (</w:t>
      </w:r>
      <w:r>
        <w:rPr>
          <w:rFonts w:ascii="Arial" w:cs="Arial" w:eastAsia="Arial" w:hAnsi="Arial"/>
          <w:sz w:val="14"/>
          <w:szCs w:val="14"/>
          <w:i w:val="1"/>
          <w:iCs w:val="1"/>
          <w:color w:val="auto"/>
        </w:rPr>
        <w:t>2013 Unit Warrants</w:t>
      </w:r>
      <w:r>
        <w:rPr>
          <w:rFonts w:ascii="Arial" w:cs="Arial" w:eastAsia="Arial" w:hAnsi="Arial"/>
          <w:sz w:val="14"/>
          <w:szCs w:val="14"/>
          <w:color w:val="auto"/>
        </w:rPr>
        <w:t>). The 2013 Unit Notes and related accrued interest were convertible into restricted shares of our common stock at a conversion price of $10.00 per share at or prior to maturity, at the option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investor.</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PromissoryNotes and Other Notes Payable</w:t>
      </w:r>
      <w:r>
        <w:rPr>
          <w:rFonts w:ascii="Arial" w:cs="Arial" w:eastAsia="Arial" w:hAnsi="Arial"/>
          <w:sz w:val="14"/>
          <w:szCs w:val="14"/>
          <w:color w:val="auto"/>
        </w:rPr>
        <w:t>, based on the short-term nature of the 2013 Unit Notes, we determined that fair value of the 2013 Unit Notes was equal to their face value. We determined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color w:val="auto"/>
              </w:rPr>
              <w:t>2013Unit Warrants</w:t>
            </w: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1"/>
              </w:rPr>
              <w:t>Weighted Average Issuance Date Valuation Assumptions</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Aggregate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2900" w:type="dxa"/>
            <w:vAlign w:val="bottom"/>
            <w:gridSpan w:val="4"/>
          </w:tcPr>
          <w:p>
            <w:pPr>
              <w:ind w:left="420"/>
              <w:spacing w:after="0"/>
              <w:rPr>
                <w:sz w:val="20"/>
                <w:szCs w:val="20"/>
                <w:color w:val="auto"/>
              </w:rPr>
            </w:pPr>
            <w:r>
              <w:rPr>
                <w:rFonts w:ascii="Arial" w:cs="Arial" w:eastAsia="Arial" w:hAnsi="Arial"/>
                <w:sz w:val="14"/>
                <w:szCs w:val="14"/>
                <w:color w:val="auto"/>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4"/>
              </w:rPr>
              <w:t>Risk free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Fair Value</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Proceeds</w:t>
            </w:r>
          </w:p>
        </w:tc>
        <w:tc>
          <w:tcPr>
            <w:tcW w:w="290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90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89"/>
              </w:rPr>
              <w:t>Interest</w:t>
            </w:r>
          </w:p>
        </w:tc>
        <w:tc>
          <w:tcPr>
            <w:tcW w:w="94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5"/>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2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w w:val="98"/>
              </w:rPr>
              <w:t>of Unit</w:t>
            </w:r>
          </w:p>
        </w:tc>
        <w:tc>
          <w:tcPr>
            <w:tcW w:w="90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8"/>
              </w:rPr>
              <w:t>of Unit</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49"/>
              <w:spacing w:after="0" w:line="160" w:lineRule="exact"/>
              <w:rPr>
                <w:sz w:val="20"/>
                <w:szCs w:val="20"/>
                <w:color w:val="auto"/>
              </w:rPr>
            </w:pPr>
            <w:r>
              <w:rPr>
                <w:rFonts w:ascii="Arial" w:cs="Arial" w:eastAsia="Arial" w:hAnsi="Arial"/>
                <w:sz w:val="14"/>
                <w:szCs w:val="14"/>
                <w:color w:val="auto"/>
              </w:rPr>
              <w:t>Unit</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900" w:type="dxa"/>
            <w:vAlign w:val="bottom"/>
          </w:tcPr>
          <w:p>
            <w:pPr>
              <w:jc w:val="center"/>
              <w:ind w:right="129"/>
              <w:spacing w:after="0"/>
              <w:rPr>
                <w:sz w:val="20"/>
                <w:szCs w:val="20"/>
                <w:color w:val="auto"/>
              </w:rPr>
            </w:pPr>
            <w:r>
              <w:rPr>
                <w:rFonts w:ascii="Arial" w:cs="Arial" w:eastAsia="Arial" w:hAnsi="Arial"/>
                <w:sz w:val="14"/>
                <w:szCs w:val="14"/>
                <w:color w:val="auto"/>
                <w:w w:val="87"/>
              </w:rPr>
              <w:t>Rate</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Volatility</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Warrant</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Warrants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60" w:type="dxa"/>
            <w:vAlign w:val="bottom"/>
          </w:tcPr>
          <w:p>
            <w:pPr>
              <w:ind w:left="120"/>
              <w:spacing w:after="0"/>
              <w:rPr>
                <w:sz w:val="20"/>
                <w:szCs w:val="20"/>
                <w:color w:val="auto"/>
              </w:rPr>
            </w:pPr>
            <w:r>
              <w:rPr>
                <w:rFonts w:ascii="Arial" w:cs="Arial" w:eastAsia="Arial" w:hAnsi="Arial"/>
                <w:sz w:val="14"/>
                <w:szCs w:val="14"/>
                <w:color w:val="auto"/>
              </w:rPr>
              <w:t>Unit Stock</w:t>
            </w:r>
          </w:p>
        </w:tc>
        <w:tc>
          <w:tcPr>
            <w:tcW w:w="920" w:type="dxa"/>
            <w:vAlign w:val="bottom"/>
          </w:tcPr>
          <w:p>
            <w:pPr>
              <w:jc w:val="center"/>
              <w:ind w:right="149"/>
              <w:spacing w:after="0"/>
              <w:rPr>
                <w:sz w:val="20"/>
                <w:szCs w:val="20"/>
                <w:color w:val="auto"/>
              </w:rPr>
            </w:pPr>
            <w:r>
              <w:rPr>
                <w:rFonts w:ascii="Arial" w:cs="Arial" w:eastAsia="Arial" w:hAnsi="Arial"/>
                <w:sz w:val="14"/>
                <w:szCs w:val="14"/>
                <w:color w:val="auto"/>
                <w:w w:val="92"/>
              </w:rPr>
              <w:t>Warrant</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86"/>
              </w:rPr>
              <w:t>100,750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0.58%</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$1,007,500</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$415,000</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2013 Unit Warrants</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As indicated in Note 8</w:t>
      </w:r>
      <w:r>
        <w:rPr>
          <w:rFonts w:ascii="Arial" w:cs="Arial" w:eastAsia="Arial" w:hAnsi="Arial"/>
          <w:sz w:val="13"/>
          <w:szCs w:val="13"/>
          <w:i w:val="1"/>
          <w:iCs w:val="1"/>
          <w:color w:val="auto"/>
        </w:rPr>
        <w:t>, Convertible Promissory Notes and Other Notes Payable</w:t>
      </w:r>
      <w:r>
        <w:rPr>
          <w:rFonts w:ascii="Arial" w:cs="Arial" w:eastAsia="Arial" w:hAnsi="Arial"/>
          <w:sz w:val="13"/>
          <w:szCs w:val="13"/>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1" w:name="page172"/>
    <w:bookmarkEnd w:id="17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0.62%</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2.17</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3.73</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6.65</w:t>
            </w:r>
          </w:p>
        </w:tc>
      </w:tr>
      <w:tr>
        <w:trPr>
          <w:trHeight w:val="347"/>
        </w:trPr>
        <w:tc>
          <w:tcPr>
            <w:tcW w:w="8720" w:type="dxa"/>
            <w:vAlign w:val="bottom"/>
          </w:tcPr>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2"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Icahn School 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Common Stock to Consultants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2" w:name="page173"/>
    <w:bookmarkEnd w:id="17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Warrants to Purchase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Grants and Exercises</w:t>
      </w:r>
    </w:p>
    <w:p>
      <w:pPr>
        <w:spacing w:after="0" w:line="201"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In January 2015, when the market price of our common stock was $8.00 per share, our Board of Directors (</w:t>
      </w:r>
      <w:r>
        <w:rPr>
          <w:rFonts w:ascii="Arial" w:cs="Arial" w:eastAsia="Arial" w:hAnsi="Arial"/>
          <w:sz w:val="13"/>
          <w:szCs w:val="13"/>
          <w:i w:val="1"/>
          <w:iCs w:val="1"/>
          <w:color w:val="auto"/>
        </w:rPr>
        <w:t>Board</w:t>
      </w:r>
      <w:r>
        <w:rPr>
          <w:rFonts w:ascii="Arial" w:cs="Arial" w:eastAsia="Arial" w:hAnsi="Arial"/>
          <w:sz w:val="13"/>
          <w:szCs w:val="13"/>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valued the new warrant grants at $1,756,900 using the Black Scholes Option Pricing Model and the following assumptions: market price per share: $8.00; exercise price per share: $10.00; risk-free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interest rate: 1.45% for five-year warrants and 0.24% for one-year warrants; contractual term: 5 years or 1 year; volatility: 75.86% for five-year warrants and 69.74% for one-year warrants; expected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dividend rate: 0%.</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23.13</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0.31%</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0.24</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69.7%</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0.22</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1.31</w:t>
            </w: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3" w:name="page174"/>
    <w:bookmarkEnd w:id="17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 of Warrants Held by Platinum</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As indicated earlier in this note, effective on May 24, 2013, we entered into an Amendment and Waiver Agreement (</w:t>
      </w:r>
      <w:r>
        <w:rPr>
          <w:rFonts w:ascii="Arial" w:cs="Arial" w:eastAsia="Arial" w:hAnsi="Arial"/>
          <w:sz w:val="13"/>
          <w:szCs w:val="13"/>
          <w:i w:val="1"/>
          <w:iCs w:val="1"/>
          <w:color w:val="auto"/>
        </w:rPr>
        <w:t>Amendment and Waiver</w:t>
      </w:r>
      <w:r>
        <w:rPr>
          <w:rFonts w:ascii="Arial" w:cs="Arial" w:eastAsia="Arial" w:hAnsi="Arial"/>
          <w:sz w:val="13"/>
          <w:szCs w:val="13"/>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3"/>
          <w:szCs w:val="13"/>
          <w:i w:val="1"/>
          <w:iCs w:val="1"/>
          <w:color w:val="auto"/>
        </w:rPr>
        <w:t>Warrants</w:t>
      </w:r>
      <w:r>
        <w:rPr>
          <w:rFonts w:ascii="Arial" w:cs="Arial" w:eastAsia="Arial" w:hAnsi="Arial"/>
          <w:sz w:val="13"/>
          <w:szCs w:val="13"/>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3"/>
          <w:szCs w:val="13"/>
          <w:i w:val="1"/>
          <w:iCs w:val="1"/>
          <w:color w:val="auto"/>
        </w:rPr>
        <w:t>Other Warrant Modifications and Exercises</w:t>
      </w:r>
      <w:r>
        <w:rPr>
          <w:rFonts w:ascii="Arial" w:cs="Arial" w:eastAsia="Arial" w:hAnsi="Arial"/>
          <w:sz w:val="13"/>
          <w:szCs w:val="13"/>
          <w:color w:val="auto"/>
        </w:rPr>
        <w:t>” below.)</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As described in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and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Market price of common stock</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9.80 to $10.00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0.74% to 1.37%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Volatility</w:t>
            </w:r>
          </w:p>
        </w:tc>
        <w:tc>
          <w:tcPr>
            <w:tcW w:w="36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73.3% to 75.9%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Term (years)</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 to 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 to 5.0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Dividend rate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Probability of Series A Preferred exchange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Fair value per share</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4.45 to $6.17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 to $5.80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Warrant Modifications and Exercises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4" w:name="page175"/>
    <w:bookmarkEnd w:id="17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31.97</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24.68</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0.33%</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1.08</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2.29</w:t>
            </w:r>
          </w:p>
        </w:tc>
      </w:tr>
    </w:tbl>
    <w:p>
      <w:pPr>
        <w:spacing w:after="0" w:line="146"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33.49</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2.06</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0.91</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2.85</w:t>
            </w:r>
          </w:p>
        </w:tc>
      </w:tr>
    </w:tbl>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5" w:name="page176"/>
    <w:bookmarkEnd w:id="17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 Outstanding</w:t>
      </w:r>
    </w:p>
    <w:p>
      <w:pPr>
        <w:spacing w:after="0" w:line="17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Subject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 Purchase at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240" w:type="dxa"/>
            <w:vAlign w:val="bottom"/>
          </w:tcPr>
          <w:p>
            <w:pPr>
              <w:spacing w:after="0"/>
              <w:rPr>
                <w:sz w:val="16"/>
                <w:szCs w:val="16"/>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Exercise Price per Share</w:t>
            </w:r>
          </w:p>
        </w:tc>
        <w:tc>
          <w:tcPr>
            <w:tcW w:w="64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42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r>
      <w:tr>
        <w:trPr>
          <w:trHeight w:val="170"/>
        </w:trPr>
        <w:tc>
          <w:tcPr>
            <w:tcW w:w="2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1,064,683</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12.80</w:t>
            </w:r>
          </w:p>
        </w:tc>
        <w:tc>
          <w:tcPr>
            <w:tcW w:w="6480" w:type="dxa"/>
            <w:vAlign w:val="bottom"/>
          </w:tcPr>
          <w:p>
            <w:pPr>
              <w:jc w:val="center"/>
              <w:spacing w:after="0"/>
              <w:rPr>
                <w:sz w:val="20"/>
                <w:szCs w:val="20"/>
                <w:color w:val="auto"/>
              </w:rPr>
            </w:pPr>
            <w:r>
              <w:rPr>
                <w:rFonts w:ascii="Arial" w:cs="Arial" w:eastAsia="Arial" w:hAnsi="Arial"/>
                <w:sz w:val="14"/>
                <w:szCs w:val="14"/>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147,000</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54,477</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186,388</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69,426</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40.00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21,250</w:t>
            </w:r>
          </w:p>
        </w:tc>
      </w:tr>
      <w:tr>
        <w:trPr>
          <w:trHeight w:val="172"/>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1,250</w:t>
            </w:r>
          </w:p>
        </w:tc>
      </w:tr>
      <w:tr>
        <w:trPr>
          <w:trHeight w:val="170"/>
        </w:trPr>
        <w:tc>
          <w:tcPr>
            <w:tcW w:w="2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90"/>
        </w:trPr>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1,544,474</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Receivable from Sale of Common Stock</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6" w:name="page177"/>
    <w:bookmarkEnd w:id="17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Reserved Shares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March 31, 2015, the Company has reserved shares of its common stock for future issuance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Upon exchange of all shares of Series A Preferred Stock currently issued and outstanding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75830" cy="1079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111"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75830" cy="2165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Subject to outstanding warrants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5830" cy="1079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58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275830" cy="1219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5830" cy="12192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Pursuant to stock incentive plans: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75830" cy="107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4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wp:posOffset>
            </wp:positionV>
            <wp:extent cx="7275830" cy="1079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160" w:hanging="155"/>
        <w:spacing w:after="0" w:line="208" w:lineRule="auto"/>
        <w:tabs>
          <w:tab w:leader="none" w:pos="160" w:val="left"/>
        </w:tabs>
        <w:numPr>
          <w:ilvl w:val="0"/>
          <w:numId w:val="89"/>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9"/>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750,000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375,000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563,871</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1,544,474</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33,612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1,578,086</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207,638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6350</wp:posOffset>
            </wp:positionV>
            <wp:extent cx="730250"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248,129</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120650</wp:posOffset>
            </wp:positionV>
            <wp:extent cx="73025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73025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250" cy="698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40640</wp:posOffset>
            </wp:positionV>
            <wp:extent cx="73025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250" cy="6985"/>
                    </a:xfrm>
                    <a:prstGeom prst="rect">
                      <a:avLst/>
                    </a:prstGeom>
                    <a:noFill/>
                  </pic:spPr>
                </pic:pic>
              </a:graphicData>
            </a:graphic>
          </wp:anchor>
        </w:drawing>
      </w:r>
    </w:p>
    <w:p>
      <w:pPr>
        <w:sectPr>
          <w:pgSz w:w="11900" w:h="16838" w:orient="portrait"/>
          <w:cols w:equalWidth="0" w:num="2">
            <w:col w:w="10060" w:space="720"/>
            <w:col w:w="580"/>
          </w:cols>
          <w:pgMar w:left="220" w:top="133" w:right="319" w:bottom="1440" w:gutter="0" w:footer="0" w:header="0"/>
        </w:sectPr>
      </w:pPr>
    </w:p>
    <w:bookmarkStart w:id="177" w:name="page178"/>
    <w:bookmarkEnd w:id="17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Research and Development Expenses</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53"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Fiscal Years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5"/>
                <w:szCs w:val="15"/>
                <w:color w:val="auto"/>
              </w:rPr>
            </w:pPr>
          </w:p>
        </w:tc>
      </w:tr>
      <w:tr>
        <w:trPr>
          <w:trHeight w:val="170"/>
        </w:trPr>
        <w:tc>
          <w:tcPr>
            <w:tcW w:w="8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Computed expected tax benefit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Tax effect of Warrant Liability mark to market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41.5%</w:t>
            </w: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losses not benefitted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72"/>
        </w:trPr>
        <w:tc>
          <w:tcPr>
            <w:tcW w:w="9460" w:type="dxa"/>
            <w:vAlign w:val="bottom"/>
            <w:gridSpan w:val="2"/>
          </w:tcPr>
          <w:p>
            <w:pPr>
              <w:spacing w:after="0"/>
              <w:rPr>
                <w:sz w:val="20"/>
                <w:szCs w:val="20"/>
                <w:color w:val="auto"/>
              </w:rPr>
            </w:pPr>
            <w:r>
              <w:rPr>
                <w:rFonts w:ascii="Arial" w:cs="Arial" w:eastAsia="Arial" w:hAnsi="Arial"/>
                <w:sz w:val="14"/>
                <w:szCs w:val="14"/>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170"/>
        </w:trPr>
        <w:tc>
          <w:tcPr>
            <w:tcW w:w="87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3940" w:type="dxa"/>
            <w:vAlign w:val="bottom"/>
          </w:tcPr>
          <w:p>
            <w:pPr>
              <w:spacing w:after="0"/>
              <w:rPr>
                <w:sz w:val="20"/>
                <w:szCs w:val="20"/>
                <w:color w:val="auto"/>
              </w:rPr>
            </w:pPr>
            <w:r>
              <w:rPr>
                <w:rFonts w:ascii="Arial" w:cs="Arial" w:eastAsia="Arial" w:hAnsi="Arial"/>
                <w:sz w:val="14"/>
                <w:szCs w:val="14"/>
                <w:color w:val="auto"/>
              </w:rPr>
              <w:t>Deferred tax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operating loss carryovers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23,054</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19,733</w:t>
            </w:r>
          </w:p>
        </w:tc>
      </w:tr>
      <w:tr>
        <w:trPr>
          <w:trHeight w:val="170"/>
        </w:trPr>
        <w:tc>
          <w:tcPr>
            <w:tcW w:w="3940" w:type="dxa"/>
            <w:vAlign w:val="bottom"/>
          </w:tcPr>
          <w:p>
            <w:pPr>
              <w:ind w:left="460"/>
              <w:spacing w:after="0"/>
              <w:rPr>
                <w:sz w:val="20"/>
                <w:szCs w:val="20"/>
                <w:color w:val="auto"/>
              </w:rPr>
            </w:pPr>
            <w:r>
              <w:rPr>
                <w:rFonts w:ascii="Arial" w:cs="Arial" w:eastAsia="Arial" w:hAnsi="Arial"/>
                <w:sz w:val="14"/>
                <w:szCs w:val="14"/>
                <w:color w:val="auto"/>
              </w:rPr>
              <w:t>Basis differences in fixed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72"/>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Accruals and reserves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2,694</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461"/>
        </w:trPr>
        <w:tc>
          <w:tcPr>
            <w:tcW w:w="394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ind w:left="1660"/>
              <w:spacing w:after="0"/>
              <w:rPr>
                <w:sz w:val="20"/>
                <w:szCs w:val="20"/>
                <w:color w:val="auto"/>
              </w:rPr>
            </w:pPr>
            <w:r>
              <w:rPr>
                <w:rFonts w:ascii="Arial" w:cs="Arial" w:eastAsia="Arial" w:hAnsi="Arial"/>
                <w:sz w:val="14"/>
                <w:szCs w:val="14"/>
                <w:color w:val="auto"/>
              </w:rPr>
              <w:t>F-38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3940" w:type="dxa"/>
            <w:vAlign w:val="bottom"/>
            <w:tcBorders>
              <w:bottom w:val="single" w:sz="8" w:color="808080"/>
            </w:tcBorders>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8" w:name="page179"/>
    <w:bookmarkEnd w:id="17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340"/>
        <w:spacing w:after="0" w:line="268" w:lineRule="auto"/>
        <w:rPr>
          <w:sz w:val="20"/>
          <w:szCs w:val="20"/>
          <w:color w:val="auto"/>
        </w:rPr>
      </w:pPr>
      <w:r>
        <w:rPr>
          <w:rFonts w:ascii="Arial" w:cs="Arial" w:eastAsia="Arial" w:hAnsi="Arial"/>
          <w:sz w:val="14"/>
          <w:szCs w:val="14"/>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63"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53" w:lineRule="exact"/>
        <w:rPr>
          <w:sz w:val="20"/>
          <w:szCs w:val="20"/>
          <w:color w:val="auto"/>
        </w:rPr>
      </w:pPr>
    </w:p>
    <w:p>
      <w:pPr>
        <w:ind w:right="400"/>
        <w:spacing w:after="0" w:line="323" w:lineRule="auto"/>
        <w:rPr>
          <w:sz w:val="20"/>
          <w:szCs w:val="20"/>
          <w:color w:val="auto"/>
        </w:rPr>
      </w:pPr>
      <w:r>
        <w:rPr>
          <w:rFonts w:ascii="Arial" w:cs="Arial" w:eastAsia="Arial" w:hAnsi="Arial"/>
          <w:sz w:val="13"/>
          <w:szCs w:val="13"/>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Licensing and Collaborative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September 17, 2007, we entered into a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79" w:name="page180"/>
    <w:bookmarkEnd w:id="17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National Institutes of Health</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During fiscal years 2006 through 2008,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xml:space="preserve">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 Ltd.</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have built a strategic development relationship with Cato Research Ltd. (</w:t>
      </w:r>
      <w:r>
        <w:rPr>
          <w:rFonts w:ascii="Arial" w:cs="Arial" w:eastAsia="Arial" w:hAnsi="Arial"/>
          <w:sz w:val="14"/>
          <w:szCs w:val="14"/>
          <w:i w:val="1"/>
          <w:iCs w:val="1"/>
          <w:color w:val="auto"/>
        </w:rPr>
        <w:t>CRL)</w:t>
      </w:r>
      <w:r>
        <w:rPr>
          <w:rFonts w:ascii="Arial" w:cs="Arial" w:eastAsia="Arial" w:hAnsi="Arial"/>
          <w:sz w:val="14"/>
          <w:szCs w:val="14"/>
          <w:color w:val="auto"/>
        </w:rPr>
        <w:t>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Option Plans and 401(k) Plan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have the following share-based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Our 2008 Stock Incentive Plan the (</w:t>
      </w:r>
      <w:r>
        <w:rPr>
          <w:rFonts w:ascii="Arial" w:cs="Arial" w:eastAsia="Arial" w:hAnsi="Arial"/>
          <w:sz w:val="14"/>
          <w:szCs w:val="14"/>
          <w:i w:val="1"/>
          <w:iCs w:val="1"/>
          <w:color w:val="auto"/>
        </w:rPr>
        <w:t>2008 Plan)</w:t>
      </w:r>
      <w:r>
        <w:rPr>
          <w:rFonts w:ascii="Arial" w:cs="Arial" w:eastAsia="Arial" w:hAnsi="Arial"/>
          <w:sz w:val="14"/>
          <w:szCs w:val="14"/>
          <w:color w:val="auto"/>
        </w:rPr>
        <w:t xml:space="preserve"> was adopted by the stockholders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1999 Stock Incentive Plan the (</w:t>
      </w:r>
      <w:r>
        <w:rPr>
          <w:rFonts w:ascii="Arial" w:cs="Arial" w:eastAsia="Arial" w:hAnsi="Arial"/>
          <w:sz w:val="14"/>
          <w:szCs w:val="14"/>
          <w:i w:val="1"/>
          <w:iCs w:val="1"/>
          <w:color w:val="auto"/>
        </w:rPr>
        <w:t>1999 Plan)</w:t>
      </w:r>
      <w:r>
        <w:rPr>
          <w:rFonts w:ascii="Arial" w:cs="Arial" w:eastAsia="Arial" w:hAnsi="Arial"/>
          <w:sz w:val="14"/>
          <w:szCs w:val="14"/>
          <w:color w:val="auto"/>
        </w:rPr>
        <w:t xml:space="preserve"> was adopted by the stockholders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2008 Plan</w:t>
      </w:r>
    </w:p>
    <w:p>
      <w:pPr>
        <w:spacing w:after="0" w:line="20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0" w:name="page181"/>
    <w:bookmarkEnd w:id="18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Unless terminated sooner, the 2008 Plan will automatically terminate in 2017. The Board of Directors may at any time amend, suspend or terminate our 2008 Plan.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included in the accompanying Consolidated Statement of Operations and Comprehensive Loss for the years ended March 31, 2015 and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Years Ended</w:t>
            </w:r>
          </w:p>
        </w:tc>
      </w:tr>
      <w:tr>
        <w:trPr>
          <w:trHeight w:val="186"/>
        </w:trPr>
        <w:tc>
          <w:tcPr>
            <w:tcW w:w="44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4460" w:type="dxa"/>
            <w:vAlign w:val="bottom"/>
          </w:tcPr>
          <w:p>
            <w:pPr>
              <w:spacing w:after="0"/>
              <w:rPr>
                <w:sz w:val="20"/>
                <w:szCs w:val="20"/>
                <w:color w:val="auto"/>
              </w:rPr>
            </w:pPr>
            <w:r>
              <w:rPr>
                <w:rFonts w:ascii="Arial" w:cs="Arial" w:eastAsia="Arial" w:hAnsi="Arial"/>
                <w:sz w:val="14"/>
                <w:szCs w:val="14"/>
                <w:color w:val="auto"/>
              </w:rPr>
              <w:t>Research and development expense:</w:t>
            </w: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176,200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296,900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 and</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527,500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 in March 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156,500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453,400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385,100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officers, directors</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and 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1,229,400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1"/>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officers and directors in March</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1,611,300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683,900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2,460,100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1,137,300</w:t>
            </w:r>
          </w:p>
        </w:tc>
      </w:tr>
      <w:tr>
        <w:trPr>
          <w:trHeight w:val="461"/>
        </w:trPr>
        <w:tc>
          <w:tcPr>
            <w:tcW w:w="446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ind w:left="1140"/>
              <w:spacing w:after="0"/>
              <w:rPr>
                <w:sz w:val="20"/>
                <w:szCs w:val="20"/>
                <w:color w:val="auto"/>
              </w:rPr>
            </w:pPr>
            <w:r>
              <w:rPr>
                <w:rFonts w:ascii="Arial" w:cs="Arial" w:eastAsia="Arial" w:hAnsi="Arial"/>
                <w:sz w:val="14"/>
                <w:szCs w:val="14"/>
                <w:color w:val="auto"/>
              </w:rPr>
              <w:t>F-41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46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1" w:name="page182"/>
    <w:bookmarkEnd w:id="18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We used the Black-Scholes option valuation model with the following assumptions to determine share-based compensation expense related to option grants during the fiscal years ended March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5360" w:type="dxa"/>
            <w:vAlign w:val="bottom"/>
          </w:tcPr>
          <w:p>
            <w:pPr>
              <w:spacing w:after="0"/>
              <w:rPr>
                <w:sz w:val="14"/>
                <w:szCs w:val="14"/>
                <w:color w:val="auto"/>
              </w:rPr>
            </w:pPr>
          </w:p>
        </w:tc>
        <w:tc>
          <w:tcPr>
            <w:tcW w:w="1880" w:type="dxa"/>
            <w:vAlign w:val="bottom"/>
            <w:tcBorders>
              <w:top w:val="single" w:sz="8" w:color="auto"/>
            </w:tcBorders>
          </w:tcPr>
          <w:p>
            <w:pPr>
              <w:jc w:val="center"/>
              <w:ind w:left="889"/>
              <w:spacing w:after="0"/>
              <w:rPr>
                <w:sz w:val="20"/>
                <w:szCs w:val="20"/>
                <w:color w:val="auto"/>
              </w:rPr>
            </w:pPr>
            <w:r>
              <w:rPr>
                <w:rFonts w:ascii="Arial" w:cs="Arial" w:eastAsia="Arial" w:hAnsi="Arial"/>
                <w:sz w:val="14"/>
                <w:szCs w:val="14"/>
                <w:b w:val="1"/>
                <w:bCs w:val="1"/>
                <w:color w:val="auto"/>
                <w:w w:val="89"/>
              </w:rPr>
              <w:t>2015</w:t>
            </w:r>
          </w:p>
        </w:tc>
        <w:tc>
          <w:tcPr>
            <w:tcW w:w="3820" w:type="dxa"/>
            <w:vAlign w:val="bottom"/>
            <w:tcBorders>
              <w:top w:val="single" w:sz="8" w:color="auto"/>
            </w:tcBorders>
            <w:gridSpan w:val="3"/>
          </w:tcPr>
          <w:p>
            <w:pPr>
              <w:jc w:val="right"/>
              <w:ind w:right="100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Exercise price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Market price on date of grant</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1.08% to 2.53%</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term (years)</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6.25 to 10.0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87.9% to 103.2%</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3820" w:type="dxa"/>
            <w:vAlign w:val="bottom"/>
            <w:gridSpan w:val="3"/>
          </w:tcPr>
          <w:p>
            <w:pPr>
              <w:jc w:val="right"/>
              <w:ind w:right="1069"/>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Fair value per share at grant date</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$6.38 to $13.63</w:t>
            </w:r>
          </w:p>
        </w:tc>
      </w:tr>
    </w:tbl>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3"/>
          <w:szCs w:val="13"/>
          <w:i w:val="1"/>
          <w:iCs w:val="1"/>
          <w:color w:val="auto"/>
        </w:rPr>
        <w:t>SAB No. 107 and 110)</w:t>
      </w:r>
      <w:r>
        <w:rPr>
          <w:rFonts w:ascii="Arial" w:cs="Arial" w:eastAsia="Arial" w:hAnsi="Arial"/>
          <w:sz w:val="13"/>
          <w:szCs w:val="13"/>
          <w:color w:val="auto"/>
        </w:rPr>
        <w:t>.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activity for the fiscal years ended March 31, 2015 and 2014 under our stock option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Fiscal Years Ended March 31,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2015</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Average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Options outstanding at beginning of period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212,486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245,653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granted</w:t>
            </w:r>
          </w:p>
        </w:tc>
        <w:tc>
          <w:tcPr>
            <w:tcW w:w="3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19,050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exercised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20" w:type="dxa"/>
            <w:vAlign w:val="bottom"/>
          </w:tcPr>
          <w:p>
            <w:pPr>
              <w:ind w:left="580"/>
              <w:spacing w:after="0"/>
              <w:rPr>
                <w:sz w:val="20"/>
                <w:szCs w:val="20"/>
                <w:color w:val="auto"/>
              </w:rPr>
            </w:pPr>
            <w:r>
              <w:rPr>
                <w:rFonts w:ascii="Arial" w:cs="Arial" w:eastAsia="Arial" w:hAnsi="Arial"/>
                <w:sz w:val="14"/>
                <w:szCs w:val="14"/>
                <w:color w:val="auto"/>
              </w:rPr>
              <w:t>Options forfeited</w:t>
            </w:r>
          </w:p>
        </w:tc>
        <w:tc>
          <w:tcPr>
            <w:tcW w:w="336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9.25</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(3,954)</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expired</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(2,847)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(48,263)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70"/>
        </w:trPr>
        <w:tc>
          <w:tcPr>
            <w:tcW w:w="4020" w:type="dxa"/>
            <w:vAlign w:val="bottom"/>
            <w:tcBorders>
              <w:top w:val="single" w:sz="8" w:color="CCEEFF"/>
            </w:tcBorders>
          </w:tcPr>
          <w:p>
            <w:pPr>
              <w:spacing w:after="0"/>
              <w:rPr>
                <w:sz w:val="14"/>
                <w:szCs w:val="14"/>
                <w:color w:val="auto"/>
              </w:rPr>
            </w:pPr>
          </w:p>
        </w:tc>
        <w:tc>
          <w:tcPr>
            <w:tcW w:w="206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Options outstanding at end of period</w:t>
            </w:r>
          </w:p>
        </w:tc>
        <w:tc>
          <w:tcPr>
            <w:tcW w:w="20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207,638</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212,486</w:t>
            </w: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tcPr>
          <w:p>
            <w:pPr>
              <w:spacing w:after="0" w:line="151" w:lineRule="exact"/>
              <w:rPr>
                <w:sz w:val="20"/>
                <w:szCs w:val="20"/>
                <w:color w:val="auto"/>
              </w:rPr>
            </w:pPr>
            <w:r>
              <w:rPr>
                <w:rFonts w:ascii="Arial" w:cs="Arial" w:eastAsia="Arial" w:hAnsi="Arial"/>
                <w:sz w:val="14"/>
                <w:szCs w:val="14"/>
                <w:color w:val="auto"/>
              </w:rPr>
              <w:t>Options exercisable at end of period</w:t>
            </w:r>
          </w:p>
        </w:tc>
        <w:tc>
          <w:tcPr>
            <w:tcW w:w="206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Arial" w:cs="Arial" w:eastAsia="Arial" w:hAnsi="Arial"/>
                <w:sz w:val="14"/>
                <w:szCs w:val="14"/>
                <w:color w:val="auto"/>
              </w:rPr>
              <w:t>199,013</w:t>
            </w:r>
          </w:p>
        </w:tc>
        <w:tc>
          <w:tcPr>
            <w:tcW w:w="140" w:type="dxa"/>
            <w:vAlign w:val="bottom"/>
          </w:tcPr>
          <w:p>
            <w:pPr>
              <w:spacing w:after="0"/>
              <w:rPr>
                <w:sz w:val="13"/>
                <w:szCs w:val="13"/>
                <w:color w:val="auto"/>
              </w:rPr>
            </w:pP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182,775</w:t>
            </w: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line="160" w:lineRule="exact"/>
              <w:rPr>
                <w:sz w:val="20"/>
                <w:szCs w:val="20"/>
                <w:color w:val="auto"/>
              </w:rPr>
            </w:pPr>
            <w:r>
              <w:rPr>
                <w:rFonts w:ascii="Arial" w:cs="Arial" w:eastAsia="Arial" w:hAnsi="Arial"/>
                <w:sz w:val="14"/>
                <w:szCs w:val="14"/>
                <w:color w:val="auto"/>
              </w:rPr>
              <w:t>Weighted average grant-date fair value of</w:t>
            </w:r>
          </w:p>
        </w:tc>
        <w:tc>
          <w:tcPr>
            <w:tcW w:w="2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options granted during the period</w:t>
            </w:r>
          </w:p>
        </w:tc>
        <w:tc>
          <w:tcPr>
            <w:tcW w:w="2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60" w:type="dxa"/>
            <w:vAlign w:val="bottom"/>
            <w:gridSpan w:val="3"/>
            <w:vMerge w:val="restart"/>
          </w:tcPr>
          <w:p>
            <w:pPr>
              <w:jc w:val="right"/>
              <w:ind w:right="1520"/>
              <w:spacing w:after="0"/>
              <w:rPr>
                <w:sz w:val="20"/>
                <w:szCs w:val="20"/>
                <w:color w:val="auto"/>
              </w:rPr>
            </w:pPr>
            <w:r>
              <w:rPr>
                <w:rFonts w:ascii="Arial" w:cs="Arial" w:eastAsia="Arial" w:hAnsi="Arial"/>
                <w:sz w:val="14"/>
                <w:szCs w:val="14"/>
                <w:color w:val="auto"/>
              </w:rPr>
              <w:t>F-42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2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49"/>
        </w:trPr>
        <w:tc>
          <w:tcPr>
            <w:tcW w:w="1920" w:type="dxa"/>
            <w:vAlign w:val="bottom"/>
            <w:gridSpan w:val="4"/>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8"/>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VISTAGEN THERAPEUTICS, INC.</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NOTES TO CONSOLIDATED FINANCIAL STATEMENTS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2"/>
        </w:trPr>
        <w:tc>
          <w:tcPr>
            <w:tcW w:w="8120" w:type="dxa"/>
            <w:vAlign w:val="bottom"/>
            <w:gridSpan w:val="13"/>
          </w:tcPr>
          <w:p>
            <w:pPr>
              <w:spacing w:after="0"/>
              <w:rPr>
                <w:sz w:val="20"/>
                <w:szCs w:val="20"/>
                <w:color w:val="auto"/>
              </w:rPr>
            </w:pPr>
            <w:r>
              <w:rPr>
                <w:rFonts w:ascii="Arial" w:cs="Arial" w:eastAsia="Arial" w:hAnsi="Arial"/>
                <w:sz w:val="14"/>
                <w:szCs w:val="14"/>
                <w:color w:val="auto"/>
                <w:w w:val="92"/>
              </w:rPr>
              <w:t>The following table summarizes information on stock options outstanding and exercisable under our stock option plans as of March 31, 2015:</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Options Outstanding</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color w:val="auto"/>
              </w:rPr>
              <w:t>Options Exercisable</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160"/>
              <w:spacing w:after="0" w:line="160"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80"/>
              <w:spacing w:after="0"/>
              <w:rPr>
                <w:sz w:val="20"/>
                <w:szCs w:val="20"/>
                <w:color w:val="auto"/>
              </w:rPr>
            </w:pPr>
            <w:r>
              <w:rPr>
                <w:rFonts w:ascii="Arial" w:cs="Arial" w:eastAsia="Arial" w:hAnsi="Arial"/>
                <w:sz w:val="14"/>
                <w:szCs w:val="14"/>
                <w:color w:val="auto"/>
                <w:w w:val="91"/>
              </w:rPr>
              <w:t>Weighted</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Weighted</w:t>
            </w: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Remaining</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91"/>
              </w:rPr>
              <w:t>Average</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8"/>
              </w:rPr>
              <w:t>Average</w:t>
            </w:r>
          </w:p>
        </w:tc>
      </w:tr>
      <w:tr>
        <w:trPr>
          <w:trHeight w:val="170"/>
        </w:trPr>
        <w:tc>
          <w:tcPr>
            <w:tcW w:w="320" w:type="dxa"/>
            <w:vAlign w:val="bottom"/>
          </w:tcPr>
          <w:p>
            <w:pPr>
              <w:spacing w:after="0"/>
              <w:rPr>
                <w:sz w:val="14"/>
                <w:szCs w:val="14"/>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Exercise</w:t>
            </w:r>
          </w:p>
        </w:tc>
        <w:tc>
          <w:tcPr>
            <w:tcW w:w="1900" w:type="dxa"/>
            <w:vAlign w:val="bottom"/>
            <w:gridSpan w:val="2"/>
          </w:tcPr>
          <w:p>
            <w:pPr>
              <w:jc w:val="right"/>
              <w:ind w:right="860"/>
              <w:spacing w:after="0"/>
              <w:rPr>
                <w:sz w:val="20"/>
                <w:szCs w:val="20"/>
                <w:color w:val="auto"/>
              </w:rPr>
            </w:pPr>
            <w:r>
              <w:rPr>
                <w:rFonts w:ascii="Arial" w:cs="Arial" w:eastAsia="Arial" w:hAnsi="Arial"/>
                <w:sz w:val="14"/>
                <w:szCs w:val="14"/>
                <w:color w:val="auto"/>
              </w:rPr>
              <w:t>Number</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Years until</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9"/>
              </w:rPr>
              <w:t>Exercise</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color w:val="auto"/>
              </w:rPr>
              <w:t>Number</w:t>
            </w: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Exercise</w:t>
            </w:r>
          </w:p>
        </w:tc>
      </w:tr>
      <w:tr>
        <w:trPr>
          <w:trHeight w:val="182"/>
        </w:trPr>
        <w:tc>
          <w:tcPr>
            <w:tcW w:w="320" w:type="dxa"/>
            <w:vAlign w:val="bottom"/>
          </w:tcPr>
          <w:p>
            <w:pPr>
              <w:spacing w:after="0"/>
              <w:rPr>
                <w:sz w:val="15"/>
                <w:szCs w:val="15"/>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Price</w:t>
            </w:r>
          </w:p>
        </w:tc>
        <w:tc>
          <w:tcPr>
            <w:tcW w:w="1900" w:type="dxa"/>
            <w:vAlign w:val="bottom"/>
            <w:gridSpan w:val="2"/>
          </w:tcPr>
          <w:p>
            <w:pPr>
              <w:jc w:val="right"/>
              <w:ind w:right="760"/>
              <w:spacing w:after="0"/>
              <w:rPr>
                <w:sz w:val="20"/>
                <w:szCs w:val="20"/>
                <w:color w:val="auto"/>
              </w:rPr>
            </w:pPr>
            <w:r>
              <w:rPr>
                <w:rFonts w:ascii="Arial" w:cs="Arial" w:eastAsia="Arial" w:hAnsi="Arial"/>
                <w:sz w:val="14"/>
                <w:szCs w:val="14"/>
                <w:color w:val="auto"/>
              </w:rPr>
              <w:t>Outstanding</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7"/>
              </w:rPr>
              <w:t>Price</w:t>
            </w:r>
          </w:p>
        </w:tc>
        <w:tc>
          <w:tcPr>
            <w:tcW w:w="1520" w:type="dxa"/>
            <w:vAlign w:val="bottom"/>
            <w:gridSpan w:val="2"/>
          </w:tcPr>
          <w:p>
            <w:pPr>
              <w:jc w:val="right"/>
              <w:ind w:right="820"/>
              <w:spacing w:after="0"/>
              <w:rPr>
                <w:sz w:val="20"/>
                <w:szCs w:val="20"/>
                <w:color w:val="auto"/>
              </w:rPr>
            </w:pPr>
            <w:r>
              <w:rPr>
                <w:rFonts w:ascii="Arial" w:cs="Arial" w:eastAsia="Arial" w:hAnsi="Arial"/>
                <w:sz w:val="14"/>
                <w:szCs w:val="14"/>
                <w:color w:val="auto"/>
                <w:w w:val="93"/>
              </w:rPr>
              <w:t>Exercisable</w:t>
            </w:r>
          </w:p>
        </w:tc>
        <w:tc>
          <w:tcPr>
            <w:tcW w:w="500" w:type="dxa"/>
            <w:vAlign w:val="bottom"/>
          </w:tcPr>
          <w:p>
            <w:pPr>
              <w:spacing w:after="0"/>
              <w:rPr>
                <w:sz w:val="15"/>
                <w:szCs w:val="15"/>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Price</w:t>
            </w:r>
          </w:p>
        </w:tc>
      </w:tr>
      <w:tr>
        <w:trPr>
          <w:trHeight w:val="170"/>
        </w:trPr>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49,590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46,466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8.00</w:t>
            </w:r>
          </w:p>
        </w:tc>
      </w:tr>
      <w:tr>
        <w:trPr>
          <w:trHeight w:val="170"/>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4"/>
                <w:szCs w:val="14"/>
                <w:color w:val="auto"/>
              </w:rPr>
              <w:t>10.00</w:t>
            </w: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147,939</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4.88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142,751</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r>
      <w:tr>
        <w:trPr>
          <w:trHeight w:val="172"/>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14.40 to $36.00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10,109</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9,796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21.23</w:t>
            </w:r>
          </w:p>
        </w:tc>
      </w:tr>
      <w:tr>
        <w:trPr>
          <w:trHeight w:val="170"/>
        </w:trPr>
        <w:tc>
          <w:tcPr>
            <w:tcW w:w="3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0"/>
        </w:trPr>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207,638</w:t>
            </w:r>
          </w:p>
        </w:tc>
        <w:tc>
          <w:tcPr>
            <w:tcW w:w="178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10.09</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rPr>
              <w:t>199,013</w:t>
            </w:r>
          </w:p>
        </w:tc>
        <w:tc>
          <w:tcPr>
            <w:tcW w:w="500" w:type="dxa"/>
            <w:vAlign w:val="bottom"/>
            <w:shd w:val="clear" w:color="auto" w:fill="CCEEFF"/>
          </w:tcPr>
          <w:p>
            <w:pPr>
              <w:jc w:val="right"/>
              <w:ind w:right="349"/>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10.09</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At March 31, 2015, there were 40,491 shares of our common stock remaining available for grant under the 2008 Plan. There were no option exercises during the years ended March 31, 2015 or 2014.</w:t>
      </w:r>
    </w:p>
    <w:p>
      <w:pPr>
        <w:spacing w:after="0" w:line="213" w:lineRule="exact"/>
        <w:rPr>
          <w:sz w:val="20"/>
          <w:szCs w:val="20"/>
          <w:color w:val="auto"/>
        </w:rPr>
      </w:pPr>
    </w:p>
    <w:p>
      <w:pPr>
        <w:jc w:val="both"/>
        <w:ind w:right="160"/>
        <w:spacing w:after="0" w:line="370"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205"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Cato Holding Company (</w:t>
      </w:r>
      <w:r>
        <w:rPr>
          <w:rFonts w:ascii="Arial" w:cs="Arial" w:eastAsia="Arial" w:hAnsi="Arial"/>
          <w:sz w:val="13"/>
          <w:szCs w:val="13"/>
          <w:i w:val="1"/>
          <w:iCs w:val="1"/>
          <w:color w:val="auto"/>
        </w:rPr>
        <w:t>CHC</w:t>
      </w:r>
      <w:r>
        <w:rPr>
          <w:rFonts w:ascii="Arial" w:cs="Arial" w:eastAsia="Arial" w:hAnsi="Arial"/>
          <w:sz w:val="13"/>
          <w:szCs w:val="13"/>
          <w:color w:val="auto"/>
        </w:rPr>
        <w:t>), doing business as Cato BioVentures (</w:t>
      </w:r>
      <w:r>
        <w:rPr>
          <w:rFonts w:ascii="Arial" w:cs="Arial" w:eastAsia="Arial" w:hAnsi="Arial"/>
          <w:sz w:val="13"/>
          <w:szCs w:val="13"/>
          <w:i w:val="1"/>
          <w:iCs w:val="1"/>
          <w:color w:val="auto"/>
        </w:rPr>
        <w:t>CBV</w:t>
      </w:r>
      <w:r>
        <w:rPr>
          <w:rFonts w:ascii="Arial" w:cs="Arial" w:eastAsia="Arial" w:hAnsi="Arial"/>
          <w:sz w:val="13"/>
          <w:szCs w:val="13"/>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3"/>
          <w:szCs w:val="13"/>
          <w:i w:val="1"/>
          <w:iCs w:val="1"/>
          <w:color w:val="auto"/>
        </w:rPr>
        <w:t>2012 CHC Note</w:t>
      </w:r>
      <w:r>
        <w:rPr>
          <w:rFonts w:ascii="Arial" w:cs="Arial" w:eastAsia="Arial" w:hAnsi="Arial"/>
          <w:sz w:val="13"/>
          <w:szCs w:val="13"/>
          <w:color w:val="auto"/>
        </w:rPr>
        <w:t xml:space="preserve">) and a five-year warrant to purchase 12,500 restricted shares of our common stock at a price of $30.00 per share (the </w:t>
      </w:r>
      <w:r>
        <w:rPr>
          <w:rFonts w:ascii="Arial" w:cs="Arial" w:eastAsia="Arial" w:hAnsi="Arial"/>
          <w:sz w:val="13"/>
          <w:szCs w:val="13"/>
          <w:i w:val="1"/>
          <w:iCs w:val="1"/>
          <w:color w:val="auto"/>
        </w:rPr>
        <w:t>CHC Warrant</w:t>
      </w:r>
      <w:r>
        <w:rPr>
          <w:rFonts w:ascii="Arial" w:cs="Arial" w:eastAsia="Arial" w:hAnsi="Arial"/>
          <w:sz w:val="13"/>
          <w:szCs w:val="13"/>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3" w:name="page184"/>
    <w:bookmarkEnd w:id="18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63" w:lineRule="exact"/>
        <w:rPr>
          <w:sz w:val="20"/>
          <w:szCs w:val="20"/>
          <w:color w:val="auto"/>
        </w:rPr>
      </w:pPr>
    </w:p>
    <w:p>
      <w:pPr>
        <w:ind w:right="120"/>
        <w:spacing w:after="0" w:line="311" w:lineRule="auto"/>
        <w:rPr>
          <w:sz w:val="20"/>
          <w:szCs w:val="20"/>
          <w:color w:val="auto"/>
        </w:rPr>
      </w:pPr>
      <w:r>
        <w:rPr>
          <w:rFonts w:ascii="Arial" w:cs="Arial" w:eastAsia="Arial" w:hAnsi="Arial"/>
          <w:sz w:val="12"/>
          <w:szCs w:val="12"/>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Contingencies, Guarantees and Indemnifications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47" w:lineRule="exact"/>
        <w:rPr>
          <w:sz w:val="20"/>
          <w:szCs w:val="20"/>
          <w:color w:val="auto"/>
        </w:rPr>
      </w:pPr>
    </w:p>
    <w:p>
      <w:pPr>
        <w:jc w:val="both"/>
        <w:ind w:right="80"/>
        <w:spacing w:after="0" w:line="302"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w:t>
      </w:r>
    </w:p>
    <w:p>
      <w:pPr>
        <w:ind w:right="40"/>
        <w:spacing w:after="0" w:line="260" w:lineRule="auto"/>
        <w:rPr>
          <w:sz w:val="20"/>
          <w:szCs w:val="20"/>
          <w:color w:val="auto"/>
        </w:rPr>
      </w:pPr>
      <w:r>
        <w:rPr>
          <w:rFonts w:ascii="Arial" w:cs="Arial" w:eastAsia="Arial" w:hAnsi="Arial"/>
          <w:sz w:val="14"/>
          <w:szCs w:val="14"/>
          <w:color w:val="auto"/>
        </w:rPr>
        <w:t>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rPr>
              <w:t>NOTES TO CONSOLIDATED FINANCIAL STATEMENTS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Leases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color w:val="auto"/>
              </w:rPr>
              <w:t>As of March 31, 2015 and 2014, the following assets are under capital lease obligations and included in property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Office equipment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(11,100)</w:t>
            </w: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book value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12,400</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for assets recorded under capital leases is included in depreciation expense. Future minimum payments, by year and in the aggregate, required under capital leases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w w:val="88"/>
              </w:rPr>
              <w:t>Leases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Future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imputed interest included in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Present value of minimum lease payments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Non-current capital lease obligation</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4"/>
                <w:szCs w:val="14"/>
                <w:color w:val="auto"/>
                <w:w w:val="94"/>
              </w:rPr>
              <w:t>At March 31, 2015, future minimum payments under operating leases relate to our facility lease in South San Francisco, California through July 31, 2017 and are as follows:</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080" w:type="dxa"/>
            <w:vAlign w:val="bottom"/>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70"/>
        </w:trPr>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634,900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incurred total facility rent expense for the fiscal years ended March 31, 2015 and 2014 of $337,000 and $284,100 , respectively.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5" w:name="page186"/>
    <w:bookmarkEnd w:id="18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Debt Repayment</w:t>
      </w:r>
    </w:p>
    <w:p>
      <w:pPr>
        <w:spacing w:after="0" w:line="180"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are repaid through the issuance of restricted common stock upon the exercise of the warrants associated with such notes, future minimum principal payments related to long-term debt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2,185,700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9,800</w:t>
            </w: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11,300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Thereafter through June 2019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2,221,300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evaluated subsequent events through the date of this report and have identified the following material events and transactions that occurred after March 31, 2015.</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7, 2015, we filed a Certificate of Designation of the Relative Rights and Preferences of the Series B 10% Preferred Stock of VistaGen Therapeutics, Inc.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with the Nevada Secretary of State to designate 4.0 million shares of our authorized preferred stock as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w:t>
      </w:r>
    </w:p>
    <w:p>
      <w:pPr>
        <w:spacing w:after="0" w:line="153" w:lineRule="exact"/>
        <w:rPr>
          <w:sz w:val="20"/>
          <w:szCs w:val="20"/>
          <w:color w:val="auto"/>
        </w:rPr>
      </w:pPr>
    </w:p>
    <w:p>
      <w:pPr>
        <w:ind w:right="40"/>
        <w:spacing w:after="0" w:line="302"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w:t>
      </w:r>
      <w:r>
        <w:rPr>
          <w:rFonts w:ascii="Arial" w:cs="Arial" w:eastAsia="Arial" w:hAnsi="Arial"/>
          <w:sz w:val="12"/>
          <w:szCs w:val="12"/>
          <w:color w:val="auto"/>
        </w:rPr>
        <w:t xml:space="preserve"> </w:t>
      </w:r>
      <w:r>
        <w:rPr>
          <w:rFonts w:ascii="Arial" w:cs="Arial" w:eastAsia="Arial" w:hAnsi="Arial"/>
          <w:sz w:val="12"/>
          <w:szCs w:val="12"/>
          <w:i w:val="1"/>
          <w:iCs w:val="1"/>
          <w:color w:val="auto"/>
        </w:rPr>
        <w:t>Price</w:t>
      </w:r>
      <w:r>
        <w:rPr>
          <w:rFonts w:ascii="Arial" w:cs="Arial" w:eastAsia="Arial" w:hAnsi="Arial"/>
          <w:sz w:val="12"/>
          <w:szCs w:val="12"/>
          <w:color w:val="auto"/>
        </w:rPr>
        <w:t>). The Conversion Price is subject to adjustment only for customary stock dividends, reclassifications, splits and similar transactions set forth in the Certificate of Designation. All outstanding</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w:t>
      </w:r>
    </w:p>
    <w:p>
      <w:pPr>
        <w:ind w:right="40" w:firstLine="5"/>
        <w:spacing w:after="0" w:line="290" w:lineRule="auto"/>
        <w:tabs>
          <w:tab w:leader="none" w:pos="169"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w:t>
      </w:r>
    </w:p>
    <w:p>
      <w:pPr>
        <w:spacing w:after="0" w:line="151"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Prior to Conversion, shares of Series B Preferred will accrue dividends, payable only in shares of our common stock, at a rate of 10% per annum (</w:t>
      </w:r>
      <w:r>
        <w:rPr>
          <w:rFonts w:ascii="Arial" w:cs="Arial" w:eastAsia="Arial" w:hAnsi="Arial"/>
          <w:sz w:val="13"/>
          <w:szCs w:val="13"/>
          <w:i w:val="1"/>
          <w:iCs w:val="1"/>
          <w:color w:val="auto"/>
        </w:rPr>
        <w:t>Accrued Dividend</w:t>
      </w:r>
      <w:r>
        <w:rPr>
          <w:rFonts w:ascii="Arial" w:cs="Arial" w:eastAsia="Arial" w:hAnsi="Arial"/>
          <w:sz w:val="13"/>
          <w:szCs w:val="13"/>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6" w:name="page187"/>
    <w:bookmarkEnd w:id="18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Agreement with Platinum</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On May 5, 2015, we entered into an Agreement with Platinum, which, as modified by an Acknowledgement and Agreement, became effective on May 12, 2015 (</w:t>
      </w:r>
      <w:r>
        <w:rPr>
          <w:rFonts w:ascii="Arial" w:cs="Arial" w:eastAsia="Arial" w:hAnsi="Arial"/>
          <w:sz w:val="13"/>
          <w:szCs w:val="13"/>
          <w:i w:val="1"/>
          <w:iCs w:val="1"/>
          <w:color w:val="auto"/>
        </w:rPr>
        <w:t>Platinum Agreement</w:t>
      </w:r>
      <w:r>
        <w:rPr>
          <w:rFonts w:ascii="Arial" w:cs="Arial" w:eastAsia="Arial" w:hAnsi="Arial"/>
          <w:sz w:val="13"/>
          <w:szCs w:val="13"/>
          <w:color w:val="auto"/>
        </w:rPr>
        <w:t>). Under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Platinum Agreement, Platinum:</w:t>
      </w:r>
    </w:p>
    <w:p>
      <w:pPr>
        <w:spacing w:after="0" w:line="191" w:lineRule="exact"/>
        <w:rPr>
          <w:sz w:val="20"/>
          <w:szCs w:val="20"/>
          <w:color w:val="auto"/>
        </w:rPr>
      </w:pPr>
    </w:p>
    <w:p>
      <w:pPr>
        <w:ind w:left="160" w:right="120" w:hanging="155"/>
        <w:spacing w:after="0" w:line="215" w:lineRule="auto"/>
        <w:tabs>
          <w:tab w:leader="none" w:pos="160" w:val="left"/>
        </w:tabs>
        <w:numPr>
          <w:ilvl w:val="0"/>
          <w:numId w:val="91"/>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60" w:lineRule="exact"/>
        <w:rPr>
          <w:rFonts w:ascii="Arial" w:cs="Arial" w:eastAsia="Arial" w:hAnsi="Arial"/>
          <w:sz w:val="20"/>
          <w:szCs w:val="20"/>
          <w:color w:val="auto"/>
          <w:vertAlign w:val="superscript"/>
        </w:rPr>
      </w:pPr>
    </w:p>
    <w:p>
      <w:pPr>
        <w:ind w:left="160" w:right="200" w:hanging="155"/>
        <w:spacing w:after="0" w:line="215" w:lineRule="auto"/>
        <w:tabs>
          <w:tab w:leader="none" w:pos="160" w:val="left"/>
        </w:tabs>
        <w:numPr>
          <w:ilvl w:val="0"/>
          <w:numId w:val="91"/>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82" w:lineRule="exact"/>
        <w:rPr>
          <w:rFonts w:ascii="Arial" w:cs="Arial" w:eastAsia="Arial" w:hAnsi="Arial"/>
          <w:sz w:val="20"/>
          <w:szCs w:val="20"/>
          <w:color w:val="auto"/>
          <w:vertAlign w:val="superscript"/>
        </w:rPr>
      </w:pPr>
    </w:p>
    <w:p>
      <w:pPr>
        <w:ind w:left="160" w:right="160" w:hanging="155"/>
        <w:spacing w:after="0" w:line="226" w:lineRule="auto"/>
        <w:tabs>
          <w:tab w:leader="none" w:pos="160" w:val="left"/>
        </w:tabs>
        <w:numPr>
          <w:ilvl w:val="0"/>
          <w:numId w:val="91"/>
        </w:numPr>
        <w:rPr>
          <w:rFonts w:ascii="Arial" w:cs="Arial" w:eastAsia="Arial" w:hAnsi="Arial"/>
          <w:sz w:val="20"/>
          <w:szCs w:val="20"/>
          <w:color w:val="auto"/>
          <w:vertAlign w:val="superscript"/>
        </w:rPr>
      </w:pPr>
      <w:r>
        <w:rPr>
          <w:rFonts w:ascii="Arial" w:cs="Arial" w:eastAsia="Arial" w:hAnsi="Arial"/>
          <w:sz w:val="14"/>
          <w:szCs w:val="14"/>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thereby cancelling approximately $1.3 million of our outstanding indebtedness; and</w:t>
      </w:r>
    </w:p>
    <w:p>
      <w:pPr>
        <w:spacing w:after="0" w:line="183" w:lineRule="exact"/>
        <w:rPr>
          <w:rFonts w:ascii="Arial" w:cs="Arial" w:eastAsia="Arial" w:hAnsi="Arial"/>
          <w:sz w:val="20"/>
          <w:szCs w:val="20"/>
          <w:color w:val="auto"/>
          <w:vertAlign w:val="superscript"/>
        </w:rPr>
      </w:pPr>
    </w:p>
    <w:p>
      <w:pPr>
        <w:jc w:val="both"/>
        <w:ind w:left="160" w:right="220" w:hanging="155"/>
        <w:spacing w:after="0" w:line="226" w:lineRule="auto"/>
        <w:tabs>
          <w:tab w:leader="none" w:pos="160" w:val="left"/>
        </w:tabs>
        <w:numPr>
          <w:ilvl w:val="0"/>
          <w:numId w:val="91"/>
        </w:numPr>
        <w:rPr>
          <w:rFonts w:ascii="Arial" w:cs="Arial" w:eastAsia="Arial" w:hAnsi="Arial"/>
          <w:sz w:val="20"/>
          <w:szCs w:val="20"/>
          <w:color w:val="auto"/>
          <w:vertAlign w:val="superscript"/>
        </w:rPr>
      </w:pPr>
      <w:r>
        <w:rPr>
          <w:rFonts w:ascii="Arial" w:cs="Arial" w:eastAsia="Arial" w:hAnsi="Arial"/>
          <w:sz w:val="14"/>
          <w:szCs w:val="14"/>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83" w:lineRule="exact"/>
        <w:rPr>
          <w:rFonts w:ascii="Arial" w:cs="Arial" w:eastAsia="Arial" w:hAnsi="Arial"/>
          <w:sz w:val="20"/>
          <w:szCs w:val="20"/>
          <w:color w:val="auto"/>
          <w:vertAlign w:val="superscript"/>
        </w:rPr>
      </w:pPr>
    </w:p>
    <w:p>
      <w:pPr>
        <w:ind w:left="160" w:right="140" w:hanging="155"/>
        <w:spacing w:after="0" w:line="215" w:lineRule="auto"/>
        <w:tabs>
          <w:tab w:leader="none" w:pos="160" w:val="left"/>
        </w:tabs>
        <w:numPr>
          <w:ilvl w:val="0"/>
          <w:numId w:val="91"/>
        </w:numPr>
        <w:rPr>
          <w:rFonts w:ascii="Arial" w:cs="Arial" w:eastAsia="Arial" w:hAnsi="Arial"/>
          <w:sz w:val="20"/>
          <w:szCs w:val="20"/>
          <w:color w:val="auto"/>
          <w:vertAlign w:val="superscript"/>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32" w:lineRule="exact"/>
        <w:rPr>
          <w:rFonts w:ascii="Arial" w:cs="Arial" w:eastAsia="Arial" w:hAnsi="Arial"/>
          <w:sz w:val="20"/>
          <w:szCs w:val="20"/>
          <w:color w:val="auto"/>
          <w:vertAlign w:val="superscript"/>
        </w:rPr>
      </w:pPr>
    </w:p>
    <w:p>
      <w:pPr>
        <w:ind w:left="160" w:hanging="155"/>
        <w:spacing w:after="0"/>
        <w:tabs>
          <w:tab w:leader="none" w:pos="160" w:val="left"/>
        </w:tabs>
        <w:numPr>
          <w:ilvl w:val="0"/>
          <w:numId w:val="91"/>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(all warrants previously issued by us to Platinum in connection with the Senior Notes) and the Series A Exchange Warrant to:</w:t>
      </w:r>
    </w:p>
    <w:p>
      <w:pPr>
        <w:spacing w:after="0" w:line="182" w:lineRule="exact"/>
        <w:rPr>
          <w:sz w:val="20"/>
          <w:szCs w:val="20"/>
          <w:color w:val="auto"/>
        </w:rPr>
      </w:pPr>
    </w:p>
    <w:p>
      <w:pPr>
        <w:ind w:left="560" w:hanging="243"/>
        <w:spacing w:after="0"/>
        <w:tabs>
          <w:tab w:leader="none" w:pos="5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fix the exercise price thereof at $7.00 per share;</w:t>
      </w:r>
    </w:p>
    <w:p>
      <w:pPr>
        <w:spacing w:after="0" w:line="19" w:lineRule="exact"/>
        <w:rPr>
          <w:rFonts w:ascii="Arial" w:cs="Arial" w:eastAsia="Arial" w:hAnsi="Arial"/>
          <w:sz w:val="14"/>
          <w:szCs w:val="14"/>
          <w:color w:val="auto"/>
        </w:rPr>
      </w:pPr>
    </w:p>
    <w:p>
      <w:pPr>
        <w:ind w:left="420" w:hanging="103"/>
        <w:spacing w:after="0"/>
        <w:tabs>
          <w:tab w:leader="none" w:pos="420" w:val="left"/>
        </w:tabs>
        <w:numPr>
          <w:ilvl w:val="1"/>
          <w:numId w:val="92"/>
        </w:numPr>
        <w:rPr>
          <w:rFonts w:ascii="Arial" w:cs="Arial" w:eastAsia="Arial" w:hAnsi="Arial"/>
          <w:sz w:val="14"/>
          <w:szCs w:val="14"/>
          <w:color w:val="auto"/>
        </w:rPr>
      </w:pPr>
      <w:r>
        <w:rPr>
          <w:rFonts w:ascii="Arial" w:cs="Arial" w:eastAsia="Arial" w:hAnsi="Arial"/>
          <w:sz w:val="14"/>
          <w:szCs w:val="14"/>
          <w:color w:val="auto"/>
        </w:rPr>
        <w:t>eliminate the exercise price reset features and fix the number of shares of our common stock issuable thereunder; and</w:t>
      </w:r>
    </w:p>
    <w:p>
      <w:pPr>
        <w:spacing w:after="0" w:line="9" w:lineRule="exact"/>
        <w:rPr>
          <w:rFonts w:ascii="Arial" w:cs="Arial" w:eastAsia="Arial" w:hAnsi="Arial"/>
          <w:sz w:val="14"/>
          <w:szCs w:val="14"/>
          <w:color w:val="auto"/>
        </w:rPr>
      </w:pPr>
    </w:p>
    <w:p>
      <w:pPr>
        <w:ind w:left="560" w:hanging="243"/>
        <w:spacing w:after="0"/>
        <w:tabs>
          <w:tab w:leader="none" w:pos="5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eliminate the cashless exercise provisions from the Platinum Warrants and the Series A Exchange Warrant; and</w:t>
      </w:r>
    </w:p>
    <w:p>
      <w:pPr>
        <w:spacing w:after="0" w:line="190" w:lineRule="exact"/>
        <w:rPr>
          <w:rFonts w:ascii="Arial" w:cs="Arial" w:eastAsia="Arial" w:hAnsi="Arial"/>
          <w:sz w:val="14"/>
          <w:szCs w:val="14"/>
          <w:color w:val="auto"/>
        </w:rPr>
      </w:pPr>
    </w:p>
    <w:p>
      <w:pPr>
        <w:ind w:left="160" w:hanging="155"/>
        <w:spacing w:after="0" w:line="215" w:lineRule="auto"/>
        <w:tabs>
          <w:tab w:leader="none" w:pos="160" w:val="left"/>
        </w:tabs>
        <w:numPr>
          <w:ilvl w:val="0"/>
          <w:numId w:val="92"/>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61" w:lineRule="exact"/>
        <w:rPr>
          <w:sz w:val="20"/>
          <w:szCs w:val="20"/>
          <w:color w:val="auto"/>
        </w:rPr>
      </w:pPr>
    </w:p>
    <w:p>
      <w:pPr>
        <w:ind w:right="20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w:t>
      </w:r>
    </w:p>
    <w:p>
      <w:pPr>
        <w:spacing w:after="0" w:line="201" w:lineRule="exact"/>
        <w:rPr>
          <w:sz w:val="20"/>
          <w:szCs w:val="20"/>
          <w:color w:val="auto"/>
        </w:rPr>
      </w:pPr>
    </w:p>
    <w:p>
      <w:pPr>
        <w:ind w:right="300"/>
        <w:spacing w:after="0" w:line="370"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87" w:name="page188"/>
    <w:bookmarkEnd w:id="18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Series B Preferred Units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Notes and Accounts Payable</w:t>
      </w:r>
    </w:p>
    <w:p>
      <w:pPr>
        <w:spacing w:after="0" w:line="180" w:lineRule="exact"/>
        <w:rPr>
          <w:sz w:val="20"/>
          <w:szCs w:val="20"/>
          <w:color w:val="auto"/>
        </w:rPr>
      </w:pPr>
    </w:p>
    <w:p>
      <w:pPr>
        <w:jc w:val="both"/>
        <w:ind w:right="180"/>
        <w:spacing w:after="0" w:line="298" w:lineRule="auto"/>
        <w:rPr>
          <w:sz w:val="20"/>
          <w:szCs w:val="20"/>
          <w:color w:val="auto"/>
        </w:rPr>
      </w:pPr>
      <w:r>
        <w:rPr>
          <w:rFonts w:ascii="Arial" w:cs="Arial" w:eastAsia="Arial" w:hAnsi="Arial"/>
          <w:sz w:val="13"/>
          <w:szCs w:val="13"/>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Supplemental Financial Information</w:t>
      </w:r>
    </w:p>
    <w:p>
      <w:pPr>
        <w:spacing w:after="0" w:line="205"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120" w:type="dxa"/>
            <w:vAlign w:val="bottom"/>
            <w:gridSpan w:val="8"/>
          </w:tcPr>
          <w:p>
            <w:pPr>
              <w:jc w:val="center"/>
              <w:ind w:left="569"/>
              <w:spacing w:after="0"/>
              <w:rPr>
                <w:sz w:val="20"/>
                <w:szCs w:val="20"/>
                <w:color w:val="auto"/>
              </w:rPr>
            </w:pPr>
            <w:r>
              <w:rPr>
                <w:rFonts w:ascii="Arial" w:cs="Arial" w:eastAsia="Arial" w:hAnsi="Arial"/>
                <w:sz w:val="14"/>
                <w:szCs w:val="14"/>
                <w:b w:val="1"/>
                <w:bCs w:val="1"/>
                <w:color w:val="auto"/>
                <w:w w:val="92"/>
              </w:rPr>
              <w:t>Quarterly Results of Operations (Unaudited)</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360" w:type="dxa"/>
            <w:vAlign w:val="bottom"/>
          </w:tcPr>
          <w:p>
            <w:pPr>
              <w:spacing w:after="0"/>
              <w:rPr>
                <w:sz w:val="24"/>
                <w:szCs w:val="24"/>
                <w:color w:val="auto"/>
              </w:rPr>
            </w:pPr>
          </w:p>
        </w:tc>
        <w:tc>
          <w:tcPr>
            <w:tcW w:w="4120" w:type="dxa"/>
            <w:vAlign w:val="bottom"/>
            <w:gridSpan w:val="8"/>
          </w:tcPr>
          <w:p>
            <w:pPr>
              <w:jc w:val="center"/>
              <w:ind w:left="549"/>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3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3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2015</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2015</w:t>
            </w:r>
          </w:p>
        </w:tc>
      </w:tr>
      <w:tr>
        <w:trPr>
          <w:trHeight w:val="34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558</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2,433</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4,344</w:t>
            </w:r>
          </w:p>
        </w:tc>
      </w:tr>
      <w:tr>
        <w:trPr>
          <w:trHeight w:val="21"/>
        </w:trPr>
        <w:tc>
          <w:tcPr>
            <w:tcW w:w="3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1,114</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6,777</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(1,114)</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(6,777)</w:t>
            </w:r>
          </w:p>
        </w:tc>
      </w:tr>
      <w:tr>
        <w:trPr>
          <w:trHeight w:val="170"/>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(1,603)</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r>
      <w:tr>
        <w:trPr>
          <w:trHeight w:val="172"/>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(13,884)</w:t>
            </w: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Income taxes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Basic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(1.58)</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(0.84)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(10.53)</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Diluted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(1.90)</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(10.61)</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Weighted average shares used in computing:</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net (loss)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1,279,251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net loss per common share</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1,299,099</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left="569"/>
              <w:spacing w:after="0"/>
              <w:rPr>
                <w:sz w:val="20"/>
                <w:szCs w:val="20"/>
                <w:color w:val="auto"/>
              </w:rPr>
            </w:pPr>
            <w:r>
              <w:rPr>
                <w:rFonts w:ascii="Arial" w:cs="Arial" w:eastAsia="Arial" w:hAnsi="Arial"/>
                <w:sz w:val="14"/>
                <w:szCs w:val="14"/>
                <w:color w:val="auto"/>
                <w:w w:val="90"/>
              </w:rPr>
              <w:t>F-48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3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49"/>
        </w:trPr>
        <w:tc>
          <w:tcPr>
            <w:tcW w:w="472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90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9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9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2014</w:t>
            </w:r>
          </w:p>
        </w:tc>
      </w:tr>
      <w:tr>
        <w:trPr>
          <w:trHeight w:val="34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669</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4720" w:type="dxa"/>
            <w:vAlign w:val="bottom"/>
            <w:gridSpan w:val="2"/>
          </w:tcPr>
          <w:p>
            <w:pPr>
              <w:ind w:left="38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1,215</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(1,215)</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(323)</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2"/>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472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1,081,529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1,110,529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1,128,152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1,110,529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1,099,216</w:t>
            </w:r>
          </w:p>
        </w:tc>
        <w:tc>
          <w:tcPr>
            <w:tcW w:w="1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F-49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0" w:right="21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w w:val="91"/>
              </w:rPr>
              <w:t>Financial statements for the nine-month periods ended December 31, 2015 and 2014 (Unaudited)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CONDENSED 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w w:val="90"/>
              </w:rPr>
              <w:t>(Amounts in Dollars, except share amounts)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vMerge w:val="restart"/>
          </w:tcPr>
          <w:p>
            <w:pPr>
              <w:jc w:val="center"/>
              <w:ind w:right="949"/>
              <w:spacing w:after="0"/>
              <w:rPr>
                <w:sz w:val="20"/>
                <w:szCs w:val="20"/>
                <w:color w:val="auto"/>
              </w:rPr>
            </w:pPr>
            <w:r>
              <w:rPr>
                <w:rFonts w:ascii="Arial" w:cs="Arial" w:eastAsia="Arial" w:hAnsi="Arial"/>
                <w:sz w:val="14"/>
                <w:szCs w:val="14"/>
                <w:b w:val="1"/>
                <w:bCs w:val="1"/>
                <w:color w:val="auto"/>
                <w:w w:val="92"/>
              </w:rPr>
              <w:t>ASSETS</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1,158,400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728,300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1,886,700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78,600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117,100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Security deposits and 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2,012,200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269,700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jc w:val="center"/>
              <w:ind w:right="949"/>
              <w:spacing w:after="0"/>
              <w:rPr>
                <w:sz w:val="20"/>
                <w:szCs w:val="20"/>
                <w:color w:val="auto"/>
              </w:rPr>
            </w:pPr>
            <w:r>
              <w:rPr>
                <w:rFonts w:ascii="Arial" w:cs="Arial" w:eastAsia="Arial" w:hAnsi="Arial"/>
                <w:sz w:val="14"/>
                <w:szCs w:val="14"/>
                <w:b w:val="1"/>
                <w:bCs w:val="1"/>
                <w:color w:val="auto"/>
              </w:rPr>
              <w:t>LIABILITIES AND STOCKHOLDERS’ DEFICIT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1,097,600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2,251,100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929,100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1,206,500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4,146,100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Current portion of notes payable, net of discount of $0 at December 31, 2015 and $474,500 at March 31, 2015, and accrued interest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4,117,000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w w:val="94"/>
              </w:rPr>
              <w:t>Current portion of notes payable to related parties, net of discount of $0 at December 31, 2015 and $54,500 at March 31, 2015,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1,508,800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8"/>
              </w:rPr>
              <w:t>Convertible promissory notes and accrued interest, net of discount of $0 at December 31, 2015 and $180,000 at March 31, 2015, respectively</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4,157,600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2,101,600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17,388,100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296,200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29,300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Warrant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3,008,500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dividends on Series B Preferred Stock</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1,415,800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Deferred rent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63,500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1,508,900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3,610,500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20,812,500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Preferred stock, $0.001 par value; 10,000,000 shares authorized at December 31, 2015 and March 31, 2015: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at December 31, 2015 and March 31, 2015</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0"/>
        </w:trPr>
        <w:tc>
          <w:tcPr>
            <w:tcW w:w="8840" w:type="dxa"/>
            <w:vAlign w:val="bottom"/>
            <w:gridSpan w:val="2"/>
          </w:tcPr>
          <w:p>
            <w:pPr>
              <w:ind w:left="320"/>
              <w:spacing w:after="0" w:line="160" w:lineRule="exact"/>
              <w:rPr>
                <w:sz w:val="20"/>
                <w:szCs w:val="20"/>
                <w:color w:val="auto"/>
              </w:rPr>
            </w:pPr>
            <w:r>
              <w:rPr>
                <w:rFonts w:ascii="Arial" w:cs="Arial" w:eastAsia="Arial" w:hAnsi="Arial"/>
                <w:sz w:val="14"/>
                <w:szCs w:val="14"/>
                <w:color w:val="auto"/>
                <w:w w:val="93"/>
              </w:rPr>
              <w:t>Series B Preferred, 4,000,000 shares and no shares authorized at December 31, 2015 and March 31, 2015, respectively; 3,588,863 shares and no</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ind w:left="480"/>
              <w:spacing w:after="0"/>
              <w:rPr>
                <w:sz w:val="20"/>
                <w:szCs w:val="20"/>
                <w:color w:val="auto"/>
              </w:rPr>
            </w:pPr>
            <w:r>
              <w:rPr>
                <w:rFonts w:ascii="Arial" w:cs="Arial" w:eastAsia="Arial" w:hAnsi="Arial"/>
                <w:sz w:val="14"/>
                <w:szCs w:val="14"/>
                <w:color w:val="auto"/>
              </w:rPr>
              <w:t>shares issued and outstanding at December 31, 2015 and March 31, 2015, respectively</w:t>
            </w: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3,600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84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Common stock, $0.001 par value; 30,000,000 shares and 10,000,000 shares authorized at December 31, 2015 and March 31, 2015,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1,965,170 shares and 1,677,110 shares issued at December 31, 2015 and March 31, 2015 respectively</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125,605,200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67,945,800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Treasury stock, at cost, 135,665 shares of common stock held at December 31, 2015 and March 31, 2015, respectively</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(123,241,500)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(84,522,700)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stockholders’ deficit</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(1,598,300)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(20,542,800)</w:t>
            </w:r>
          </w:p>
        </w:tc>
        <w:tc>
          <w:tcPr>
            <w:tcW w:w="0" w:type="dxa"/>
            <w:vAlign w:val="bottom"/>
          </w:tcPr>
          <w:p>
            <w:pPr>
              <w:spacing w:after="0"/>
              <w:rPr>
                <w:sz w:val="1"/>
                <w:szCs w:val="1"/>
                <w:color w:val="auto"/>
              </w:rPr>
            </w:pPr>
          </w:p>
        </w:tc>
      </w:tr>
      <w:tr>
        <w:trPr>
          <w:trHeight w:val="170"/>
        </w:trPr>
        <w:tc>
          <w:tcPr>
            <w:tcW w:w="8840" w:type="dxa"/>
            <w:vAlign w:val="bottom"/>
            <w:tcBorders>
              <w:top w:val="single" w:sz="8" w:color="CCEEFF"/>
            </w:tcBorders>
            <w:gridSpan w:val="2"/>
          </w:tcPr>
          <w:p>
            <w:pPr>
              <w:ind w:left="320"/>
              <w:spacing w:after="0"/>
              <w:rPr>
                <w:sz w:val="20"/>
                <w:szCs w:val="20"/>
                <w:color w:val="auto"/>
              </w:rPr>
            </w:pPr>
            <w:r>
              <w:rPr>
                <w:rFonts w:ascii="Arial" w:cs="Arial" w:eastAsia="Arial" w:hAnsi="Arial"/>
                <w:sz w:val="14"/>
                <w:szCs w:val="14"/>
                <w:color w:val="auto"/>
              </w:rPr>
              <w:t>Total liabilities and stockholders’ deficit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2,012,200</w:t>
            </w:r>
          </w:p>
        </w:tc>
        <w:tc>
          <w:tcPr>
            <w:tcW w:w="20" w:type="dxa"/>
            <w:vAlign w:val="bottom"/>
            <w:tcBorders>
              <w:top w:val="single" w:sz="8" w:color="CCEEFF"/>
              <w:bottom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269,700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0" w:name="page191"/>
    <w:bookmarkEnd w:id="19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445,400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2,835,000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1,476,600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1,335,500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671,300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6,514,500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2,024,600</w:t>
            </w:r>
          </w:p>
        </w:tc>
      </w:tr>
      <w:tr>
        <w:trPr>
          <w:trHeight w:val="21"/>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9,349,500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3,501,200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(2,141,800)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(1,116,700)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(9,349,500)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(3,501,200)</w:t>
            </w: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(792,400)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(769,800)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(2,182,900)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953,700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(1,894,700)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528,300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(26,700,200)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(2,371,400)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expense</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(134,900)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(134,900)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(2,146,600)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(38,716,500)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(7,662,100)</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(38,718,800)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Accrued dividends on Series B Preferred stock</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(631,300)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(1,459,300)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on Series B Preferred Units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(668,700)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(1,811,800)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Diluted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6080" w:type="dxa"/>
            <w:vAlign w:val="bottom"/>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6080" w:type="dxa"/>
            <w:vAlign w:val="bottom"/>
          </w:tcPr>
          <w:p>
            <w:pPr>
              <w:spacing w:after="0"/>
              <w:rPr>
                <w:sz w:val="20"/>
                <w:szCs w:val="20"/>
                <w:color w:val="auto"/>
              </w:rPr>
            </w:pPr>
            <w:r>
              <w:rPr>
                <w:rFonts w:ascii="Arial" w:cs="Arial" w:eastAsia="Arial" w:hAnsi="Arial"/>
                <w:sz w:val="14"/>
                <w:szCs w:val="14"/>
                <w:color w:val="auto"/>
              </w:rPr>
              <w:t>per common share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460"/>
          </w:cols>
          <w:pgMar w:left="220" w:top="133" w:right="219" w:bottom="1440" w:gutter="0" w:footer="0" w:header="0"/>
        </w:sectPr>
      </w:pPr>
    </w:p>
    <w:p>
      <w:pPr>
        <w:spacing w:after="0" w:line="267" w:lineRule="auto"/>
        <w:rPr>
          <w:sz w:val="20"/>
          <w:szCs w:val="20"/>
          <w:color w:val="auto"/>
        </w:rPr>
      </w:pPr>
      <w:r>
        <w:rPr>
          <w:rFonts w:ascii="Arial" w:cs="Arial" w:eastAsia="Arial" w:hAnsi="Arial"/>
          <w:sz w:val="14"/>
          <w:szCs w:val="14"/>
          <w:color w:val="auto"/>
        </w:rPr>
        <w:t>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3060"/>
        <w:spacing w:after="0"/>
        <w:tabs>
          <w:tab w:leader="none" w:pos="4440" w:val="left"/>
          <w:tab w:leader="none" w:pos="5820" w:val="left"/>
          <w:tab w:leader="none" w:pos="7160" w:val="left"/>
        </w:tabs>
        <w:rPr>
          <w:sz w:val="20"/>
          <w:szCs w:val="20"/>
          <w:color w:val="auto"/>
        </w:rPr>
      </w:pPr>
      <w:r>
        <w:rPr>
          <w:rFonts w:ascii="Arial" w:cs="Arial" w:eastAsia="Arial" w:hAnsi="Arial"/>
          <w:sz w:val="14"/>
          <w:szCs w:val="14"/>
          <w:color w:val="auto"/>
        </w:rPr>
        <w:t>1,765,641</w:t>
      </w:r>
      <w:r>
        <w:rPr>
          <w:sz w:val="20"/>
          <w:szCs w:val="20"/>
          <w:color w:val="auto"/>
        </w:rPr>
        <w:tab/>
      </w:r>
      <w:r>
        <w:rPr>
          <w:rFonts w:ascii="Arial" w:cs="Arial" w:eastAsia="Arial" w:hAnsi="Arial"/>
          <w:sz w:val="14"/>
          <w:szCs w:val="14"/>
          <w:color w:val="auto"/>
        </w:rPr>
        <w:t>1,302,300</w:t>
      </w:r>
      <w:r>
        <w:rPr>
          <w:sz w:val="20"/>
          <w:szCs w:val="20"/>
          <w:color w:val="auto"/>
        </w:rPr>
        <w:tab/>
      </w:r>
      <w:r>
        <w:rPr>
          <w:rFonts w:ascii="Arial" w:cs="Arial" w:eastAsia="Arial" w:hAnsi="Arial"/>
          <w:sz w:val="14"/>
          <w:szCs w:val="14"/>
          <w:color w:val="auto"/>
        </w:rPr>
        <w:t>1,650,160</w:t>
      </w:r>
      <w:r>
        <w:rPr>
          <w:sz w:val="20"/>
          <w:szCs w:val="20"/>
          <w:color w:val="auto"/>
        </w:rPr>
        <w:tab/>
      </w:r>
      <w:r>
        <w:rPr>
          <w:rFonts w:ascii="Arial" w:cs="Arial" w:eastAsia="Arial" w:hAnsi="Arial"/>
          <w:sz w:val="13"/>
          <w:szCs w:val="13"/>
          <w:color w:val="auto"/>
        </w:rPr>
        <w:t>1,288,674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12700</wp:posOffset>
            </wp:positionV>
            <wp:extent cx="3347085" cy="27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47085" cy="273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64135</wp:posOffset>
            </wp:positionV>
            <wp:extent cx="7281545"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2">
            <w:col w:w="3000" w:space="600"/>
            <w:col w:w="7860"/>
          </w:cols>
          <w:pgMar w:left="220" w:top="133" w:right="219" w:bottom="1440"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149"/>
        </w:trPr>
        <w:tc>
          <w:tcPr>
            <w:tcW w:w="8700" w:type="dxa"/>
            <w:vAlign w:val="bottom"/>
            <w:gridSpan w:val="2"/>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9"/>
        </w:trPr>
        <w:tc>
          <w:tcPr>
            <w:tcW w:w="900" w:type="dxa"/>
            <w:vAlign w:val="bottom"/>
            <w:tcBorders>
              <w:top w:val="single" w:sz="8" w:color="0000EE"/>
            </w:tcBorders>
          </w:tcPr>
          <w:p>
            <w:pPr>
              <w:spacing w:after="0"/>
              <w:rPr>
                <w:sz w:val="24"/>
                <w:szCs w:val="2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7800" w:type="dxa"/>
            <w:vAlign w:val="bottom"/>
          </w:tcPr>
          <w:p>
            <w:pPr>
              <w:jc w:val="center"/>
              <w:ind w:left="1809"/>
              <w:spacing w:after="0"/>
              <w:rPr>
                <w:sz w:val="20"/>
                <w:szCs w:val="20"/>
                <w:color w:val="auto"/>
              </w:rPr>
            </w:pPr>
            <w:r>
              <w:rPr>
                <w:rFonts w:ascii="Arial" w:cs="Arial" w:eastAsia="Arial" w:hAnsi="Arial"/>
                <w:sz w:val="14"/>
                <w:szCs w:val="14"/>
                <w:b w:val="1"/>
                <w:bCs w:val="1"/>
                <w:color w:val="auto"/>
                <w:w w:val="92"/>
              </w:rPr>
              <w:t>(Amounts in Dollars)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4"/>
        </w:trPr>
        <w:tc>
          <w:tcPr>
            <w:tcW w:w="9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9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(38,718,800)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Amortization of discounts on convertible and promissory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564,800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1,294,700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1,894,700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(528,300)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3,868,300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Expense related to modification of warrants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614,900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Non-cash rent 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(19,500)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income on note receivable for common stock purchase</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settlement of note receivable for common stock purchase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134,900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common stock granted for services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606,300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134,000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Fair value of Series B Preferred stock granted for 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1,045,000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warrants granted for services and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Foreign currency transaction gain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(6,400)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26,700,200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2,371,400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disposition of fixed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61,800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74,300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Accounts payable and accrued expenses, including accrued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(264,500)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1,696,100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(3,498,900)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(1,874,400)</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Purchases of equipment, net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2,128,200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Net proceeds from issuance of Series B Preferred Units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4,397,800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capital lease obligations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Repayment of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(236,900)</w:t>
            </w:r>
          </w:p>
        </w:tc>
      </w:tr>
      <w:tr>
        <w:trPr>
          <w:trHeight w:val="21"/>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4,591,900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1,887,600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1,088,400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1,158,400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20"/>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Supplemental disclosure of noncash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70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2"/>
              </w:rPr>
              <w:t>Senior Secured Notes, 2014 Unit Notes, other promissory notes and related accrued interest, and accounts payable, including conversion premiums,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converted into Series B Preferred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18,891,400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2" w:name="page193"/>
    <w:bookmarkEnd w:id="19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140" w:firstLine="511"/>
        <w:spacing w:after="0" w:line="263" w:lineRule="auto"/>
        <w:rPr>
          <w:sz w:val="20"/>
          <w:szCs w:val="20"/>
          <w:color w:val="auto"/>
        </w:rPr>
      </w:pPr>
      <w:r>
        <w:rPr>
          <w:rFonts w:ascii="Arial" w:cs="Arial" w:eastAsia="Arial" w:hAnsi="Arial"/>
          <w:sz w:val="14"/>
          <w:szCs w:val="14"/>
          <w:color w:val="auto"/>
        </w:rPr>
        <w:t>VistaGen Therapeutics, Inc. (OTCQB: VSTA), a Nevada corporation, is a clinical-stage biopharmaceutical company committed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Our lead drug candidate, AV-101, is a next generation, orally available prodrug candidate in Phase 2A development, initially for the adjunctive treatment of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in patients with an inadequate response to standard antidepressants. AV-101’s novel mechanism of action, as an N-methyl D 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 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differentiated from all antidepressants currently approved by the U.S. Food and Drug Administration (</w:t>
      </w:r>
      <w:r>
        <w:rPr>
          <w:rFonts w:ascii="Arial" w:cs="Arial" w:eastAsia="Arial" w:hAnsi="Arial"/>
          <w:sz w:val="13"/>
          <w:szCs w:val="13"/>
          <w:i w:val="1"/>
          <w:iCs w:val="1"/>
          <w:color w:val="auto"/>
        </w:rPr>
        <w:t>FDA</w:t>
      </w:r>
      <w:r>
        <w:rPr>
          <w:rFonts w:ascii="Arial" w:cs="Arial" w:eastAsia="Arial" w:hAnsi="Arial"/>
          <w:sz w:val="13"/>
          <w:szCs w:val="13"/>
          <w:color w:val="auto"/>
        </w:rPr>
        <w:t>). Our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Principal Investigator of this NIMH-funded Phase 2A study, which was initiated in late-2015,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59" w:lineRule="exact"/>
        <w:rPr>
          <w:sz w:val="20"/>
          <w:szCs w:val="20"/>
          <w:color w:val="auto"/>
        </w:rPr>
      </w:pPr>
    </w:p>
    <w:p>
      <w:pPr>
        <w:ind w:right="20" w:firstLine="511"/>
        <w:spacing w:after="0" w:line="283" w:lineRule="auto"/>
        <w:rPr>
          <w:sz w:val="20"/>
          <w:szCs w:val="20"/>
          <w:color w:val="auto"/>
        </w:rPr>
      </w:pPr>
      <w:r>
        <w:rPr>
          <w:rFonts w:ascii="Arial" w:cs="Arial" w:eastAsia="Arial" w:hAnsi="Arial"/>
          <w:sz w:val="14"/>
          <w:szCs w:val="14"/>
          <w:color w:val="auto"/>
        </w:rPr>
        <w:t>We believe AV-101 has therapeutic potential in multiple additional CNS indications, including neuropathic pain and epilepsy, and in neurodegenerative diseases such as Parkinson’s disease and Huntington’s disease.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to our focus on CNS and neurology, we are applying our proprietary,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technology for drug rescue to develop proprietary new chemical entities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NCEs</w:t>
      </w:r>
      <w:r>
        <w:rPr>
          <w:rFonts w:ascii="Arial" w:cs="Arial" w:eastAsia="Arial" w:hAnsi="Arial"/>
          <w:sz w:val="12"/>
          <w:szCs w:val="12"/>
          <w:color w:val="auto"/>
        </w:rPr>
        <w:t>) for our internal drug candidate pipeline. Initial drug rescue programs are focused on NCEs for the treatment of cancer. We are also considering potential therapeutic and commercial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of our stem cell technology platform for regenerative medicine (</w:t>
      </w:r>
      <w:r>
        <w:rPr>
          <w:rFonts w:ascii="Arial" w:cs="Arial" w:eastAsia="Arial" w:hAnsi="Arial"/>
          <w:sz w:val="14"/>
          <w:szCs w:val="14"/>
          <w:i w:val="1"/>
          <w:iCs w:val="1"/>
          <w:color w:val="auto"/>
        </w:rPr>
        <w:t>RM</w:t>
      </w:r>
      <w:r>
        <w:rPr>
          <w:rFonts w:ascii="Arial" w:cs="Arial" w:eastAsia="Arial" w:hAnsi="Arial"/>
          <w:sz w:val="14"/>
          <w:szCs w:val="14"/>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160" w:firstLine="511"/>
        <w:spacing w:after="0" w:line="298" w:lineRule="auto"/>
        <w:rPr>
          <w:sz w:val="20"/>
          <w:szCs w:val="20"/>
          <w:color w:val="auto"/>
        </w:rPr>
      </w:pPr>
      <w:r>
        <w:rPr>
          <w:rFonts w:ascii="Arial" w:cs="Arial" w:eastAsia="Arial" w:hAnsi="Arial"/>
          <w:sz w:val="13"/>
          <w:szCs w:val="13"/>
          <w:color w:val="auto"/>
        </w:rPr>
        <w:t>The World Health Organization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46" w:lineRule="exact"/>
        <w:rPr>
          <w:sz w:val="20"/>
          <w:szCs w:val="20"/>
          <w:color w:val="auto"/>
        </w:rPr>
      </w:pPr>
    </w:p>
    <w:p>
      <w:pPr>
        <w:ind w:right="20" w:firstLine="511"/>
        <w:spacing w:after="0" w:line="285" w:lineRule="auto"/>
        <w:rPr>
          <w:sz w:val="20"/>
          <w:szCs w:val="20"/>
          <w:color w:val="auto"/>
        </w:rPr>
      </w:pPr>
      <w:r>
        <w:rPr>
          <w:rFonts w:ascii="Arial" w:cs="Arial" w:eastAsia="Arial" w:hAnsi="Arial"/>
          <w:sz w:val="13"/>
          <w:szCs w:val="13"/>
          <w:color w:val="auto"/>
        </w:rPr>
        <w:t>Unfortunately, millions of depression sufferers (more than 30%) do not benefit from initial treatment with standard antidepressants, generally a selective serotonin reuptake inhibitor (</w:t>
      </w:r>
      <w:r>
        <w:rPr>
          <w:rFonts w:ascii="Arial" w:cs="Arial" w:eastAsia="Arial" w:hAnsi="Arial"/>
          <w:sz w:val="13"/>
          <w:szCs w:val="13"/>
          <w:i w:val="1"/>
          <w:iCs w:val="1"/>
          <w:color w:val="auto"/>
        </w:rPr>
        <w:t>SSRI</w:t>
      </w:r>
      <w:r>
        <w:rPr>
          <w:rFonts w:ascii="Arial" w:cs="Arial" w:eastAsia="Arial" w:hAnsi="Arial"/>
          <w:sz w:val="13"/>
          <w:szCs w:val="13"/>
          <w:color w:val="auto"/>
        </w:rPr>
        <w:t>) or a serotonin-norepinephrine reuptake inhibitor (</w:t>
      </w:r>
      <w:r>
        <w:rPr>
          <w:rFonts w:ascii="Arial" w:cs="Arial" w:eastAsia="Arial" w:hAnsi="Arial"/>
          <w:sz w:val="13"/>
          <w:szCs w:val="13"/>
          <w:i w:val="1"/>
          <w:iCs w:val="1"/>
          <w:color w:val="auto"/>
        </w:rPr>
        <w:t>SNRI</w:t>
      </w:r>
      <w:r>
        <w:rPr>
          <w:rFonts w:ascii="Arial" w:cs="Arial" w:eastAsia="Arial" w:hAnsi="Arial"/>
          <w:sz w:val="13"/>
          <w:szCs w:val="13"/>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ketamine-like antidepressant effects, but not side effects, by NMDA/glycineB-site inhibition, </w:t>
      </w:r>
      <w:r>
        <w:rPr>
          <w:rFonts w:ascii="Arial" w:cs="Arial" w:eastAsia="Arial" w:hAnsi="Arial"/>
          <w:sz w:val="13"/>
          <w:szCs w:val="13"/>
          <w:color w:val="auto"/>
        </w:rPr>
        <w:t>in well-established preclinical models of depression, AV-101 was shown to induce fast-acting, dose-dependent, 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56" w:lineRule="exact"/>
        <w:rPr>
          <w:sz w:val="20"/>
          <w:szCs w:val="20"/>
          <w:color w:val="auto"/>
        </w:rPr>
      </w:pPr>
    </w:p>
    <w:p>
      <w:pPr>
        <w:ind w:right="100" w:firstLine="511"/>
        <w:spacing w:after="0" w:line="268" w:lineRule="auto"/>
        <w:rPr>
          <w:sz w:val="20"/>
          <w:szCs w:val="20"/>
          <w:color w:val="auto"/>
        </w:rPr>
      </w:pPr>
      <w:r>
        <w:rPr>
          <w:rFonts w:ascii="Arial" w:cs="Arial" w:eastAsia="Arial" w:hAnsi="Arial"/>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 of the NIMH is the Principal Investigator of the study.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3" w:name="page194"/>
    <w:bookmarkEnd w:id="19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380" w:firstLine="511"/>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NCE Drug Rescue and Regenerative Medicine</w:t>
      </w:r>
    </w:p>
    <w:p>
      <w:pPr>
        <w:spacing w:after="0" w:line="205" w:lineRule="exact"/>
        <w:rPr>
          <w:sz w:val="20"/>
          <w:szCs w:val="20"/>
          <w:color w:val="auto"/>
        </w:rPr>
      </w:pPr>
    </w:p>
    <w:p>
      <w:pPr>
        <w:ind w:right="60" w:firstLine="511"/>
        <w:spacing w:after="0" w:line="263" w:lineRule="auto"/>
        <w:rPr>
          <w:sz w:val="20"/>
          <w:szCs w:val="20"/>
          <w:color w:val="auto"/>
        </w:rPr>
      </w:pPr>
      <w:r>
        <w:rPr>
          <w:rFonts w:ascii="Arial" w:cs="Arial" w:eastAsia="Arial" w:hAnsi="Arial"/>
          <w:sz w:val="14"/>
          <w:szCs w:val="14"/>
          <w:color w:val="auto"/>
        </w:rPr>
        <w:t xml:space="preserve">Our drug rescue programs involve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3D(TM)</w:t>
      </w:r>
      <w:r>
        <w:rPr>
          <w:rFonts w:ascii="Arial" w:cs="Arial" w:eastAsia="Arial" w:hAnsi="Arial"/>
          <w:sz w:val="14"/>
          <w:szCs w:val="14"/>
          <w:i w:val="1"/>
          <w:iCs w:val="1"/>
          <w:color w:val="auto"/>
        </w:rPr>
        <w:t>,</w:t>
      </w:r>
      <w:r>
        <w:rPr>
          <w:rFonts w:ascii="Arial" w:cs="Arial" w:eastAsia="Arial" w:hAnsi="Arial"/>
          <w:sz w:val="14"/>
          <w:szCs w:val="14"/>
          <w:color w:val="auto"/>
        </w:rPr>
        <w:t xml:space="preserve">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7" w:lineRule="exact"/>
        <w:rPr>
          <w:sz w:val="20"/>
          <w:szCs w:val="20"/>
          <w:color w:val="auto"/>
        </w:rPr>
      </w:pPr>
    </w:p>
    <w:p>
      <w:pPr>
        <w:ind w:right="180" w:firstLine="511"/>
        <w:spacing w:after="0" w:line="283" w:lineRule="auto"/>
        <w:rPr>
          <w:sz w:val="20"/>
          <w:szCs w:val="20"/>
          <w:color w:val="auto"/>
        </w:rPr>
      </w:pPr>
      <w:r>
        <w:rPr>
          <w:rFonts w:ascii="Arial" w:cs="Arial" w:eastAsia="Arial" w:hAnsi="Arial"/>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Stock Consolidation</w:t>
      </w:r>
    </w:p>
    <w:p>
      <w:pPr>
        <w:spacing w:after="0" w:line="205" w:lineRule="exact"/>
        <w:rPr>
          <w:sz w:val="20"/>
          <w:szCs w:val="20"/>
          <w:color w:val="auto"/>
        </w:rPr>
      </w:pPr>
    </w:p>
    <w:p>
      <w:pPr>
        <w:jc w:val="both"/>
        <w:ind w:right="80" w:firstLine="511"/>
        <w:spacing w:after="0" w:line="268" w:lineRule="auto"/>
        <w:rPr>
          <w:sz w:val="20"/>
          <w:szCs w:val="20"/>
          <w:color w:val="auto"/>
        </w:rPr>
      </w:pPr>
      <w:r>
        <w:rPr>
          <w:rFonts w:ascii="Arial" w:cs="Arial" w:eastAsia="Arial" w:hAnsi="Arial"/>
          <w:sz w:val="14"/>
          <w:szCs w:val="14"/>
          <w:color w:val="auto"/>
        </w:rPr>
        <w:t>VistaGen Therapeutics, Inc., a California corporation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3" w:lineRule="exact"/>
        <w:rPr>
          <w:sz w:val="20"/>
          <w:szCs w:val="20"/>
          <w:color w:val="auto"/>
        </w:rPr>
      </w:pPr>
    </w:p>
    <w:p>
      <w:pPr>
        <w:ind w:right="120" w:firstLine="511"/>
        <w:spacing w:after="0" w:line="370"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w:t>
      </w:r>
      <w:r>
        <w:rPr>
          <w:rFonts w:ascii="Arial" w:cs="Arial" w:eastAsia="Arial" w:hAnsi="Arial"/>
          <w:sz w:val="12"/>
          <w:szCs w:val="12"/>
          <w:i w:val="1"/>
          <w:iCs w:val="1"/>
          <w:color w:val="auto"/>
        </w:rPr>
        <w:t>Stock Consolidation</w:t>
      </w:r>
      <w:r>
        <w:rPr>
          <w:rFonts w:ascii="Arial" w:cs="Arial" w:eastAsia="Arial" w:hAnsi="Arial"/>
          <w:sz w:val="12"/>
          <w:szCs w:val="12"/>
          <w:color w:val="auto"/>
        </w:rPr>
        <w:t>). Each reference to shares of common stock or the price per share of common stock in these financial statements is post-Stock Consolidation, and reflects the 1-for-20 adjustment as a result of the Stock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 and Going Concern</w:t>
      </w:r>
    </w:p>
    <w:p>
      <w:pPr>
        <w:spacing w:after="0" w:line="205" w:lineRule="exact"/>
        <w:rPr>
          <w:sz w:val="20"/>
          <w:szCs w:val="20"/>
          <w:color w:val="auto"/>
        </w:rPr>
      </w:pPr>
    </w:p>
    <w:p>
      <w:pPr>
        <w:ind w:right="60" w:firstLine="511"/>
        <w:spacing w:after="0" w:line="283"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accounting principles generally accepted in the United States (</w:t>
      </w:r>
      <w:r>
        <w:rPr>
          <w:rFonts w:ascii="Arial" w:cs="Arial" w:eastAsia="Arial" w:hAnsi="Arial"/>
          <w:sz w:val="13"/>
          <w:szCs w:val="13"/>
          <w:i w:val="1"/>
          <w:iCs w:val="1"/>
          <w:color w:val="auto"/>
        </w:rPr>
        <w:t>U.S. GAAP</w:t>
      </w:r>
      <w:r>
        <w:rPr>
          <w:rFonts w:ascii="Arial" w:cs="Arial" w:eastAsia="Arial" w:hAnsi="Arial"/>
          <w:sz w:val="13"/>
          <w:szCs w:val="13"/>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nine months ended December 31, 2015 are not necessarily indicative of the operating results to be expected for our fiscal year ending March 31, 2016 or for any other interim period or any other future period.</w:t>
      </w:r>
    </w:p>
    <w:p>
      <w:pPr>
        <w:spacing w:after="0" w:line="135" w:lineRule="exact"/>
        <w:rPr>
          <w:sz w:val="20"/>
          <w:szCs w:val="20"/>
          <w:color w:val="auto"/>
        </w:rPr>
      </w:pPr>
    </w:p>
    <w:p>
      <w:pPr>
        <w:ind w:right="200" w:firstLine="511"/>
        <w:spacing w:after="0" w:line="268" w:lineRule="auto"/>
        <w:rPr>
          <w:sz w:val="20"/>
          <w:szCs w:val="20"/>
          <w:color w:val="auto"/>
        </w:rPr>
      </w:pPr>
      <w:r>
        <w:rPr>
          <w:rFonts w:ascii="Arial" w:cs="Arial" w:eastAsia="Arial" w:hAnsi="Arial"/>
          <w:sz w:val="14"/>
          <w:szCs w:val="14"/>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 on June 29, 2015.</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$123.2 million accumulated from inception in May 1998 through December 31, 2015. We expect losses and negative cash flows from operations to continue for the foreseeable future as we continue to develop AV-101 for Major Depressive Disorder and additional CNS indications, and engage in drug rescue, drug development and exploratory regenerative medicine programs.</w:t>
      </w:r>
    </w:p>
    <w:p>
      <w:pPr>
        <w:spacing w:after="0" w:line="146" w:lineRule="exact"/>
        <w:rPr>
          <w:sz w:val="20"/>
          <w:szCs w:val="20"/>
          <w:color w:val="auto"/>
        </w:rPr>
      </w:pPr>
    </w:p>
    <w:p>
      <w:pPr>
        <w:ind w:right="100" w:firstLine="511"/>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$33.8 million; (2) issuance of common stock and preferred stock with an approximate value at issuance of $28.9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4" w:name="page195"/>
    <w:bookmarkEnd w:id="19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00" w:firstLine="511"/>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in May 2015, we created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Between March 31, 2015 and December 31,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Platinum Long Term Growth VII, LLC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(ii) all 2014 Unit Notes outstanding at March 31, 2015 and those issued subsequently, and (iii) certain other outstanding promissory notes,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Additionally, through December 31, 2015, we issued in self-placed private placement transactions with Platinum and other accredited investors, Series B Preferred Units consisting of an aggregate of 628,264 unregistered shares of Series B Preferred and five-year warrants to purchase 628,264 shares of our common stock, and we received cash proceeds of $4,397,800 therefrom. See Note 10, </w:t>
      </w:r>
      <w:r>
        <w:rPr>
          <w:rFonts w:ascii="Arial" w:cs="Arial" w:eastAsia="Arial" w:hAnsi="Arial"/>
          <w:sz w:val="13"/>
          <w:szCs w:val="13"/>
          <w:i w:val="1"/>
          <w:iCs w:val="1"/>
          <w:color w:val="auto"/>
        </w:rPr>
        <w:t>Subsequent</w:t>
      </w:r>
      <w:r>
        <w:rPr>
          <w:rFonts w:ascii="Arial" w:cs="Arial" w:eastAsia="Arial" w:hAnsi="Arial"/>
          <w:sz w:val="13"/>
          <w:szCs w:val="13"/>
          <w:color w:val="auto"/>
        </w:rPr>
        <w:t xml:space="preserve"> </w:t>
      </w:r>
      <w:r>
        <w:rPr>
          <w:rFonts w:ascii="Arial" w:cs="Arial" w:eastAsia="Arial" w:hAnsi="Arial"/>
          <w:sz w:val="13"/>
          <w:szCs w:val="13"/>
          <w:i w:val="1"/>
          <w:iCs w:val="1"/>
          <w:color w:val="auto"/>
        </w:rPr>
        <w:t>Events</w:t>
      </w:r>
      <w:r>
        <w:rPr>
          <w:rFonts w:ascii="Arial" w:cs="Arial" w:eastAsia="Arial" w:hAnsi="Arial"/>
          <w:sz w:val="13"/>
          <w:szCs w:val="13"/>
          <w:color w:val="auto"/>
        </w:rPr>
        <w:t>, regarding disclosure of additional self-placed private placement sales of Series B Preferred Units after December 31, 2015.</w:t>
      </w:r>
    </w:p>
    <w:p>
      <w:pPr>
        <w:spacing w:after="0" w:line="140" w:lineRule="exact"/>
        <w:rPr>
          <w:sz w:val="20"/>
          <w:szCs w:val="20"/>
          <w:color w:val="auto"/>
        </w:rPr>
      </w:pPr>
    </w:p>
    <w:p>
      <w:pPr>
        <w:ind w:right="20" w:firstLine="511"/>
        <w:spacing w:after="0" w:line="277"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from January 1, 2016 through February 12, 2016, we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U.S. National Institute of Mental Health (</w:t>
      </w:r>
      <w:r>
        <w:rPr>
          <w:rFonts w:ascii="Arial" w:cs="Arial" w:eastAsia="Arial" w:hAnsi="Arial"/>
          <w:sz w:val="13"/>
          <w:szCs w:val="13"/>
          <w:i w:val="1"/>
          <w:iCs w:val="1"/>
          <w:color w:val="auto"/>
        </w:rPr>
        <w:t>NIMH</w:t>
      </w:r>
      <w:r>
        <w:rPr>
          <w:rFonts w:ascii="Arial" w:cs="Arial" w:eastAsia="Arial" w:hAnsi="Arial"/>
          <w:sz w:val="13"/>
          <w:szCs w:val="13"/>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38" w:lineRule="exact"/>
        <w:rPr>
          <w:sz w:val="20"/>
          <w:szCs w:val="20"/>
          <w:color w:val="auto"/>
        </w:rPr>
      </w:pPr>
    </w:p>
    <w:p>
      <w:pPr>
        <w:ind w:right="100" w:firstLine="511"/>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including those relating to AV-101, and we may not be able to continue as a going concern. The accompanying Condensed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5"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5" w:name="page196"/>
    <w:bookmarkEnd w:id="19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205" w:lineRule="exact"/>
        <w:rPr>
          <w:sz w:val="20"/>
          <w:szCs w:val="20"/>
          <w:color w:val="auto"/>
        </w:rPr>
      </w:pPr>
    </w:p>
    <w:p>
      <w:pPr>
        <w:ind w:right="120" w:firstLine="511"/>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5" w:lineRule="exact"/>
        <w:rPr>
          <w:sz w:val="20"/>
          <w:szCs w:val="20"/>
          <w:color w:val="auto"/>
        </w:rPr>
      </w:pPr>
    </w:p>
    <w:p>
      <w:pPr>
        <w:ind w:right="220" w:firstLine="511"/>
        <w:spacing w:after="0" w:line="263" w:lineRule="auto"/>
        <w:rPr>
          <w:sz w:val="20"/>
          <w:szCs w:val="20"/>
          <w:color w:val="auto"/>
        </w:rPr>
      </w:pPr>
      <w:r>
        <w:rPr>
          <w:rFonts w:ascii="Arial" w:cs="Arial" w:eastAsia="Arial" w:hAnsi="Arial"/>
          <w:sz w:val="14"/>
          <w:szCs w:val="14"/>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The table below summarizes stock-based compensation expense included in the accompanying Condensed Consolidated Statements of Operations and Comprehensive Loss for the three and nine months ended December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3"/>
          </w:tcPr>
          <w:p>
            <w:pPr>
              <w:jc w:val="center"/>
              <w:ind w:left="609"/>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13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1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w w:val="83"/>
              </w:rPr>
              <w:t>2015</w:t>
            </w:r>
          </w:p>
        </w:tc>
        <w:tc>
          <w:tcPr>
            <w:tcW w:w="1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30,000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118,700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156,100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400"/>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36,300</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8,500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108,900</w:t>
            </w: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officer 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2015</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852,200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r>
      <w:tr>
        <w:trPr>
          <w:trHeight w:val="22"/>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72"/>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74,100</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66,300</w:t>
            </w:r>
          </w:p>
        </w:tc>
        <w:tc>
          <w:tcPr>
            <w:tcW w:w="640" w:type="dxa"/>
            <w:vAlign w:val="bottom"/>
          </w:tcPr>
          <w:p>
            <w:pPr>
              <w:spacing w:after="0"/>
              <w:rPr>
                <w:sz w:val="14"/>
                <w:szCs w:val="14"/>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979,400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265,000</w:t>
            </w:r>
          </w:p>
        </w:tc>
      </w:tr>
      <w:tr>
        <w:trPr>
          <w:trHeight w:val="170"/>
        </w:trPr>
        <w:tc>
          <w:tcPr>
            <w:tcW w:w="138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18,600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36,500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86,700</w:t>
            </w:r>
          </w:p>
        </w:tc>
      </w:t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officers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directors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2014</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2013</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70,700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212,300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officers,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directors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consultants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240"/>
              <w:spacing w:after="0"/>
              <w:rPr>
                <w:sz w:val="20"/>
                <w:szCs w:val="20"/>
                <w:color w:val="auto"/>
              </w:rPr>
            </w:pPr>
            <w:r>
              <w:rPr>
                <w:rFonts w:ascii="Arial" w:cs="Arial" w:eastAsia="Arial" w:hAnsi="Arial"/>
                <w:sz w:val="14"/>
                <w:szCs w:val="14"/>
                <w:color w:val="auto"/>
              </w:rPr>
              <w:t>2015</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2,840,700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r>
      <w:tr>
        <w:trPr>
          <w:trHeight w:val="22"/>
        </w:trPr>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2"/>
        </w:trPr>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89,300</w:t>
            </w:r>
          </w:p>
        </w:tc>
        <w:tc>
          <w:tcPr>
            <w:tcW w:w="64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2,888,900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299,000</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4"/>
                <w:szCs w:val="14"/>
                <w:color w:val="auto"/>
              </w:rPr>
              <w:t>Total stock-</w:t>
            </w: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based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compensation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98,400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155,600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3,868,300</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564,000</w:t>
            </w: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40"/>
          </w:cols>
          <w:pgMar w:left="220" w:top="133" w:right="139" w:bottom="1440" w:gutter="0" w:footer="0" w:header="0"/>
        </w:sectPr>
      </w:pP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540"/>
          </w:cols>
          <w:pgMar w:left="220" w:top="133" w:right="139" w:bottom="1440" w:gutter="0" w:footer="0" w:header="0"/>
          <w:type w:val="continuous"/>
        </w:sectPr>
      </w:pPr>
    </w:p>
    <w:bookmarkStart w:id="196" w:name="page197"/>
    <w:bookmarkEnd w:id="19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85" w:lineRule="auto"/>
        <w:rPr>
          <w:sz w:val="20"/>
          <w:szCs w:val="20"/>
          <w:color w:val="auto"/>
        </w:rPr>
      </w:pPr>
      <w:r>
        <w:rPr>
          <w:rFonts w:ascii="Arial" w:cs="Arial" w:eastAsia="Arial" w:hAnsi="Arial"/>
          <w:sz w:val="13"/>
          <w:szCs w:val="13"/>
          <w:color w:val="auto"/>
        </w:rPr>
        <w:t>During September 2015, we granted options to purchase an aggregate of 90,000 shares of our common stock at an exercise price of $9.25 per share to our non-officer employees and certain strategic consultants. We did not grant stock options to any of our employees or strategic consultants during the nine months ended December 31, 2014. At December 31,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strategic consultants. We valued the warrants and options granted in September 2015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Employee Options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5"/>
              </w:rPr>
              <w:t>Non-employee Options</w:t>
            </w:r>
          </w:p>
        </w:tc>
        <w:tc>
          <w:tcPr>
            <w:tcW w:w="180" w:type="dxa"/>
            <w:vAlign w:val="bottom"/>
          </w:tcPr>
          <w:p>
            <w:pPr>
              <w:spacing w:after="0"/>
              <w:rPr>
                <w:sz w:val="16"/>
                <w:szCs w:val="16"/>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grant date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9.11</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9.25</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9.25</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9.25</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Contractual or estimated term in years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4"/>
                <w:szCs w:val="14"/>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4"/>
                <w:szCs w:val="14"/>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77.19%</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103.42%</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Dividend 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w:t>
            </w:r>
          </w:p>
        </w:tc>
      </w:tr>
      <w:tr>
        <w:trPr>
          <w:trHeight w:val="170"/>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5.68</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6.35</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8.27</w:t>
            </w:r>
          </w:p>
        </w:tc>
      </w:tr>
      <w:tr>
        <w:trPr>
          <w:trHeight w:val="361"/>
        </w:trPr>
        <w:tc>
          <w:tcPr>
            <w:tcW w:w="5120" w:type="dxa"/>
            <w:vAlign w:val="bottom"/>
          </w:tcPr>
          <w:p>
            <w:pPr>
              <w:spacing w:after="0"/>
              <w:rPr>
                <w:sz w:val="20"/>
                <w:szCs w:val="20"/>
                <w:color w:val="auto"/>
              </w:rPr>
            </w:pPr>
            <w:r>
              <w:rPr>
                <w:rFonts w:ascii="Arial" w:cs="Arial" w:eastAsia="Arial" w:hAnsi="Arial"/>
                <w:sz w:val="14"/>
                <w:szCs w:val="14"/>
                <w:b w:val="1"/>
                <w:bCs w:val="1"/>
                <w:color w:val="auto"/>
              </w:rPr>
              <w:t>Warrant Liability</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82" w:lineRule="exact"/>
        <w:rPr>
          <w:sz w:val="20"/>
          <w:szCs w:val="20"/>
          <w:color w:val="auto"/>
        </w:rPr>
      </w:pPr>
    </w:p>
    <w:p>
      <w:pPr>
        <w:ind w:firstLine="511"/>
        <w:spacing w:after="0" w:line="279" w:lineRule="auto"/>
        <w:rPr>
          <w:sz w:val="20"/>
          <w:szCs w:val="20"/>
          <w:color w:val="auto"/>
        </w:rPr>
      </w:pPr>
      <w:r>
        <w:rPr>
          <w:rFonts w:ascii="Arial" w:cs="Arial" w:eastAsia="Arial" w:hAnsi="Arial"/>
          <w:sz w:val="13"/>
          <w:szCs w:val="13"/>
          <w:color w:val="auto"/>
        </w:rPr>
        <w:t xml:space="preserve">Between October 2012 and July 2013, we issued to Platinum warrants to purchase an aggregate of 176,129 unregistered shares of our common stock and, subject to Platinum’s exercise of its rights to exchange shares of our Series A Preferred Stock that it holds, we are obligated to issue to Platinum an additional warrant to purchase 375,000 unregistered shares of common stock (the </w:t>
      </w:r>
      <w:r>
        <w:rPr>
          <w:rFonts w:ascii="Arial" w:cs="Arial" w:eastAsia="Arial" w:hAnsi="Arial"/>
          <w:sz w:val="13"/>
          <w:szCs w:val="13"/>
          <w:i w:val="1"/>
          <w:iCs w:val="1"/>
          <w:color w:val="auto"/>
        </w:rPr>
        <w:t>Series A</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 Exchange Warrant</w:t>
      </w:r>
      <w:r>
        <w:rPr>
          <w:rFonts w:ascii="Arial" w:cs="Arial" w:eastAsia="Arial" w:hAnsi="Arial"/>
          <w:sz w:val="13"/>
          <w:szCs w:val="13"/>
          <w:color w:val="auto"/>
        </w:rPr>
        <w:t>) (collectively, the</w:t>
      </w:r>
      <w:r>
        <w:rPr>
          <w:rFonts w:ascii="Arial" w:cs="Arial" w:eastAsia="Arial" w:hAnsi="Arial"/>
          <w:sz w:val="13"/>
          <w:szCs w:val="13"/>
          <w:i w:val="1"/>
          <w:iCs w:val="1"/>
          <w:color w:val="auto"/>
        </w:rPr>
        <w:t xml:space="preserve"> Platinum Warrants</w:t>
      </w:r>
      <w:r>
        <w:rPr>
          <w:rFonts w:ascii="Arial" w:cs="Arial" w:eastAsia="Arial" w:hAnsi="Arial"/>
          <w:sz w:val="13"/>
          <w:szCs w:val="13"/>
          <w:color w:val="auto"/>
        </w:rPr>
        <w:t>). As originally issued, the Platinum Warrants contained an exercise price adjustment feature that would reduce the exercise price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Platinum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40"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 xml:space="preserve">As described more completely in Note 8, </w:t>
      </w:r>
      <w:r>
        <w:rPr>
          <w:rFonts w:ascii="Arial" w:cs="Arial" w:eastAsia="Arial" w:hAnsi="Arial"/>
          <w:sz w:val="14"/>
          <w:szCs w:val="14"/>
          <w:i w:val="1"/>
          <w:iCs w:val="1"/>
          <w:color w:val="auto"/>
        </w:rPr>
        <w:t>Capital Stock</w:t>
      </w:r>
      <w:r>
        <w:rPr>
          <w:rFonts w:ascii="Arial" w:cs="Arial" w:eastAsia="Arial" w:hAnsi="Arial"/>
          <w:sz w:val="14"/>
          <w:szCs w:val="14"/>
          <w:color w:val="auto"/>
        </w:rPr>
        <w:t>, on May 12, 2015, we entered into an agreement with Platinum pursuant to which Platinum agreed, among other things, to amend the Platinum Warrants to (i) fix the exercise price thereof, (ii) eliminate the exercise price reset and cashless exercise features (iii) fix the number of shares of our common stock issuable thereunder and (iv) eliminate the cashless exercise provisions from the Platinum Warrants. This agreement and the related modifications to the Platinum Warrants resulted in the complete elimination of the warrant liability with respect to the Platinum Warrants during our fiscal quarter ended June 30, 2015.</w:t>
      </w:r>
    </w:p>
    <w:p>
      <w:pPr>
        <w:spacing w:after="0" w:line="167" w:lineRule="exact"/>
        <w:rPr>
          <w:sz w:val="20"/>
          <w:szCs w:val="20"/>
          <w:color w:val="auto"/>
        </w:rPr>
      </w:pPr>
    </w:p>
    <w:p>
      <w:pPr>
        <w:jc w:val="both"/>
        <w:ind w:right="120" w:firstLine="511"/>
        <w:spacing w:after="0" w:line="268" w:lineRule="auto"/>
        <w:rPr>
          <w:sz w:val="20"/>
          <w:szCs w:val="20"/>
          <w:color w:val="auto"/>
        </w:rPr>
      </w:pPr>
      <w:r>
        <w:rPr>
          <w:rFonts w:ascii="Arial" w:cs="Arial" w:eastAsia="Arial" w:hAnsi="Arial"/>
          <w:sz w:val="14"/>
          <w:szCs w:val="14"/>
          <w:color w:val="auto"/>
        </w:rPr>
        <w:t xml:space="preserve">As described more completely in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in January 2016, we entered into an Exchange Agreement with Platinum pursuant to which Platinum exchanged all outstanding Platinum Warrants, plus the shares issuable pursuant to the Series A Preferred Exchange Warrant for unregistered shares of our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in the ratio of 0.75 share of Series C Preferred for each warrant share cancelled.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7" w:name="page198"/>
    <w:bookmarkEnd w:id="19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Loss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per Common Share</w:t>
      </w:r>
    </w:p>
    <w:p>
      <w:pPr>
        <w:spacing w:after="0" w:line="20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in both the three and nine month periods ended December 31, 2014, but in no other periods included in these Condensed Consolidated Financial Statements, as indicated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color w:val="auto"/>
                <w:w w:val="94"/>
              </w:rPr>
              <w:t>Three Months Ended December 31,</w:t>
            </w:r>
          </w:p>
        </w:tc>
        <w:tc>
          <w:tcPr>
            <w:tcW w:w="16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6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Numerator: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w w:val="97"/>
              </w:rPr>
              <w:t>less: change in fair value of warrant liability attributable to outstanding warrants issued to Platinum</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(314,900)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(251,500)</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(1,405,200)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(7,916,000)</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Weighted average basic common shares outstanding</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Assumed conversion of dilutive securities: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Warrants to purchase common stock</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Potentially dilutive common shares assumed converted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1,288,674</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632"/>
        </w:trPr>
        <w:tc>
          <w:tcPr>
            <w:tcW w:w="6080" w:type="dxa"/>
            <w:vAlign w:val="bottom"/>
            <w:tcBorders>
              <w:top w:val="single" w:sz="8" w:color="CCEEFF"/>
            </w:tcBorders>
          </w:tcPr>
          <w:p>
            <w:pPr>
              <w:ind w:left="5600"/>
              <w:spacing w:after="0"/>
              <w:rPr>
                <w:sz w:val="20"/>
                <w:szCs w:val="20"/>
                <w:color w:val="auto"/>
              </w:rPr>
            </w:pPr>
            <w:r>
              <w:rPr>
                <w:rFonts w:ascii="Arial" w:cs="Arial" w:eastAsia="Arial" w:hAnsi="Arial"/>
                <w:sz w:val="14"/>
                <w:szCs w:val="14"/>
                <w:color w:val="auto"/>
              </w:rPr>
              <w:t>F-58</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60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8" w:name="page199"/>
    <w:bookmarkEnd w:id="19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As a result of our net loss for the periods presented, potentially dilutive securities were excluded from the computation, as their effect would be antidilutive. For the three month and nine month periods ended December 31,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ind w:left="520"/>
              <w:spacing w:after="0"/>
              <w:rPr>
                <w:sz w:val="20"/>
                <w:szCs w:val="20"/>
                <w:color w:val="auto"/>
              </w:rPr>
            </w:pPr>
            <w:r>
              <w:rPr>
                <w:rFonts w:ascii="Arial" w:cs="Arial" w:eastAsia="Arial" w:hAnsi="Arial"/>
                <w:sz w:val="14"/>
                <w:szCs w:val="14"/>
                <w:color w:val="auto"/>
              </w:rPr>
              <w:t>Potentially dilutive securities excluded in determining diluted net loss per common share are as follows: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December 31,</w:t>
            </w:r>
          </w:p>
        </w:tc>
      </w:tr>
      <w:tr>
        <w:trPr>
          <w:trHeight w:val="172"/>
        </w:trPr>
        <w:tc>
          <w:tcPr>
            <w:tcW w:w="88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B Preferred stock issued and outstanding </w:t>
            </w:r>
            <w:r>
              <w:rPr>
                <w:rFonts w:ascii="Arial" w:cs="Arial" w:eastAsia="Arial" w:hAnsi="Arial"/>
                <w:sz w:val="19"/>
                <w:szCs w:val="1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3,588,863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4"/>
              </w:rPr>
              <w:t>Warrant shares issuable to Platinum upon exercise of common stock warrants by Platinum upon exchange of Series A Preferred under the terms of the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11, 2012 Note Exchange and Purchase Agreement, as subsequently amended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207,768</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4,971,497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999,840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w w:val="93"/>
              </w:rPr>
              <w:t>10% Senior Secured Convertible Notes issued to Platinum between October 2012 and July 2013,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433,311</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notes issued as a component of Unit Private Placements,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322,091</w:t>
            </w:r>
          </w:p>
        </w:tc>
      </w:tr>
      <w:tr>
        <w:trPr>
          <w:trHeight w:val="170"/>
        </w:trPr>
        <w:tc>
          <w:tcPr>
            <w:tcW w:w="88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10,142,813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3,088,010</w:t>
            </w:r>
          </w:p>
        </w:tc>
      </w:tr>
      <w:tr>
        <w:trPr>
          <w:trHeight w:val="150"/>
        </w:trPr>
        <w:tc>
          <w:tcPr>
            <w:tcW w:w="884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93"/>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 as amended</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3"/>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Certificate of Designation of the Relative Rights and Preferences of the Series B 10% Convertible Preferred Stock, effective May 5, 2015</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5" w:lineRule="exact"/>
        <w:rPr>
          <w:sz w:val="20"/>
          <w:szCs w:val="20"/>
          <w:color w:val="auto"/>
        </w:rPr>
      </w:pPr>
    </w:p>
    <w:p>
      <w:pPr>
        <w:ind w:right="340" w:firstLine="511"/>
        <w:spacing w:after="0" w:line="323" w:lineRule="auto"/>
        <w:rPr>
          <w:sz w:val="20"/>
          <w:szCs w:val="20"/>
          <w:color w:val="auto"/>
        </w:rPr>
      </w:pPr>
      <w:r>
        <w:rPr>
          <w:rFonts w:ascii="Arial" w:cs="Arial" w:eastAsia="Arial" w:hAnsi="Arial"/>
          <w:sz w:val="13"/>
          <w:szCs w:val="13"/>
          <w:color w:val="auto"/>
        </w:rPr>
        <w:t>There have been no recent accounting pronouncements or changes in accounting pronouncements during the nine months ended December 31, 2015, as compared to the recent accounting pronouncements described in the Company’s Form 10-K for the fiscal year ended March 31, 2015, that are of significance or potential significance to the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9" w:name="page200"/>
    <w:bookmarkEnd w:id="19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205"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03" w:lineRule="exact"/>
        <w:rPr>
          <w:sz w:val="20"/>
          <w:szCs w:val="20"/>
          <w:color w:val="auto"/>
        </w:rPr>
      </w:pPr>
    </w:p>
    <w:p>
      <w:pPr>
        <w:ind w:left="980" w:hanging="410"/>
        <w:spacing w:after="0"/>
        <w:tabs>
          <w:tab w:leader="none" w:pos="980" w:val="left"/>
        </w:tabs>
        <w:numPr>
          <w:ilvl w:val="0"/>
          <w:numId w:val="94"/>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for identical assets or liabilities.</w:t>
      </w:r>
    </w:p>
    <w:p>
      <w:pPr>
        <w:spacing w:after="0" w:line="181" w:lineRule="exact"/>
        <w:rPr>
          <w:rFonts w:ascii="Arial" w:cs="Arial" w:eastAsia="Arial" w:hAnsi="Arial"/>
          <w:sz w:val="20"/>
          <w:szCs w:val="20"/>
          <w:color w:val="auto"/>
          <w:vertAlign w:val="superscript"/>
        </w:rPr>
      </w:pPr>
    </w:p>
    <w:p>
      <w:pPr>
        <w:ind w:left="980" w:right="40" w:hanging="410"/>
        <w:spacing w:after="0" w:line="215" w:lineRule="auto"/>
        <w:tabs>
          <w:tab w:leader="none" w:pos="980" w:val="left"/>
        </w:tabs>
        <w:numPr>
          <w:ilvl w:val="0"/>
          <w:numId w:val="94"/>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inputs that are observable or can be corroborated by observable market data for substantially the full term of the assets or liabilities.</w:t>
      </w:r>
    </w:p>
    <w:p>
      <w:pPr>
        <w:spacing w:after="0" w:line="182" w:lineRule="exact"/>
        <w:rPr>
          <w:rFonts w:ascii="Arial" w:cs="Arial" w:eastAsia="Arial" w:hAnsi="Arial"/>
          <w:sz w:val="20"/>
          <w:szCs w:val="20"/>
          <w:color w:val="auto"/>
          <w:vertAlign w:val="superscript"/>
        </w:rPr>
      </w:pPr>
    </w:p>
    <w:p>
      <w:pPr>
        <w:ind w:left="980" w:right="140" w:hanging="410"/>
        <w:spacing w:after="0" w:line="215" w:lineRule="auto"/>
        <w:tabs>
          <w:tab w:leader="none" w:pos="980" w:val="left"/>
        </w:tabs>
        <w:numPr>
          <w:ilvl w:val="0"/>
          <w:numId w:val="94"/>
        </w:numPr>
        <w:rPr>
          <w:rFonts w:ascii="Arial" w:cs="Arial" w:eastAsia="Arial" w:hAnsi="Arial"/>
          <w:sz w:val="20"/>
          <w:szCs w:val="20"/>
          <w:color w:val="auto"/>
          <w:vertAlign w:val="superscript"/>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an asset or liability) are used when little or no market data is available.</w:t>
      </w:r>
    </w:p>
    <w:p>
      <w:pPr>
        <w:spacing w:after="0" w:line="182" w:lineRule="exact"/>
        <w:rPr>
          <w:sz w:val="20"/>
          <w:szCs w:val="20"/>
          <w:color w:val="auto"/>
        </w:rPr>
      </w:pPr>
    </w:p>
    <w:p>
      <w:pPr>
        <w:ind w:right="60" w:firstLine="511"/>
        <w:spacing w:after="0" w:line="278" w:lineRule="auto"/>
        <w:rPr>
          <w:sz w:val="20"/>
          <w:szCs w:val="20"/>
          <w:color w:val="auto"/>
        </w:rPr>
      </w:pPr>
      <w:r>
        <w:rPr>
          <w:rFonts w:ascii="Arial" w:cs="Arial" w:eastAsia="Arial" w:hAnsi="Arial"/>
          <w:sz w:val="13"/>
          <w:szCs w:val="13"/>
          <w:color w:val="auto"/>
        </w:rPr>
        <w:t xml:space="preserve">We do not use derivative instruments for hedging of market risks or for trading or speculative purposes. In conjunction with the issuance to Platinum of the Senior Secured Convertible Promissory Notes and Platinum Warrants between October 2012 and July 2013, and the potential issuance of the Series A Preferred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Preferred Exchange Warrant, the probability of Platinum’s exchange of the shares of Series A preferred stock it holds into shares of common stock. 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hierarchy for the warrant liability which had been measured at fair value on a recurring basis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Quoted Prices</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inActive Markets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for Identical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December 31, 2015:</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w w:val="73"/>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3"/>
        </w:trPr>
        <w:tc>
          <w:tcPr>
            <w:tcW w:w="60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2015:</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nine month period ended December 31, 2015, there was no significant change to the valuation models used for purposes of determining the fair value of the Level 3 warrant liability.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49"/>
        </w:trPr>
        <w:tc>
          <w:tcPr>
            <w:tcW w:w="6620" w:type="dxa"/>
            <w:vAlign w:val="bottom"/>
            <w:gridSpan w:val="3"/>
          </w:tcPr>
          <w:p>
            <w:pPr>
              <w:spacing w:after="0"/>
              <w:rPr>
                <w:rFonts w:ascii="Arial" w:cs="Arial" w:eastAsia="Arial" w:hAnsi="Arial"/>
                <w:sz w:val="13"/>
                <w:szCs w:val="13"/>
                <w:i w:val="1"/>
                <w:iCs w:val="1"/>
                <w:color w:val="0000EE"/>
              </w:rPr>
            </w:pPr>
            <w:hyperlink w:anchor="page2">
              <w:r>
                <w:rPr>
                  <w:rFonts w:ascii="Arial" w:cs="Arial" w:eastAsia="Arial" w:hAnsi="Arial"/>
                  <w:sz w:val="13"/>
                  <w:szCs w:val="13"/>
                  <w:i w:val="1"/>
                  <w:iCs w:val="1"/>
                  <w:color w:val="0000EE"/>
                </w:rPr>
                <w:t>Table of Contents</w:t>
              </w:r>
            </w:hyperlink>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Using Significant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Unobservable Inputs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Warrant Liability</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ind w:left="160"/>
              <w:spacing w:after="0"/>
              <w:rPr>
                <w:sz w:val="20"/>
                <w:szCs w:val="20"/>
                <w:color w:val="auto"/>
              </w:rPr>
            </w:pPr>
            <w:r>
              <w:rPr>
                <w:rFonts w:ascii="Arial" w:cs="Arial" w:eastAsia="Arial" w:hAnsi="Arial"/>
                <w:sz w:val="14"/>
                <w:szCs w:val="14"/>
                <w:color w:val="auto"/>
              </w:rPr>
              <w:t>Mark to market loss included in net loss</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1,894,700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Elimination of liability upon modification of warrants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(4,903,200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Balance at December 31, 2015</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We carried no assets or other liabilities at fair value at December 31, 2015 or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Note 5. Prepaid Expenses and Other Current Assets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620" w:type="dxa"/>
            <w:vAlign w:val="bottom"/>
            <w:gridSpan w:val="4"/>
          </w:tcPr>
          <w:p>
            <w:pPr>
              <w:ind w:left="520"/>
              <w:spacing w:after="0"/>
              <w:rPr>
                <w:sz w:val="20"/>
                <w:szCs w:val="20"/>
                <w:color w:val="auto"/>
              </w:rPr>
            </w:pPr>
            <w:r>
              <w:rPr>
                <w:rFonts w:ascii="Arial" w:cs="Arial" w:eastAsia="Arial" w:hAnsi="Arial"/>
                <w:sz w:val="14"/>
                <w:szCs w:val="14"/>
                <w:color w:val="auto"/>
                <w:w w:val="96"/>
              </w:rPr>
              <w:t>Prepaid expenses and other current assets are composed of the following at December 31, 2015 and March 31, 2015: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ind w:left="4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Insurance</w:t>
            </w:r>
          </w:p>
        </w:tc>
        <w:tc>
          <w:tcPr>
            <w:tcW w:w="10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51,600</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27,300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Prepaid compensation under financial advisory and other consulting agreements</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675,000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Legal fees</w:t>
            </w:r>
          </w:p>
        </w:tc>
        <w:tc>
          <w:tcPr>
            <w:tcW w:w="10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gridSpan w:val="3"/>
          </w:tcPr>
          <w:p>
            <w:pPr>
              <w:spacing w:after="0"/>
              <w:rPr>
                <w:sz w:val="20"/>
                <w:szCs w:val="20"/>
                <w:color w:val="auto"/>
              </w:rPr>
            </w:pPr>
            <w:r>
              <w:rPr>
                <w:rFonts w:ascii="Arial" w:cs="Arial" w:eastAsia="Arial" w:hAnsi="Arial"/>
                <w:sz w:val="14"/>
                <w:szCs w:val="14"/>
                <w:color w:val="auto"/>
              </w:rPr>
              <w:t>Technology license fees and all other</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5,000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728,300</w:t>
            </w:r>
          </w:p>
        </w:tc>
        <w:tc>
          <w:tcPr>
            <w:tcW w:w="740" w:type="dxa"/>
            <w:vAlign w:val="bottom"/>
            <w:gridSpan w:val="3"/>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35,700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6. Accrued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Accrued expenses are composed of the following at December 31, 2015 and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right="1140"/>
              <w:spacing w:after="0"/>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367,000</w:t>
            </w: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Accrued compensation</w:t>
            </w:r>
          </w:p>
        </w:tc>
        <w:tc>
          <w:tcPr>
            <w:tcW w:w="10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561,100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other</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56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929,100</w:t>
            </w:r>
          </w:p>
        </w:tc>
        <w:tc>
          <w:tcPr>
            <w:tcW w:w="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90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tcPr>
          <w:p>
            <w:pPr>
              <w:ind w:left="4700"/>
              <w:spacing w:after="0"/>
              <w:rPr>
                <w:sz w:val="20"/>
                <w:szCs w:val="20"/>
                <w:color w:val="auto"/>
              </w:rPr>
            </w:pPr>
            <w:r>
              <w:rPr>
                <w:rFonts w:ascii="Arial" w:cs="Arial" w:eastAsia="Arial" w:hAnsi="Arial"/>
                <w:sz w:val="14"/>
                <w:szCs w:val="14"/>
                <w:color w:val="auto"/>
              </w:rPr>
              <w:t>F-61</w:t>
            </w: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56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01" w:name="page202"/>
    <w:bookmarkEnd w:id="201"/>
    <w:p>
      <w:pPr>
        <w:spacing w:after="0" w:line="51" w:lineRule="exact"/>
        <w:rPr>
          <w:sz w:val="20"/>
          <w:szCs w:val="20"/>
          <w:color w:val="auto"/>
        </w:rPr>
      </w:pPr>
    </w:p>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Convertible Promissory Notes and Other Notes Payable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secured and unsecured convertible promissory notes and other notes payable at December 31, 2015 and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4"/>
                <w:szCs w:val="14"/>
                <w:b w:val="1"/>
                <w:bCs w:val="1"/>
                <w:i w:val="1"/>
                <w:iCs w:val="1"/>
                <w:color w:val="auto"/>
                <w:w w:val="97"/>
              </w:rPr>
              <w:t>Senior Secured 10% Convertible Promissory Notes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issued to Platinum:</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Total Senior notes issued between October 11, 2012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July 23, 2013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4,442,300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(873,500)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(4,146,100)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notes - non-current portion</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46,200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296,200</w:t>
            </w:r>
          </w:p>
        </w:tc>
      </w:tr>
      <w:tr>
        <w:trPr>
          <w:trHeight w:val="153"/>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10% Convertible Promissory Notes (Unit Notes)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2014 Unit Notes, including amended notes, due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jc w:val="right"/>
              <w:ind w:right="2509"/>
              <w:spacing w:after="0"/>
              <w:rPr>
                <w:sz w:val="20"/>
                <w:szCs w:val="20"/>
                <w:color w:val="auto"/>
              </w:rPr>
            </w:pPr>
            <w:r>
              <w:rPr>
                <w:rFonts w:ascii="Arial" w:cs="Arial" w:eastAsia="Arial" w:hAnsi="Arial"/>
                <w:sz w:val="14"/>
                <w:szCs w:val="14"/>
                <w:color w:val="auto"/>
              </w:rPr>
              <w:t>3/31/15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4,066,900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4,337,600</w:t>
            </w:r>
          </w:p>
        </w:tc>
      </w:tr>
      <w:tr>
        <w:trPr>
          <w:trHeight w:val="172"/>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Note discounts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(180,000)</w:t>
            </w:r>
          </w:p>
        </w:tc>
      </w:tr>
      <w:tr>
        <w:trPr>
          <w:trHeight w:val="160"/>
        </w:trPr>
        <w:tc>
          <w:tcPr>
            <w:tcW w:w="3340" w:type="dxa"/>
            <w:vAlign w:val="bottom"/>
            <w:tcBorders>
              <w:top w:val="single" w:sz="8" w:color="CCEEFF"/>
            </w:tcBorders>
          </w:tcPr>
          <w:p>
            <w:pPr>
              <w:ind w:left="320"/>
              <w:spacing w:after="0" w:line="160" w:lineRule="exact"/>
              <w:rPr>
                <w:sz w:val="20"/>
                <w:szCs w:val="20"/>
                <w:color w:val="auto"/>
              </w:rPr>
            </w:pPr>
            <w:r>
              <w:rPr>
                <w:rFonts w:ascii="Arial" w:cs="Arial" w:eastAsia="Arial" w:hAnsi="Arial"/>
                <w:sz w:val="14"/>
                <w:szCs w:val="14"/>
                <w:color w:val="auto"/>
              </w:rPr>
              <w:t>Net convertible notes (all current at March 31,</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1"/>
        </w:trPr>
        <w:tc>
          <w:tcPr>
            <w:tcW w:w="3340" w:type="dxa"/>
            <w:vAlign w:val="bottom"/>
          </w:tcPr>
          <w:p>
            <w:pPr>
              <w:jc w:val="right"/>
              <w:ind w:right="2469"/>
              <w:spacing w:after="0"/>
              <w:rPr>
                <w:sz w:val="20"/>
                <w:szCs w:val="20"/>
                <w:color w:val="auto"/>
              </w:rPr>
            </w:pPr>
            <w:r>
              <w:rPr>
                <w:rFonts w:ascii="Arial" w:cs="Arial" w:eastAsia="Arial" w:hAnsi="Arial"/>
                <w:sz w:val="14"/>
                <w:szCs w:val="14"/>
                <w:color w:val="auto"/>
              </w:rPr>
              <w:t>2015)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3,886,900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4,157,600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5"/>
              </w:rPr>
              <w:t>7.5% Notes payable to service providers for accounts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converted to notes payable: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Burr, Pilger, Mayer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90,400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13,100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Desjardins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McCarthy Tetrault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319,700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August 2012 Morrison &amp; Foerster Note A</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1,111,400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August 2012 Morrison &amp; Foerster Note B</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1,712,500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University Health Network</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651,300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3,413,500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4,124,800</w:t>
            </w:r>
          </w:p>
        </w:tc>
      </w:tr>
      <w:tr>
        <w:trPr>
          <w:trHeight w:val="17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discount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(474,500)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2,939,000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3,650,300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(3,650,300)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5.67% and 10.25% Notes payable to insurance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premium financing company (current)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w w:val="97"/>
              </w:rPr>
              <w:t>10% Notes payable to vendors for accounts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converted to notes payable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378,300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51,500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429,800</w:t>
            </w:r>
          </w:p>
        </w:tc>
      </w:tr>
      <w:tr>
        <w:trPr>
          <w:trHeight w:val="17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7.0% Note payable (August 2012)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69,800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7.0% Notes payable -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Total notes payable to unrelated parties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85,100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103,100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3,381,900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770,700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4,152,600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(73,800)</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(3,346,300)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(770,700)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(4,117,000)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Net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2012 7.5% Note to Cato Holding Co.</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349,500</w:t>
            </w: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October 2012 7.5% Note to Cato Research Ltd.</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1,213,800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1,563,300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Note discount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(54,500)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(54,500)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notes payable to related parties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1,248,100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(1,248,100)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469"/>
        <w:spacing w:after="0" w:line="281" w:lineRule="auto"/>
        <w:rPr>
          <w:sz w:val="20"/>
          <w:szCs w:val="20"/>
          <w:color w:val="auto"/>
        </w:rPr>
      </w:pPr>
      <w:r>
        <w:rPr>
          <w:rFonts w:ascii="Arial" w:cs="Arial" w:eastAsia="Arial" w:hAnsi="Arial"/>
          <w:sz w:val="15"/>
          <w:szCs w:val="15"/>
          <w:color w:val="auto"/>
        </w:rPr>
        <w:t xml:space="preserve">Between March 31, 2015 and December 31, 2015, we have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Arial" w:cs="Arial" w:eastAsia="Arial" w:hAnsi="Arial"/>
          <w:sz w:val="15"/>
          <w:szCs w:val="15"/>
          <w:i w:val="1"/>
          <w:iCs w:val="1"/>
          <w:color w:val="auto"/>
        </w:rPr>
        <w:t>Creation of Series B Preferred Stock</w:t>
      </w:r>
      <w:r>
        <w:rPr>
          <w:rFonts w:ascii="Arial" w:cs="Arial" w:eastAsia="Arial" w:hAnsi="Arial"/>
          <w:sz w:val="15"/>
          <w:szCs w:val="15"/>
          <w:color w:val="auto"/>
        </w:rPr>
        <w:t xml:space="preserve"> in Note 8, </w:t>
      </w:r>
      <w:r>
        <w:rPr>
          <w:rFonts w:ascii="Arial" w:cs="Arial" w:eastAsia="Arial" w:hAnsi="Arial"/>
          <w:sz w:val="15"/>
          <w:szCs w:val="15"/>
          <w:i w:val="1"/>
          <w:iCs w:val="1"/>
          <w:color w:val="auto"/>
        </w:rPr>
        <w:t>Capital Stock</w:t>
      </w:r>
      <w:r>
        <w:rPr>
          <w:rFonts w:ascii="Arial" w:cs="Arial" w:eastAsia="Arial" w:hAnsi="Arial"/>
          <w:sz w:val="15"/>
          <w:szCs w:val="15"/>
          <w:color w:val="auto"/>
        </w:rPr>
        <w:t>). Significant changes in and conversions of our convertible promissory notes and other promissory notes since March 31, 2015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Convertible Notes Issued in Connection with 2014 Unit Private Placement</w:t>
      </w:r>
    </w:p>
    <w:p>
      <w:pPr>
        <w:spacing w:after="0" w:line="201" w:lineRule="exact"/>
        <w:rPr>
          <w:sz w:val="20"/>
          <w:szCs w:val="20"/>
          <w:color w:val="auto"/>
        </w:rPr>
      </w:pPr>
    </w:p>
    <w:p>
      <w:pPr>
        <w:ind w:right="40" w:firstLine="511"/>
        <w:spacing w:after="0" w:line="279" w:lineRule="auto"/>
        <w:rPr>
          <w:sz w:val="20"/>
          <w:szCs w:val="20"/>
          <w:color w:val="auto"/>
        </w:rPr>
      </w:pPr>
      <w:r>
        <w:rPr>
          <w:rFonts w:ascii="Arial" w:cs="Arial" w:eastAsia="Arial" w:hAnsi="Arial"/>
          <w:sz w:val="13"/>
          <w:szCs w:val="13"/>
          <w:color w:val="auto"/>
        </w:rPr>
        <w:t xml:space="preserve">As described more completely under the caption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April 1, 2015 and May 14, 2015, we issued to accredited investors in self-placed private placement transactions 10% convertible notes (the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61" w:lineRule="exact"/>
        <w:rPr>
          <w:sz w:val="20"/>
          <w:szCs w:val="20"/>
          <w:color w:val="auto"/>
        </w:rPr>
      </w:pPr>
    </w:p>
    <w:p>
      <w:pPr>
        <w:ind w:right="20" w:firstLine="511"/>
        <w:spacing w:after="0" w:line="306" w:lineRule="auto"/>
        <w:rPr>
          <w:sz w:val="20"/>
          <w:szCs w:val="20"/>
          <w:color w:val="auto"/>
        </w:rPr>
      </w:pPr>
      <w:r>
        <w:rPr>
          <w:rFonts w:ascii="Arial" w:cs="Arial" w:eastAsia="Arial" w:hAnsi="Arial"/>
          <w:sz w:val="12"/>
          <w:szCs w:val="12"/>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w:t>
      </w:r>
    </w:p>
    <w:p>
      <w:pPr>
        <w:sectPr>
          <w:pgSz w:w="11900" w:h="16889" w:orient="portrait"/>
          <w:cols w:equalWidth="0" w:num="1">
            <w:col w:w="11460"/>
          </w:cols>
          <w:pgMar w:left="220" w:top="133" w:right="219" w:bottom="0" w:gutter="0" w:footer="0" w:header="0"/>
        </w:sectPr>
      </w:pPr>
    </w:p>
    <w:bookmarkStart w:id="202" w:name="page203"/>
    <w:bookmarkEnd w:id="202"/>
    <w:p>
      <w:pPr>
        <w:spacing w:after="0" w:line="283" w:lineRule="auto"/>
        <w:rPr>
          <w:sz w:val="20"/>
          <w:szCs w:val="20"/>
          <w:color w:val="auto"/>
        </w:rPr>
      </w:pPr>
      <w:r>
        <w:rPr>
          <w:rFonts w:ascii="Arial" w:cs="Arial" w:eastAsia="Arial" w:hAnsi="Arial"/>
          <w:sz w:val="14"/>
          <w:szCs w:val="14"/>
          <w:color w:val="auto"/>
        </w:rPr>
        <w:t>high. Based on the amounts of their respective discounts and the term between issuance and maturity, the effective interest rates attributable to the 2014 Unit Notes issued in April and May 2015 are in excess of 10,000%.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40"/>
          </w:cols>
          <w:pgMar w:left="220" w:top="129" w:right="339" w:bottom="1440" w:gutter="0" w:footer="0" w:header="0"/>
        </w:sectPr>
      </w:pPr>
    </w:p>
    <w:bookmarkStart w:id="203" w:name="page204"/>
    <w:bookmarkEnd w:id="20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Senior Secured 10% Convertible Promissory Notes issued to Platinum into Series B Preferred</w:t>
      </w:r>
    </w:p>
    <w:p>
      <w:pPr>
        <w:spacing w:after="0" w:line="201" w:lineRule="exact"/>
        <w:rPr>
          <w:sz w:val="20"/>
          <w:szCs w:val="20"/>
          <w:color w:val="auto"/>
        </w:rPr>
      </w:pPr>
    </w:p>
    <w:p>
      <w:pPr>
        <w:ind w:right="160" w:firstLine="511"/>
        <w:spacing w:after="0" w:line="280"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effective on May 12, 2015, we entered in to a broad strategic agreement with Platinum (</w:t>
      </w:r>
      <w:r>
        <w:rPr>
          <w:rFonts w:ascii="Arial" w:cs="Arial" w:eastAsia="Arial" w:hAnsi="Arial"/>
          <w:sz w:val="13"/>
          <w:szCs w:val="13"/>
          <w:i w:val="1"/>
          <w:iCs w:val="1"/>
          <w:color w:val="auto"/>
        </w:rPr>
        <w:t>Platinum Agreement</w:t>
      </w:r>
      <w:r>
        <w:rPr>
          <w:rFonts w:ascii="Arial" w:cs="Arial" w:eastAsia="Arial" w:hAnsi="Arial"/>
          <w:sz w:val="13"/>
          <w:szCs w:val="13"/>
          <w:color w:val="auto"/>
        </w:rPr>
        <w:t>) pursuant to which Platinum, among other things, converted all of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10% in-kind dividend applicable to the Series B Preferred prior to such exchange and other factors, we also determined that the fair value of a share of Series B Preferred issued pursuant to the conversions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 into Series B Preferred</w:t>
      </w:r>
    </w:p>
    <w:p>
      <w:pPr>
        <w:spacing w:after="0" w:line="201" w:lineRule="exact"/>
        <w:rPr>
          <w:sz w:val="20"/>
          <w:szCs w:val="20"/>
          <w:color w:val="auto"/>
        </w:rPr>
      </w:pPr>
    </w:p>
    <w:p>
      <w:pPr>
        <w:ind w:right="120" w:firstLine="511"/>
        <w:spacing w:after="0" w:line="279" w:lineRule="auto"/>
        <w:rPr>
          <w:sz w:val="20"/>
          <w:szCs w:val="20"/>
          <w:color w:val="auto"/>
        </w:rPr>
      </w:pPr>
      <w:r>
        <w:rPr>
          <w:rFonts w:ascii="Arial" w:cs="Arial" w:eastAsia="Arial" w:hAnsi="Arial"/>
          <w:sz w:val="13"/>
          <w:szCs w:val="13"/>
          <w:color w:val="auto"/>
        </w:rPr>
        <w:t>Pursuant to the Platinum Agreement, Platinum also converted the $1,345,700 outstanding balance of the 2014 Unit Notes originally issued by us to Platinum that had matured on March 31, 2015 (</w:t>
      </w:r>
      <w:r>
        <w:rPr>
          <w:rFonts w:ascii="Arial" w:cs="Arial" w:eastAsia="Arial" w:hAnsi="Arial"/>
          <w:sz w:val="13"/>
          <w:szCs w:val="13"/>
          <w:i w:val="1"/>
          <w:iCs w:val="1"/>
          <w:color w:val="auto"/>
        </w:rPr>
        <w:t>Platinum Unit Notes</w:t>
      </w:r>
      <w:r>
        <w:rPr>
          <w:rFonts w:ascii="Arial" w:cs="Arial" w:eastAsia="Arial" w:hAnsi="Arial"/>
          <w:sz w:val="13"/>
          <w:szCs w:val="13"/>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3"/>
          <w:szCs w:val="13"/>
          <w:i w:val="1"/>
          <w:iCs w:val="1"/>
          <w:color w:val="auto"/>
        </w:rPr>
        <w:t>Acquired Unit Notes</w:t>
      </w:r>
      <w:r>
        <w:rPr>
          <w:rFonts w:ascii="Arial" w:cs="Arial" w:eastAsia="Arial" w:hAnsi="Arial"/>
          <w:sz w:val="13"/>
          <w:szCs w:val="13"/>
          <w:color w:val="auto"/>
        </w:rPr>
        <w:t>). Further, effective May 20, 2015, the holders of other 2014 Unit Notes that had matured on March 31, 2015 or shortly thereafter having an aggregate outstanding balance of $1,831,200 (</w:t>
      </w:r>
      <w:r>
        <w:rPr>
          <w:rFonts w:ascii="Arial" w:cs="Arial" w:eastAsia="Arial" w:hAnsi="Arial"/>
          <w:sz w:val="13"/>
          <w:szCs w:val="13"/>
          <w:i w:val="1"/>
          <w:iCs w:val="1"/>
          <w:color w:val="auto"/>
        </w:rPr>
        <w:t>Investor Unit Notes</w:t>
      </w:r>
      <w:r>
        <w:rPr>
          <w:rFonts w:ascii="Arial" w:cs="Arial" w:eastAsia="Arial" w:hAnsi="Arial"/>
          <w:sz w:val="13"/>
          <w:szCs w:val="13"/>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310"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Platinum Unit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Notes and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Acquired</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Investor</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1"/>
              </w:rPr>
              <w:t>Unit Notes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Unit Notes</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506,004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327,016</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6.89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5.15</w:t>
            </w:r>
          </w:p>
        </w:tc>
      </w:tr>
    </w:tbl>
    <w:p>
      <w:pPr>
        <w:spacing w:after="0" w:line="181" w:lineRule="exact"/>
        <w:rPr>
          <w:sz w:val="20"/>
          <w:szCs w:val="20"/>
          <w:color w:val="auto"/>
        </w:rPr>
      </w:pPr>
    </w:p>
    <w:p>
      <w:pPr>
        <w:jc w:val="both"/>
        <w:ind w:right="60" w:firstLine="511"/>
        <w:spacing w:after="0" w:line="320"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4" w:name="page205"/>
    <w:bookmarkEnd w:id="20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University Health Network into Series B Preferred</w:t>
      </w:r>
    </w:p>
    <w:p>
      <w:pPr>
        <w:spacing w:after="0" w:line="201"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On May 29, 2015,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Notes and Accounts Payable issued to Cato Holding Company (CHC) and Cato Research Ltd. (CRL)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3"/>
          <w:szCs w:val="13"/>
          <w:i w:val="1"/>
          <w:iCs w:val="1"/>
          <w:color w:val="auto"/>
        </w:rPr>
        <w:t>Cato Notes</w:t>
      </w:r>
      <w:r>
        <w:rPr>
          <w:rFonts w:ascii="Arial" w:cs="Arial" w:eastAsia="Arial" w:hAnsi="Arial"/>
          <w:sz w:val="13"/>
          <w:szCs w:val="13"/>
          <w:color w:val="auto"/>
        </w:rPr>
        <w:t>), plus an additional $171,300 of past due accounts payable to CRL and a strategic adjustment thereto (</w:t>
      </w:r>
      <w:r>
        <w:rPr>
          <w:rFonts w:ascii="Arial" w:cs="Arial" w:eastAsia="Arial" w:hAnsi="Arial"/>
          <w:sz w:val="13"/>
          <w:szCs w:val="13"/>
          <w:i w:val="1"/>
          <w:iCs w:val="1"/>
          <w:color w:val="auto"/>
        </w:rPr>
        <w:t>CRL Payables</w:t>
      </w:r>
      <w:r>
        <w:rPr>
          <w:rFonts w:ascii="Arial" w:cs="Arial" w:eastAsia="Arial" w:hAnsi="Arial"/>
          <w:sz w:val="13"/>
          <w:szCs w:val="13"/>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$30.00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73.9%</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$ 2.44 and $1.57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5.33</w:t>
            </w:r>
          </w:p>
        </w:tc>
      </w:tr>
    </w:tbl>
    <w:p>
      <w:pPr>
        <w:spacing w:after="0" w:line="167" w:lineRule="exact"/>
        <w:rPr>
          <w:sz w:val="20"/>
          <w:szCs w:val="20"/>
          <w:color w:val="auto"/>
        </w:rPr>
      </w:pPr>
    </w:p>
    <w:p>
      <w:pPr>
        <w:ind w:right="140" w:firstLine="511"/>
        <w:spacing w:after="0" w:line="370"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5" w:name="page206"/>
    <w:bookmarkEnd w:id="20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B issued to Morrison &amp; Foerster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On June 12, 2015, Morrison &amp; Foerster (</w:t>
      </w:r>
      <w:r>
        <w:rPr>
          <w:rFonts w:ascii="Arial" w:cs="Arial" w:eastAsia="Arial" w:hAnsi="Arial"/>
          <w:sz w:val="13"/>
          <w:szCs w:val="13"/>
          <w:i w:val="1"/>
          <w:iCs w:val="1"/>
          <w:color w:val="auto"/>
        </w:rPr>
        <w:t>M&amp;F</w:t>
      </w:r>
      <w:r>
        <w:rPr>
          <w:rFonts w:ascii="Arial" w:cs="Arial" w:eastAsia="Arial" w:hAnsi="Arial"/>
          <w:sz w:val="13"/>
          <w:szCs w:val="13"/>
          <w:color w:val="auto"/>
        </w:rPr>
        <w:t>) converted the entire aggregate outstanding balance (principal and accrued interest) of $1,735,500 of our August 2012 promissory Note B maturing on March 31, 2016 (</w:t>
      </w:r>
      <w:r>
        <w:rPr>
          <w:rFonts w:ascii="Arial" w:cs="Arial" w:eastAsia="Arial" w:hAnsi="Arial"/>
          <w:sz w:val="13"/>
          <w:szCs w:val="13"/>
          <w:i w:val="1"/>
          <w:iCs w:val="1"/>
          <w:color w:val="auto"/>
        </w:rPr>
        <w:t>M&amp;F Note B</w:t>
      </w:r>
      <w:r>
        <w:rPr>
          <w:rFonts w:ascii="Arial" w:cs="Arial" w:eastAsia="Arial" w:hAnsi="Arial"/>
          <w:sz w:val="13"/>
          <w:szCs w:val="13"/>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$40.00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0.86%</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4.27</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$ 2.39 and $1.04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4.35</w:t>
            </w:r>
          </w:p>
        </w:tc>
      </w:tr>
    </w:tbl>
    <w:p>
      <w:pPr>
        <w:spacing w:after="0" w:line="167" w:lineRule="exact"/>
        <w:rPr>
          <w:sz w:val="20"/>
          <w:szCs w:val="20"/>
          <w:color w:val="auto"/>
        </w:rPr>
      </w:pPr>
    </w:p>
    <w:p>
      <w:pPr>
        <w:ind w:right="160" w:firstLine="511"/>
        <w:spacing w:after="0" w:line="323" w:lineRule="auto"/>
        <w:rPr>
          <w:sz w:val="20"/>
          <w:szCs w:val="20"/>
          <w:color w:val="auto"/>
        </w:rPr>
      </w:pPr>
      <w:r>
        <w:rPr>
          <w:rFonts w:ascii="Arial" w:cs="Arial" w:eastAsia="Arial" w:hAnsi="Arial"/>
          <w:sz w:val="13"/>
          <w:szCs w:val="13"/>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130" w:lineRule="exact"/>
        <w:rPr>
          <w:sz w:val="20"/>
          <w:szCs w:val="20"/>
          <w:color w:val="auto"/>
        </w:rPr>
      </w:pPr>
    </w:p>
    <w:p>
      <w:pPr>
        <w:ind w:right="40" w:firstLine="511"/>
        <w:spacing w:after="0" w:line="333" w:lineRule="auto"/>
        <w:rPr>
          <w:sz w:val="20"/>
          <w:szCs w:val="20"/>
          <w:color w:val="auto"/>
        </w:rPr>
      </w:pPr>
      <w:r>
        <w:rPr>
          <w:rFonts w:ascii="Arial" w:cs="Arial" w:eastAsia="Arial" w:hAnsi="Arial"/>
          <w:sz w:val="12"/>
          <w:szCs w:val="12"/>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2"/>
          <w:szCs w:val="12"/>
          <w:i w:val="1"/>
          <w:iCs w:val="1"/>
          <w:color w:val="auto"/>
        </w:rPr>
        <w:t>M&amp;F Note A</w:t>
      </w:r>
      <w:r>
        <w:rPr>
          <w:rFonts w:ascii="Arial" w:cs="Arial" w:eastAsia="Arial" w:hAnsi="Arial"/>
          <w:sz w:val="12"/>
          <w:szCs w:val="12"/>
          <w:color w:val="auto"/>
        </w:rPr>
        <w:t>) and all past due amounts owed by us to M&amp;F in connection with professional services previously rendered by M&amp;F (</w:t>
      </w:r>
      <w:r>
        <w:rPr>
          <w:rFonts w:ascii="Arial" w:cs="Arial" w:eastAsia="Arial" w:hAnsi="Arial"/>
          <w:sz w:val="12"/>
          <w:szCs w:val="12"/>
          <w:i w:val="1"/>
          <w:iCs w:val="1"/>
          <w:color w:val="auto"/>
        </w:rPr>
        <w:t>M&amp;F Payables</w:t>
      </w:r>
      <w:r>
        <w:rPr>
          <w:rFonts w:ascii="Arial" w:cs="Arial" w:eastAsia="Arial" w:hAnsi="Arial"/>
          <w:sz w:val="12"/>
          <w:szCs w:val="12"/>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Morrison &amp; Foerster Note A and Morrison &amp; Foerster Payables into Series B Preferred</w:t>
      </w:r>
    </w:p>
    <w:p>
      <w:pPr>
        <w:spacing w:after="0" w:line="201" w:lineRule="exact"/>
        <w:rPr>
          <w:sz w:val="20"/>
          <w:szCs w:val="20"/>
          <w:color w:val="auto"/>
        </w:rPr>
      </w:pPr>
    </w:p>
    <w:p>
      <w:pPr>
        <w:ind w:firstLine="511"/>
        <w:spacing w:after="0" w:line="257" w:lineRule="auto"/>
        <w:rPr>
          <w:sz w:val="20"/>
          <w:szCs w:val="20"/>
          <w:color w:val="auto"/>
        </w:rPr>
      </w:pPr>
      <w:r>
        <w:rPr>
          <w:rFonts w:ascii="Arial" w:cs="Arial" w:eastAsia="Arial" w:hAnsi="Arial"/>
          <w:sz w:val="14"/>
          <w:szCs w:val="14"/>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4"/>
          <w:szCs w:val="14"/>
          <w:i w:val="1"/>
          <w:iCs w:val="1"/>
          <w:color w:val="auto"/>
        </w:rPr>
        <w:t>M&amp;F Note A Investors</w:t>
      </w:r>
      <w:r>
        <w:rPr>
          <w:rFonts w:ascii="Arial" w:cs="Arial" w:eastAsia="Arial" w:hAnsi="Arial"/>
          <w:sz w:val="14"/>
          <w:szCs w:val="14"/>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McCarthy Tetrault into Series B Preferred</w:t>
      </w:r>
    </w:p>
    <w:p>
      <w:pPr>
        <w:spacing w:after="0" w:line="201" w:lineRule="exact"/>
        <w:rPr>
          <w:sz w:val="20"/>
          <w:szCs w:val="20"/>
          <w:color w:val="auto"/>
        </w:rPr>
      </w:pPr>
    </w:p>
    <w:p>
      <w:pPr>
        <w:ind w:right="40" w:firstLine="511"/>
        <w:spacing w:after="0" w:line="281" w:lineRule="auto"/>
        <w:rPr>
          <w:sz w:val="20"/>
          <w:szCs w:val="20"/>
          <w:color w:val="auto"/>
        </w:rPr>
      </w:pPr>
      <w:r>
        <w:rPr>
          <w:rFonts w:ascii="Arial" w:cs="Arial" w:eastAsia="Arial" w:hAnsi="Arial"/>
          <w:sz w:val="13"/>
          <w:szCs w:val="13"/>
          <w:color w:val="auto"/>
        </w:rPr>
        <w:t>On June 18, 2015, McCarthy Tetrault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3"/>
          <w:szCs w:val="13"/>
          <w:i w:val="1"/>
          <w:iCs w:val="1"/>
          <w:color w:val="auto"/>
        </w:rPr>
        <w:t>McCarthy Note</w:t>
      </w:r>
      <w:r>
        <w:rPr>
          <w:rFonts w:ascii="Arial" w:cs="Arial" w:eastAsia="Arial" w:hAnsi="Arial"/>
          <w:sz w:val="13"/>
          <w:szCs w:val="13"/>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6" w:name="page207"/>
    <w:bookmarkEnd w:id="20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Burr Pilger &amp; Mayer into Series B Preferred</w:t>
      </w:r>
    </w:p>
    <w:p>
      <w:pPr>
        <w:spacing w:after="0" w:line="201" w:lineRule="exact"/>
        <w:rPr>
          <w:sz w:val="20"/>
          <w:szCs w:val="20"/>
          <w:color w:val="auto"/>
        </w:rPr>
      </w:pPr>
    </w:p>
    <w:p>
      <w:pPr>
        <w:ind w:right="60" w:firstLine="511"/>
        <w:spacing w:after="0" w:line="281" w:lineRule="auto"/>
        <w:rPr>
          <w:sz w:val="20"/>
          <w:szCs w:val="20"/>
          <w:color w:val="auto"/>
        </w:rPr>
      </w:pPr>
      <w:r>
        <w:rPr>
          <w:rFonts w:ascii="Arial" w:cs="Arial" w:eastAsia="Arial" w:hAnsi="Arial"/>
          <w:sz w:val="13"/>
          <w:szCs w:val="13"/>
          <w:color w:val="auto"/>
        </w:rPr>
        <w:t>On June 24, 2015, Burr Pilger &amp; Mayer (</w:t>
      </w:r>
      <w:r>
        <w:rPr>
          <w:rFonts w:ascii="Arial" w:cs="Arial" w:eastAsia="Arial" w:hAnsi="Arial"/>
          <w:sz w:val="13"/>
          <w:szCs w:val="13"/>
          <w:i w:val="1"/>
          <w:iCs w:val="1"/>
          <w:color w:val="auto"/>
        </w:rPr>
        <w:t>Burr</w:t>
      </w:r>
      <w:r>
        <w:rPr>
          <w:rFonts w:ascii="Arial" w:cs="Arial" w:eastAsia="Arial" w:hAnsi="Arial"/>
          <w:sz w:val="13"/>
          <w:szCs w:val="13"/>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3"/>
          <w:szCs w:val="13"/>
          <w:i w:val="1"/>
          <w:iCs w:val="1"/>
          <w:color w:val="auto"/>
        </w:rPr>
        <w:t>Burr Note</w:t>
      </w:r>
      <w:r>
        <w:rPr>
          <w:rFonts w:ascii="Arial" w:cs="Arial" w:eastAsia="Arial" w:hAnsi="Arial"/>
          <w:sz w:val="13"/>
          <w:szCs w:val="13"/>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Accordiungly,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Icahn School of Medicine at Mount Sinai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June 26, 2015, 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converted the entire $270,400 outstanding balance (principal and accrued interest) of our past due April 2014 promissory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note into a total of 40,000 shares of our Series B Preferred. We determined that the conversion of the ISMMS note into Series B Preferred should be accounted for as an extinguishment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Considering the exchangeability of the Series B Preferred into our common stock, the dividend applicable to the Series B Preferred prior to such exchange and other factors, we also determined that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fair value of a share of Series B Preferred issued pursuant to the conversion of the ISMMS note was equal to the market value of a share of our common stock on the conversion date. Based on the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$16.00 per share fair value of the Series B Preferred at the date the note was converted, we issued Series B Preferred having an aggregate fair value of $640,000 to ISMMS. As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for the conversion of the ISMMS note, we amended an outstanding warrant held by ISMMS to purchase 15,000 restricted shares of our common stock to reduce the exercise price from $10.00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to $7.00 per share. We calculated the fair value of the warrant immediately before and after the modification and determined that the fair value of the warrant increased by $16,600. The warrant subject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 the exercise price modification was valued using the Black-Scholes Option Pricing Model and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3.76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10.48</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11.60</w:t>
            </w:r>
          </w:p>
        </w:tc>
        <w:tc>
          <w:tcPr>
            <w:tcW w:w="120" w:type="dxa"/>
            <w:vAlign w:val="bottom"/>
          </w:tcPr>
          <w:p>
            <w:pPr>
              <w:spacing w:after="0"/>
              <w:rPr>
                <w:sz w:val="16"/>
                <w:szCs w:val="16"/>
                <w:color w:val="auto"/>
              </w:rPr>
            </w:pPr>
          </w:p>
        </w:tc>
      </w:tr>
    </w:tbl>
    <w:p>
      <w:pPr>
        <w:spacing w:after="0" w:line="167" w:lineRule="exact"/>
        <w:rPr>
          <w:sz w:val="20"/>
          <w:szCs w:val="20"/>
          <w:color w:val="auto"/>
        </w:rPr>
      </w:pPr>
    </w:p>
    <w:p>
      <w:pPr>
        <w:ind w:right="460" w:firstLine="511"/>
        <w:spacing w:after="0" w:line="283" w:lineRule="auto"/>
        <w:rPr>
          <w:sz w:val="20"/>
          <w:szCs w:val="20"/>
          <w:color w:val="auto"/>
        </w:rPr>
      </w:pPr>
      <w:r>
        <w:rPr>
          <w:rFonts w:ascii="Arial" w:cs="Arial" w:eastAsia="Arial" w:hAnsi="Arial"/>
          <w:sz w:val="14"/>
          <w:szCs w:val="14"/>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53" w:lineRule="exact"/>
        <w:rPr>
          <w:sz w:val="20"/>
          <w:szCs w:val="20"/>
          <w:color w:val="auto"/>
        </w:rPr>
      </w:pPr>
    </w:p>
    <w:p>
      <w:pPr>
        <w:ind w:right="160" w:firstLine="511"/>
        <w:spacing w:after="0" w:line="261" w:lineRule="auto"/>
        <w:rPr>
          <w:sz w:val="20"/>
          <w:szCs w:val="20"/>
          <w:color w:val="auto"/>
        </w:rPr>
      </w:pPr>
      <w:r>
        <w:rPr>
          <w:rFonts w:ascii="Arial" w:cs="Arial" w:eastAsia="Arial" w:hAnsi="Arial"/>
          <w:sz w:val="14"/>
          <w:szCs w:val="14"/>
          <w:color w:val="auto"/>
        </w:rPr>
        <w:t>On July 13, 2015, ISMMS also converted accounts payable in the amount of $19,100 (</w:t>
      </w:r>
      <w:r>
        <w:rPr>
          <w:rFonts w:ascii="Arial" w:cs="Arial" w:eastAsia="Arial" w:hAnsi="Arial"/>
          <w:sz w:val="14"/>
          <w:szCs w:val="14"/>
          <w:i w:val="1"/>
          <w:iCs w:val="1"/>
          <w:color w:val="auto"/>
        </w:rPr>
        <w:t>ISMMS Payables</w:t>
      </w:r>
      <w:r>
        <w:rPr>
          <w:rFonts w:ascii="Arial" w:cs="Arial" w:eastAsia="Arial" w:hAnsi="Arial"/>
          <w:sz w:val="14"/>
          <w:szCs w:val="14"/>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National Jewish Health into Series B Preferred</w:t>
      </w:r>
    </w:p>
    <w:p>
      <w:pPr>
        <w:spacing w:after="0" w:line="201" w:lineRule="exact"/>
        <w:rPr>
          <w:sz w:val="20"/>
          <w:szCs w:val="20"/>
          <w:color w:val="auto"/>
        </w:rPr>
      </w:pPr>
    </w:p>
    <w:p>
      <w:pPr>
        <w:ind w:firstLine="511"/>
        <w:spacing w:after="0" w:line="258" w:lineRule="auto"/>
        <w:rPr>
          <w:sz w:val="20"/>
          <w:szCs w:val="20"/>
          <w:color w:val="auto"/>
        </w:rPr>
      </w:pPr>
      <w:r>
        <w:rPr>
          <w:rFonts w:ascii="Arial" w:cs="Arial" w:eastAsia="Arial" w:hAnsi="Arial"/>
          <w:sz w:val="14"/>
          <w:szCs w:val="14"/>
          <w:color w:val="auto"/>
        </w:rPr>
        <w:t>On June 29, 2015, National Jewish Health (</w:t>
      </w:r>
      <w:r>
        <w:rPr>
          <w:rFonts w:ascii="Arial" w:cs="Arial" w:eastAsia="Arial" w:hAnsi="Arial"/>
          <w:sz w:val="14"/>
          <w:szCs w:val="14"/>
          <w:i w:val="1"/>
          <w:iCs w:val="1"/>
          <w:color w:val="auto"/>
        </w:rPr>
        <w:t>NJH</w:t>
      </w:r>
      <w:r>
        <w:rPr>
          <w:rFonts w:ascii="Arial" w:cs="Arial" w:eastAsia="Arial" w:hAnsi="Arial"/>
          <w:sz w:val="14"/>
          <w:szCs w:val="14"/>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7" w:name="page208"/>
    <w:bookmarkEnd w:id="20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Desjardins Securities into Series B Preferred</w:t>
      </w:r>
    </w:p>
    <w:p>
      <w:pPr>
        <w:spacing w:after="0" w:line="201"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On July 2, 2015, Desjardins Securities </w:t>
      </w:r>
      <w:r>
        <w:rPr>
          <w:rFonts w:ascii="Arial" w:cs="Arial" w:eastAsia="Arial" w:hAnsi="Arial"/>
          <w:sz w:val="14"/>
          <w:szCs w:val="14"/>
          <w:i w:val="1"/>
          <w:iCs w:val="1"/>
          <w:color w:val="auto"/>
        </w:rPr>
        <w:t>(Desjardins</w:t>
      </w:r>
      <w:r>
        <w:rPr>
          <w:rFonts w:ascii="Arial" w:cs="Arial" w:eastAsia="Arial" w:hAnsi="Arial"/>
          <w:sz w:val="14"/>
          <w:szCs w:val="14"/>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MicroConstants into Series B Preferred</w:t>
      </w:r>
    </w:p>
    <w:p>
      <w:pPr>
        <w:spacing w:after="0" w:line="201" w:lineRule="exact"/>
        <w:rPr>
          <w:sz w:val="20"/>
          <w:szCs w:val="20"/>
          <w:color w:val="auto"/>
        </w:rPr>
      </w:pPr>
    </w:p>
    <w:p>
      <w:pPr>
        <w:ind w:right="40" w:firstLine="511"/>
        <w:spacing w:after="0" w:line="308" w:lineRule="auto"/>
        <w:rPr>
          <w:sz w:val="20"/>
          <w:szCs w:val="20"/>
          <w:color w:val="auto"/>
        </w:rPr>
      </w:pPr>
      <w:r>
        <w:rPr>
          <w:rFonts w:ascii="Arial" w:cs="Arial" w:eastAsia="Arial" w:hAnsi="Arial"/>
          <w:sz w:val="12"/>
          <w:szCs w:val="12"/>
          <w:color w:val="auto"/>
        </w:rPr>
        <w:t>On July 6, 2015, MicroConstants, Inc. (</w:t>
      </w:r>
      <w:r>
        <w:rPr>
          <w:rFonts w:ascii="Arial" w:cs="Arial" w:eastAsia="Arial" w:hAnsi="Arial"/>
          <w:sz w:val="12"/>
          <w:szCs w:val="12"/>
          <w:i w:val="1"/>
          <w:iCs w:val="1"/>
          <w:color w:val="auto"/>
        </w:rPr>
        <w:t>MicroConstants)</w:t>
      </w:r>
      <w:r>
        <w:rPr>
          <w:rFonts w:ascii="Arial" w:cs="Arial" w:eastAsia="Arial" w:hAnsi="Arial"/>
          <w:sz w:val="12"/>
          <w:szCs w:val="12"/>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Accounts Payable to Professional Services Providers and Other Debt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June and July 2015, two of our professional service providers and a former employee to whom we were contractually obligated for certain accrued compensation amounts converted an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aggregate of $497,900 past due amounts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an aggregate of 80,929 shares of our Series B Preferred. We determined that the conversion of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balances into Series B Preferred should be accounted for as an extinguishment of debt. Considering the exchangeability of the Series B Preferred into our common stock, the dividend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applicable to the Series B Preferred prior to such exchange and other factors, we also determined that the fair value of a share of Series B Preferred issued pursuant to the conversion of the Service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was equal to the market value of a share of our common stock on the respective Service Provider Payable conversion dates. Based on the per share fair value of the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on the respective dates that each Service Provider Payable was converted, which ranged from $10.00 per share to $12.00 per share, we issued Series B Preferred having an aggregate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$823,800 to the Service Providers. Accordingly, we recognized an aggregate non-cash loss on the extinguishment of debt attributable to the conversion of the Service Provider Payables in the amounts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$281,800 and $44,100 in the quarters ended June 30, 2015 and September 30, 2015, respectively, as reflected in the accompanying Condensed Consolidated Statement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Capital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ind w:right="60" w:firstLine="511"/>
        <w:spacing w:after="0" w:line="261" w:lineRule="auto"/>
        <w:rPr>
          <w:sz w:val="20"/>
          <w:szCs w:val="20"/>
          <w:color w:val="auto"/>
        </w:rPr>
      </w:pPr>
      <w:r>
        <w:rPr>
          <w:rFonts w:ascii="Arial" w:cs="Arial" w:eastAsia="Arial" w:hAnsi="Arial"/>
          <w:sz w:val="14"/>
          <w:szCs w:val="14"/>
          <w:color w:val="auto"/>
        </w:rPr>
        <w:t>Between April 1, 2015 and May 14, 2015, in self-placed private placement transactions, we entered into securities purchase agreements with accredited investors pursuant to which we sold Units (</w:t>
      </w:r>
      <w:r>
        <w:rPr>
          <w:rFonts w:ascii="Arial" w:cs="Arial" w:eastAsia="Arial" w:hAnsi="Arial"/>
          <w:sz w:val="14"/>
          <w:szCs w:val="14"/>
          <w:i w:val="1"/>
          <w:iCs w:val="1"/>
          <w:color w:val="auto"/>
        </w:rPr>
        <w:t>2014 Units</w:t>
      </w:r>
      <w:r>
        <w:rPr>
          <w:rFonts w:ascii="Arial" w:cs="Arial" w:eastAsia="Arial" w:hAnsi="Arial"/>
          <w:sz w:val="14"/>
          <w:szCs w:val="14"/>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Arial" w:cs="Arial" w:eastAsia="Arial" w:hAnsi="Arial"/>
          <w:sz w:val="14"/>
          <w:szCs w:val="14"/>
          <w:i w:val="1"/>
          <w:iCs w:val="1"/>
          <w:color w:val="auto"/>
        </w:rPr>
        <w:t>2014 Unit Notes</w:t>
      </w:r>
      <w:r>
        <w:rPr>
          <w:rFonts w:ascii="Arial" w:cs="Arial" w:eastAsia="Arial" w:hAnsi="Arial"/>
          <w:sz w:val="14"/>
          <w:szCs w:val="14"/>
          <w:color w:val="auto"/>
        </w:rPr>
        <w:t>); (ii) an aggregate of 33,000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w:t>
      </w:r>
      <w:r>
        <w:rPr>
          <w:rFonts w:ascii="Arial" w:cs="Arial" w:eastAsia="Arial" w:hAnsi="Arial"/>
          <w:sz w:val="14"/>
          <w:szCs w:val="14"/>
          <w:i w:val="1"/>
          <w:iCs w:val="1"/>
          <w:color w:val="auto"/>
        </w:rPr>
        <w:t>2014 Unit Warrants</w:t>
      </w:r>
      <w:r>
        <w:rPr>
          <w:rFonts w:ascii="Arial" w:cs="Arial" w:eastAsia="Arial" w:hAnsi="Arial"/>
          <w:sz w:val="14"/>
          <w:szCs w:val="14"/>
          <w:color w:val="auto"/>
        </w:rPr>
        <w:t>) exercisable through December 31, 2016 to purchase an aggregate of 24,250 restricted shares of our common stock at an exercise price of $10.00 per share.</w:t>
      </w:r>
    </w:p>
    <w:p>
      <w:pPr>
        <w:spacing w:after="0" w:line="168" w:lineRule="exact"/>
        <w:rPr>
          <w:sz w:val="20"/>
          <w:szCs w:val="20"/>
          <w:color w:val="auto"/>
        </w:rPr>
      </w:pPr>
    </w:p>
    <w:p>
      <w:pPr>
        <w:ind w:right="40" w:firstLine="511"/>
        <w:spacing w:after="0" w:line="285" w:lineRule="auto"/>
        <w:rPr>
          <w:sz w:val="20"/>
          <w:szCs w:val="20"/>
          <w:color w:val="auto"/>
        </w:rPr>
      </w:pPr>
      <w:r>
        <w:rPr>
          <w:rFonts w:ascii="Arial" w:cs="Arial" w:eastAsia="Arial" w:hAnsi="Arial"/>
          <w:sz w:val="13"/>
          <w:szCs w:val="13"/>
          <w:color w:val="auto"/>
        </w:rPr>
        <w:t xml:space="preserve">We allocated the proceeds from the private placement sales of the 2014 Units to the various securities based on their relative fair values on the dates of the sales. As described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based on the short-term nature of the Unit Notes, we determined that fair value of the 2014 Unit Notes was equal to their face value. We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89"/>
              <w:spacing w:after="0"/>
              <w:rPr>
                <w:sz w:val="20"/>
                <w:szCs w:val="20"/>
                <w:color w:val="auto"/>
              </w:rPr>
            </w:pPr>
            <w:r>
              <w:rPr>
                <w:rFonts w:ascii="Arial" w:cs="Arial" w:eastAsia="Arial" w:hAnsi="Arial"/>
                <w:sz w:val="14"/>
                <w:szCs w:val="14"/>
                <w:color w:val="auto"/>
                <w:w w:val="93"/>
              </w:rPr>
              <w:t>Unit Warrants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0"/>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4"/>
          </w:tcPr>
          <w:p>
            <w:pPr>
              <w:jc w:val="center"/>
              <w:ind w:right="29"/>
              <w:spacing w:after="0" w:line="160" w:lineRule="exact"/>
              <w:rPr>
                <w:sz w:val="20"/>
                <w:szCs w:val="20"/>
                <w:color w:val="auto"/>
              </w:rPr>
            </w:pPr>
            <w:r>
              <w:rPr>
                <w:rFonts w:ascii="Arial" w:cs="Arial" w:eastAsia="Arial" w:hAnsi="Arial"/>
                <w:sz w:val="14"/>
                <w:szCs w:val="14"/>
                <w:color w:val="auto"/>
                <w:w w:val="90"/>
              </w:rPr>
              <w:t>Weighted Average Issuance 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Valuation Assumptions</w:t>
            </w: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Per Share</w:t>
            </w: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Aggregate</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Aggregate</w:t>
            </w:r>
          </w:p>
        </w:tc>
        <w:tc>
          <w:tcPr>
            <w:tcW w:w="2460" w:type="dxa"/>
            <w:vAlign w:val="bottom"/>
            <w:gridSpan w:val="3"/>
          </w:tcPr>
          <w:p>
            <w:pPr>
              <w:ind w:left="260"/>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ind w:right="9"/>
              <w:spacing w:after="0" w:line="149" w:lineRule="exact"/>
              <w:rPr>
                <w:sz w:val="20"/>
                <w:szCs w:val="20"/>
                <w:color w:val="auto"/>
              </w:rPr>
            </w:pPr>
            <w:r>
              <w:rPr>
                <w:rFonts w:ascii="Arial" w:cs="Arial" w:eastAsia="Arial" w:hAnsi="Arial"/>
                <w:sz w:val="14"/>
                <w:szCs w:val="14"/>
                <w:color w:val="auto"/>
                <w:w w:val="94"/>
              </w:rPr>
              <w:t>Risk free</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349"/>
              <w:spacing w:after="0" w:line="149" w:lineRule="exact"/>
              <w:rPr>
                <w:sz w:val="20"/>
                <w:szCs w:val="20"/>
                <w:color w:val="auto"/>
              </w:rPr>
            </w:pPr>
            <w:r>
              <w:rPr>
                <w:rFonts w:ascii="Arial" w:cs="Arial" w:eastAsia="Arial" w:hAnsi="Arial"/>
                <w:sz w:val="14"/>
                <w:szCs w:val="14"/>
                <w:color w:val="auto"/>
                <w:w w:val="99"/>
              </w:rPr>
              <w:t>Fair</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Fair Value</w:t>
            </w:r>
          </w:p>
        </w:tc>
        <w:tc>
          <w:tcPr>
            <w:tcW w:w="118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7"/>
              </w:rPr>
              <w:t>Proceeds</w:t>
            </w:r>
          </w:p>
        </w:tc>
        <w:tc>
          <w:tcPr>
            <w:tcW w:w="2460" w:type="dxa"/>
            <w:vAlign w:val="bottom"/>
            <w:tcBorders>
              <w:bottom w:val="single" w:sz="8" w:color="auto"/>
            </w:tcBorders>
            <w:gridSpan w:val="3"/>
          </w:tcPr>
          <w:p>
            <w:pPr>
              <w:ind w:left="300"/>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color w:val="auto"/>
                <w:w w:val="85"/>
              </w:rPr>
              <w:t>Shares</w:t>
            </w:r>
          </w:p>
        </w:tc>
        <w:tc>
          <w:tcPr>
            <w:tcW w:w="68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3"/>
              </w:rPr>
              <w:t>Market</w:t>
            </w:r>
          </w:p>
        </w:tc>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9"/>
              </w:rPr>
              <w:t>Exercise</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91"/>
              </w:rPr>
              <w:t>Term</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4"/>
              </w:rPr>
              <w:t>Interest</w:t>
            </w:r>
          </w:p>
        </w:tc>
        <w:tc>
          <w:tcPr>
            <w:tcW w:w="720" w:type="dxa"/>
            <w:vAlign w:val="bottom"/>
          </w:tcPr>
          <w:p>
            <w:pPr>
              <w:spacing w:after="0"/>
              <w:rPr>
                <w:sz w:val="13"/>
                <w:szCs w:val="13"/>
                <w:color w:val="auto"/>
              </w:rPr>
            </w:pPr>
          </w:p>
        </w:tc>
        <w:tc>
          <w:tcPr>
            <w:tcW w:w="840" w:type="dxa"/>
            <w:vAlign w:val="bottom"/>
            <w:gridSpan w:val="2"/>
          </w:tcPr>
          <w:p>
            <w:pPr>
              <w:jc w:val="center"/>
              <w:ind w:right="280"/>
              <w:spacing w:after="0" w:line="160" w:lineRule="exact"/>
              <w:rPr>
                <w:sz w:val="20"/>
                <w:szCs w:val="20"/>
                <w:color w:val="auto"/>
              </w:rPr>
            </w:pPr>
            <w:r>
              <w:rPr>
                <w:rFonts w:ascii="Arial" w:cs="Arial" w:eastAsia="Arial" w:hAnsi="Arial"/>
                <w:sz w:val="14"/>
                <w:szCs w:val="14"/>
                <w:color w:val="auto"/>
                <w:w w:val="95"/>
              </w:rPr>
              <w:t>Dividend</w:t>
            </w:r>
          </w:p>
        </w:tc>
        <w:tc>
          <w:tcPr>
            <w:tcW w:w="1340" w:type="dxa"/>
            <w:vAlign w:val="bottom"/>
          </w:tcPr>
          <w:p>
            <w:pPr>
              <w:jc w:val="center"/>
              <w:ind w:right="349"/>
              <w:spacing w:after="0" w:line="160" w:lineRule="exact"/>
              <w:rPr>
                <w:sz w:val="20"/>
                <w:szCs w:val="20"/>
                <w:color w:val="auto"/>
              </w:rPr>
            </w:pPr>
            <w:r>
              <w:rPr>
                <w:rFonts w:ascii="Arial" w:cs="Arial" w:eastAsia="Arial" w:hAnsi="Arial"/>
                <w:sz w:val="14"/>
                <w:szCs w:val="14"/>
                <w:color w:val="auto"/>
                <w:w w:val="93"/>
              </w:rPr>
              <w:t>Value of</w:t>
            </w:r>
          </w:p>
        </w:tc>
        <w:tc>
          <w:tcPr>
            <w:tcW w:w="1420" w:type="dxa"/>
            <w:vAlign w:val="bottom"/>
            <w:gridSpan w:val="2"/>
          </w:tcPr>
          <w:p>
            <w:pPr>
              <w:jc w:val="center"/>
              <w:ind w:right="420"/>
              <w:spacing w:after="0" w:line="160" w:lineRule="exact"/>
              <w:rPr>
                <w:sz w:val="20"/>
                <w:szCs w:val="20"/>
                <w:color w:val="auto"/>
              </w:rPr>
            </w:pPr>
            <w:r>
              <w:rPr>
                <w:rFonts w:ascii="Arial" w:cs="Arial" w:eastAsia="Arial" w:hAnsi="Arial"/>
                <w:sz w:val="14"/>
                <w:szCs w:val="14"/>
                <w:color w:val="auto"/>
                <w:w w:val="98"/>
              </w:rPr>
              <w:t>of Unit</w:t>
            </w:r>
          </w:p>
        </w:tc>
        <w:tc>
          <w:tcPr>
            <w:tcW w:w="1180" w:type="dxa"/>
            <w:vAlign w:val="bottom"/>
          </w:tcPr>
          <w:p>
            <w:pPr>
              <w:jc w:val="center"/>
              <w:ind w:right="149"/>
              <w:spacing w:after="0" w:line="160" w:lineRule="exact"/>
              <w:rPr>
                <w:sz w:val="20"/>
                <w:szCs w:val="20"/>
                <w:color w:val="auto"/>
              </w:rPr>
            </w:pPr>
            <w:r>
              <w:rPr>
                <w:rFonts w:ascii="Arial" w:cs="Arial" w:eastAsia="Arial" w:hAnsi="Arial"/>
                <w:sz w:val="14"/>
                <w:szCs w:val="14"/>
                <w:color w:val="auto"/>
                <w:w w:val="98"/>
              </w:rPr>
              <w:t>of Unit</w:t>
            </w:r>
          </w:p>
        </w:tc>
        <w:tc>
          <w:tcPr>
            <w:tcW w:w="940" w:type="dxa"/>
            <w:vAlign w:val="bottom"/>
          </w:tcPr>
          <w:p>
            <w:pPr>
              <w:ind w:left="300"/>
              <w:spacing w:after="0" w:line="160" w:lineRule="exact"/>
              <w:rPr>
                <w:sz w:val="20"/>
                <w:szCs w:val="20"/>
                <w:color w:val="auto"/>
              </w:rPr>
            </w:pPr>
            <w:r>
              <w:rPr>
                <w:rFonts w:ascii="Arial" w:cs="Arial" w:eastAsia="Arial" w:hAnsi="Arial"/>
                <w:sz w:val="14"/>
                <w:szCs w:val="14"/>
                <w:color w:val="auto"/>
              </w:rPr>
              <w:t>Unit</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87"/>
              </w:rPr>
              <w:t>Issued</w:t>
            </w: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87"/>
              </w:rPr>
              <w:t>Price</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3"/>
              </w:rPr>
              <w:t>Price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87"/>
              </w:rPr>
              <w:t>Rate</w:t>
            </w: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Volatility</w:t>
            </w: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34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color w:val="auto"/>
                <w:w w:val="88"/>
              </w:rPr>
              <w:t>Warrant</w:t>
            </w: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7"/>
              </w:rPr>
              <w:t>Warrants</w:t>
            </w: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5"/>
              </w:rPr>
              <w:t>Sales</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Unit Stock</w:t>
            </w: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Warrant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Unit Note</w:t>
            </w:r>
          </w:p>
        </w:tc>
      </w:tr>
      <w:tr>
        <w:trPr>
          <w:trHeight w:val="170"/>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24,250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0.00%</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$ 3.69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$ 89,600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$ 280,000</w:t>
            </w:r>
          </w:p>
        </w:tc>
        <w:tc>
          <w:tcPr>
            <w:tcW w:w="9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$ 128,900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$ 118,200</w:t>
            </w:r>
          </w:p>
        </w:tc>
      </w:tr>
      <w:tr>
        <w:trPr>
          <w:trHeight w:val="47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469"/>
              <w:spacing w:after="0"/>
              <w:rPr>
                <w:sz w:val="20"/>
                <w:szCs w:val="20"/>
                <w:color w:val="auto"/>
              </w:rPr>
            </w:pPr>
            <w:r>
              <w:rPr>
                <w:rFonts w:ascii="Arial" w:cs="Arial" w:eastAsia="Arial" w:hAnsi="Arial"/>
                <w:sz w:val="14"/>
                <w:szCs w:val="14"/>
                <w:color w:val="auto"/>
              </w:rPr>
              <w:t>F-67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92"/>
        </w:trPr>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8" w:name="page209"/>
    <w:bookmarkEnd w:id="20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180" w:lineRule="exact"/>
        <w:rPr>
          <w:sz w:val="20"/>
          <w:szCs w:val="20"/>
          <w:color w:val="auto"/>
        </w:rPr>
      </w:pPr>
    </w:p>
    <w:p>
      <w:pPr>
        <w:ind w:right="180" w:firstLine="511"/>
        <w:spacing w:after="0" w:line="323" w:lineRule="auto"/>
        <w:rPr>
          <w:sz w:val="20"/>
          <w:szCs w:val="20"/>
          <w:color w:val="auto"/>
        </w:rPr>
      </w:pPr>
      <w:r>
        <w:rPr>
          <w:rFonts w:ascii="Arial" w:cs="Arial" w:eastAsia="Arial" w:hAnsi="Arial"/>
          <w:sz w:val="13"/>
          <w:szCs w:val="13"/>
          <w:color w:val="auto"/>
        </w:rPr>
        <w:t>On May 7, 2015, we filed a Certificate of Designation of the Relative Rights and Preferences of the Series B 10% Preferred Stock of VistaGen Therapeutics, Inc. (</w:t>
      </w:r>
      <w:r>
        <w:rPr>
          <w:rFonts w:ascii="Arial" w:cs="Arial" w:eastAsia="Arial" w:hAnsi="Arial"/>
          <w:sz w:val="13"/>
          <w:szCs w:val="13"/>
          <w:i w:val="1"/>
          <w:iCs w:val="1"/>
          <w:color w:val="auto"/>
        </w:rPr>
        <w:t>Certificate of Designation</w:t>
      </w:r>
      <w:r>
        <w:rPr>
          <w:rFonts w:ascii="Arial" w:cs="Arial" w:eastAsia="Arial" w:hAnsi="Arial"/>
          <w:sz w:val="13"/>
          <w:szCs w:val="13"/>
          <w:color w:val="auto"/>
        </w:rPr>
        <w:t>) with the Nevada Secretary of State to designate 4.0 million shares of our authorized preferred stock as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w:t>
      </w:r>
    </w:p>
    <w:p>
      <w:pPr>
        <w:spacing w:after="0" w:line="109"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 and/or securities purchase agreements.</w:t>
      </w:r>
    </w:p>
    <w:p>
      <w:pPr>
        <w:spacing w:after="0" w:line="13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Prior to Conversion, shares of Series B Preferred will accrue in-kind dividends (payable only in unregistered shares of our common stock) at a rate of 10% per annum (</w:t>
      </w:r>
      <w:r>
        <w:rPr>
          <w:rFonts w:ascii="Arial" w:cs="Arial" w:eastAsia="Arial" w:hAnsi="Arial"/>
          <w:sz w:val="13"/>
          <w:szCs w:val="13"/>
          <w:i w:val="1"/>
          <w:iCs w:val="1"/>
          <w:color w:val="auto"/>
        </w:rPr>
        <w:t>Accrued Dividends</w:t>
      </w:r>
      <w:r>
        <w:rPr>
          <w:rFonts w:ascii="Arial" w:cs="Arial" w:eastAsia="Arial" w:hAnsi="Arial"/>
          <w:sz w:val="13"/>
          <w:szCs w:val="13"/>
          <w:color w:val="auto"/>
        </w:rPr>
        <w:t>). The Accrued Dividends will be payable on the date of either a Voluntary Conversion or Automatic Conversion solely in that number of shares of common stock equal to the Accrued Dividends. At December 31, 2015, we have recognized a liability in the amount of $1,415,800 for Accrued Dividends in the accompanying Condensed Consolidated Balance Sheet at December 31, 2015, based on the Series B Preferred issued and outstanding, net of exchanges to common stock, through the quarter ended December 31, 2015. We have recognized a deduction from net loss of $1,459,300 related to dividends on Series B Preferred in arriving at net loss attributable to common stockholders in the accompanying Condensed Consolidated Statement of Operations and Comprehensive Loss for the nine months ended December 31, 2015. The liquidation value of the Series B Preferred at December 31, 2015 is approximately $26,541,400.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May 2015 Agreement with Platinum</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5, 2015, we entered into an Agreement with Platinum, which, as modified, became effective on May 12, 2015 (</w:t>
      </w:r>
      <w:r>
        <w:rPr>
          <w:rFonts w:ascii="Arial" w:cs="Arial" w:eastAsia="Arial" w:hAnsi="Arial"/>
          <w:sz w:val="14"/>
          <w:szCs w:val="14"/>
          <w:i w:val="1"/>
          <w:iCs w:val="1"/>
          <w:color w:val="auto"/>
        </w:rPr>
        <w:t>Platinum Agreement</w:t>
      </w:r>
      <w:r>
        <w:rPr>
          <w:rFonts w:ascii="Arial" w:cs="Arial" w:eastAsia="Arial" w:hAnsi="Arial"/>
          <w:sz w:val="14"/>
          <w:szCs w:val="14"/>
          <w:color w:val="auto"/>
        </w:rPr>
        <w:t>) and pursuant to which Platinum:</w:t>
      </w:r>
    </w:p>
    <w:p>
      <w:pPr>
        <w:spacing w:after="0" w:line="201" w:lineRule="exact"/>
        <w:rPr>
          <w:sz w:val="20"/>
          <w:szCs w:val="20"/>
          <w:color w:val="auto"/>
        </w:rPr>
      </w:pPr>
    </w:p>
    <w:p>
      <w:pPr>
        <w:ind w:left="400" w:right="280" w:hanging="395"/>
        <w:spacing w:after="0" w:line="215" w:lineRule="auto"/>
        <w:tabs>
          <w:tab w:leader="none" w:pos="40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color w:val="auto"/>
        </w:rPr>
        <w:t xml:space="preserve">Converted into 641,335 shares of Series B Preferred all of the approximately $4.5 million outstanding balance (principal and accrued but unpaid interest) of the Senior Secured Notes we had previously issued to Platinum,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w:t>
      </w:r>
    </w:p>
    <w:p>
      <w:pPr>
        <w:spacing w:after="0" w:line="182" w:lineRule="exact"/>
        <w:rPr>
          <w:rFonts w:ascii="Arial" w:cs="Arial" w:eastAsia="Arial" w:hAnsi="Arial"/>
          <w:sz w:val="20"/>
          <w:szCs w:val="20"/>
          <w:color w:val="auto"/>
          <w:vertAlign w:val="superscript"/>
        </w:rPr>
      </w:pPr>
    </w:p>
    <w:p>
      <w:pPr>
        <w:ind w:left="400" w:right="280" w:hanging="395"/>
        <w:spacing w:after="0" w:line="215" w:lineRule="auto"/>
        <w:tabs>
          <w:tab w:leader="none" w:pos="40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82" w:lineRule="exact"/>
        <w:rPr>
          <w:rFonts w:ascii="Arial" w:cs="Arial" w:eastAsia="Arial" w:hAnsi="Arial"/>
          <w:sz w:val="20"/>
          <w:szCs w:val="20"/>
          <w:color w:val="auto"/>
          <w:vertAlign w:val="superscript"/>
        </w:rPr>
      </w:pPr>
    </w:p>
    <w:p>
      <w:pPr>
        <w:ind w:left="400" w:right="20" w:hanging="395"/>
        <w:spacing w:after="0" w:line="226" w:lineRule="auto"/>
        <w:tabs>
          <w:tab w:leader="none" w:pos="40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color w:val="auto"/>
        </w:rPr>
        <w:t>Converted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xml:space="preserve">) all of the approximately $1.3 million outstanding balance (principal and accrued but unpaid interest) of the 2014 Unit Notes that we issued to Platinum, as described previously in Note 7,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 Notes and Other Notes Payable</w:t>
      </w:r>
      <w:r>
        <w:rPr>
          <w:rFonts w:ascii="Arial" w:cs="Arial" w:eastAsia="Arial" w:hAnsi="Arial"/>
          <w:sz w:val="14"/>
          <w:szCs w:val="14"/>
          <w:color w:val="auto"/>
        </w:rPr>
        <w:t>;</w:t>
      </w:r>
    </w:p>
    <w:p>
      <w:pPr>
        <w:spacing w:after="0" w:line="183" w:lineRule="exact"/>
        <w:rPr>
          <w:rFonts w:ascii="Arial" w:cs="Arial" w:eastAsia="Arial" w:hAnsi="Arial"/>
          <w:sz w:val="20"/>
          <w:szCs w:val="20"/>
          <w:color w:val="auto"/>
          <w:vertAlign w:val="superscript"/>
        </w:rPr>
      </w:pPr>
    </w:p>
    <w:p>
      <w:pPr>
        <w:jc w:val="both"/>
        <w:ind w:left="400" w:hanging="395"/>
        <w:spacing w:after="0" w:line="242" w:lineRule="auto"/>
        <w:tabs>
          <w:tab w:leader="none" w:pos="400" w:val="left"/>
        </w:tabs>
        <w:numPr>
          <w:ilvl w:val="0"/>
          <w:numId w:val="95"/>
        </w:numPr>
        <w:rPr>
          <w:rFonts w:ascii="Arial" w:cs="Arial" w:eastAsia="Arial" w:hAnsi="Arial"/>
          <w:sz w:val="19"/>
          <w:szCs w:val="19"/>
          <w:color w:val="auto"/>
          <w:vertAlign w:val="superscript"/>
        </w:rPr>
      </w:pPr>
      <w:r>
        <w:rPr>
          <w:rFonts w:ascii="Arial" w:cs="Arial" w:eastAsia="Arial" w:hAnsi="Arial"/>
          <w:sz w:val="13"/>
          <w:szCs w:val="13"/>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3"/>
          <w:szCs w:val="13"/>
          <w:i w:val="1"/>
          <w:iCs w:val="1"/>
          <w:color w:val="auto"/>
        </w:rPr>
        <w:t>Acquired Unit Notes</w:t>
      </w:r>
      <w:r>
        <w:rPr>
          <w:rFonts w:ascii="Arial" w:cs="Arial" w:eastAsia="Arial" w:hAnsi="Arial"/>
          <w:sz w:val="13"/>
          <w:szCs w:val="13"/>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w:t>
      </w:r>
    </w:p>
    <w:p>
      <w:pPr>
        <w:spacing w:after="0" w:line="181" w:lineRule="exact"/>
        <w:rPr>
          <w:rFonts w:ascii="Arial" w:cs="Arial" w:eastAsia="Arial" w:hAnsi="Arial"/>
          <w:sz w:val="19"/>
          <w:szCs w:val="19"/>
          <w:color w:val="auto"/>
          <w:vertAlign w:val="superscript"/>
        </w:rPr>
      </w:pPr>
    </w:p>
    <w:p>
      <w:pPr>
        <w:ind w:left="400" w:right="300" w:hanging="395"/>
        <w:spacing w:after="0" w:line="228" w:lineRule="auto"/>
        <w:tabs>
          <w:tab w:leader="none" w:pos="400" w:val="left"/>
        </w:tabs>
        <w:numPr>
          <w:ilvl w:val="0"/>
          <w:numId w:val="95"/>
        </w:numPr>
        <w:rPr>
          <w:rFonts w:ascii="Arial" w:cs="Arial" w:eastAsia="Arial" w:hAnsi="Arial"/>
          <w:sz w:val="19"/>
          <w:szCs w:val="19"/>
          <w:color w:val="auto"/>
          <w:vertAlign w:val="superscript"/>
        </w:rPr>
      </w:pPr>
      <w:r>
        <w:rPr>
          <w:rFonts w:ascii="Arial" w:cs="Arial" w:eastAsia="Arial" w:hAnsi="Arial"/>
          <w:sz w:val="13"/>
          <w:szCs w:val="13"/>
          <w:color w:val="auto"/>
        </w:rPr>
        <w:t>Entered into a Securities Purchase Agreement (</w:t>
      </w:r>
      <w:r>
        <w:rPr>
          <w:rFonts w:ascii="Arial" w:cs="Arial" w:eastAsia="Arial" w:hAnsi="Arial"/>
          <w:sz w:val="13"/>
          <w:szCs w:val="13"/>
          <w:i w:val="1"/>
          <w:iCs w:val="1"/>
          <w:color w:val="auto"/>
        </w:rPr>
        <w:t>SPA</w:t>
      </w:r>
      <w:r>
        <w:rPr>
          <w:rFonts w:ascii="Arial" w:cs="Arial" w:eastAsia="Arial" w:hAnsi="Arial"/>
          <w:sz w:val="13"/>
          <w:szCs w:val="13"/>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182" w:lineRule="exact"/>
        <w:rPr>
          <w:rFonts w:ascii="Arial" w:cs="Arial" w:eastAsia="Arial" w:hAnsi="Arial"/>
          <w:sz w:val="19"/>
          <w:szCs w:val="19"/>
          <w:color w:val="auto"/>
          <w:vertAlign w:val="superscript"/>
        </w:rPr>
      </w:pPr>
    </w:p>
    <w:p>
      <w:pPr>
        <w:ind w:left="400" w:right="300" w:hanging="395"/>
        <w:spacing w:after="0" w:line="226" w:lineRule="auto"/>
        <w:tabs>
          <w:tab w:leader="none" w:pos="40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color w:val="auto"/>
        </w:rPr>
        <w:t>Amended the Platinum Warrants previously issued by us to Platinum in connection with the Senior Secured Notes and the Series A Exchange Warrant to (i) fix the exercise price thereof, (ii) eliminate the exercise price reset features and (iii) fix the number of shares of our common stock issuable thereunder, and (iv) eliminate the cashless exercise provisions from the Platinum Warrants; and</w:t>
      </w:r>
    </w:p>
    <w:p>
      <w:pPr>
        <w:spacing w:after="0" w:line="183" w:lineRule="exact"/>
        <w:rPr>
          <w:rFonts w:ascii="Arial" w:cs="Arial" w:eastAsia="Arial" w:hAnsi="Arial"/>
          <w:sz w:val="20"/>
          <w:szCs w:val="20"/>
          <w:color w:val="auto"/>
          <w:vertAlign w:val="superscript"/>
        </w:rPr>
      </w:pPr>
    </w:p>
    <w:p>
      <w:pPr>
        <w:ind w:left="400" w:right="340" w:hanging="395"/>
        <w:spacing w:after="0" w:line="215" w:lineRule="auto"/>
        <w:tabs>
          <w:tab w:leader="none" w:pos="400" w:val="left"/>
        </w:tabs>
        <w:numPr>
          <w:ilvl w:val="0"/>
          <w:numId w:val="95"/>
        </w:numPr>
        <w:rPr>
          <w:rFonts w:ascii="Arial" w:cs="Arial" w:eastAsia="Arial" w:hAnsi="Arial"/>
          <w:sz w:val="20"/>
          <w:szCs w:val="20"/>
          <w:color w:val="auto"/>
          <w:vertAlign w:val="superscript"/>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9" w:name="page210"/>
    <w:bookmarkEnd w:id="20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57" w:lineRule="auto"/>
        <w:rPr>
          <w:sz w:val="20"/>
          <w:szCs w:val="20"/>
          <w:color w:val="auto"/>
        </w:rPr>
      </w:pPr>
      <w:r>
        <w:rPr>
          <w:rFonts w:ascii="Arial" w:cs="Arial" w:eastAsia="Arial" w:hAnsi="Arial"/>
          <w:sz w:val="14"/>
          <w:szCs w:val="14"/>
          <w:color w:val="auto"/>
        </w:rPr>
        <w:t>As additional consideration for the several agreements of Platinum under the Platinum Agreement, we issued to Platinum 400,000 shares of Series B Preferred (</w:t>
      </w:r>
      <w:r>
        <w:rPr>
          <w:rFonts w:ascii="Arial" w:cs="Arial" w:eastAsia="Arial" w:hAnsi="Arial"/>
          <w:sz w:val="14"/>
          <w:szCs w:val="14"/>
          <w:i w:val="1"/>
          <w:iCs w:val="1"/>
          <w:color w:val="auto"/>
        </w:rPr>
        <w:t>Additional Consideration</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and Series B Warrants (</w:t>
      </w:r>
      <w:r>
        <w:rPr>
          <w:rFonts w:ascii="Arial" w:cs="Arial" w:eastAsia="Arial" w:hAnsi="Arial"/>
          <w:sz w:val="14"/>
          <w:szCs w:val="14"/>
          <w:i w:val="1"/>
          <w:iCs w:val="1"/>
          <w:color w:val="auto"/>
        </w:rPr>
        <w:t>Additional Consideration Warrants</w:t>
      </w:r>
      <w:r>
        <w:rPr>
          <w:rFonts w:ascii="Arial" w:cs="Arial" w:eastAsia="Arial" w:hAnsi="Arial"/>
          <w:sz w:val="14"/>
          <w:szCs w:val="14"/>
          <w:color w:val="auto"/>
        </w:rPr>
        <w:t>) to purchase 1.2 million shares of our common stock, and exchanged 30,000 shares of our common stock then beneficially owned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August 2015 Agreement with Platinum</w:t>
      </w:r>
    </w:p>
    <w:p>
      <w:pPr>
        <w:spacing w:after="0" w:line="201" w:lineRule="exact"/>
        <w:rPr>
          <w:sz w:val="20"/>
          <w:szCs w:val="20"/>
          <w:color w:val="auto"/>
        </w:rPr>
      </w:pPr>
    </w:p>
    <w:p>
      <w:pPr>
        <w:ind w:right="120" w:firstLine="511"/>
        <w:spacing w:after="0" w:line="290" w:lineRule="auto"/>
        <w:rPr>
          <w:sz w:val="20"/>
          <w:szCs w:val="20"/>
          <w:color w:val="auto"/>
        </w:rPr>
      </w:pPr>
      <w:r>
        <w:rPr>
          <w:rFonts w:ascii="Arial" w:cs="Arial" w:eastAsia="Arial" w:hAnsi="Arial"/>
          <w:sz w:val="13"/>
          <w:szCs w:val="13"/>
          <w:color w:val="auto"/>
        </w:rPr>
        <w:t>On August 3, 2015, we entered into the August 2015 Agreement with Platinum pursuant to which we agreed to sell to Platinum an additional $3.0 million of our Series B Preferred and Series B Warrants between August 15, 2015 and October 15, 2015 and issue an aggregate of 458,571 shares of Series B Preferred and Series B Warrants to purchase 458,571 shares of our common stock. Through December 31, 2015, Platinum had purchased an aggregate of $1,650,000 of Series B Preferred and Series B Warrants contemplated under the August 2015 Agreement and we had issued 235,714 shares of Series B Preferred and Series B Warrants to purchase 235,714 shares of our common stock related to such purchases.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Series B Preferred Unit Offering</w:t>
      </w:r>
    </w:p>
    <w:p>
      <w:pPr>
        <w:spacing w:after="0" w:line="205" w:lineRule="exact"/>
        <w:rPr>
          <w:sz w:val="20"/>
          <w:szCs w:val="20"/>
          <w:color w:val="auto"/>
        </w:rPr>
      </w:pPr>
    </w:p>
    <w:p>
      <w:pPr>
        <w:ind w:right="20" w:firstLine="511"/>
        <w:spacing w:after="0" w:line="263" w:lineRule="auto"/>
        <w:rPr>
          <w:sz w:val="20"/>
          <w:szCs w:val="20"/>
          <w:color w:val="auto"/>
        </w:rPr>
      </w:pPr>
      <w:r>
        <w:rPr>
          <w:rFonts w:ascii="Arial" w:cs="Arial" w:eastAsia="Arial" w:hAnsi="Arial"/>
          <w:sz w:val="14"/>
          <w:szCs w:val="14"/>
          <w:color w:val="auto"/>
        </w:rPr>
        <w:t xml:space="preserve">Between May 26, 2015 and December 31, 2015, in self-placed private placement transactions, we sold to accredited investors an aggregate of $4,397,800 of units in our Series B Preferred Unit offering, which units consist of Series B Preferred and Series B Warrants (together </w:t>
      </w:r>
      <w:r>
        <w:rPr>
          <w:rFonts w:ascii="Arial" w:cs="Arial" w:eastAsia="Arial" w:hAnsi="Arial"/>
          <w:sz w:val="14"/>
          <w:szCs w:val="14"/>
          <w:i w:val="1"/>
          <w:iCs w:val="1"/>
          <w:color w:val="auto"/>
        </w:rPr>
        <w:t>Series B Preferred Units</w:t>
      </w:r>
      <w:r>
        <w:rPr>
          <w:rFonts w:ascii="Arial" w:cs="Arial" w:eastAsia="Arial" w:hAnsi="Arial"/>
          <w:sz w:val="14"/>
          <w:szCs w:val="14"/>
          <w:color w:val="auto"/>
        </w:rPr>
        <w:t>), including $2,650,000 to Platinum, which amount includes $1,650,000 pursuant to the August 2015 Agreement with Platinum. We issued 628,264 shares of Series B Preferred and Series B Warrants to purchase 628,264 shares of our common stock. Through December 31, 2015, we received an aggregate of $4,397,800 in cash proceeds from our self-placed private placement and sale of the Series B Preferred Units.</w:t>
      </w:r>
    </w:p>
    <w:p>
      <w:pPr>
        <w:spacing w:after="0" w:line="167"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We allocated the proceeds from the sale of the Series B Preferred Units to the Series B Preferred and the Seies B Warrants based on their relative fair values on the dates of the sales. As described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in the accompanying Condensed Consolidated Statement of Operations and Comprehensive Loss for the nine months ended December 31,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for disclosure regarding additional sales of Series B Preferred Units after 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Unit Warrants</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3"/>
          </w:tcPr>
          <w:p>
            <w:pPr>
              <w:jc w:val="center"/>
              <w:spacing w:after="0" w:line="160" w:lineRule="exact"/>
              <w:rPr>
                <w:sz w:val="20"/>
                <w:szCs w:val="20"/>
                <w:color w:val="auto"/>
              </w:rPr>
            </w:pPr>
            <w:r>
              <w:rPr>
                <w:rFonts w:ascii="Arial" w:cs="Arial" w:eastAsia="Arial" w:hAnsi="Arial"/>
                <w:sz w:val="14"/>
                <w:szCs w:val="14"/>
                <w:color w:val="auto"/>
                <w:w w:val="90"/>
              </w:rPr>
              <w:t>Weighted Average Issuance Date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Valuation Assumptions</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Per Share</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Aggregate</w:t>
            </w:r>
          </w:p>
        </w:tc>
        <w:tc>
          <w:tcPr>
            <w:tcW w:w="2720" w:type="dxa"/>
            <w:vAlign w:val="bottom"/>
            <w:gridSpan w:val="2"/>
          </w:tcPr>
          <w:p>
            <w:pPr>
              <w:jc w:val="right"/>
              <w:ind w:right="169"/>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Risk free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309"/>
              <w:spacing w:after="0" w:line="149" w:lineRule="exact"/>
              <w:rPr>
                <w:sz w:val="20"/>
                <w:szCs w:val="20"/>
                <w:color w:val="auto"/>
              </w:rPr>
            </w:pPr>
            <w:r>
              <w:rPr>
                <w:rFonts w:ascii="Arial" w:cs="Arial" w:eastAsia="Arial" w:hAnsi="Arial"/>
                <w:sz w:val="14"/>
                <w:szCs w:val="14"/>
                <w:color w:val="auto"/>
                <w:w w:val="99"/>
              </w:rPr>
              <w:t>Fair</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Fair Value</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Proceeds</w:t>
            </w:r>
          </w:p>
        </w:tc>
        <w:tc>
          <w:tcPr>
            <w:tcW w:w="2720" w:type="dxa"/>
            <w:vAlign w:val="bottom"/>
            <w:gridSpan w:val="2"/>
          </w:tcPr>
          <w:p>
            <w:pPr>
              <w:jc w:val="right"/>
              <w:ind w:right="469"/>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3"/>
              </w:rPr>
              <w:t>Market</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Exercise</w:t>
            </w:r>
          </w:p>
        </w:tc>
        <w:tc>
          <w:tcPr>
            <w:tcW w:w="64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1"/>
              </w:rPr>
              <w:t>Term</w:t>
            </w:r>
          </w:p>
        </w:tc>
        <w:tc>
          <w:tcPr>
            <w:tcW w:w="66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Interest</w:t>
            </w:r>
          </w:p>
        </w:tc>
        <w:tc>
          <w:tcPr>
            <w:tcW w:w="680" w:type="dxa"/>
            <w:vAlign w:val="bottom"/>
          </w:tcPr>
          <w:p>
            <w:pPr>
              <w:spacing w:after="0"/>
              <w:rPr>
                <w:sz w:val="13"/>
                <w:szCs w:val="13"/>
                <w:color w:val="auto"/>
              </w:rPr>
            </w:pPr>
          </w:p>
        </w:tc>
        <w:tc>
          <w:tcPr>
            <w:tcW w:w="8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5"/>
              </w:rPr>
              <w:t>Dividend</w:t>
            </w:r>
          </w:p>
        </w:tc>
        <w:tc>
          <w:tcPr>
            <w:tcW w:w="1260" w:type="dxa"/>
            <w:vAlign w:val="bottom"/>
          </w:tcPr>
          <w:p>
            <w:pPr>
              <w:jc w:val="center"/>
              <w:ind w:right="309"/>
              <w:spacing w:after="0" w:line="160" w:lineRule="exact"/>
              <w:rPr>
                <w:sz w:val="20"/>
                <w:szCs w:val="20"/>
                <w:color w:val="auto"/>
              </w:rPr>
            </w:pPr>
            <w:r>
              <w:rPr>
                <w:rFonts w:ascii="Arial" w:cs="Arial" w:eastAsia="Arial" w:hAnsi="Arial"/>
                <w:sz w:val="14"/>
                <w:szCs w:val="14"/>
                <w:color w:val="auto"/>
                <w:w w:val="93"/>
              </w:rPr>
              <w:t>Value of</w:t>
            </w:r>
          </w:p>
        </w:tc>
        <w:tc>
          <w:tcPr>
            <w:tcW w:w="1340" w:type="dxa"/>
            <w:vAlign w:val="bottom"/>
            <w:gridSpan w:val="2"/>
          </w:tcPr>
          <w:p>
            <w:pPr>
              <w:jc w:val="center"/>
              <w:ind w:right="380"/>
              <w:spacing w:after="0" w:line="160" w:lineRule="exact"/>
              <w:rPr>
                <w:sz w:val="20"/>
                <w:szCs w:val="20"/>
                <w:color w:val="auto"/>
              </w:rPr>
            </w:pPr>
            <w:r>
              <w:rPr>
                <w:rFonts w:ascii="Arial" w:cs="Arial" w:eastAsia="Arial" w:hAnsi="Arial"/>
                <w:sz w:val="14"/>
                <w:szCs w:val="14"/>
                <w:color w:val="auto"/>
                <w:w w:val="98"/>
              </w:rPr>
              <w:t>of Unit</w:t>
            </w:r>
          </w:p>
        </w:tc>
        <w:tc>
          <w:tcPr>
            <w:tcW w:w="112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8"/>
              </w:rPr>
              <w:t>of Unit</w:t>
            </w: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89"/>
              <w:spacing w:after="0" w:line="160" w:lineRule="exact"/>
              <w:rPr>
                <w:sz w:val="20"/>
                <w:szCs w:val="20"/>
                <w:color w:val="auto"/>
              </w:rPr>
            </w:pPr>
            <w:r>
              <w:rPr>
                <w:rFonts w:ascii="Arial" w:cs="Arial" w:eastAsia="Arial" w:hAnsi="Arial"/>
                <w:sz w:val="14"/>
                <w:szCs w:val="14"/>
                <w:color w:val="auto"/>
              </w:rPr>
              <w:t>Unit</w:t>
            </w: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Issued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6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Price</w:t>
            </w:r>
          </w:p>
        </w:tc>
        <w:tc>
          <w:tcPr>
            <w:tcW w:w="6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(Years)</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Rate</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Volatility</w:t>
            </w: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26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color w:val="auto"/>
                <w:w w:val="88"/>
              </w:rPr>
              <w:t>Warrant</w:t>
            </w: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7"/>
              </w:rPr>
              <w:t>Warrants</w:t>
            </w: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5"/>
              </w:rPr>
              <w:t>Sales</w:t>
            </w:r>
          </w:p>
        </w:tc>
        <w:tc>
          <w:tcPr>
            <w:tcW w:w="15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Unit Stock</w:t>
            </w:r>
          </w:p>
        </w:tc>
        <w:tc>
          <w:tcPr>
            <w:tcW w:w="12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2"/>
              </w:rPr>
              <w:t>Warrant</w:t>
            </w:r>
          </w:p>
        </w:tc>
      </w:tr>
      <w:tr>
        <w:trPr>
          <w:trHeight w:val="170"/>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6"/>
              </w:rPr>
              <w:t>628,264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$ 10.86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$ 7.72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$ 4,849,100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$ 4,397,800</w:t>
            </w:r>
          </w:p>
        </w:tc>
        <w:tc>
          <w:tcPr>
            <w:tcW w:w="15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$ 2,585,900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$ 1,811,900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for Common Stock underlying Series B Preferred and Series B Warrants</w:t>
      </w:r>
    </w:p>
    <w:p>
      <w:pPr>
        <w:spacing w:after="0" w:line="205" w:lineRule="exact"/>
        <w:rPr>
          <w:sz w:val="20"/>
          <w:szCs w:val="20"/>
          <w:color w:val="auto"/>
        </w:rPr>
      </w:pPr>
    </w:p>
    <w:p>
      <w:pPr>
        <w:ind w:right="100" w:firstLine="511"/>
        <w:spacing w:after="0" w:line="283" w:lineRule="auto"/>
        <w:rPr>
          <w:sz w:val="20"/>
          <w:szCs w:val="20"/>
          <w:color w:val="auto"/>
        </w:rPr>
      </w:pPr>
      <w:r>
        <w:rPr>
          <w:rFonts w:ascii="Arial" w:cs="Arial" w:eastAsia="Arial" w:hAnsi="Arial"/>
          <w:sz w:val="13"/>
          <w:szCs w:val="13"/>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3"/>
          <w:szCs w:val="13"/>
          <w:i w:val="1"/>
          <w:iCs w:val="1"/>
          <w:color w:val="auto"/>
        </w:rPr>
        <w:t>Registration Statement</w:t>
      </w:r>
      <w:r>
        <w:rPr>
          <w:rFonts w:ascii="Arial" w:cs="Arial" w:eastAsia="Arial" w:hAnsi="Arial"/>
          <w:sz w:val="13"/>
          <w:szCs w:val="13"/>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0" w:name="page211"/>
    <w:bookmarkEnd w:id="21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to Common Stock</w:t>
      </w:r>
    </w:p>
    <w:p>
      <w:pPr>
        <w:spacing w:after="0" w:line="205" w:lineRule="exact"/>
        <w:rPr>
          <w:sz w:val="20"/>
          <w:szCs w:val="20"/>
          <w:color w:val="auto"/>
        </w:rPr>
      </w:pPr>
    </w:p>
    <w:p>
      <w:pPr>
        <w:ind w:right="100" w:firstLine="511"/>
        <w:spacing w:after="0" w:line="323" w:lineRule="auto"/>
        <w:rPr>
          <w:sz w:val="20"/>
          <w:szCs w:val="20"/>
          <w:color w:val="auto"/>
        </w:rPr>
      </w:pPr>
      <w:r>
        <w:rPr>
          <w:rFonts w:ascii="Arial" w:cs="Arial" w:eastAsia="Arial" w:hAnsi="Arial"/>
          <w:sz w:val="13"/>
          <w:szCs w:val="13"/>
          <w:color w:val="auto"/>
        </w:rPr>
        <w:t>Between September 2015 and December 31, 2015, holders of an aggregate of 213,318 shares of Series B Preferred converted such shares into an equivalent number of registered shares of our common stock. Additionally, we issued an aggregate of 5,976 shares of our restricted common stock in payment of $43,500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20" w:firstLine="511"/>
        <w:spacing w:after="0" w:line="278" w:lineRule="auto"/>
        <w:rPr>
          <w:sz w:val="20"/>
          <w:szCs w:val="20"/>
          <w:color w:val="auto"/>
        </w:rPr>
      </w:pPr>
      <w:r>
        <w:rPr>
          <w:rFonts w:ascii="Arial" w:cs="Arial" w:eastAsia="Arial" w:hAnsi="Arial"/>
          <w:sz w:val="13"/>
          <w:szCs w:val="13"/>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and $675,000 expensed as a component of general and administrative expense in the three and nine months ended December 31, 2015, respectively.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 During the quarter ended December 31, 2015, we issued warrants to purchase an aggregate of 45,000 shares of our unregistered common stock to four parties as compensation under certain investment banking agreements. We valued the warrants granted on the dates indicated using the Black 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11/23/2015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12/11/2015</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77.95%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416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4.22</w:t>
            </w:r>
          </w:p>
        </w:tc>
        <w:tc>
          <w:tcPr>
            <w:tcW w:w="5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2.12</w:t>
            </w:r>
          </w:p>
        </w:tc>
      </w:tr>
      <w:tr>
        <w:trPr>
          <w:trHeight w:val="170"/>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granted</w:t>
            </w:r>
          </w:p>
        </w:tc>
        <w:tc>
          <w:tcPr>
            <w:tcW w:w="4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7,500</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37,500</w:t>
            </w:r>
          </w:p>
        </w:tc>
      </w:tr>
      <w:tr>
        <w:trPr>
          <w:trHeight w:val="180"/>
        </w:trPr>
        <w:tc>
          <w:tcPr>
            <w:tcW w:w="5080" w:type="dxa"/>
            <w:vAlign w:val="bottom"/>
          </w:tcPr>
          <w:p>
            <w:pPr>
              <w:spacing w:after="0"/>
              <w:rPr>
                <w:sz w:val="20"/>
                <w:szCs w:val="20"/>
                <w:color w:val="auto"/>
              </w:rPr>
            </w:pPr>
            <w:r>
              <w:rPr>
                <w:rFonts w:ascii="Arial" w:cs="Arial" w:eastAsia="Arial" w:hAnsi="Arial"/>
                <w:sz w:val="14"/>
                <w:szCs w:val="14"/>
                <w:color w:val="auto"/>
              </w:rPr>
              <w:t>Expense recognized</w:t>
            </w:r>
          </w:p>
        </w:tc>
        <w:tc>
          <w:tcPr>
            <w:tcW w:w="41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31,700</w:t>
            </w: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79,600</w:t>
            </w:r>
          </w:p>
        </w:tc>
      </w:tr>
    </w:tbl>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connection with the November 2015 warrant grant, we also issued 15,750 shares of unregistered common stock valued at $106,300 and, in connection with the December 11, 2015 warrant grant, we made a cash payment of $20,000. We recognized an aggregate of $237,600 in general and administrative expense during the quarter ended December 31, 2015 attributable to these agreements, of which $20,000 was cash.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Warrants</w:t>
      </w:r>
    </w:p>
    <w:p>
      <w:pPr>
        <w:spacing w:after="0" w:line="205" w:lineRule="exact"/>
        <w:rPr>
          <w:sz w:val="20"/>
          <w:szCs w:val="20"/>
          <w:color w:val="auto"/>
        </w:rPr>
      </w:pPr>
    </w:p>
    <w:p>
      <w:pPr>
        <w:ind w:right="180" w:firstLine="511"/>
        <w:spacing w:after="0" w:line="314"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and Other Notes Payable, </w:t>
      </w:r>
      <w:r>
        <w:rPr>
          <w:rFonts w:ascii="Arial" w:cs="Arial" w:eastAsia="Arial" w:hAnsi="Arial"/>
          <w:sz w:val="12"/>
          <w:szCs w:val="12"/>
          <w:color w:val="auto"/>
        </w:rPr>
        <w:t>on June 10, 2015, we modified certain other outstanding warrants to purchase an aggregate of 54,576 shares of our common stock to reduce their exercise price.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4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11.92</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0.83%</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2.26</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Dividend rate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44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440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3.79</w:t>
            </w:r>
          </w:p>
        </w:tc>
      </w:tr>
      <w:tr>
        <w:trPr>
          <w:trHeight w:val="464"/>
        </w:trPr>
        <w:tc>
          <w:tcPr>
            <w:tcW w:w="4400" w:type="dxa"/>
            <w:vAlign w:val="bottom"/>
          </w:tcPr>
          <w:p>
            <w:pPr>
              <w:spacing w:after="0"/>
              <w:rPr>
                <w:sz w:val="24"/>
                <w:szCs w:val="24"/>
                <w:color w:val="auto"/>
              </w:rPr>
            </w:pPr>
          </w:p>
        </w:tc>
        <w:tc>
          <w:tcPr>
            <w:tcW w:w="4560" w:type="dxa"/>
            <w:vAlign w:val="bottom"/>
            <w:gridSpan w:val="3"/>
          </w:tcPr>
          <w:p>
            <w:pPr>
              <w:jc w:val="right"/>
              <w:ind w:right="3100"/>
              <w:spacing w:after="0"/>
              <w:rPr>
                <w:sz w:val="20"/>
                <w:szCs w:val="20"/>
                <w:color w:val="auto"/>
              </w:rPr>
            </w:pPr>
            <w:r>
              <w:rPr>
                <w:rFonts w:ascii="Arial" w:cs="Arial" w:eastAsia="Arial" w:hAnsi="Arial"/>
                <w:sz w:val="14"/>
                <w:szCs w:val="14"/>
                <w:color w:val="auto"/>
              </w:rPr>
              <w:t>F-70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2"/>
        </w:trPr>
        <w:tc>
          <w:tcPr>
            <w:tcW w:w="4400" w:type="dxa"/>
            <w:vAlign w:val="bottom"/>
            <w:tcBorders>
              <w:bottom w:val="single" w:sz="8" w:color="808080"/>
            </w:tcBorders>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1" w:name="page212"/>
    <w:bookmarkEnd w:id="21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Grants and Modifications</w:t>
      </w:r>
    </w:p>
    <w:p>
      <w:pPr>
        <w:spacing w:after="0" w:line="205" w:lineRule="exact"/>
        <w:rPr>
          <w:sz w:val="20"/>
          <w:szCs w:val="20"/>
          <w:color w:val="auto"/>
        </w:rPr>
      </w:pPr>
    </w:p>
    <w:p>
      <w:pPr>
        <w:ind w:right="120" w:firstLine="511"/>
        <w:spacing w:after="0" w:line="259" w:lineRule="auto"/>
        <w:rPr>
          <w:sz w:val="20"/>
          <w:szCs w:val="20"/>
          <w:color w:val="auto"/>
        </w:rPr>
      </w:pPr>
      <w:r>
        <w:rPr>
          <w:rFonts w:ascii="Arial" w:cs="Arial" w:eastAsia="Arial" w:hAnsi="Arial"/>
          <w:sz w:val="14"/>
          <w:szCs w:val="14"/>
          <w:color w:val="auto"/>
        </w:rPr>
        <w:t>On September 2, 2015, when the market price of our common stock was $9.11 per share, our Board of Directors (</w:t>
      </w:r>
      <w:r>
        <w:rPr>
          <w:rFonts w:ascii="Arial" w:cs="Arial" w:eastAsia="Arial" w:hAnsi="Arial"/>
          <w:sz w:val="14"/>
          <w:szCs w:val="14"/>
          <w:i w:val="1"/>
          <w:iCs w:val="1"/>
          <w:color w:val="auto"/>
        </w:rPr>
        <w:t>Board</w:t>
      </w:r>
      <w:r>
        <w:rPr>
          <w:rFonts w:ascii="Arial" w:cs="Arial" w:eastAsia="Arial" w:hAnsi="Arial"/>
          <w:sz w:val="14"/>
          <w:szCs w:val="14"/>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Arial" w:cs="Arial" w:eastAsia="Arial" w:hAnsi="Arial"/>
          <w:sz w:val="14"/>
          <w:szCs w:val="14"/>
          <w:i w:val="1"/>
          <w:iCs w:val="1"/>
          <w:color w:val="auto"/>
        </w:rPr>
        <w:t>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We recognized non-cash research and development and general and administrative stock compensation expense in the amounts of $852,200 and $2,840,700,</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attributable to the warrant grants in the quarter ended September 30, 2015, which amounts are reflected in the accompanying Condensed Consolidated Statement of Operations and Comprehensive Loss.</w:t>
      </w:r>
    </w:p>
    <w:p>
      <w:pPr>
        <w:spacing w:after="0" w:line="171" w:lineRule="exact"/>
        <w:rPr>
          <w:sz w:val="20"/>
          <w:szCs w:val="20"/>
          <w:color w:val="auto"/>
        </w:rPr>
      </w:pPr>
    </w:p>
    <w:p>
      <w:pPr>
        <w:ind w:right="20" w:firstLine="511"/>
        <w:spacing w:after="0" w:line="308" w:lineRule="auto"/>
        <w:rPr>
          <w:sz w:val="20"/>
          <w:szCs w:val="20"/>
          <w:color w:val="auto"/>
        </w:rPr>
      </w:pPr>
      <w:r>
        <w:rPr>
          <w:rFonts w:ascii="Arial" w:cs="Arial" w:eastAsia="Arial" w:hAnsi="Arial"/>
          <w:sz w:val="12"/>
          <w:szCs w:val="12"/>
          <w:color w:val="auto"/>
        </w:rPr>
        <w:t>On November 11, 2015, when the market price of our common stock was $6.50 per share, our Board authorized the modification of outstanding warrants to purchase an aggregate of 1,123,533 shares of our common stock, including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Condensed Consolidated Statements of Operations and Comprehensive Loss for the quarter ended December 31, 2015, and the remaining $135,100 as a component of research and development expense in the same period. The warrants subject to the exercise price modifications were valued using the Black-Scholes Option Pricing Model and the following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5.13</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5.16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4.08</w:t>
            </w:r>
          </w:p>
        </w:tc>
      </w:tr>
      <w:tr>
        <w:trPr>
          <w:trHeight w:val="326"/>
        </w:trPr>
        <w:tc>
          <w:tcPr>
            <w:tcW w:w="8720" w:type="dxa"/>
            <w:vAlign w:val="bottom"/>
          </w:tcPr>
          <w:p>
            <w:pPr>
              <w:spacing w:after="0"/>
              <w:rPr>
                <w:sz w:val="20"/>
                <w:szCs w:val="20"/>
                <w:color w:val="auto"/>
              </w:rPr>
            </w:pPr>
            <w:r>
              <w:rPr>
                <w:rFonts w:ascii="Arial" w:cs="Arial" w:eastAsia="Arial" w:hAnsi="Arial"/>
                <w:sz w:val="14"/>
                <w:szCs w:val="14"/>
                <w:b w:val="1"/>
                <w:bCs w:val="1"/>
                <w:color w:val="auto"/>
              </w:rPr>
              <w:t>Warrants Outstanding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p>
      <w:pPr>
        <w:ind w:right="680" w:firstLine="511"/>
        <w:spacing w:after="0" w:line="283" w:lineRule="auto"/>
        <w:rPr>
          <w:sz w:val="20"/>
          <w:szCs w:val="20"/>
          <w:color w:val="auto"/>
        </w:rPr>
      </w:pPr>
      <w:r>
        <w:rPr>
          <w:rFonts w:ascii="Arial" w:cs="Arial" w:eastAsia="Arial" w:hAnsi="Arial"/>
          <w:sz w:val="14"/>
          <w:szCs w:val="14"/>
          <w:color w:val="auto"/>
        </w:rPr>
        <w:t>Following the Series B Warrant issuances and other warrant grants and modifications described above, at December 31, 2015, we had outstanding warrants to purchase shares of our unregistered common stock at a weighted average exercise price of $7.81 per share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6"/>
              </w:rPr>
              <w:t>Exercise</w:t>
            </w: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to Purchase at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3"/>
              </w:rPr>
              <w:t>Price</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2"/>
              </w:rPr>
              <w:t>per Share</w:t>
            </w:r>
          </w:p>
        </w:tc>
        <w:tc>
          <w:tcPr>
            <w:tcW w:w="3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18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7.00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9/30/2017 to 3/3/2023</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4,169,645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9.25</w:t>
            </w:r>
          </w:p>
        </w:tc>
        <w:tc>
          <w:tcPr>
            <w:tcW w:w="4920" w:type="dxa"/>
            <w:vAlign w:val="bottom"/>
            <w:gridSpan w:val="2"/>
          </w:tcPr>
          <w:p>
            <w:pPr>
              <w:jc w:val="center"/>
              <w:ind w:left="3189"/>
              <w:spacing w:after="0"/>
              <w:rPr>
                <w:sz w:val="20"/>
                <w:szCs w:val="20"/>
                <w:color w:val="auto"/>
              </w:rPr>
            </w:pPr>
            <w:r>
              <w:rPr>
                <w:rFonts w:ascii="Arial" w:cs="Arial" w:eastAsia="Arial" w:hAnsi="Arial"/>
                <w:sz w:val="14"/>
                <w:szCs w:val="14"/>
                <w:color w:val="auto"/>
                <w:w w:val="91"/>
              </w:rPr>
              <w:t>9/2/2020</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10.00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1/31/2016 to 1/11/2020</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554,915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15.00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2/14/2018 to 3/4/2018</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75,389</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20.00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7/30/2016 to 9/15/2019</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115,448</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30.00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2/13/2016 to 11/20/2017</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72"/>
        </w:trPr>
        <w:tc>
          <w:tcPr>
            <w:tcW w:w="6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4,971,497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gridSpan w:val="2"/>
            <w:vMerge w:val="restart"/>
          </w:tcPr>
          <w:p>
            <w:pPr>
              <w:ind w:left="1800"/>
              <w:spacing w:after="0"/>
              <w:rPr>
                <w:sz w:val="20"/>
                <w:szCs w:val="20"/>
                <w:color w:val="auto"/>
              </w:rPr>
            </w:pPr>
            <w:r>
              <w:rPr>
                <w:rFonts w:ascii="Arial" w:cs="Arial" w:eastAsia="Arial" w:hAnsi="Arial"/>
                <w:sz w:val="14"/>
                <w:szCs w:val="14"/>
                <w:color w:val="auto"/>
              </w:rPr>
              <w:t>F-71</w:t>
            </w:r>
          </w:p>
        </w:tc>
        <w:tc>
          <w:tcPr>
            <w:tcW w:w="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92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2" w:name="page213"/>
    <w:bookmarkEnd w:id="21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Related Party Transactions</w:t>
      </w:r>
    </w:p>
    <w:p>
      <w:pPr>
        <w:spacing w:after="0" w:line="205"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Cato Holding Company,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is one the largest institutional holders of our common stock at December 31, 2015. In October 2012, we issued a 7.5% promissory note (</w:t>
      </w:r>
      <w:r>
        <w:rPr>
          <w:rFonts w:ascii="Arial" w:cs="Arial" w:eastAsia="Arial" w:hAnsi="Arial"/>
          <w:sz w:val="14"/>
          <w:szCs w:val="14"/>
          <w:i w:val="1"/>
          <w:iCs w:val="1"/>
          <w:color w:val="auto"/>
        </w:rPr>
        <w:t>CHC Note</w:t>
      </w:r>
      <w:r>
        <w:rPr>
          <w:rFonts w:ascii="Arial" w:cs="Arial" w:eastAsia="Arial" w:hAnsi="Arial"/>
          <w:sz w:val="14"/>
          <w:szCs w:val="14"/>
          <w:color w:val="auto"/>
        </w:rPr>
        <w:t>) and a warrant (</w:t>
      </w:r>
      <w:r>
        <w:rPr>
          <w:rFonts w:ascii="Arial" w:cs="Arial" w:eastAsia="Arial" w:hAnsi="Arial"/>
          <w:sz w:val="14"/>
          <w:szCs w:val="14"/>
          <w:i w:val="1"/>
          <w:iCs w:val="1"/>
          <w:color w:val="auto"/>
        </w:rPr>
        <w:t>CHC Warrant</w:t>
      </w:r>
      <w:r>
        <w:rPr>
          <w:rFonts w:ascii="Arial" w:cs="Arial" w:eastAsia="Arial" w:hAnsi="Arial"/>
          <w:sz w:val="14"/>
          <w:szCs w:val="14"/>
          <w:color w:val="auto"/>
        </w:rPr>
        <w:t xml:space="preserve">) to CHC in settlement of prior indebtedness. As disclosed in Note 7, </w:t>
      </w:r>
      <w:r>
        <w:rPr>
          <w:rFonts w:ascii="Arial" w:cs="Arial" w:eastAsia="Arial" w:hAnsi="Arial"/>
          <w:sz w:val="14"/>
          <w:szCs w:val="14"/>
          <w:i w:val="1"/>
          <w:iCs w:val="1"/>
          <w:color w:val="auto"/>
        </w:rPr>
        <w:t>Convertible Promissory 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during June 2015, the outstanding balance of the CHC Note was converted into shares of our Series B Preferred and we reduced the exercise price of the CHC Warrant from</w:t>
      </w:r>
      <w:r>
        <w:rPr>
          <w:rFonts w:ascii="Arial" w:cs="Arial" w:eastAsia="Arial" w:hAnsi="Arial"/>
          <w:sz w:val="14"/>
          <w:szCs w:val="14"/>
          <w:i w:val="1"/>
          <w:iCs w:val="1"/>
          <w:color w:val="auto"/>
        </w:rPr>
        <w:t xml:space="preserve"> </w:t>
      </w:r>
      <w:r>
        <w:rPr>
          <w:rFonts w:ascii="Arial" w:cs="Arial" w:eastAsia="Arial" w:hAnsi="Arial"/>
          <w:sz w:val="14"/>
          <w:szCs w:val="14"/>
          <w:color w:val="auto"/>
        </w:rPr>
        <w:t>$30.00 per share to $7.00 per share. Total interest expense, including amortization of note discount, on the CHC Note was $0 and $7,400 for the quarters ended December 31, 2015 and 2014, respectively, and $4,700 and $22,500 in the nine month periods ended December 31, 2015 and 2014, respectively.</w:t>
      </w:r>
    </w:p>
    <w:p>
      <w:pPr>
        <w:spacing w:after="0" w:line="168" w:lineRule="exact"/>
        <w:rPr>
          <w:sz w:val="20"/>
          <w:szCs w:val="20"/>
          <w:color w:val="auto"/>
        </w:rPr>
      </w:pPr>
    </w:p>
    <w:p>
      <w:pPr>
        <w:ind w:right="240" w:firstLine="511"/>
        <w:spacing w:after="0" w:line="263" w:lineRule="auto"/>
        <w:rPr>
          <w:sz w:val="20"/>
          <w:szCs w:val="20"/>
          <w:color w:val="auto"/>
        </w:rPr>
      </w:pPr>
      <w:r>
        <w:rPr>
          <w:rFonts w:ascii="Arial" w:cs="Arial" w:eastAsia="Arial" w:hAnsi="Arial"/>
          <w:sz w:val="14"/>
          <w:szCs w:val="14"/>
          <w:color w:val="auto"/>
        </w:rPr>
        <w:t>During fiscal year 2007, we entered into a master contract research, development and regulatory service arrangement with CRL, a contract research organization (</w:t>
      </w:r>
      <w:r>
        <w:rPr>
          <w:rFonts w:ascii="Arial" w:cs="Arial" w:eastAsia="Arial" w:hAnsi="Arial"/>
          <w:sz w:val="14"/>
          <w:szCs w:val="14"/>
          <w:i w:val="1"/>
          <w:iCs w:val="1"/>
          <w:color w:val="auto"/>
        </w:rPr>
        <w:t>CRO</w:t>
      </w:r>
      <w:r>
        <w:rPr>
          <w:rFonts w:ascii="Arial" w:cs="Arial" w:eastAsia="Arial" w:hAnsi="Arial"/>
          <w:sz w:val="14"/>
          <w:szCs w:val="14"/>
          <w:color w:val="auto"/>
        </w:rPr>
        <w:t>), related to the development of AV-101, our orally available small molecule prodrug candidate now in Phase 2 clinical development for Major Depressive Disorder, and subsequent other projects under which we incurred expenses of $19,400 and $7,500 for the quarters ended December 31, 2015 and 2014, respectively, and $41,500 and $22,500 in the nine month periods ended December 31, 2015 and 2014, respectively.</w:t>
      </w:r>
    </w:p>
    <w:p>
      <w:pPr>
        <w:spacing w:after="0" w:line="167"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In October 2012, we issued to CRL (i) a 7.5% promissory note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development and regulatory services and advice (</w:t>
      </w:r>
      <w:r>
        <w:rPr>
          <w:rFonts w:ascii="Arial" w:cs="Arial" w:eastAsia="Arial" w:hAnsi="Arial"/>
          <w:sz w:val="14"/>
          <w:szCs w:val="14"/>
          <w:i w:val="1"/>
          <w:iCs w:val="1"/>
          <w:color w:val="auto"/>
        </w:rPr>
        <w:t>CRO Services</w:t>
      </w:r>
      <w:r>
        <w:rPr>
          <w:rFonts w:ascii="Arial" w:cs="Arial" w:eastAsia="Arial" w:hAnsi="Arial"/>
          <w:sz w:val="14"/>
          <w:szCs w:val="14"/>
          <w:color w:val="auto"/>
        </w:rPr>
        <w:t>) rendered by CRL to us through December 31, 2012 with respect to certain AV-101 preclinical and clinical development and regulatory activities, and (ii) a warrant (</w:t>
      </w:r>
      <w:r>
        <w:rPr>
          <w:rFonts w:ascii="Arial" w:cs="Arial" w:eastAsia="Arial" w:hAnsi="Arial"/>
          <w:sz w:val="14"/>
          <w:szCs w:val="14"/>
          <w:i w:val="1"/>
          <w:iCs w:val="1"/>
          <w:color w:val="auto"/>
        </w:rPr>
        <w:t>CRL Warrant</w:t>
      </w:r>
      <w:r>
        <w:rPr>
          <w:rFonts w:ascii="Arial" w:cs="Arial" w:eastAsia="Arial" w:hAnsi="Arial"/>
          <w:sz w:val="14"/>
          <w:szCs w:val="14"/>
          <w:color w:val="auto"/>
        </w:rPr>
        <w:t xml:space="preserve">). As disclosed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$0 and $36,300 for the quarters ended December 31, 2015 and 2014, respectively, and $23,500 and $109,900 for the nine month periods ended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w:t>
      </w:r>
    </w:p>
    <w:p>
      <w:pPr>
        <w:spacing w:after="0" w:line="205" w:lineRule="exact"/>
        <w:rPr>
          <w:sz w:val="20"/>
          <w:szCs w:val="20"/>
          <w:color w:val="auto"/>
        </w:rPr>
      </w:pPr>
    </w:p>
    <w:p>
      <w:pPr>
        <w:ind w:right="60" w:firstLine="511"/>
        <w:spacing w:after="0" w:line="268" w:lineRule="auto"/>
        <w:rPr>
          <w:sz w:val="20"/>
          <w:szCs w:val="20"/>
          <w:color w:val="auto"/>
        </w:rPr>
      </w:pPr>
      <w:r>
        <w:rPr>
          <w:rFonts w:ascii="Arial" w:cs="Arial" w:eastAsia="Arial" w:hAnsi="Arial"/>
          <w:sz w:val="14"/>
          <w:szCs w:val="14"/>
          <w:color w:val="auto"/>
        </w:rPr>
        <w:t>Between January 1, 2016 and February 12, 2016, in self-placed private placement transactions, we sold to accredited investors Series B Preferred Units consisting of (i) an aggregate of 18,286 shares of our Series B Preferred and (ii) Series B Warrants to purchase an aggregate of 18,286 shares of our common stock at an exercise price of $7.00 per share. We received cash proceeds of $128,000 from these sales of Series B Preferred Units.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into Common Stock</w:t>
      </w:r>
    </w:p>
    <w:p>
      <w:pPr>
        <w:spacing w:after="0" w:line="205" w:lineRule="exact"/>
        <w:rPr>
          <w:sz w:val="20"/>
          <w:szCs w:val="20"/>
          <w:color w:val="auto"/>
        </w:rPr>
      </w:pPr>
    </w:p>
    <w:p>
      <w:pPr>
        <w:ind w:right="260" w:firstLine="511"/>
        <w:spacing w:after="0" w:line="323" w:lineRule="auto"/>
        <w:rPr>
          <w:sz w:val="20"/>
          <w:szCs w:val="20"/>
          <w:color w:val="auto"/>
        </w:rPr>
      </w:pPr>
      <w:r>
        <w:rPr>
          <w:rFonts w:ascii="Arial" w:cs="Arial" w:eastAsia="Arial" w:hAnsi="Arial"/>
          <w:sz w:val="13"/>
          <w:szCs w:val="13"/>
          <w:color w:val="auto"/>
        </w:rPr>
        <w:t>Between January 1, 2016 and February 12, 2016, holders of an aggregate of 13,500 shares of Series B Preferred converted such shares into an equivalent number of registered shares of our common stock. Additionally, we issued an aggregate of 716 shares of our restricted common stock in payment of $6,200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C Convertible Preferred Stock</w:t>
      </w:r>
    </w:p>
    <w:p>
      <w:pPr>
        <w:spacing w:after="0" w:line="205"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On January 13, 2016, our Board authorized the creation of, and effective January 25, 2016, we filed a Certificate of Designation of the Relative Rights and Preferences of the Series C Convertible Preferred Stock of VistaGen Therapeutics, Inc. the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xml:space="preserve"> with the Nevada Secretary of State to designate, 3.0 million shares of our preferred stock, par value $0.001 per share, as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Upon liquidation, each share of Series C Preferred ranks pari-passu with our Series B Preferred and our Series A Convertible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 and is convertible, at the option of the holder into one share of our common stock, subject to certain beneficial ownership limitations as set forth in the Certificate of Designation. Shares of the Series C Preferred do not accrue dividends, and holders of the Series C Preferred have no voting rights. Each share of Series C Preferred is convertible into one (1) share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w:t>
      </w:r>
    </w:p>
    <w:p>
      <w:pPr>
        <w:spacing w:after="0" w:line="205"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On January 25, 2016, we entered into an Exchange Agreement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with Platinum and Montsant Partners, LLC, an organization affiliated with Platinum (</w:t>
      </w:r>
      <w:r>
        <w:rPr>
          <w:rFonts w:ascii="Arial" w:cs="Arial" w:eastAsia="Arial" w:hAnsi="Arial"/>
          <w:sz w:val="14"/>
          <w:szCs w:val="14"/>
          <w:i w:val="1"/>
          <w:iCs w:val="1"/>
          <w:color w:val="auto"/>
        </w:rPr>
        <w:t>Montsant)</w:t>
      </w:r>
      <w:r>
        <w:rPr>
          <w:rFonts w:ascii="Arial" w:cs="Arial" w:eastAsia="Arial" w:hAnsi="Arial"/>
          <w:sz w:val="14"/>
          <w:szCs w:val="14"/>
          <w:color w:val="auto"/>
        </w:rPr>
        <w:t xml:space="preserve"> and, together with Platinum, the (</w:t>
      </w:r>
      <w:r>
        <w:rPr>
          <w:rFonts w:ascii="Arial" w:cs="Arial" w:eastAsia="Arial" w:hAnsi="Arial"/>
          <w:sz w:val="14"/>
          <w:szCs w:val="14"/>
          <w:i w:val="1"/>
          <w:iCs w:val="1"/>
          <w:color w:val="auto"/>
        </w:rPr>
        <w:t>Holders)</w:t>
      </w:r>
      <w:r>
        <w:rPr>
          <w:rFonts w:ascii="Arial" w:cs="Arial" w:eastAsia="Arial" w:hAnsi="Arial"/>
          <w:sz w:val="14"/>
          <w:szCs w:val="14"/>
          <w:color w:val="auto"/>
        </w:rPr>
        <w:t>, pursuant to which (i) 200,000 shares of our common stock held by the Holders were exchanged for 200,000 shares of Series C Preferred; (ii) the Holders canceled 2,368,658 warrants previously issued to them by the Company the (</w:t>
      </w:r>
      <w:r>
        <w:rPr>
          <w:rFonts w:ascii="Arial" w:cs="Arial" w:eastAsia="Arial" w:hAnsi="Arial"/>
          <w:sz w:val="14"/>
          <w:szCs w:val="14"/>
          <w:i w:val="1"/>
          <w:iCs w:val="1"/>
          <w:color w:val="auto"/>
        </w:rPr>
        <w:t>Warrants)</w:t>
      </w:r>
      <w:r>
        <w:rPr>
          <w:rFonts w:ascii="Arial" w:cs="Arial" w:eastAsia="Arial" w:hAnsi="Arial"/>
          <w:sz w:val="14"/>
          <w:szCs w:val="14"/>
          <w:color w:val="auto"/>
        </w:rPr>
        <w:t xml:space="preserve"> in exchange for a total of 1,776,494 shares of Series C Preferred. In addition, Platinum terminated its right under the Note Exchange and Purchase Agreement, originally dated October 11, 2012 the (</w:t>
      </w:r>
      <w:r>
        <w:rPr>
          <w:rFonts w:ascii="Arial" w:cs="Arial" w:eastAsia="Arial" w:hAnsi="Arial"/>
          <w:sz w:val="14"/>
          <w:szCs w:val="14"/>
          <w:i w:val="1"/>
          <w:iCs w:val="1"/>
          <w:color w:val="auto"/>
        </w:rPr>
        <w:t>NEPA)</w:t>
      </w:r>
      <w:r>
        <w:rPr>
          <w:rFonts w:ascii="Arial" w:cs="Arial" w:eastAsia="Arial" w:hAnsi="Arial"/>
          <w:sz w:val="14"/>
          <w:szCs w:val="14"/>
          <w:color w:val="auto"/>
        </w:rPr>
        <w:t>, as amended, to receive warrants (</w:t>
      </w:r>
      <w:r>
        <w:rPr>
          <w:rFonts w:ascii="Arial" w:cs="Arial" w:eastAsia="Arial" w:hAnsi="Arial"/>
          <w:sz w:val="14"/>
          <w:szCs w:val="14"/>
          <w:i w:val="1"/>
          <w:iCs w:val="1"/>
          <w:color w:val="auto"/>
        </w:rPr>
        <w:t>Series A Warrants)</w:t>
      </w:r>
      <w:r>
        <w:rPr>
          <w:rFonts w:ascii="Arial" w:cs="Arial" w:eastAsia="Arial" w:hAnsi="Arial"/>
          <w:sz w:val="14"/>
          <w:szCs w:val="14"/>
          <w:color w:val="auto"/>
        </w:rPr>
        <w:t xml:space="preserve">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73" w:lineRule="exact"/>
        <w:rPr>
          <w:sz w:val="20"/>
          <w:szCs w:val="20"/>
          <w:color w:val="auto"/>
        </w:rPr>
      </w:pPr>
    </w:p>
    <w:p>
      <w:pPr>
        <w:jc w:val="both"/>
        <w:ind w:right="100" w:firstLine="511"/>
        <w:spacing w:after="0" w:line="268" w:lineRule="auto"/>
        <w:rPr>
          <w:sz w:val="20"/>
          <w:szCs w:val="20"/>
          <w:color w:val="auto"/>
        </w:rPr>
      </w:pPr>
      <w:r>
        <w:rPr>
          <w:rFonts w:ascii="Arial" w:cs="Arial" w:eastAsia="Arial" w:hAnsi="Arial"/>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At February 12, 2016, we had warrants outstanding to purchase 1,874,595 shares of our common stock.</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3" w:name="page214"/>
    <w:bookmarkEnd w:id="21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292735</wp:posOffset>
            </wp:positionV>
            <wp:extent cx="7294880"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4880" cy="1968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728345</wp:posOffset>
            </wp:positionV>
            <wp:extent cx="1237615" cy="817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ectPr>
          <w:pgSz w:w="11900" w:h="16838" w:orient="portrait"/>
          <w:cols w:equalWidth="0" w:num="1">
            <w:col w:w="11100"/>
          </w:cols>
          <w:pgMar w:left="220" w:top="133"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2,352,942 Shares of Common Stock</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Warrants to Purchase up to 2,352,942 Shares of Common Stock</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4"/>
          <w:szCs w:val="14"/>
          <w:i w:val="1"/>
          <w:iCs w:val="1"/>
          <w:color w:val="auto"/>
        </w:rPr>
        <w:t>Joint Book-Running Managers</w:t>
      </w:r>
    </w:p>
    <w:p>
      <w:pPr>
        <w:spacing w:after="0" w:line="168" w:lineRule="exact"/>
        <w:rPr>
          <w:sz w:val="20"/>
          <w:szCs w:val="20"/>
          <w:color w:val="auto"/>
        </w:rPr>
      </w:pPr>
    </w:p>
    <w:p>
      <w:pPr>
        <w:ind w:left="1960"/>
        <w:spacing w:after="0"/>
        <w:tabs>
          <w:tab w:leader="none" w:pos="72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May 12, 2016</w:t>
      </w:r>
    </w:p>
    <w:p>
      <w:pPr>
        <w:spacing w:after="0" w:line="365" w:lineRule="exact"/>
        <w:rPr>
          <w:sz w:val="20"/>
          <w:szCs w:val="20"/>
          <w:color w:val="auto"/>
        </w:rPr>
      </w:pPr>
    </w:p>
    <w:p>
      <w:pPr>
        <w:spacing w:after="0" w:line="220" w:lineRule="auto"/>
        <w:rPr>
          <w:sz w:val="20"/>
          <w:szCs w:val="20"/>
          <w:color w:val="auto"/>
        </w:rPr>
      </w:pPr>
      <w:r>
        <w:rPr>
          <w:rFonts w:ascii="Arial" w:cs="Arial" w:eastAsia="Arial" w:hAnsi="Arial"/>
          <w:sz w:val="17"/>
          <w:szCs w:val="17"/>
          <w:b w:val="1"/>
          <w:bCs w:val="1"/>
          <w:color w:val="auto"/>
        </w:rPr>
        <w:t>Through and including June 6, 2016 (the 25</w:t>
      </w:r>
      <w:r>
        <w:rPr>
          <w:rFonts w:ascii="Arial" w:cs="Arial" w:eastAsia="Arial" w:hAnsi="Arial"/>
          <w:sz w:val="23"/>
          <w:szCs w:val="23"/>
          <w:b w:val="1"/>
          <w:bCs w:val="1"/>
          <w:color w:val="auto"/>
          <w:vertAlign w:val="superscript"/>
        </w:rPr>
        <w:t>th</w:t>
      </w:r>
      <w:r>
        <w:rPr>
          <w:rFonts w:ascii="Arial" w:cs="Arial" w:eastAsia="Arial" w:hAnsi="Arial"/>
          <w:sz w:val="17"/>
          <w:szCs w:val="17"/>
          <w:b w:val="1"/>
          <w:bCs w:val="1"/>
          <w:color w:val="auto"/>
        </w:rPr>
        <w:t xml:space="preserve"> day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100"/>
      </w:cols>
      <w:pgMar w:left="220" w:top="133"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lowerRoman"/>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lowerRoman"/>
      <w:start w:val="2"/>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1)"/>
      <w:numFmt w:val="decimal"/>
      <w:start w:val="5"/>
    </w:lvl>
  </w:abstractNum>
  <w:abstractNum w:abstractNumId="54">
    <w:nsid w:val="7BD3EE7B"/>
    <w:multiLevelType w:val="hybridMultilevel"/>
    <w:lvl w:ilvl="0">
      <w:lvlJc w:val="left"/>
      <w:lvlText w:val="(%1)"/>
      <w:numFmt w:val="decimal"/>
      <w:start w:val="9"/>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1)"/>
      <w:numFmt w:val="lowerRoman"/>
      <w:start w:val="3"/>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4"/>
    </w:lvl>
  </w:abstractNum>
  <w:abstractNum w:abstractNumId="62">
    <w:nsid w:val="1A32234B"/>
    <w:multiLevelType w:val="hybridMultilevel"/>
    <w:lvl w:ilvl="0">
      <w:lvlJc w:val="left"/>
      <w:lvlText w:val="(%1)"/>
      <w:numFmt w:val="decimal"/>
      <w:start w:val="7"/>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5"/>
    </w:lvl>
  </w:abstractNum>
  <w:abstractNum w:abstractNumId="66">
    <w:nsid w:val="60B6DF70"/>
    <w:multiLevelType w:val="hybridMultilevel"/>
    <w:lvl w:ilvl="0">
      <w:lvlJc w:val="left"/>
      <w:lvlText w:val="(%1)"/>
      <w:numFmt w:val="decimal"/>
      <w:start w:val="9"/>
    </w:lvl>
  </w:abstractNum>
  <w:abstractNum w:abstractNumId="67">
    <w:nsid w:val="6A5EE64"/>
    <w:multiLevelType w:val="hybridMultilevel"/>
    <w:lvl w:ilvl="0">
      <w:lvlJc w:val="left"/>
      <w:lvlText w:val="(%1)"/>
      <w:numFmt w:val="decimal"/>
      <w:start w:val="13"/>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lowerRoman"/>
      <w:start w:val="2"/>
    </w:lvl>
  </w:abstractNum>
  <w:abstractNum w:abstractNumId="83">
    <w:nsid w:val="74DE0EE3"/>
    <w:multiLevelType w:val="hybridMultilevel"/>
    <w:lvl w:ilvl="0">
      <w:lvlJc w:val="left"/>
      <w:lvlText w:val="(%1)"/>
      <w:numFmt w:val="lowerRoman"/>
      <w:start w:val="3"/>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lowerLetter"/>
      <w:start w:val="2"/>
    </w:lvl>
  </w:abstractNum>
  <w:abstractNum w:abstractNumId="87">
    <w:nsid w:val="4A2AC315"/>
    <w:multiLevelType w:val="hybridMultilevel"/>
    <w:lvl w:ilvl="0">
      <w:lvlJc w:val="left"/>
      <w:lvlText w:val="(%1)"/>
      <w:numFmt w:val="lowerRoman"/>
      <w:start w:val="3"/>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lowerRoman"/>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
      <w:numFmt w:val="bullet"/>
      <w:start w:val="1"/>
    </w:lvl>
    <w:lvl w:ilvl="1">
      <w:lvlJc w:val="left"/>
      <w:lvlText w:val="o"/>
      <w:numFmt w:val="bullet"/>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2020-01-20T12:53:53Z</dcterms:created>
  <dcterms:modified xsi:type="dcterms:W3CDTF">2020-01-20T12:53:53Z</dcterms:modified>
</cp:coreProperties>
</file>