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Vistagen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TCG Crossover GP I,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1,025,007.00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1,025,007.00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1,025,007.00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These securities are held of record by TCG Crossover I (as defined in Item 2(a) below). TCG Crossover GP I (as defined in Item 2(a) below) is the general partner of TCG Crossover I and may be deemed to have voting, investment, and dispositive power with respect to these securities. Chen Yu is the sole managing member of TCG Crossover GP I and may be deemed to share voting, investment and dispositive power with respect to these securities. Consists of (i) 669,145 shares of Common Stock (as defined in Item 2(d) below) of the Issuer (as defined in Item 1(a) below), (ii) 334,573 shares of Common Stock issuable upon exercise of certain Tranche I Warrants (as defined and described in the Issuer's Prospectus Supplement filed with the United States Securities and Exchange Commission (the Commission)) pursuant to Rule 424(b)(5) on October 3, 2023 (the Prospectus)), and (iii) 21,289 shares of Common Stock issuable upon exercise of certain Tranche II Warrants (as defined in the Prospectus). This total excludes 384,239 shares of Common Stock issuable upon exercise of certain Tranche II Warrants because the Tranche II Warrants may not be exercised to the extent that doing so would result in the holder of the warrants (together with the holder's affiliates and any other persons acting as a group together with the holder or any of the holder's affiliates) beneficially owning more than 9.99% of the shares of Common Stock then outstanding (the Beneficial Ownership Limitation). Based on 39,976,179 shares of Common Stock, as follows: (a) 39,620,317 outstanding as of February 11, 2026, as reported by the Issuer in its quarterly report filed with the Commission on February 12, 2026 (the Form 10-Q), plus (b) an aggregate of 355,682 shares of Common Stock issuable upon exercise of Tranche I Warrants and Tranche II Warrants held of record by TCG Crossover I.</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TCG Crossover Fund 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1,025,007.00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1,025,007.00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1,025,007.00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These securities are held of record by TCG Crossover I. TCG Crossover GP I is the general partner of TCG Crossover I and may be deemed to have voting, investment, and dispositive power with respect to these securities. Chen Yu is the sole managing member of TCG Crossover GP I and may be deemed to share voting, investment and dispositive power with respect to these securities. Consists of (i) 669,145 shares of Common Stock of the Issuer, (ii) 334,573 shares of Common Stock issuable upon exercise of Tranche I Warrants and (iii) 21,289 shares of Common Stock issuable upon exercise of Tranche II Warrants. This total excludes 384,239 shares of Common Stock issuable upon exercise of certain Tranche II Warrants that may not be exercised due to the Beneficial Ownership Limitation. Based on 39,976,179 shares of Common Stock, as follows: (a) 39,620,317 outstanding as of February 11, 2026, as reported by the Issuer in the Form 10-Q, plus (b) an aggregate of 355,682 shares of Common Stock issuable upon exercise of Tranche I Warrants and Tranche II Warrants held of record by TCG Crossover I.</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TCG Crossover GP II,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3,075,022.00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3,075,022.00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3,075,022.00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These securities are held of record by TCG Crossover II (as defined in Item 2(a) below). TCG Crossover GP II (as defined in Item 2(a) below) is the general partner of TCG Crossover II and may be deemed to have voting, investment, and dispositive power with respect to these securities. Chen Yu is the sole managing member of TCG Crossover GP II and may be deemed to share voting, investment and dispositive power with respect to these securities. Consists of (i) 2,007,435 shares of Common Stock of the Issuer, (ii) 1,003,718 shares of Common Stock issuable upon exercise of Tranche I Warrants, and (iii) 63,869 shares of Common Stock issuable upon exercise of Tranche II Warrants. This total excludes 1,152,716 shares of Common Stock issuable upon exercise of certain Tranche II Warrants that may not be exercised due to the Beneficial Ownership Limitation. Based on 40,687,904 shares of Common Stock, as follows: (a) 39,620,317 outstanding as of February 11, 2026, as reported by the Issuer in the Form 10-Q, plus (b) an aggregate of 1,067,587 shares of Common Stock issuable upon exercise of Tranche I Warrants and Tranche II Warrants held of record by TCG Crossover II.</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TCG Crossover Fund II,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3,075,022.00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3,075,022.00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3,075,022.00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These securities are held of record by TCG Crossover II. TCG Crossover GP II is the general partner of TCG Crossover II and may be deemed to have voting, investment, and dispositive power with respect to these securities. Chen Yu is the sole managing member of TCG Crossover GP II and may be deemed to share voting, investment and dispositive power with respect to these securities. Consists of (i) 2,007,435 shares of Common Stock of the Issuer , (ii) 1,003,718 shares of Common Stock issuable upon exercise of Tranche I Warrants, and (iii) 63,869 shares of Common Stock issuable upon exercise of Tranche II Warrants. This total excludes 1,152,716 shares of Common Stock issuable upon exercise of certain Tranche II Warrants that may not be exercised due to the Beneficial Ownership Limitation. Based on 40,687,904 shares of Common Stock, as follows: (a) 39,620,317 outstanding as of February 11, 2026, as reported by the Issuer in the Form 10-Q, plus (b) an aggregate of 1,067,587 shares of Common Stock issuable upon exercise of Tranche I Warrants and Tranche II Warrants held of record by TCG Crossover II.</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Chen Yu</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4,100,029.00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4,100,029.00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4,100,029.00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These securities are held of record by TCG Crossover I and TCG Crossover II. TCG Crossover GP I is the general partner of TCG Crossover I and may be deemed to have voting, investment, and dispositive power with respect to the securities held of record by TCG Crossover I. TCG Crossover GP II is the general partner of TCG Crossover II and may be deemed to have voting, investment, and dispositive power with respect to the securities held of record by TCG Crossover II. Chen Yu is the sole managing member of each of TCG Crossover GP I and TCG Crossover GP II and may be deemed to share voting, investment and dispositive power with respect to the securities held of record by TCG Crossover I and TCG Crossover II. Consists of (i) 669,145 shares of Common Stock held of record by TCG Crossover I, (ii) 334,573 shares of Common Stock issuable upon exercise of Tranche I Warrants held of record by TCG Crossover I, (iii) 21,289 shares of Common Stock issuable upon exercise of Tranche II Warrants held of record by TCG Crossover I, (iv) 2,007,435 shares of Common Stock held of record by TCG Crossover II, (v) 1,003,718 shares of Common Stock issuable upon exercise of Tranche I Warrants held of record by TCG Crossover II, and (vi) 63,869 shares of Common Stock issuable upon exercise of certain Tranche II Warrants held of record by TCG Crossover II. This total excludes an aggregate of 1,536,955 shares of Common Stock issuable upon exercise of certain Tranche II Warrants that may not be exercised due to the Beneficial Ownership Limitation. Based on 41,043,766 shares of Common Stock, as follows: (a) 39,620,317 outstanding as of February 11, 2026, as reported by the Issuer in the Form 10-Q, plus (b) an aggregate of 1,423,449 shares of Common Stock issuable upon exercise of Tranche I Warrants and Tranche II Warrants held of record by TCG Crossover I and TCG Crossover II.</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Vistagen Therapeutics,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343 Allerton Avenue, South San Francisco, CA 94080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Amendment No. 1 (Amendment No. 1) amends and supplements the Schedule 13G initially filed with the Commission on October 16, 2023 (the Original Schedule 13G) and is being filed by TCG Crossover Fund I, L.P. (TCG Crossover I), TCG Crossover GP I, LLC (TCG Crossover GP I), TCG Crossover Fund II, L.P. (TCG Crossover II) and TCG Crossover GP II, LLC (TCG Crossover GP II and together with TCG Crossover I, TCG Crossover GP I and TCG Crossover II, the Reporting Entities) and Chen Yu (the Reporting Individual). The Reporting Entities and the Reporting Individual are collectively referred to as the Reporting Persons. The Reporting Persons expressly disclaim status as a group for purposes of this Schedule 13G. The agreement among the Reporting Persons to file jointly in accordance with the provisions of Rule 13d-1(k)(1) under the Act is attached as Exhibit 1 to the Original Schedule 13G. Other than those securities reported herein as being held directly by such Reporting Person, each Reporting Person disclaims beneficial ownership of all securities reported in this Amendment No. 1 except to the extent of such Reporting Person's pecuniary interest therein.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Reporting Person is 245 Lytton Ave., Suite 350, Palo Alto, CA 94301.</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TCG Crossover GP I and TCG Crossover GP II are each a limited liability company organized under the laws of the State of Delaware. TCG Crossover I and TCG Crossover II are each a limited partnership organized under the laws of the State of Delaware. The Reporting Individual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Row 9 of the cover page for each Reporting Person and the corresponding comments.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Row 11 of the cover page for each Reporting Person and the corresponding comments.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Row 5 of the cover page for each Reporting Person and the corresponding comments.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Row 6 of the cover page for each Reporting Person and the corresponding comments.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Row 7 of the cover page for each Reporting Person and the corresponding comments.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Row 8 of the cover page for each Reporting Person and the corresponding comments.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Under certain circumstances set forth in the limited partnership agreements of TCG Crossover I and TCG Crossover II and the limited liability company agreements of TCG Crossover GP I and TCG Crossover GP II, the general and limited partners or members, as the case may be, of each of such entities may be deemed to have the right to receive dividends from, or the proceeds from, the sale of securities of the Issuer owned by each such entity of which they are a partner or member, as the case may be.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828" w:type="dxa"/>
        <w:jc w:val="left"/>
        <w:tblInd w:w="0" w:type="dxa"/>
        <w:tblLayout w:type="fixed"/>
        <w:tblCellMar>
          <w:top w:w="28" w:type="dxa"/>
          <w:left w:w="28" w:type="dxa"/>
          <w:bottom w:w="28" w:type="dxa"/>
          <w:right w:w="28" w:type="dxa"/>
        </w:tblCellMar>
      </w:tblPr>
      <w:tblGrid>
        <w:gridCol w:w="2914"/>
        <w:gridCol w:w="2914"/>
      </w:tblGrid>
      <w:tr>
        <w:trPr/>
        <w:tc>
          <w:tcPr>
            <w:tcW w:w="2914" w:type="dxa"/>
            <w:tcBorders/>
            <w:vAlign w:val="center"/>
          </w:tcPr>
          <w:p>
            <w:pPr>
              <w:pStyle w:val="TableContents"/>
              <w:bidi w:val="0"/>
              <w:spacing w:before="0" w:after="0"/>
              <w:jc w:val="left"/>
              <w:rPr/>
            </w:pPr>
            <w:r>
              <w:rPr/>
              <w:t> </w:t>
            </w:r>
          </w:p>
          <w:tbl>
            <w:tblPr>
              <w:tblW w:w="2776" w:type="dxa"/>
              <w:jc w:val="left"/>
              <w:tblInd w:w="0" w:type="dxa"/>
              <w:tblLayout w:type="fixed"/>
              <w:tblCellMar>
                <w:top w:w="28" w:type="dxa"/>
                <w:left w:w="28" w:type="dxa"/>
                <w:bottom w:w="28" w:type="dxa"/>
                <w:right w:w="28" w:type="dxa"/>
              </w:tblCellMar>
            </w:tblPr>
            <w:tblGrid>
              <w:gridCol w:w="2776"/>
            </w:tblGrid>
            <w:tr>
              <w:trPr/>
              <w:tc>
                <w:tcPr>
                  <w:tcW w:w="2776" w:type="dxa"/>
                  <w:tcBorders/>
                  <w:vAlign w:val="center"/>
                </w:tcPr>
                <w:p>
                  <w:pPr>
                    <w:pStyle w:val="TableContents"/>
                    <w:bidi w:val="0"/>
                    <w:spacing w:before="0" w:after="0"/>
                    <w:jc w:val="left"/>
                    <w:rPr/>
                  </w:pPr>
                  <w:r>
                    <w:rPr/>
                    <w:t>TCG Crossover GP I, LLC</w:t>
                  </w:r>
                </w:p>
              </w:tc>
            </w:tr>
          </w:tbl>
          <w:p>
            <w:pPr>
              <w:pStyle w:val="TableContents"/>
              <w:bidi w:val="0"/>
              <w:spacing w:before="0" w:after="283"/>
              <w:jc w:val="left"/>
              <w:rPr/>
            </w:pPr>
            <w:r>
              <w:rPr/>
            </w:r>
          </w:p>
        </w:tc>
        <w:tc>
          <w:tcPr>
            <w:tcW w:w="29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Craig Skaling</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Craig Skaling, 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6058" w:type="dxa"/>
        <w:jc w:val="left"/>
        <w:tblInd w:w="0" w:type="dxa"/>
        <w:tblLayout w:type="fixed"/>
        <w:tblCellMar>
          <w:top w:w="28" w:type="dxa"/>
          <w:left w:w="28" w:type="dxa"/>
          <w:bottom w:w="28" w:type="dxa"/>
          <w:right w:w="28" w:type="dxa"/>
        </w:tblCellMar>
      </w:tblPr>
      <w:tblGrid>
        <w:gridCol w:w="3029"/>
        <w:gridCol w:w="3029"/>
      </w:tblGrid>
      <w:tr>
        <w:trPr/>
        <w:tc>
          <w:tcPr>
            <w:tcW w:w="3029" w:type="dxa"/>
            <w:tcBorders/>
            <w:vAlign w:val="center"/>
          </w:tcPr>
          <w:p>
            <w:pPr>
              <w:pStyle w:val="TableContents"/>
              <w:bidi w:val="0"/>
              <w:spacing w:before="0" w:after="0"/>
              <w:jc w:val="left"/>
              <w:rPr/>
            </w:pPr>
            <w:r>
              <w:rPr/>
              <w:t> </w:t>
            </w:r>
          </w:p>
          <w:tbl>
            <w:tblPr>
              <w:tblW w:w="2896" w:type="dxa"/>
              <w:jc w:val="left"/>
              <w:tblInd w:w="0" w:type="dxa"/>
              <w:tblLayout w:type="fixed"/>
              <w:tblCellMar>
                <w:top w:w="28" w:type="dxa"/>
                <w:left w:w="28" w:type="dxa"/>
                <w:bottom w:w="28" w:type="dxa"/>
                <w:right w:w="28" w:type="dxa"/>
              </w:tblCellMar>
            </w:tblPr>
            <w:tblGrid>
              <w:gridCol w:w="2896"/>
            </w:tblGrid>
            <w:tr>
              <w:trPr/>
              <w:tc>
                <w:tcPr>
                  <w:tcW w:w="2896" w:type="dxa"/>
                  <w:tcBorders/>
                  <w:vAlign w:val="center"/>
                </w:tcPr>
                <w:p>
                  <w:pPr>
                    <w:pStyle w:val="TableContents"/>
                    <w:bidi w:val="0"/>
                    <w:spacing w:before="0" w:after="0"/>
                    <w:jc w:val="left"/>
                    <w:rPr/>
                  </w:pPr>
                  <w:r>
                    <w:rPr/>
                    <w:t>TCG Crossover Fund I, L.P.</w:t>
                  </w:r>
                </w:p>
              </w:tc>
            </w:tr>
          </w:tbl>
          <w:p>
            <w:pPr>
              <w:pStyle w:val="TableContents"/>
              <w:bidi w:val="0"/>
              <w:spacing w:before="0" w:after="283"/>
              <w:jc w:val="left"/>
              <w:rPr/>
            </w:pPr>
            <w:r>
              <w:rPr/>
            </w:r>
          </w:p>
        </w:tc>
        <w:tc>
          <w:tcPr>
            <w:tcW w:w="302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Craig Skaling</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Craig Skaling, 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5972" w:type="dxa"/>
        <w:jc w:val="left"/>
        <w:tblInd w:w="0" w:type="dxa"/>
        <w:tblLayout w:type="fixed"/>
        <w:tblCellMar>
          <w:top w:w="28" w:type="dxa"/>
          <w:left w:w="28" w:type="dxa"/>
          <w:bottom w:w="28" w:type="dxa"/>
          <w:right w:w="28" w:type="dxa"/>
        </w:tblCellMar>
      </w:tblPr>
      <w:tblGrid>
        <w:gridCol w:w="2986"/>
        <w:gridCol w:w="2986"/>
      </w:tblGrid>
      <w:tr>
        <w:trPr/>
        <w:tc>
          <w:tcPr>
            <w:tcW w:w="2986" w:type="dxa"/>
            <w:tcBorders/>
            <w:vAlign w:val="center"/>
          </w:tcPr>
          <w:p>
            <w:pPr>
              <w:pStyle w:val="TableContents"/>
              <w:bidi w:val="0"/>
              <w:spacing w:before="0" w:after="0"/>
              <w:jc w:val="left"/>
              <w:rPr/>
            </w:pPr>
            <w:r>
              <w:rPr/>
              <w:t> </w:t>
            </w:r>
          </w:p>
          <w:tbl>
            <w:tblPr>
              <w:tblW w:w="2851" w:type="dxa"/>
              <w:jc w:val="left"/>
              <w:tblInd w:w="0" w:type="dxa"/>
              <w:tblLayout w:type="fixed"/>
              <w:tblCellMar>
                <w:top w:w="28" w:type="dxa"/>
                <w:left w:w="28" w:type="dxa"/>
                <w:bottom w:w="28" w:type="dxa"/>
                <w:right w:w="28" w:type="dxa"/>
              </w:tblCellMar>
            </w:tblPr>
            <w:tblGrid>
              <w:gridCol w:w="2851"/>
            </w:tblGrid>
            <w:tr>
              <w:trPr/>
              <w:tc>
                <w:tcPr>
                  <w:tcW w:w="2851" w:type="dxa"/>
                  <w:tcBorders/>
                  <w:vAlign w:val="center"/>
                </w:tcPr>
                <w:p>
                  <w:pPr>
                    <w:pStyle w:val="TableContents"/>
                    <w:bidi w:val="0"/>
                    <w:spacing w:before="0" w:after="0"/>
                    <w:jc w:val="left"/>
                    <w:rPr/>
                  </w:pPr>
                  <w:r>
                    <w:rPr/>
                    <w:t>TCG Crossover GP II, LLC</w:t>
                  </w:r>
                </w:p>
              </w:tc>
            </w:tr>
          </w:tbl>
          <w:p>
            <w:pPr>
              <w:pStyle w:val="TableContents"/>
              <w:bidi w:val="0"/>
              <w:spacing w:before="0" w:after="283"/>
              <w:jc w:val="left"/>
              <w:rPr/>
            </w:pPr>
            <w:r>
              <w:rPr/>
            </w:r>
          </w:p>
        </w:tc>
        <w:tc>
          <w:tcPr>
            <w:tcW w:w="29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Craig Skaling</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Craig Skaling, 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6202" w:type="dxa"/>
        <w:jc w:val="left"/>
        <w:tblInd w:w="0" w:type="dxa"/>
        <w:tblLayout w:type="fixed"/>
        <w:tblCellMar>
          <w:top w:w="28" w:type="dxa"/>
          <w:left w:w="28" w:type="dxa"/>
          <w:bottom w:w="28" w:type="dxa"/>
          <w:right w:w="28" w:type="dxa"/>
        </w:tblCellMar>
      </w:tblPr>
      <w:tblGrid>
        <w:gridCol w:w="3101"/>
        <w:gridCol w:w="3101"/>
      </w:tblGrid>
      <w:tr>
        <w:trPr/>
        <w:tc>
          <w:tcPr>
            <w:tcW w:w="3101" w:type="dxa"/>
            <w:tcBorders/>
            <w:vAlign w:val="center"/>
          </w:tcPr>
          <w:p>
            <w:pPr>
              <w:pStyle w:val="TableContents"/>
              <w:bidi w:val="0"/>
              <w:spacing w:before="0" w:after="0"/>
              <w:jc w:val="left"/>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0"/>
                    <w:jc w:val="left"/>
                    <w:rPr/>
                  </w:pPr>
                  <w:r>
                    <w:rPr/>
                    <w:t>TCG Crossover Fund II, L.P.</w:t>
                  </w:r>
                </w:p>
              </w:tc>
            </w:tr>
          </w:tbl>
          <w:p>
            <w:pPr>
              <w:pStyle w:val="TableContents"/>
              <w:bidi w:val="0"/>
              <w:spacing w:before="0" w:after="283"/>
              <w:jc w:val="left"/>
              <w:rPr/>
            </w:pPr>
            <w:r>
              <w:rPr/>
            </w:r>
          </w:p>
        </w:tc>
        <w:tc>
          <w:tcPr>
            <w:tcW w:w="3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Craig Skaling</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Craig Skaling, 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2304" w:type="dxa"/>
        <w:jc w:val="left"/>
        <w:tblInd w:w="0" w:type="dxa"/>
        <w:tblLayout w:type="fixed"/>
        <w:tblCellMar>
          <w:top w:w="28" w:type="dxa"/>
          <w:left w:w="28" w:type="dxa"/>
          <w:bottom w:w="28" w:type="dxa"/>
          <w:right w:w="28" w:type="dxa"/>
        </w:tblCellMar>
      </w:tblPr>
      <w:tblGrid>
        <w:gridCol w:w="1152"/>
        <w:gridCol w:w="1152"/>
      </w:tblGrid>
      <w:tr>
        <w:trPr/>
        <w:tc>
          <w:tcPr>
            <w:tcW w:w="1152" w:type="dxa"/>
            <w:tcBorders/>
            <w:vAlign w:val="center"/>
          </w:tcPr>
          <w:p>
            <w:pPr>
              <w:pStyle w:val="TableContents"/>
              <w:bidi w:val="0"/>
              <w:spacing w:before="0" w:after="0"/>
              <w:jc w:val="left"/>
              <w:rPr/>
            </w:pPr>
            <w:r>
              <w:rPr/>
              <w:t> </w:t>
            </w:r>
          </w:p>
          <w:tbl>
            <w:tblPr>
              <w:tblW w:w="1036" w:type="dxa"/>
              <w:jc w:val="left"/>
              <w:tblInd w:w="0" w:type="dxa"/>
              <w:tblLayout w:type="fixed"/>
              <w:tblCellMar>
                <w:top w:w="28" w:type="dxa"/>
                <w:left w:w="28" w:type="dxa"/>
                <w:bottom w:w="28" w:type="dxa"/>
                <w:right w:w="28" w:type="dxa"/>
              </w:tblCellMar>
            </w:tblPr>
            <w:tblGrid>
              <w:gridCol w:w="1036"/>
            </w:tblGrid>
            <w:tr>
              <w:trPr/>
              <w:tc>
                <w:tcPr>
                  <w:tcW w:w="1036" w:type="dxa"/>
                  <w:tcBorders/>
                  <w:vAlign w:val="center"/>
                </w:tcPr>
                <w:p>
                  <w:pPr>
                    <w:pStyle w:val="TableContents"/>
                    <w:bidi w:val="0"/>
                    <w:spacing w:before="0" w:after="0"/>
                    <w:jc w:val="left"/>
                    <w:rPr/>
                  </w:pPr>
                  <w:r>
                    <w:rPr/>
                    <w:t>Chen Yu</w:t>
                  </w:r>
                </w:p>
              </w:tc>
            </w:tr>
          </w:tbl>
          <w:p>
            <w:pPr>
              <w:pStyle w:val="TableContents"/>
              <w:bidi w:val="0"/>
              <w:spacing w:before="0" w:after="283"/>
              <w:jc w:val="left"/>
              <w:rPr/>
            </w:pPr>
            <w:r>
              <w:rPr/>
            </w:r>
          </w:p>
        </w:tc>
        <w:tc>
          <w:tcPr>
            <w:tcW w:w="11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0"/>
        <w:gridCol w:w="4085"/>
      </w:tblGrid>
      <w:tr>
        <w:trPr/>
        <w:tc>
          <w:tcPr>
            <w:tcW w:w="61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Craig Skaling</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Craig Skaling, as Attorney-in-Fact for Chen Yu</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08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3001</Words>
  <Characters>15037</Characters>
  <CharactersWithSpaces>17953</CharactersWithSpaces>
  <Paragraphs>351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