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283"/>
        <w:jc w:val="center"/>
        <w:rPr>
          <w:rFonts w:ascii="Times New Roman;serif" w:hAnsi="Times New Roman;serif"/>
          <w:b/>
          <w:color w:val="000000"/>
          <w:sz w:val="20"/>
        </w:rPr>
      </w:pPr>
      <w:r>
        <w:rPr>
          <w:rFonts w:ascii="Times New Roman;serif" w:hAnsi="Times New Roman;serif"/>
          <w:b/>
          <w:color w:val="000000"/>
          <w:sz w:val="20"/>
        </w:rPr>
        <w:t xml:space="preserve">UNITED STATES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SECURITIES AND EXCHANGE COMMISSION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SECURITIES EXCHANGE ACT OF 1934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November 13, 2025</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Vistagen Therapeutics, Inc.</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its charter)</w:t>
      </w:r>
    </w:p>
    <w:tbl>
      <w:tblPr>
        <w:tblW w:w="6959" w:type="dxa"/>
        <w:jc w:val="left"/>
        <w:tblInd w:w="0" w:type="dxa"/>
        <w:tblLayout w:type="fixed"/>
        <w:tblCellMar>
          <w:top w:w="28" w:type="dxa"/>
          <w:left w:w="28" w:type="dxa"/>
          <w:bottom w:w="28" w:type="dxa"/>
          <w:right w:w="28" w:type="dxa"/>
        </w:tblCellMar>
      </w:tblPr>
      <w:tblGrid>
        <w:gridCol w:w="927"/>
        <w:gridCol w:w="816"/>
        <w:gridCol w:w="822"/>
        <w:gridCol w:w="772"/>
        <w:gridCol w:w="772"/>
        <w:gridCol w:w="780"/>
        <w:gridCol w:w="605"/>
        <w:gridCol w:w="605"/>
        <w:gridCol w:w="860"/>
      </w:tblGrid>
      <w:tr>
        <w:trPr/>
        <w:tc>
          <w:tcPr>
            <w:tcW w:w="92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23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000-54014</w:t>
            </w:r>
          </w:p>
        </w:tc>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20-5093315</w:t>
            </w:r>
          </w:p>
        </w:tc>
      </w:tr>
      <w:tr>
        <w:trPr/>
        <w:tc>
          <w:tcPr>
            <w:tcW w:w="25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(State or other jurisdiction of </w:t>
            </w:r>
          </w:p>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incorporation)</w:t>
            </w:r>
          </w:p>
        </w:tc>
        <w:tc>
          <w:tcPr>
            <w:tcW w:w="23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(Commission File Number) </w:t>
            </w:r>
          </w:p>
        </w:tc>
        <w:tc>
          <w:tcPr>
            <w:tcW w:w="207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(IRS Employer </w:t>
            </w:r>
          </w:p>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Identification Number) </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343 Allerton Ave.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South San Francisco, California 94080</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(Address of principal executive offices)</w:t>
      </w:r>
    </w:p>
    <w:p>
      <w:pPr>
        <w:pStyle w:val="TextBody"/>
        <w:bidi w:val="0"/>
        <w:spacing w:lineRule="auto" w:line="288" w:before="200" w:after="283"/>
        <w:jc w:val="center"/>
        <w:rPr/>
      </w:pPr>
      <w:r>
        <w:rPr>
          <w:rFonts w:ascii="Times New Roman;serif" w:hAnsi="Times New Roman;serif"/>
          <w:b/>
          <w:i/>
          <w:color w:val="000000"/>
          <w:sz w:val="20"/>
        </w:rPr>
        <w:t>(650</w:t>
      </w:r>
      <w:r>
        <w:rPr>
          <w:rFonts w:ascii="Times New Roman;serif" w:hAnsi="Times New Roman;serif"/>
          <w:b w:val="false"/>
          <w:i/>
          <w:color w:val="000000"/>
          <w:sz w:val="20"/>
        </w:rPr>
        <w:t xml:space="preserve">) </w:t>
      </w:r>
      <w:r>
        <w:rPr>
          <w:rFonts w:ascii="Times New Roman;serif" w:hAnsi="Times New Roman;serif"/>
          <w:b/>
          <w:i/>
          <w:color w:val="000000"/>
          <w:sz w:val="20"/>
        </w:rPr>
        <w:t>577-3600</w:t>
      </w:r>
    </w:p>
    <w:p>
      <w:pPr>
        <w:pStyle w:val="TextBody"/>
        <w:bidi w:val="0"/>
        <w:spacing w:lineRule="auto" w:line="288" w:before="0" w:after="0"/>
        <w:jc w:val="center"/>
        <w:rPr/>
      </w:pPr>
      <w:r>
        <w:rPr>
          <w:rFonts w:ascii="Times New Roman;serif" w:hAnsi="Times New Roman;serif"/>
          <w:b w:val="false"/>
          <w:i/>
          <w:color w:val="000000"/>
          <w:sz w:val="20"/>
        </w:rPr>
        <w:t>(Registrant</w:t>
      </w:r>
      <w:r>
        <w:rPr>
          <w:color w:val="000000"/>
        </w:rPr>
        <w:t>’</w:t>
      </w:r>
      <w:r>
        <w:rPr>
          <w:rFonts w:ascii="Times New Roman;serif" w:hAnsi="Times New Roman;serif"/>
          <w:b w:val="false"/>
          <w:i/>
          <w:color w:val="000000"/>
          <w:sz w:val="20"/>
        </w:rPr>
        <w:t>s telephone number, including area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(Former name or former address, if changed since last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20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Soliciting material pursuant to Rule 14a-12 under the Exchange Act (17 CFR 240.14a -12)</w:t>
      </w:r>
    </w:p>
    <w:p>
      <w:pPr>
        <w:pStyle w:val="TextBody"/>
        <w:bidi w:val="0"/>
        <w:spacing w:lineRule="auto" w:line="288" w:before="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Pre-commencement communications pursuant to Rule 14d-2(b) under the Exchange Act (17 CFR 240.14d -2(b))</w:t>
      </w:r>
    </w:p>
    <w:p>
      <w:pPr>
        <w:pStyle w:val="TextBody"/>
        <w:bidi w:val="0"/>
        <w:spacing w:lineRule="auto" w:line="288" w:before="0" w:after="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Pre-commencement communications pursuant to Rule 13e-4(c) under the Exchange Act (17 CFR 240.13e -4(c))</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24" w:type="dxa"/>
        <w:jc w:val="left"/>
        <w:tblInd w:w="0" w:type="dxa"/>
        <w:tblLayout w:type="fixed"/>
        <w:tblCellMar>
          <w:top w:w="28" w:type="dxa"/>
          <w:left w:w="28" w:type="dxa"/>
          <w:bottom w:w="28" w:type="dxa"/>
          <w:right w:w="28" w:type="dxa"/>
        </w:tblCellMar>
      </w:tblPr>
      <w:tblGrid>
        <w:gridCol w:w="1304"/>
        <w:gridCol w:w="1141"/>
        <w:gridCol w:w="1155"/>
        <w:gridCol w:w="539"/>
        <w:gridCol w:w="539"/>
        <w:gridCol w:w="541"/>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VTGN</w:t>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Nasdaq Capital Market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200" w:after="283"/>
        <w:jc w:val="righ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0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On November 13, 2025, Vistagen Therapeutics, Inc. (the “</w:t>
      </w:r>
      <w:r>
        <w:rPr>
          <w:rFonts w:ascii="Times New Roman;serif" w:hAnsi="Times New Roman;serif"/>
          <w:b w:val="false"/>
          <w:i/>
          <w:color w:val="000000"/>
          <w:sz w:val="20"/>
        </w:rPr>
        <w:t>Company</w:t>
      </w:r>
      <w:r>
        <w:rPr>
          <w:color w:val="000000"/>
        </w:rPr>
        <w:t>”</w:t>
      </w:r>
      <w:r>
        <w:rPr>
          <w:rFonts w:ascii="Times New Roman;serif" w:hAnsi="Times New Roman;serif"/>
          <w:b w:val="false"/>
          <w:color w:val="000000"/>
          <w:sz w:val="20"/>
        </w:rPr>
        <w:t>) issued a press release announcing financial results for its fiscal year 2026 second quarter ended September 30, 2025. A copy of the press release is being furnished as Exhibit 99.1 to this Current Report on Form 8-K.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Disclaimer.</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rPr>
        <w:t>The information contained in this Current Report on Form 8-K and Exhibit 99.1 attached hereto is intended to be furnished and shall not be deemed “filed” for purposes of Section 18 of the Securities Exchange Act of 1934, as amended (the “</w:t>
      </w:r>
      <w:r>
        <w:rPr>
          <w:rFonts w:ascii="Times New Roman;serif" w:hAnsi="Times New Roman;serif"/>
          <w:b w:val="false"/>
          <w:i/>
          <w:color w:val="000000"/>
          <w:sz w:val="20"/>
        </w:rPr>
        <w:t>Exchange Act</w:t>
      </w:r>
      <w:r>
        <w:rPr>
          <w:color w:val="000000"/>
        </w:rPr>
        <w:t>”</w:t>
      </w:r>
      <w:r>
        <w:rPr>
          <w:rFonts w:ascii="Times New Roman;serif" w:hAnsi="Times New Roman;serif"/>
          <w:b w:val="false"/>
          <w:color w:val="000000"/>
          <w:sz w:val="20"/>
        </w:rPr>
        <w:t>), or otherwise subject to the liabilities of that section, nor shall such information be deemed incorporated by reference in any filing under the Securities Act of 1933, as amended,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ind w:left="0" w:right="0" w:hanging="288"/>
        <w:jc w:val="left"/>
        <w:rPr>
          <w:rFonts w:ascii="Times New Roman;serif" w:hAnsi="Times New Roman;serif"/>
          <w:b/>
          <w:color w:val="000000"/>
          <w:sz w:val="20"/>
        </w:rPr>
      </w:pPr>
      <w:r>
        <w:rPr>
          <w:rFonts w:ascii="Times New Roman;serif" w:hAnsi="Times New Roman;serif"/>
          <w:b/>
          <w:color w:val="000000"/>
          <w:sz w:val="20"/>
        </w:rPr>
        <w:t>(d)Exhibits Index</w:t>
      </w:r>
    </w:p>
    <w:tbl>
      <w:tblPr>
        <w:tblW w:w="9492"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362"/>
        <w:gridCol w:w="2362"/>
        <w:gridCol w:w="3361"/>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3361"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vtgn-20251113xex991.htm">
              <w:r>
                <w:rPr>
                  <w:rStyle w:val="InternetLink"/>
                  <w:rFonts w:ascii="Times New Roman;serif" w:hAnsi="Times New Roman;serif"/>
                  <w:b w:val="false"/>
                  <w:color w:val="000080"/>
                  <w:sz w:val="20"/>
                  <w:u w:val="single"/>
                </w:rPr>
                <w:t xml:space="preserve">Press Release issued by Vistagen Therapeutics, Inc., dated </w:t>
              </w:r>
            </w:hyperlink>
            <w:hyperlink w:anchor="vtgn-20251113xex991.htm">
              <w:r>
                <w:rPr>
                  <w:rStyle w:val="InternetLink"/>
                  <w:rFonts w:ascii="Times New Roman;serif" w:hAnsi="Times New Roman;serif"/>
                  <w:b w:val="false"/>
                  <w:color w:val="000080"/>
                  <w:sz w:val="20"/>
                  <w:u w:val="single"/>
                </w:rPr>
                <w:t>Nove</w:t>
              </w:r>
            </w:hyperlink>
            <w:hyperlink w:anchor="vtgn-20251113xex991.htm">
              <w:r>
                <w:rPr>
                  <w:rStyle w:val="InternetLink"/>
                  <w:rFonts w:ascii="Times New Roman;serif" w:hAnsi="Times New Roman;serif"/>
                  <w:b w:val="false"/>
                  <w:color w:val="000080"/>
                  <w:sz w:val="20"/>
                  <w:u w:val="single"/>
                </w:rPr>
                <w:t>mber</w:t>
              </w:r>
            </w:hyperlink>
            <w:hyperlink w:anchor="vtgn-20251113xex991.htm">
              <w:r>
                <w:rPr>
                  <w:rStyle w:val="InternetLink"/>
                  <w:rFonts w:ascii="Times New Roman;serif" w:hAnsi="Times New Roman;serif"/>
                  <w:b w:val="false"/>
                  <w:color w:val="000080"/>
                  <w:sz w:val="20"/>
                  <w:u w:val="single"/>
                </w:rPr>
                <w:t xml:space="preserve"> </w:t>
              </w:r>
            </w:hyperlink>
            <w:hyperlink w:anchor="vtgn-20251113xex991.htm">
              <w:r>
                <w:rPr>
                  <w:rStyle w:val="InternetLink"/>
                  <w:rFonts w:ascii="Times New Roman;serif" w:hAnsi="Times New Roman;serif"/>
                  <w:b w:val="false"/>
                  <w:color w:val="000080"/>
                  <w:sz w:val="20"/>
                  <w:u w:val="single"/>
                </w:rPr>
                <w:t>13</w:t>
              </w:r>
            </w:hyperlink>
            <w:hyperlink w:anchor="vtgn-20251113xex991.htm">
              <w:r>
                <w:rPr>
                  <w:rStyle w:val="InternetLink"/>
                  <w:rFonts w:ascii="Times New Roman;serif" w:hAnsi="Times New Roman;serif"/>
                  <w:b w:val="false"/>
                  <w:color w:val="000080"/>
                  <w:sz w:val="20"/>
                  <w:u w:val="single"/>
                </w:rPr>
                <w:t>, 2025, furnished herewith</w:t>
              </w:r>
            </w:hyperlink>
          </w:p>
        </w:tc>
      </w:tr>
      <w:tr>
        <w:trPr/>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5" w:type="dxa"/>
            <w:gridSpan w:val="3"/>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512" w:type="dxa"/>
        <w:jc w:val="left"/>
        <w:tblInd w:w="0" w:type="dxa"/>
        <w:tblLayout w:type="fixed"/>
        <w:tblCellMar>
          <w:top w:w="28" w:type="dxa"/>
          <w:left w:w="28" w:type="dxa"/>
          <w:bottom w:w="28" w:type="dxa"/>
          <w:right w:w="28" w:type="dxa"/>
        </w:tblCellMar>
      </w:tblPr>
      <w:tblGrid>
        <w:gridCol w:w="797"/>
        <w:gridCol w:w="702"/>
        <w:gridCol w:w="706"/>
        <w:gridCol w:w="366"/>
        <w:gridCol w:w="366"/>
        <w:gridCol w:w="366"/>
        <w:gridCol w:w="937"/>
        <w:gridCol w:w="937"/>
        <w:gridCol w:w="1335"/>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30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Vistagen Therapeutics, Inc.</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13, 2025</w:t>
            </w:r>
          </w:p>
        </w:tc>
        <w:tc>
          <w:tcPr>
            <w:tcW w:w="109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/s/ Shawn K. Singh</w:t>
            </w:r>
          </w:p>
        </w:tc>
      </w:tr>
      <w:tr>
        <w:trPr/>
        <w:tc>
          <w:tcPr>
            <w:tcW w:w="220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8"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Shawn K. Singh</w:t>
              <w:b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200" w:after="283"/>
        <w:jc w:val="left"/>
        <w:rPr/>
      </w:pPr>
      <w:r>
        <w:rPr/>
        <w:drawing>
          <wp:inline distT="0" distB="0" distL="0" distR="0">
            <wp:extent cx="1381125" cy="4667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381125" cy="466725"/>
                    </a:xfrm>
                    <a:prstGeom prst="rect">
                      <a:avLst/>
                    </a:prstGeom>
                  </pic:spPr>
                </pic:pic>
              </a:graphicData>
            </a:graphic>
          </wp:inline>
        </w:drawing>
      </w:r>
    </w:p>
    <w:p>
      <w:pPr>
        <w:pStyle w:val="TextBody"/>
        <w:bidi w:val="0"/>
        <w:spacing w:before="200" w:after="283"/>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 xml:space="preserve">Vistagen Reports Fiscal Year 2026 Second Quarter Financial Results and Provides Corporate Update </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i/>
          <w:color w:val="000000"/>
          <w:sz w:val="22"/>
        </w:rPr>
      </w:pPr>
      <w:r>
        <w:rPr>
          <w:rFonts w:ascii="Times New Roman;serif" w:hAnsi="Times New Roman;serif"/>
          <w:b w:val="false"/>
          <w:i/>
          <w:color w:val="000000"/>
          <w:sz w:val="22"/>
        </w:rPr>
        <w:t xml:space="preserve">PALISADE-3 Phase 3 Public Speaking Challenge Study of Fasedienol for the Acute Treatment of Social Anxiety Disorder is Complete; Topline results expected by calendar year end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 xml:space="preserve">SOUTH SAN FRANCISCO, Calif. (BUSINESS WIRE) — November 13, 2025 — </w:t>
      </w:r>
      <w:r>
        <w:rPr>
          <w:rFonts w:ascii="Times New Roman;serif" w:hAnsi="Times New Roman;serif"/>
          <w:b w:val="false"/>
          <w:color w:val="0000FF"/>
          <w:sz w:val="22"/>
        </w:rPr>
        <w:t>Vistagen</w:t>
      </w:r>
      <w:r>
        <w:rPr>
          <w:color w:val="000000"/>
        </w:rPr>
        <w:t xml:space="preserve"> </w:t>
      </w:r>
      <w:r>
        <w:rPr>
          <w:rFonts w:ascii="Times New Roman;serif" w:hAnsi="Times New Roman;serif"/>
          <w:b w:val="false"/>
          <w:color w:val="000000"/>
          <w:sz w:val="22"/>
        </w:rPr>
        <w:t>(Nasdaq: VTGN), a late clinical-stage biopharmaceutical company pioneering neuroscience with nose-to-brain neurocircuitry to develop and commercialize a new class of intranasal product candidates called pherines, today reported financial results for its fiscal year 2026 second quarter ended September 30, 2025, and provided a corporate update.</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2"/>
        </w:rPr>
        <w:t>As we conclude the second quarter of our fiscal year, we are encouraged by our progress and remain confident in the path ahead,” said Shawn Singh, President and Chief Executive Officer of Vistagen. “We are on track to report topline data from the randomized portion of our PALISADE-3 Phase 3 trial of fasedienol for the acute treatment of social anxiety disorder this quarter, followed by the randomized portion of our PALISADE-4 Phase 3 trial in 2026. We have built strong momentum toward the primary goal of our PALISADE program, developing what we hope could be the first FDA-approved acute treatment of social anxiety disorder for the 30 million adults living with this serious and potentially life-threatening condition.”</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u w:val="single"/>
        </w:rPr>
        <w:t>Program Highlights</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2"/>
        </w:rPr>
      </w:pPr>
      <w:r>
        <w:rPr>
          <w:rFonts w:ascii="Times New Roman;serif" w:hAnsi="Times New Roman;serif"/>
          <w:b w:val="false"/>
          <w:i/>
          <w:color w:val="000000"/>
          <w:sz w:val="22"/>
        </w:rPr>
        <w:t xml:space="preserve">Fasedienol for the Acute Treatment of Social Anxiety Disorder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Earlier this month, Vistagen announced that the last patient completed the randomized, double-blinded portion of its PALISADE-3 Phase 3 clinical trial evaluating fasedienol for the acute treatment of social anxiety disorder.</w:t>
      </w:r>
      <w:r>
        <w:rPr>
          <w:color w:val="000000"/>
        </w:rPr>
        <w:t xml:space="preserve">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Topline results from this randomized portion of the PALISADE-3 Phase 3 trial are expected in the fourth quarter of this calendar year.</w:t>
      </w:r>
      <w:r>
        <w:rPr>
          <w:color w:val="000000"/>
        </w:rPr>
        <w:t xml:space="preserve">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 xml:space="preserve">A duplicate and concurrent Phase 3 trial, PALISADE-4, involves the same public speaking challenge study design as PALISADE-3. Topline results from the randomized, double-blinded portion PALISADE-4 are expected in the first half of 2026.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Corporate Highlights</w:t>
      </w:r>
    </w:p>
    <w:p>
      <w:pPr>
        <w:pStyle w:val="TextBody"/>
        <w:bidi w:val="0"/>
        <w:spacing w:before="0" w:after="0"/>
        <w:jc w:val="left"/>
        <w:rPr/>
      </w:pPr>
      <w:r>
        <w:rPr/>
      </w:r>
    </w:p>
    <w:p>
      <w:pPr>
        <w:pStyle w:val="TextBody"/>
        <w:bidi w:val="0"/>
        <w:spacing w:lineRule="auto" w:line="268"/>
        <w:ind w:left="0" w:right="0" w:hanging="360"/>
        <w:jc w:val="left"/>
        <w:rPr/>
      </w:pPr>
      <w:r>
        <w:rPr>
          <w:color w:val="000000"/>
        </w:rPr>
        <w:t>•</w:t>
      </w:r>
      <w:r>
        <w:rPr>
          <w:rFonts w:ascii="Times New Roman;serif" w:hAnsi="Times New Roman;serif"/>
          <w:b w:val="false"/>
          <w:color w:val="000000"/>
          <w:sz w:val="22"/>
        </w:rPr>
        <w:t>In October, Vistagen announced the appointment of Mr. Paul Edick to its Board of Directors. Mr. Edick was also appointed to serve on Vistagen’s Audit and Compensation Committees.</w:t>
      </w:r>
    </w:p>
    <w:p>
      <w:pPr>
        <w:pStyle w:val="TextBody"/>
        <w:bidi w:val="0"/>
        <w:spacing w:before="0" w:after="0"/>
        <w:jc w:val="left"/>
        <w:rPr/>
      </w:pPr>
      <w:r>
        <w:rPr/>
        <w:drawing>
          <wp:inline distT="0" distB="0" distL="0" distR="0">
            <wp:extent cx="1371600" cy="4572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371600" cy="457200"/>
                    </a:xfrm>
                    <a:prstGeom prst="rect">
                      <a:avLst/>
                    </a:prstGeom>
                  </pic:spPr>
                </pic:pic>
              </a:graphicData>
            </a:graphic>
          </wp:inline>
        </w:drawing>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Financial Results for Fiscal Year 2026 Second Quarter Ended September 30, 2025</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2"/>
        </w:rPr>
      </w:pPr>
      <w:r>
        <w:rPr>
          <w:rFonts w:ascii="Times New Roman;serif" w:hAnsi="Times New Roman;serif"/>
          <w:b w:val="false"/>
          <w:i/>
          <w:color w:val="000000"/>
          <w:sz w:val="22"/>
        </w:rPr>
        <w:t>Research and development (R&amp;D) expense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R&amp;D expense was $15.9 million for the three months ended September 30, 2025, as compared to $10.2 million for the three months ended September 30, 2024. The increase in R&amp;D expense was primarily due to higher research, development, and contract manufacturing expenses, as well as headcount related to the U.S. registration-directed PALISADE Program for fasedienol in social anxiety disorder.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2"/>
        </w:rPr>
      </w:pPr>
      <w:r>
        <w:rPr>
          <w:rFonts w:ascii="Times New Roman;serif" w:hAnsi="Times New Roman;serif"/>
          <w:b w:val="false"/>
          <w:i/>
          <w:color w:val="000000"/>
          <w:sz w:val="22"/>
        </w:rPr>
        <w:t>General and administrative (G&amp;A) expense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 xml:space="preserve">G&amp;A expense was $4.4 million for the three months ended September 30, 2025, as compared to $4.2 million for the three months ended September 30, 2024.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2"/>
        </w:rPr>
      </w:pPr>
      <w:r>
        <w:rPr>
          <w:rFonts w:ascii="Times New Roman;serif" w:hAnsi="Times New Roman;serif"/>
          <w:b w:val="false"/>
          <w:i/>
          <w:color w:val="000000"/>
          <w:sz w:val="22"/>
        </w:rPr>
        <w:t>Net loss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 xml:space="preserve">Net loss was $19.4 million for the three months ended September 30, 2025, as compared to $13.0 million for the three months ended September 30, 2024.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2"/>
        </w:rPr>
      </w:pPr>
      <w:r>
        <w:rPr>
          <w:rFonts w:ascii="Times New Roman;serif" w:hAnsi="Times New Roman;serif"/>
          <w:b w:val="false"/>
          <w:i/>
          <w:color w:val="000000"/>
          <w:sz w:val="22"/>
        </w:rPr>
        <w:t>Other financial highlights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Cash, cash equivalents, and marketable securities were $77.2 million as of September 30, 2025.</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Conference Call and Webcast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Vistagen will host a conference call and live audio webcast today, November 13, 2025, at 5:00 p.m. Eastern Time to provide a corporate update of the Company’s progress. A link can be found under “Events” in the Investors section of Vistagen's website. Please click on the webcast link and follow the prompts for registration and access at least 10 minutes before the call. The webcast will be archived on Vistagen’s website shortly after the call and will be available for at least 90 days.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For participants interested in joining the call via dial-in, please use the details below.</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Conference ID: 6458570</w: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Participant Toll-Free Dial-In Number: 1(800) 715-9871</w: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Participant International Dial-In Number: 1(646) 307-1963</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About Vistagen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Headquartered in South San Francisco, CA, Vistagen (Nasdaq: VTGN) is a late clinical-stage biopharmaceutical company leveraging a deep understanding of nose-to-brain neurocircuitry to develop and commercialize a new class of intranasal product candidates called pherines. Pherines specifically and selectively bind as agonists on peripheral receptors on human nasal chemosensory neurons and are designed to rapidly trigger olfactory bulb-to-brain neurocircuits believed to regulate brain areas involved in behavior and autonomic nervous system activity. They are designed to achieve therapeutic benefits without requiring absorption into the blood or uptake into the brain, giving them the potential to be a safer alternative to other pharmacological options if successfully developed and approved. </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2"/>
        </w:rPr>
      </w:pPr>
      <w:r>
        <w:rPr>
          <w:rFonts w:ascii="Times New Roman;serif" w:hAnsi="Times New Roman;serif"/>
          <w:b w:val="false"/>
          <w:color w:val="000000"/>
          <w:sz w:val="22"/>
        </w:rPr>
        <w:t>Vistagen is passionate about developing transformative treatment options to improve the lives of individuals underserved by the current standard of care for multiple highly prevalent indications, including social anxiety disorder, major depressive disorder, and vasomotor symptoms (hot flashes) due to menopause. Connect at www.Vistagen.com.</w:t>
      </w:r>
    </w:p>
    <w:p>
      <w:pPr>
        <w:pStyle w:val="TextBody"/>
        <w:bidi w:val="0"/>
        <w:spacing w:before="0" w:after="0"/>
        <w:jc w:val="left"/>
        <w:rPr/>
      </w:pPr>
      <w:r>
        <w:rPr/>
        <w:drawing>
          <wp:inline distT="0" distB="0" distL="0" distR="0">
            <wp:extent cx="1371600" cy="45720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371600" cy="457200"/>
                    </a:xfrm>
                    <a:prstGeom prst="rect">
                      <a:avLst/>
                    </a:prstGeom>
                  </pic:spPr>
                </pic:pic>
              </a:graphicData>
            </a:graphic>
          </wp:inline>
        </w:drawing>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8"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 xml:space="preserve">Forward-looking Statements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2"/>
        </w:rPr>
      </w:pPr>
      <w:r>
        <w:rPr>
          <w:rFonts w:ascii="Times New Roman;serif" w:hAnsi="Times New Roman;serif"/>
          <w:b w:val="false"/>
          <w:i/>
          <w:color w:val="000000"/>
          <w:sz w:val="22"/>
        </w:rPr>
        <w:t xml:space="preserve">This press release contains certain forward-looking statements within the meaning of the federal securities laws, including, without limitation, statements regarding the timing of topline data from the randomized portions of the PALISADE-3 and PALISADE-4 Phase 3 trials and the primary goal of the PALISADE program.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results or developments may differ materially from those projected or implied in these forward-looking statements. There can be no guarantee that any of Vistagen’s product candidates will successfully complete ongoing or future clinical trials within estimated timelines or at all, receive regulatory approval or be commercially successful, or that Vistagen will be able to successfully replicate the results of past studies of any of its product candidates. Other factors that may cause such a difference include, without limitation, risks and uncertainties relating to conducting and/or completing ongoing clinical trials, including PALISADE-3, PALISADE-4, a small exploratory Phase 2B clinical trial designed to assess efficacy, safety and tolerability of a repeat dose of fasedienol in adults with SAD, which we refer to as the Repeat Dose Study and/or any other clinical trial conducted by Vistagen as a part of its PALISADE program, as currently expected or at all; submission of a NDA to the FDA for any of Vistagen's product candidates, including fasedienol; the ability of any clinical trial information from the PALISADE program or otherwise submitted by Vistagen to the FDA to successfully support a NDA; the FDA’s determination that our trials and/or results from Vistagen’s PALISADE development program are adequate to support NDA approval; Vistagen's dependence on third-party collaborators for the development, regulatory approval, and/or commercialization of its product candidates and other aspects of its business, which are outside of Vistagen's full control; risks and uncertainties resulting from government shutdowns, disruptions and personnel turnover, staff reductions or otherwise, at the FDA, other government agencies and comparable foreign regulatory authorities; risks associated with current and potential future healthcare reforms; the scope and enforceability of Vistagen’s patents, including patents related to Vistagen’s pherine product candidates; fluctuating costs of materials and other resources and services required to conduct Vistagen’s ongoing and/or planned clinical and non-clinical trials; market conditions; the impact of general economic, industry or political conditions in the United States or internationally; and other technical and unexpected hurdles in the development, manufacture and commercialization of Vistagen’s product candidates. Risks that may impact the outcome of these forward-looking statements are more fully discussed in the section entitled “Risk Factors” in Vistagen’s Annual Report on Form 10-K for the fiscal year ended March 31, 2025, and Quarterly Report on Form 10-Q for the period ended September 30, 2025, as well as discussions of potential risks, uncertainties, and other important factors in our other filings with the U.S. Securities and Exchange Commission (SEC). Vistagen’s SEC filings are available on the SEC’s website at www.sec.gov. You should not place undue reliance on these forward-looking statements, which apply only as of the date of this press release and should not be relied upon as representing Vistagen’s views as of any subsequent date. Vistagen explicitly disclaims any obligation to update any forward-looking statements other than as may be required by law. If Vistagen does update one or more forward-looking statements, no inference should be made that Vistagen will make additional updates with respect to those or other forward-looking statements.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Investor Inquiries:</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Mark A. McPartland</w:t>
      </w:r>
    </w:p>
    <w:p>
      <w:pPr>
        <w:pStyle w:val="TextBody"/>
        <w:bidi w:val="0"/>
        <w:spacing w:lineRule="auto" w:line="268" w:before="0" w:after="0"/>
        <w:jc w:val="left"/>
        <w:rPr>
          <w:rFonts w:ascii="Times New Roman;serif" w:hAnsi="Times New Roman;serif"/>
          <w:b w:val="false"/>
          <w:color w:val="0000FF"/>
          <w:sz w:val="22"/>
        </w:rPr>
      </w:pPr>
      <w:r>
        <w:rPr>
          <w:rFonts w:ascii="Times New Roman;serif" w:hAnsi="Times New Roman;serif"/>
          <w:b w:val="false"/>
          <w:color w:val="0000FF"/>
          <w:sz w:val="22"/>
        </w:rPr>
        <w:t>markmcp@vistagen.com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Media Inquiries:</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Michelle P. Wellington</w:t>
      </w:r>
    </w:p>
    <w:p>
      <w:pPr>
        <w:pStyle w:val="TextBody"/>
        <w:bidi w:val="0"/>
        <w:spacing w:lineRule="auto" w:line="268" w:before="0" w:after="0"/>
        <w:jc w:val="left"/>
        <w:rPr>
          <w:rFonts w:ascii="Times New Roman;serif" w:hAnsi="Times New Roman;serif"/>
          <w:b w:val="false"/>
          <w:color w:val="0000FF"/>
          <w:sz w:val="22"/>
        </w:rPr>
      </w:pPr>
      <w:r>
        <w:rPr>
          <w:rFonts w:ascii="Times New Roman;serif" w:hAnsi="Times New Roman;serif"/>
          <w:b w:val="false"/>
          <w:color w:val="0000FF"/>
          <w:sz w:val="22"/>
        </w:rPr>
        <w:t>mwellington@vistagen.com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371600" cy="45720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1371600" cy="457200"/>
                    </a:xfrm>
                    <a:prstGeom prst="rect">
                      <a:avLst/>
                    </a:prstGeom>
                  </pic:spPr>
                </pic:pic>
              </a:graphicData>
            </a:graphic>
          </wp:inline>
        </w:drawing>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VISTAGEN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par value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926"/>
        <w:gridCol w:w="2388"/>
        <w:gridCol w:w="2330"/>
        <w:gridCol w:w="232"/>
        <w:gridCol w:w="794"/>
        <w:gridCol w:w="119"/>
        <w:gridCol w:w="109"/>
        <w:gridCol w:w="109"/>
        <w:gridCol w:w="109"/>
        <w:gridCol w:w="211"/>
        <w:gridCol w:w="721"/>
        <w:gridCol w:w="157"/>
      </w:tblGrid>
      <w:tr>
        <w:trPr/>
        <w:tc>
          <w:tcPr>
            <w:tcW w:w="2926" w:type="dxa"/>
            <w:tcBorders/>
            <w:vAlign w:val="center"/>
          </w:tcPr>
          <w:p>
            <w:pPr>
              <w:pStyle w:val="TableContents"/>
              <w:bidi w:val="0"/>
              <w:spacing w:before="0" w:after="283"/>
              <w:jc w:val="left"/>
              <w:rPr>
                <w:sz w:val="4"/>
                <w:szCs w:val="4"/>
              </w:rPr>
            </w:pPr>
            <w:r>
              <w:rPr>
                <w:sz w:val="4"/>
                <w:szCs w:val="4"/>
              </w:rPr>
            </w:r>
          </w:p>
        </w:tc>
        <w:tc>
          <w:tcPr>
            <w:tcW w:w="2388"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March 31,</w:t>
              <w:br/>
              <w:t>2025</w:t>
            </w:r>
          </w:p>
        </w:tc>
      </w:tr>
      <w:tr>
        <w:trPr/>
        <w:tc>
          <w:tcPr>
            <w:tcW w:w="7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3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62,786 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67,131 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14,389 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13,351 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78,934 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82,076 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 - operating lease</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80,929 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84,341 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20"/>
              </w:rPr>
              <w:t>LIABILITIES AND STOCKHOLDERS</w:t>
            </w:r>
            <w:r>
              <w:rPr>
                <w:color w:val="000000"/>
              </w:rPr>
              <w:t xml:space="preserve">’ </w:t>
            </w:r>
            <w:r>
              <w:rPr>
                <w:rFonts w:ascii="Times New Roman;serif" w:hAnsi="Times New Roman;serif"/>
                <w:b/>
                <w:color w:val="000000"/>
                <w:sz w:val="20"/>
              </w:rPr>
              <w:t>EQUITY</w:t>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3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8,417 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Note payable</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 current portion</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 - current portion</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13,644 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12,612 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 non-current portion</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 - non-current portion</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14,590 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13,951 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 10,000,000 shares authorized at September 30, 2025 and March 31, 2025; no shares outstanding at September 30, 2025 and March 31, 2025</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325,000,000 shares authorized at September 30, 2025 and March 31, 2025; 38,895,568 and 29,001,481 shares issued at September 30, 2025 and March 31, 2025, respectively</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512,398 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481,956 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at cost, 4,522 shares of common stock held at September 30, 2025 and March 31, 2025</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(3,968)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(3,968)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(442,144)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(407,632)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66,339 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70,390 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80,929 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84,341 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371600" cy="45720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1371600" cy="457200"/>
                    </a:xfrm>
                    <a:prstGeom prst="rect">
                      <a:avLst/>
                    </a:prstGeom>
                  </pic:spPr>
                </pic:pic>
              </a:graphicData>
            </a:graphic>
          </wp:inline>
        </w:drawing>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VISTAGEN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59"/>
        <w:gridCol w:w="1487"/>
        <w:gridCol w:w="1506"/>
        <w:gridCol w:w="211"/>
        <w:gridCol w:w="786"/>
        <w:gridCol w:w="109"/>
        <w:gridCol w:w="109"/>
        <w:gridCol w:w="109"/>
        <w:gridCol w:w="109"/>
        <w:gridCol w:w="211"/>
        <w:gridCol w:w="786"/>
        <w:gridCol w:w="109"/>
        <w:gridCol w:w="109"/>
        <w:gridCol w:w="109"/>
        <w:gridCol w:w="109"/>
        <w:gridCol w:w="211"/>
        <w:gridCol w:w="786"/>
        <w:gridCol w:w="109"/>
        <w:gridCol w:w="109"/>
        <w:gridCol w:w="109"/>
        <w:gridCol w:w="109"/>
        <w:gridCol w:w="211"/>
        <w:gridCol w:w="786"/>
        <w:gridCol w:w="157"/>
      </w:tblGrid>
      <w:tr>
        <w:trPr/>
        <w:tc>
          <w:tcPr>
            <w:tcW w:w="1759"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Six Months Ended</w:t>
              <w:br/>
              <w:t>September 30,</w:t>
            </w:r>
          </w:p>
        </w:tc>
      </w:tr>
      <w:tr>
        <w:trPr/>
        <w:tc>
          <w:tcPr>
            <w:tcW w:w="4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Sublicense and other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8,762 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26,625 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(26,358)</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(23,687)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(23,694)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marketable securities</w:t>
            </w:r>
          </w:p>
        </w:tc>
        <w:tc>
          <w:tcPr>
            <w:tcW w:w="9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(23,672)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common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(0.77)</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 and diluted</w:t>
            </w:r>
          </w:p>
        </w:tc>
        <w:tc>
          <w:tcPr>
            <w:tcW w:w="110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35,749,160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30,632,347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33,850,346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30,617,970</w:t>
            </w:r>
          </w:p>
        </w:tc>
      </w:tr>
    </w:tbl>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2389</Words>
  <Characters>13828</Characters>
  <CharactersWithSpaces>16031</CharactersWithSpaces>
  <Paragraphs>312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