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 filed with the Securities and Exchange Commission on September 30, 2019</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333-223556</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40" w:type="dxa"/>
            <w:vAlign w:val="bottom"/>
            <w:gridSpan w:val="4"/>
          </w:tcPr>
          <w:p>
            <w:pPr>
              <w:jc w:val="center"/>
              <w:ind w:right="4192"/>
              <w:spacing w:after="0"/>
              <w:rPr>
                <w:sz w:val="20"/>
                <w:szCs w:val="20"/>
                <w:color w:val="auto"/>
              </w:rPr>
            </w:pPr>
            <w:r>
              <w:rPr>
                <w:rFonts w:ascii="Arial" w:cs="Arial" w:eastAsia="Arial" w:hAnsi="Arial"/>
                <w:sz w:val="18"/>
                <w:szCs w:val="18"/>
                <w:b w:val="1"/>
                <w:bCs w:val="1"/>
                <w:color w:val="auto"/>
                <w:w w:val="96"/>
              </w:rPr>
              <w:t>UNITED STATES</w:t>
            </w:r>
          </w:p>
        </w:tc>
      </w:tr>
      <w:tr>
        <w:trPr>
          <w:trHeight w:val="216"/>
        </w:trPr>
        <w:tc>
          <w:tcPr>
            <w:tcW w:w="3740" w:type="dxa"/>
            <w:vAlign w:val="bottom"/>
          </w:tcPr>
          <w:p>
            <w:pPr>
              <w:spacing w:after="0"/>
              <w:rPr>
                <w:sz w:val="18"/>
                <w:szCs w:val="18"/>
                <w:color w:val="auto"/>
              </w:rPr>
            </w:pPr>
          </w:p>
        </w:tc>
        <w:tc>
          <w:tcPr>
            <w:tcW w:w="7680" w:type="dxa"/>
            <w:vAlign w:val="bottom"/>
            <w:gridSpan w:val="5"/>
          </w:tcPr>
          <w:p>
            <w:pPr>
              <w:jc w:val="center"/>
              <w:ind w:right="3652"/>
              <w:spacing w:after="0"/>
              <w:rPr>
                <w:sz w:val="20"/>
                <w:szCs w:val="20"/>
                <w:color w:val="auto"/>
              </w:rPr>
            </w:pPr>
            <w:r>
              <w:rPr>
                <w:rFonts w:ascii="Arial" w:cs="Arial" w:eastAsia="Arial" w:hAnsi="Arial"/>
                <w:sz w:val="18"/>
                <w:szCs w:val="18"/>
                <w:b w:val="1"/>
                <w:bCs w:val="1"/>
                <w:color w:val="auto"/>
                <w:w w:val="98"/>
              </w:rPr>
              <w:t>SECURITIES AND EXCHANGE COMMISSION</w:t>
            </w:r>
          </w:p>
        </w:tc>
      </w:tr>
      <w:tr>
        <w:trPr>
          <w:trHeight w:val="228"/>
        </w:trPr>
        <w:tc>
          <w:tcPr>
            <w:tcW w:w="3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40" w:type="dxa"/>
            <w:vAlign w:val="bottom"/>
            <w:gridSpan w:val="4"/>
          </w:tcPr>
          <w:p>
            <w:pPr>
              <w:jc w:val="center"/>
              <w:ind w:right="4192"/>
              <w:spacing w:after="0"/>
              <w:rPr>
                <w:sz w:val="20"/>
                <w:szCs w:val="20"/>
                <w:color w:val="auto"/>
              </w:rPr>
            </w:pPr>
            <w:r>
              <w:rPr>
                <w:rFonts w:ascii="Arial" w:cs="Arial" w:eastAsia="Arial" w:hAnsi="Arial"/>
                <w:sz w:val="18"/>
                <w:szCs w:val="18"/>
                <w:b w:val="1"/>
                <w:bCs w:val="1"/>
                <w:color w:val="auto"/>
                <w:w w:val="94"/>
              </w:rPr>
              <w:t>WASHINGTON, D.C. 20549</w:t>
            </w:r>
          </w:p>
        </w:tc>
      </w:tr>
      <w:tr>
        <w:trPr>
          <w:trHeight w:val="420"/>
        </w:trPr>
        <w:tc>
          <w:tcPr>
            <w:tcW w:w="3740" w:type="dxa"/>
            <w:vAlign w:val="bottom"/>
          </w:tcPr>
          <w:p>
            <w:pPr>
              <w:spacing w:after="0"/>
              <w:rPr>
                <w:sz w:val="24"/>
                <w:szCs w:val="24"/>
                <w:color w:val="auto"/>
              </w:rPr>
            </w:pPr>
          </w:p>
        </w:tc>
        <w:tc>
          <w:tcPr>
            <w:tcW w:w="7680" w:type="dxa"/>
            <w:vAlign w:val="bottom"/>
            <w:gridSpan w:val="5"/>
          </w:tcPr>
          <w:p>
            <w:pPr>
              <w:jc w:val="center"/>
              <w:ind w:right="3652"/>
              <w:spacing w:after="0"/>
              <w:rPr>
                <w:sz w:val="20"/>
                <w:szCs w:val="20"/>
                <w:color w:val="auto"/>
              </w:rPr>
            </w:pPr>
            <w:r>
              <w:rPr>
                <w:rFonts w:ascii="Arial" w:cs="Arial" w:eastAsia="Arial" w:hAnsi="Arial"/>
                <w:sz w:val="18"/>
                <w:szCs w:val="18"/>
                <w:b w:val="1"/>
                <w:bCs w:val="1"/>
                <w:color w:val="auto"/>
                <w:w w:val="98"/>
              </w:rPr>
              <w:t>POST-EFFECTIVE AMENDMENT NO. 1</w:t>
            </w: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60" w:type="dxa"/>
            <w:vAlign w:val="bottom"/>
            <w:gridSpan w:val="3"/>
          </w:tcPr>
          <w:p>
            <w:pPr>
              <w:jc w:val="center"/>
              <w:ind w:right="5072"/>
              <w:spacing w:after="0"/>
              <w:rPr>
                <w:sz w:val="20"/>
                <w:szCs w:val="20"/>
                <w:color w:val="auto"/>
              </w:rPr>
            </w:pPr>
            <w:r>
              <w:rPr>
                <w:rFonts w:ascii="Arial" w:cs="Arial" w:eastAsia="Arial" w:hAnsi="Arial"/>
                <w:sz w:val="18"/>
                <w:szCs w:val="18"/>
                <w:b w:val="1"/>
                <w:bCs w:val="1"/>
                <w:color w:val="auto"/>
              </w:rPr>
              <w:t>TO</w:t>
            </w: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60" w:type="dxa"/>
            <w:vAlign w:val="bottom"/>
            <w:gridSpan w:val="3"/>
          </w:tcPr>
          <w:p>
            <w:pPr>
              <w:jc w:val="center"/>
              <w:ind w:right="5072"/>
              <w:spacing w:after="0"/>
              <w:rPr>
                <w:sz w:val="20"/>
                <w:szCs w:val="20"/>
                <w:color w:val="auto"/>
              </w:rPr>
            </w:pPr>
            <w:r>
              <w:rPr>
                <w:rFonts w:ascii="Arial" w:cs="Arial" w:eastAsia="Arial" w:hAnsi="Arial"/>
                <w:sz w:val="18"/>
                <w:szCs w:val="18"/>
                <w:b w:val="1"/>
                <w:bCs w:val="1"/>
                <w:color w:val="auto"/>
                <w:w w:val="95"/>
              </w:rPr>
              <w:t>FORM S-8</w:t>
            </w: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140" w:type="dxa"/>
            <w:vAlign w:val="bottom"/>
            <w:gridSpan w:val="4"/>
          </w:tcPr>
          <w:p>
            <w:pPr>
              <w:jc w:val="center"/>
              <w:ind w:right="4172"/>
              <w:spacing w:after="0"/>
              <w:rPr>
                <w:sz w:val="20"/>
                <w:szCs w:val="20"/>
                <w:color w:val="auto"/>
              </w:rPr>
            </w:pPr>
            <w:r>
              <w:rPr>
                <w:rFonts w:ascii="Arial" w:cs="Arial" w:eastAsia="Arial" w:hAnsi="Arial"/>
                <w:sz w:val="18"/>
                <w:szCs w:val="18"/>
                <w:b w:val="1"/>
                <w:bCs w:val="1"/>
                <w:color w:val="auto"/>
                <w:w w:val="98"/>
              </w:rPr>
              <w:t>REGISTRATION STATEMENT</w:t>
            </w:r>
          </w:p>
        </w:tc>
      </w:tr>
      <w:tr>
        <w:trPr>
          <w:trHeight w:val="216"/>
        </w:trPr>
        <w:tc>
          <w:tcPr>
            <w:tcW w:w="3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60" w:type="dxa"/>
            <w:vAlign w:val="bottom"/>
            <w:gridSpan w:val="3"/>
          </w:tcPr>
          <w:p>
            <w:pPr>
              <w:jc w:val="center"/>
              <w:ind w:right="5072"/>
              <w:spacing w:after="0"/>
              <w:rPr>
                <w:sz w:val="20"/>
                <w:szCs w:val="20"/>
                <w:color w:val="auto"/>
              </w:rPr>
            </w:pPr>
            <w:r>
              <w:rPr>
                <w:rFonts w:ascii="Arial" w:cs="Arial" w:eastAsia="Arial" w:hAnsi="Arial"/>
                <w:sz w:val="18"/>
                <w:szCs w:val="18"/>
                <w:b w:val="1"/>
                <w:bCs w:val="1"/>
                <w:color w:val="auto"/>
                <w:w w:val="96"/>
              </w:rPr>
              <w:t>UNDER</w:t>
            </w:r>
          </w:p>
        </w:tc>
      </w:tr>
      <w:tr>
        <w:trPr>
          <w:trHeight w:val="228"/>
        </w:trPr>
        <w:tc>
          <w:tcPr>
            <w:tcW w:w="3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140" w:type="dxa"/>
            <w:vAlign w:val="bottom"/>
            <w:gridSpan w:val="4"/>
          </w:tcPr>
          <w:p>
            <w:pPr>
              <w:jc w:val="center"/>
              <w:ind w:right="4192"/>
              <w:spacing w:after="0"/>
              <w:rPr>
                <w:sz w:val="20"/>
                <w:szCs w:val="20"/>
                <w:color w:val="auto"/>
              </w:rPr>
            </w:pPr>
            <w:r>
              <w:rPr>
                <w:rFonts w:ascii="Arial" w:cs="Arial" w:eastAsia="Arial" w:hAnsi="Arial"/>
                <w:sz w:val="18"/>
                <w:szCs w:val="18"/>
                <w:b w:val="1"/>
                <w:bCs w:val="1"/>
                <w:color w:val="auto"/>
                <w:w w:val="96"/>
              </w:rPr>
              <w:t>THE SECURITIES ACT OF 1933</w:t>
            </w:r>
          </w:p>
        </w:tc>
      </w:tr>
      <w:tr>
        <w:trPr>
          <w:trHeight w:val="426"/>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gridSpan w:val="4"/>
          </w:tcPr>
          <w:p>
            <w:pPr>
              <w:jc w:val="center"/>
              <w:ind w:right="4192"/>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222"/>
        </w:trPr>
        <w:tc>
          <w:tcPr>
            <w:tcW w:w="3740" w:type="dxa"/>
            <w:vAlign w:val="bottom"/>
          </w:tcPr>
          <w:p>
            <w:pPr>
              <w:spacing w:after="0"/>
              <w:rPr>
                <w:sz w:val="19"/>
                <w:szCs w:val="19"/>
                <w:color w:val="auto"/>
              </w:rPr>
            </w:pPr>
          </w:p>
        </w:tc>
        <w:tc>
          <w:tcPr>
            <w:tcW w:w="7680" w:type="dxa"/>
            <w:vAlign w:val="bottom"/>
            <w:gridSpan w:val="5"/>
          </w:tcPr>
          <w:p>
            <w:pPr>
              <w:jc w:val="center"/>
              <w:ind w:right="365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657"/>
        </w:trPr>
        <w:tc>
          <w:tcPr>
            <w:tcW w:w="3740" w:type="dxa"/>
            <w:vAlign w:val="bottom"/>
          </w:tcPr>
          <w:p>
            <w:pPr>
              <w:jc w:val="center"/>
              <w:ind w:left="1332"/>
              <w:spacing w:after="0"/>
              <w:rPr>
                <w:sz w:val="20"/>
                <w:szCs w:val="20"/>
                <w:color w:val="auto"/>
              </w:rPr>
            </w:pPr>
            <w:r>
              <w:rPr>
                <w:rFonts w:ascii="Arial" w:cs="Arial" w:eastAsia="Arial" w:hAnsi="Arial"/>
                <w:sz w:val="18"/>
                <w:szCs w:val="18"/>
                <w:b w:val="1"/>
                <w:bCs w:val="1"/>
                <w:color w:val="auto"/>
                <w:w w:val="87"/>
              </w:rPr>
              <w:t>Nevada</w:t>
            </w:r>
          </w:p>
        </w:tc>
        <w:tc>
          <w:tcPr>
            <w:tcW w:w="7680" w:type="dxa"/>
            <w:vAlign w:val="bottom"/>
            <w:gridSpan w:val="5"/>
          </w:tcPr>
          <w:p>
            <w:pPr>
              <w:jc w:val="center"/>
              <w:ind w:left="2452"/>
              <w:spacing w:after="0"/>
              <w:rPr>
                <w:sz w:val="20"/>
                <w:szCs w:val="20"/>
                <w:color w:val="auto"/>
              </w:rPr>
            </w:pPr>
            <w:r>
              <w:rPr>
                <w:rFonts w:ascii="Arial" w:cs="Arial" w:eastAsia="Arial" w:hAnsi="Arial"/>
                <w:sz w:val="18"/>
                <w:szCs w:val="18"/>
                <w:b w:val="1"/>
                <w:bCs w:val="1"/>
                <w:color w:val="auto"/>
                <w:w w:val="89"/>
              </w:rPr>
              <w:t>20-5093315</w:t>
            </w:r>
          </w:p>
        </w:tc>
      </w:tr>
      <w:tr>
        <w:trPr>
          <w:trHeight w:val="208"/>
        </w:trPr>
        <w:tc>
          <w:tcPr>
            <w:tcW w:w="3740" w:type="dxa"/>
            <w:vAlign w:val="bottom"/>
            <w:tcBorders>
              <w:top w:val="single" w:sz="8" w:color="auto"/>
            </w:tcBorders>
          </w:tcPr>
          <w:p>
            <w:pPr>
              <w:jc w:val="center"/>
              <w:ind w:left="1332"/>
              <w:spacing w:after="0"/>
              <w:rPr>
                <w:sz w:val="20"/>
                <w:szCs w:val="20"/>
                <w:color w:val="auto"/>
              </w:rPr>
            </w:pPr>
            <w:r>
              <w:rPr>
                <w:rFonts w:ascii="Arial" w:cs="Arial" w:eastAsia="Arial" w:hAnsi="Arial"/>
                <w:sz w:val="18"/>
                <w:szCs w:val="18"/>
                <w:color w:val="auto"/>
                <w:w w:val="88"/>
              </w:rPr>
              <w:t>(State or Other Jurisdiction of</w:t>
            </w:r>
          </w:p>
        </w:tc>
        <w:tc>
          <w:tcPr>
            <w:tcW w:w="5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tcPr>
          <w:p>
            <w:pPr>
              <w:jc w:val="center"/>
              <w:ind w:right="772"/>
              <w:spacing w:after="0"/>
              <w:rPr>
                <w:sz w:val="20"/>
                <w:szCs w:val="20"/>
                <w:color w:val="auto"/>
              </w:rPr>
            </w:pPr>
            <w:r>
              <w:rPr>
                <w:rFonts w:ascii="Arial" w:cs="Arial" w:eastAsia="Arial" w:hAnsi="Arial"/>
                <w:sz w:val="18"/>
                <w:szCs w:val="18"/>
                <w:color w:val="auto"/>
                <w:w w:val="90"/>
              </w:rPr>
              <w:t>(I.R.S. Employer</w:t>
            </w:r>
          </w:p>
        </w:tc>
      </w:tr>
      <w:tr>
        <w:trPr>
          <w:trHeight w:val="222"/>
        </w:trPr>
        <w:tc>
          <w:tcPr>
            <w:tcW w:w="3740" w:type="dxa"/>
            <w:vAlign w:val="bottom"/>
          </w:tcPr>
          <w:p>
            <w:pPr>
              <w:jc w:val="center"/>
              <w:ind w:left="1332"/>
              <w:spacing w:after="0"/>
              <w:rPr>
                <w:sz w:val="20"/>
                <w:szCs w:val="20"/>
                <w:color w:val="auto"/>
              </w:rPr>
            </w:pPr>
            <w:r>
              <w:rPr>
                <w:rFonts w:ascii="Arial" w:cs="Arial" w:eastAsia="Arial" w:hAnsi="Arial"/>
                <w:sz w:val="18"/>
                <w:szCs w:val="18"/>
                <w:color w:val="auto"/>
                <w:w w:val="90"/>
              </w:rPr>
              <w:t>Incorporation or Organization)</w:t>
            </w: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60" w:type="dxa"/>
            <w:vAlign w:val="bottom"/>
          </w:tcPr>
          <w:p>
            <w:pPr>
              <w:jc w:val="center"/>
              <w:ind w:right="79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3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40" w:type="dxa"/>
            <w:vAlign w:val="bottom"/>
            <w:gridSpan w:val="4"/>
          </w:tcPr>
          <w:p>
            <w:pPr>
              <w:jc w:val="center"/>
              <w:ind w:right="4172"/>
              <w:spacing w:after="0"/>
              <w:rPr>
                <w:sz w:val="20"/>
                <w:szCs w:val="20"/>
                <w:color w:val="auto"/>
              </w:rPr>
            </w:pPr>
            <w:r>
              <w:rPr>
                <w:rFonts w:ascii="Arial" w:cs="Arial" w:eastAsia="Arial" w:hAnsi="Arial"/>
                <w:sz w:val="18"/>
                <w:szCs w:val="18"/>
                <w:b w:val="1"/>
                <w:bCs w:val="1"/>
                <w:color w:val="auto"/>
                <w:w w:val="87"/>
              </w:rPr>
              <w:t>343 Allerton Avenue</w:t>
            </w:r>
          </w:p>
        </w:tc>
      </w:tr>
      <w:tr>
        <w:trPr>
          <w:trHeight w:val="190"/>
        </w:trPr>
        <w:tc>
          <w:tcPr>
            <w:tcW w:w="3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8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94080</w:t>
            </w:r>
          </w:p>
        </w:tc>
        <w:tc>
          <w:tcPr>
            <w:tcW w:w="4260" w:type="dxa"/>
            <w:vAlign w:val="bottom"/>
          </w:tcPr>
          <w:p>
            <w:pPr>
              <w:spacing w:after="0"/>
              <w:rPr>
                <w:sz w:val="16"/>
                <w:szCs w:val="16"/>
                <w:color w:val="auto"/>
              </w:rPr>
            </w:pPr>
          </w:p>
        </w:tc>
      </w:tr>
      <w:tr>
        <w:trPr>
          <w:trHeight w:val="235"/>
        </w:trPr>
        <w:tc>
          <w:tcPr>
            <w:tcW w:w="3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40" w:type="dxa"/>
            <w:vAlign w:val="bottom"/>
            <w:gridSpan w:val="4"/>
          </w:tcPr>
          <w:p>
            <w:pPr>
              <w:jc w:val="center"/>
              <w:ind w:right="4192"/>
              <w:spacing w:after="0"/>
              <w:rPr>
                <w:sz w:val="20"/>
                <w:szCs w:val="20"/>
                <w:color w:val="auto"/>
              </w:rPr>
            </w:pPr>
            <w:r>
              <w:rPr>
                <w:rFonts w:ascii="Arial" w:cs="Arial" w:eastAsia="Arial" w:hAnsi="Arial"/>
                <w:sz w:val="18"/>
                <w:szCs w:val="18"/>
                <w:color w:val="auto"/>
                <w:w w:val="90"/>
              </w:rPr>
              <w:t>(Address of Principal Executive Offices)</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VistaGen Therapeutics, Inc. 1999 Stock Incentive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VistaGen Therapeutics, Inc. Amended and Restated 2016 Equity Incentive Plan</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VistaGen Therapeutics, Inc. 2019 Omnibus Equity Incentive Plan</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South San Francisco, California 94080</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(Name and address of agent for service)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92101</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092"/>
              <w:spacing w:after="0"/>
              <w:rPr>
                <w:sz w:val="20"/>
                <w:szCs w:val="20"/>
                <w:color w:val="auto"/>
              </w:rPr>
            </w:pPr>
            <w:r>
              <w:rPr>
                <w:rFonts w:ascii="Arial" w:cs="Arial" w:eastAsia="Arial" w:hAnsi="Arial"/>
                <w:sz w:val="18"/>
                <w:szCs w:val="18"/>
                <w:color w:val="auto"/>
              </w:rPr>
              <w:t>]</w:t>
            </w:r>
          </w:p>
        </w:tc>
        <w:tc>
          <w:tcPr>
            <w:tcW w:w="486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740"/>
              <w:spacing w:after="0"/>
              <w:rPr>
                <w:sz w:val="20"/>
                <w:szCs w:val="20"/>
                <w:color w:val="auto"/>
              </w:rPr>
            </w:pPr>
            <w:r>
              <w:rPr>
                <w:rFonts w:ascii="Arial" w:cs="Arial" w:eastAsia="Arial" w:hAnsi="Arial"/>
                <w:sz w:val="18"/>
                <w:szCs w:val="18"/>
                <w:color w:val="auto"/>
              </w:rPr>
              <w:t>[ ]</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2092"/>
              <w:spacing w:after="0"/>
              <w:rPr>
                <w:sz w:val="20"/>
                <w:szCs w:val="20"/>
                <w:color w:val="auto"/>
              </w:rPr>
            </w:pPr>
            <w:r>
              <w:rPr>
                <w:rFonts w:ascii="Arial" w:cs="Arial" w:eastAsia="Arial" w:hAnsi="Arial"/>
                <w:sz w:val="18"/>
                <w:szCs w:val="18"/>
                <w:color w:val="auto"/>
              </w:rPr>
              <w:t>]</w:t>
            </w:r>
          </w:p>
        </w:tc>
        <w:tc>
          <w:tcPr>
            <w:tcW w:w="486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740"/>
              <w:spacing w:after="0"/>
              <w:rPr>
                <w:sz w:val="20"/>
                <w:szCs w:val="20"/>
                <w:color w:val="auto"/>
              </w:rPr>
            </w:pPr>
            <w:r>
              <w:rPr>
                <w:rFonts w:ascii="Arial" w:cs="Arial" w:eastAsia="Arial" w:hAnsi="Arial"/>
                <w:sz w:val="18"/>
                <w:szCs w:val="18"/>
                <w:color w:val="auto"/>
                <w:w w:val="99"/>
              </w:rPr>
              <w:t>[X]</w:t>
            </w:r>
          </w:p>
        </w:tc>
      </w:tr>
      <w:tr>
        <w:trPr>
          <w:trHeight w:val="222"/>
        </w:trPr>
        <w:tc>
          <w:tcPr>
            <w:tcW w:w="2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86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740"/>
              <w:spacing w:after="0"/>
              <w:rPr>
                <w:sz w:val="20"/>
                <w:szCs w:val="20"/>
                <w:color w:val="auto"/>
              </w:rPr>
            </w:pPr>
            <w:r>
              <w:rPr>
                <w:rFonts w:ascii="Arial" w:cs="Arial" w:eastAsia="Arial" w:hAnsi="Arial"/>
                <w:sz w:val="18"/>
                <w:szCs w:val="18"/>
                <w:color w:val="auto"/>
              </w:rPr>
              <w:t>[ ]</w:t>
            </w: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VistaGen Therapeutics, Inc. (the </w:t>
      </w:r>
      <w:r>
        <w:rPr>
          <w:rFonts w:ascii="Arial" w:cs="Arial" w:eastAsia="Arial" w:hAnsi="Arial"/>
          <w:sz w:val="16"/>
          <w:szCs w:val="16"/>
          <w:i w:val="1"/>
          <w:iCs w:val="1"/>
          <w:color w:val="auto"/>
        </w:rPr>
        <w:t>Registrant</w:t>
      </w:r>
      <w:r>
        <w:rPr>
          <w:rFonts w:ascii="Arial" w:cs="Arial" w:eastAsia="Arial" w:hAnsi="Arial"/>
          <w:sz w:val="16"/>
          <w:szCs w:val="16"/>
          <w:color w:val="auto"/>
        </w:rPr>
        <w:t>) previously registered shares of the Registrant’s common stock, $0.001 par value per share (</w:t>
      </w:r>
      <w:r>
        <w:rPr>
          <w:rFonts w:ascii="Arial" w:cs="Arial" w:eastAsia="Arial" w:hAnsi="Arial"/>
          <w:sz w:val="16"/>
          <w:szCs w:val="16"/>
          <w:i w:val="1"/>
          <w:iCs w:val="1"/>
          <w:color w:val="auto"/>
        </w:rPr>
        <w:t>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to be issued under the VistaGen Therapeutics, Inc. Amended and Restated 2016 Equity Incentive Plan, formerly the 2008 Stock Incentive Plan (the</w:t>
      </w:r>
      <w:r>
        <w:rPr>
          <w:rFonts w:ascii="Arial" w:cs="Arial" w:eastAsia="Arial" w:hAnsi="Arial"/>
          <w:sz w:val="16"/>
          <w:szCs w:val="16"/>
          <w:i w:val="1"/>
          <w:iCs w:val="1"/>
          <w:color w:val="auto"/>
        </w:rPr>
        <w:t xml:space="preserve"> 2016 Plan</w:t>
      </w:r>
      <w:r>
        <w:rPr>
          <w:rFonts w:ascii="Arial" w:cs="Arial" w:eastAsia="Arial" w:hAnsi="Arial"/>
          <w:sz w:val="16"/>
          <w:szCs w:val="16"/>
          <w:color w:val="auto"/>
        </w:rPr>
        <w:t>) and the VistaGen Therapeutics, Inc. 1999 Stock Incentive Plan (the</w:t>
      </w:r>
      <w:r>
        <w:rPr>
          <w:rFonts w:ascii="Arial" w:cs="Arial" w:eastAsia="Arial" w:hAnsi="Arial"/>
          <w:sz w:val="16"/>
          <w:szCs w:val="16"/>
          <w:i w:val="1"/>
          <w:iCs w:val="1"/>
          <w:color w:val="auto"/>
        </w:rPr>
        <w:t xml:space="preserve"> 1999 Plan</w:t>
      </w:r>
      <w:r>
        <w:rPr>
          <w:rFonts w:ascii="Arial" w:cs="Arial" w:eastAsia="Arial" w:hAnsi="Arial"/>
          <w:sz w:val="16"/>
          <w:szCs w:val="16"/>
          <w:color w:val="auto"/>
        </w:rPr>
        <w:t>). In connection with the 2016 Plan and the 1999 Plan, the Registrant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previously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a registration statement on Form S-8 on March 9, 2018 (File No. 333-223556) (the </w:t>
      </w:r>
      <w:r>
        <w:rPr>
          <w:rFonts w:ascii="Arial" w:cs="Arial" w:eastAsia="Arial" w:hAnsi="Arial"/>
          <w:sz w:val="16"/>
          <w:szCs w:val="16"/>
          <w:i w:val="1"/>
          <w:iCs w:val="1"/>
          <w:color w:val="auto"/>
        </w:rPr>
        <w:t>Prior Registration Statement</w:t>
      </w:r>
      <w:r>
        <w:rPr>
          <w:rFonts w:ascii="Arial" w:cs="Arial" w:eastAsia="Arial" w:hAnsi="Arial"/>
          <w:sz w:val="16"/>
          <w:szCs w:val="16"/>
          <w:color w:val="auto"/>
        </w:rPr>
        <w:t>). The Prior Registration Statement also covered any additional securities that may from time to time become issuable under the 2016 Plan and the 1999 Plan by reason of any stock dividend, stock split, recapitalization, or any other similar transaction that results in an increase in the number of outstanding shares of Common Stock of the Registrant.</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Since the date of the Prior Registration Statement, the 1999 Plan has terminated in accordance with its terms, and no awards remain outstanding under the 1999 Plan. On September 5, 2019 (the </w:t>
      </w:r>
      <w:r>
        <w:rPr>
          <w:rFonts w:ascii="Arial" w:cs="Arial" w:eastAsia="Arial" w:hAnsi="Arial"/>
          <w:sz w:val="16"/>
          <w:szCs w:val="16"/>
          <w:i w:val="1"/>
          <w:iCs w:val="1"/>
          <w:color w:val="auto"/>
        </w:rPr>
        <w:t>Effective Date</w:t>
      </w:r>
      <w:r>
        <w:rPr>
          <w:rFonts w:ascii="Arial" w:cs="Arial" w:eastAsia="Arial" w:hAnsi="Arial"/>
          <w:sz w:val="16"/>
          <w:szCs w:val="16"/>
          <w:color w:val="auto"/>
        </w:rPr>
        <w:t xml:space="preserve">), at the 2019 Annual Meeting of Stockholders of the Registrant, the Registrant’s stockholders approved the VistaGen Therapeutics, Inc.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xml:space="preserve">), and, in connection therewith, no further awards will be made under the 2016 Plan. The shares of Common Stock initially reserved for issuance under the 2019 Plan consist of (i) 7,500,000 shares of Common Stock registered pursuant to a separate registration statement on Form S-8 being filed concurrently with this Post-Effective Amendment No. 1 to the Prior Registration Statement (the </w:t>
      </w:r>
      <w:r>
        <w:rPr>
          <w:rFonts w:ascii="Arial" w:cs="Arial" w:eastAsia="Arial" w:hAnsi="Arial"/>
          <w:sz w:val="16"/>
          <w:szCs w:val="16"/>
          <w:i w:val="1"/>
          <w:iCs w:val="1"/>
          <w:color w:val="auto"/>
        </w:rPr>
        <w:t>Post-Effective Amendment</w:t>
      </w:r>
      <w:r>
        <w:rPr>
          <w:rFonts w:ascii="Arial" w:cs="Arial" w:eastAsia="Arial" w:hAnsi="Arial"/>
          <w:sz w:val="16"/>
          <w:szCs w:val="16"/>
          <w:color w:val="auto"/>
        </w:rPr>
        <w:t>), plus (ii) 1,388,412 unallocated shares of Common Stock available for issuance under the 2016 Plan that are not subject to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(as defined in the 2016 Plan) as of the Effective Date (the </w:t>
      </w:r>
      <w:r>
        <w:rPr>
          <w:rFonts w:ascii="Arial" w:cs="Arial" w:eastAsia="Arial" w:hAnsi="Arial"/>
          <w:sz w:val="16"/>
          <w:szCs w:val="16"/>
          <w:i w:val="1"/>
          <w:iCs w:val="1"/>
          <w:color w:val="auto"/>
        </w:rPr>
        <w:t>Carryover Shares</w:t>
      </w:r>
      <w:r>
        <w:rPr>
          <w:rFonts w:ascii="Arial" w:cs="Arial" w:eastAsia="Arial" w:hAnsi="Arial"/>
          <w:sz w:val="16"/>
          <w:szCs w:val="16"/>
          <w:color w:val="auto"/>
        </w:rPr>
        <w:t>). The Prior Registration Statement will cover the issuance of the Carryover Shares of the 2016 Plan once they are available for issuance under the 2019 Plan.</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Therefore, in addition to filing this Post-Effective Amendment, pursuant to undertaking in Item 512(a)(1)(iii) of Regulation S-K that the Registrant disclose a material change in the plan of distribution as it was originally disclosed in the Prior Registration Statement and Commission Compliance and Disclosure Interpretation 126.43, the Registrant is filing this Post-Effective Amendment to reflect that, as of the Effective Date, the Carryover Shares of the 2016 Plan may be issued under the 2019 Plan, and to file as an exhibit hereto a copy of the 2019 Plan and a new opinion as to the validity of the Carryover Shares of the 2016 Plan that may be issued under the 2019 Plan. All other items of the Prior Registration Statement are incorporated herein by reference without change.</w:t>
      </w:r>
    </w:p>
    <w:p>
      <w:pPr>
        <w:spacing w:after="0" w:line="170"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The Registrant is concurrently filing a separate registration statement on Form S-8 to register to total of 7,500,000 shares of Common Stock for offer or sale pursuant to the 2019 Plan, excluding the Carryover Shares. No additional securities are being registered by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information called for by Part I of Form S-8 is omitted from this Registration Statement in accordance with Rule 428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and the instructions to Form S-8. In accordance with the rules and regulations of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and the instructions to Form S-8, such documents are not being filed with the Commission either as part of this Registration Statement or as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prospectuses or prospectus supplements pursuant to Rule 424.</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documents, which have been previously filed by the Registrant with the Commission, are hereby incorporated by reference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219"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Quarterly Report on Form 10-Q for the year ended June 30, 2019, filed on August 13,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Commission for the purpose of updating this description.</w:t>
      </w:r>
    </w:p>
    <w:p>
      <w:pPr>
        <w:spacing w:after="0" w:line="186" w:lineRule="exact"/>
        <w:rPr>
          <w:sz w:val="20"/>
          <w:szCs w:val="20"/>
          <w:color w:val="auto"/>
        </w:rPr>
      </w:pPr>
    </w:p>
    <w:p>
      <w:pPr>
        <w:jc w:val="both"/>
        <w:ind w:firstLine="885"/>
        <w:spacing w:after="0" w:line="290" w:lineRule="auto"/>
        <w:rPr>
          <w:sz w:val="20"/>
          <w:szCs w:val="20"/>
          <w:color w:val="auto"/>
        </w:rPr>
      </w:pPr>
      <w:r>
        <w:rPr>
          <w:rFonts w:ascii="Arial" w:cs="Arial" w:eastAsia="Arial" w:hAnsi="Arial"/>
          <w:sz w:val="16"/>
          <w:szCs w:val="16"/>
          <w:color w:val="auto"/>
        </w:rPr>
        <w:t>Until such time that a post-effective amendment to this Registration Statement has been filed which indicates that all securities offered hereby have been sold or which deregisters all securities remaining unsold at the time of such amendment, all documents subsequently filed by the Registrant pursuant to Sections 13(a), 13(c), 14 and 15(d) of the Securities Exchange Act of 1934, as amended, shall be deemed to be incorporated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also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amended and restated bylaws (</w:t>
      </w:r>
      <w:r>
        <w:rPr>
          <w:rFonts w:ascii="Arial" w:cs="Arial" w:eastAsia="Arial" w:hAnsi="Arial"/>
          <w:sz w:val="18"/>
          <w:szCs w:val="18"/>
          <w:i w:val="1"/>
          <w:iCs w:val="1"/>
          <w:color w:val="auto"/>
        </w:rPr>
        <w:t>bylaws</w:t>
      </w:r>
      <w:r>
        <w:rPr>
          <w:rFonts w:ascii="Arial" w:cs="Arial" w:eastAsia="Arial" w:hAnsi="Arial"/>
          <w:sz w:val="18"/>
          <w:szCs w:val="18"/>
          <w:color w:val="auto"/>
        </w:rPr>
        <w:t>)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96"/>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our directors and officers pursuant to these indemnification provisions.</w:t>
      </w:r>
    </w:p>
    <w:p>
      <w:pPr>
        <w:spacing w:after="0" w:line="167"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8"/>
          <w:szCs w:val="18"/>
          <w:color w:val="auto"/>
        </w:rPr>
        <w:t>There is no pending litigation or proceeding naming us or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66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220" w:type="dxa"/>
            <w:vAlign w:val="bottom"/>
          </w:tcPr>
          <w:p>
            <w:pPr>
              <w:spacing w:after="0"/>
              <w:rPr>
                <w:sz w:val="19"/>
                <w:szCs w:val="19"/>
                <w:color w:val="auto"/>
              </w:rPr>
            </w:pPr>
          </w:p>
        </w:tc>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24"/>
                <w:szCs w:val="24"/>
                <w:color w:val="auto"/>
              </w:rPr>
            </w:pPr>
          </w:p>
        </w:tc>
        <w:tc>
          <w:tcPr>
            <w:tcW w:w="4220" w:type="dxa"/>
            <w:vAlign w:val="bottom"/>
          </w:tcPr>
          <w:p>
            <w:pPr>
              <w:ind w:left="1320"/>
              <w:spacing w:after="0"/>
              <w:rPr>
                <w:sz w:val="20"/>
                <w:szCs w:val="20"/>
                <w:color w:val="auto"/>
              </w:rPr>
            </w:pPr>
            <w:r>
              <w:rPr>
                <w:rFonts w:ascii="Arial" w:cs="Arial" w:eastAsia="Arial" w:hAnsi="Arial"/>
                <w:sz w:val="18"/>
                <w:szCs w:val="18"/>
                <w:b w:val="1"/>
                <w:bCs w:val="1"/>
                <w:color w:val="auto"/>
              </w:rPr>
              <w:t>Document Description</w:t>
            </w:r>
          </w:p>
        </w:tc>
        <w:tc>
          <w:tcPr>
            <w:tcW w:w="100" w:type="dxa"/>
            <w:vAlign w:val="bottom"/>
          </w:tcPr>
          <w:p>
            <w:pPr>
              <w:spacing w:after="0"/>
              <w:rPr>
                <w:sz w:val="24"/>
                <w:szCs w:val="24"/>
                <w:color w:val="auto"/>
              </w:rPr>
            </w:pPr>
          </w:p>
        </w:tc>
        <w:tc>
          <w:tcPr>
            <w:tcW w:w="6220" w:type="dxa"/>
            <w:vAlign w:val="bottom"/>
            <w:gridSpan w:val="2"/>
          </w:tcPr>
          <w:p>
            <w:pPr>
              <w:ind w:left="2100"/>
              <w:spacing w:after="0"/>
              <w:rPr>
                <w:sz w:val="20"/>
                <w:szCs w:val="20"/>
                <w:color w:val="auto"/>
              </w:rPr>
            </w:pPr>
            <w:r>
              <w:rPr>
                <w:rFonts w:ascii="Arial" w:cs="Arial" w:eastAsia="Arial" w:hAnsi="Arial"/>
                <w:sz w:val="18"/>
                <w:szCs w:val="18"/>
                <w:b w:val="1"/>
                <w:bCs w:val="1"/>
                <w:color w:val="auto"/>
              </w:rPr>
              <w:t>Incorporation by Reference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gridSpan w:val="3"/>
            <w:shd w:val="clear" w:color="auto" w:fill="CCEEFF"/>
          </w:tcPr>
          <w:p>
            <w:pPr>
              <w:jc w:val="center"/>
              <w:ind w:left="112"/>
              <w:spacing w:after="0" w:line="17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Opinion of Disclosure Law Group, a Professional</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Consent of OUM &amp; Co., LLP, independent registered</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public accounting firm.</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gridSpan w:val="5"/>
            <w:shd w:val="clear" w:color="auto" w:fill="CCEEFF"/>
          </w:tcPr>
          <w:p>
            <w:pPr>
              <w:jc w:val="center"/>
              <w:spacing w:after="0" w:line="176" w:lineRule="exact"/>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p>
        </w:tc>
        <w:tc>
          <w:tcPr>
            <w:tcW w:w="44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Consent of Disclosure Law Group, a Professional</w:t>
            </w:r>
          </w:p>
        </w:tc>
        <w:tc>
          <w:tcPr>
            <w:tcW w:w="10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Included in Exhibit 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44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00" w:type="dxa"/>
            <w:vAlign w:val="bottom"/>
            <w:tcBorders>
              <w:top w:val="single" w:sz="8" w:color="CCEEFF"/>
            </w:tcBorders>
            <w:shd w:val="clear" w:color="auto" w:fill="CCEEFF"/>
          </w:tcPr>
          <w:p>
            <w:pPr>
              <w:spacing w:after="0"/>
              <w:rPr>
                <w:sz w:val="20"/>
                <w:szCs w:val="20"/>
                <w:color w:val="auto"/>
              </w:rPr>
            </w:pPr>
          </w:p>
        </w:tc>
        <w:tc>
          <w:tcPr>
            <w:tcW w:w="6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38" w:right="239" w:bottom="1440" w:gutter="0" w:footer="0" w:header="0"/>
        </w:sectPr>
      </w:pPr>
    </w:p>
    <w:p>
      <w:pPr>
        <w:spacing w:after="0" w:line="8" w:lineRule="exact"/>
        <w:rPr>
          <w:sz w:val="20"/>
          <w:szCs w:val="20"/>
          <w:color w:val="auto"/>
        </w:rPr>
      </w:pPr>
    </w:p>
    <w:p>
      <w:pPr>
        <w:ind w:left="880" w:hanging="700"/>
        <w:spacing w:after="0" w:line="268" w:lineRule="auto"/>
        <w:tabs>
          <w:tab w:leader="none" w:pos="860" w:val="left"/>
        </w:tabs>
        <w:rPr>
          <w:rFonts w:ascii="Arial" w:cs="Arial" w:eastAsia="Arial" w:hAnsi="Arial"/>
          <w:sz w:val="18"/>
          <w:szCs w:val="18"/>
          <w:color w:val="0000EE"/>
        </w:rPr>
      </w:pPr>
      <w:hyperlink r:id="rId15">
        <w:r>
          <w:rPr>
            <w:rFonts w:ascii="Arial" w:cs="Arial" w:eastAsia="Arial" w:hAnsi="Arial"/>
            <w:sz w:val="18"/>
            <w:szCs w:val="18"/>
            <w:u w:val="single" w:color="auto"/>
            <w:color w:val="0000EE"/>
          </w:rPr>
          <w:t>99.1</w:t>
        </w:r>
      </w:hyperlink>
      <w:r>
        <w:rPr>
          <w:rFonts w:ascii="Arial" w:cs="Arial" w:eastAsia="Arial" w:hAnsi="Arial"/>
          <w:sz w:val="18"/>
          <w:szCs w:val="18"/>
          <w:color w:val="0000EE"/>
        </w:rPr>
        <w:tab/>
        <w:t>VistaGen Therapeutics, Inc. 1999 Stock Incentive Plan, as amended.</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Incorporated by reference to Exhibit 10.1 to the Registrant's Current Report on Form 8-K, filed with the Commission on May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-287655</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4980" w:space="220"/>
            <w:col w:w="6220"/>
          </w:cols>
          <w:pgMar w:left="240" w:top="1138"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80" w:type="dxa"/>
            <w:vAlign w:val="bottom"/>
            <w:gridSpan w:val="3"/>
            <w:shd w:val="clear" w:color="auto" w:fill="CCEEFF"/>
          </w:tcPr>
          <w:p>
            <w:pPr>
              <w:jc w:val="right"/>
              <w:ind w:right="180"/>
              <w:spacing w:after="0"/>
              <w:rPr>
                <w:rFonts w:ascii="Arial" w:cs="Arial" w:eastAsia="Arial" w:hAnsi="Arial"/>
                <w:sz w:val="18"/>
                <w:szCs w:val="18"/>
                <w:color w:val="0000EE"/>
              </w:rPr>
            </w:pPr>
            <w:hyperlink r:id="rId17">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VistaGen Therapeutics, Inc. Amended and Restated 2016</w:t>
            </w:r>
          </w:p>
        </w:tc>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Incorporated by reference Appendix A to the Registrant's Definitive Proxy Statement,</w:t>
            </w:r>
          </w:p>
        </w:tc>
      </w:tr>
      <w:tr>
        <w:trPr>
          <w:trHeight w:val="237"/>
        </w:trPr>
        <w:tc>
          <w:tcPr>
            <w:tcW w:w="1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Incentive Plan.</w:t>
            </w:r>
          </w:p>
        </w:tc>
        <w:tc>
          <w:tcPr>
            <w:tcW w:w="6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with the Commission on August 8, 2016.</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360" w:type="dxa"/>
            <w:vAlign w:val="bottom"/>
          </w:tcPr>
          <w:p>
            <w:pPr>
              <w:spacing w:after="0"/>
              <w:rPr>
                <w:sz w:val="18"/>
                <w:szCs w:val="18"/>
                <w:color w:val="auto"/>
              </w:rPr>
            </w:pPr>
          </w:p>
        </w:tc>
      </w:tr>
      <w:tr>
        <w:trPr>
          <w:trHeight w:val="176"/>
        </w:trPr>
        <w:tc>
          <w:tcPr>
            <w:tcW w:w="680" w:type="dxa"/>
            <w:vAlign w:val="bottom"/>
            <w:gridSpan w:val="3"/>
            <w:shd w:val="clear" w:color="auto" w:fill="CCEEFF"/>
          </w:tcPr>
          <w:p>
            <w:pPr>
              <w:jc w:val="right"/>
              <w:ind w:right="180"/>
              <w:spacing w:after="0" w:line="176" w:lineRule="exact"/>
              <w:rPr>
                <w:rFonts w:ascii="Arial" w:cs="Arial" w:eastAsia="Arial" w:hAnsi="Arial"/>
                <w:sz w:val="18"/>
                <w:szCs w:val="18"/>
                <w:color w:val="0000EE"/>
              </w:rPr>
            </w:pPr>
            <w:hyperlink r:id="rId18">
              <w:r>
                <w:rPr>
                  <w:rFonts w:ascii="Arial" w:cs="Arial" w:eastAsia="Arial" w:hAnsi="Arial"/>
                  <w:sz w:val="18"/>
                  <w:szCs w:val="18"/>
                  <w:color w:val="0000EE"/>
                </w:rPr>
                <w:t>99.</w:t>
              </w:r>
              <w:r>
                <w:rPr>
                  <w:rFonts w:ascii="Arial" w:cs="Arial" w:eastAsia="Arial" w:hAnsi="Arial"/>
                  <w:sz w:val="18"/>
                  <w:szCs w:val="18"/>
                  <w:u w:val="single" w:color="auto"/>
                  <w:color w:val="0000EE"/>
                </w:rPr>
                <w:t>3</w:t>
              </w:r>
            </w:hyperlink>
          </w:p>
        </w:tc>
        <w:tc>
          <w:tcPr>
            <w:tcW w:w="438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VistaGen Therapeutics, Inc. 2019 Omnibus Equity</w:t>
            </w:r>
          </w:p>
        </w:tc>
        <w:tc>
          <w:tcPr>
            <w:tcW w:w="6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Incorporated by reference to Appendix B from the Registrant’s Definitive Proxy</w:t>
            </w:r>
          </w:p>
        </w:tc>
      </w:tr>
      <w:tr>
        <w:trPr>
          <w:trHeight w:val="237"/>
        </w:trPr>
        <w:tc>
          <w:tcPr>
            <w:tcW w:w="1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3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Incentive Plan.</w:t>
            </w:r>
          </w:p>
        </w:tc>
        <w:tc>
          <w:tcPr>
            <w:tcW w:w="6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Statement, filed with the Commission on July 23, 2019.</w:t>
            </w:r>
          </w:p>
        </w:tc>
      </w:tr>
      <w:tr>
        <w:trPr>
          <w:trHeight w:val="655"/>
        </w:trPr>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8" w:right="239" w:bottom="1440" w:gutter="0" w:footer="0" w:header="0"/>
          <w:type w:val="continuous"/>
        </w:sectPr>
      </w:pPr>
    </w:p>
    <w:bookmarkStart w:id="5" w:name="page6"/>
    <w:bookmarkEnd w:id="5"/>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020" w:hanging="337"/>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80" w:hanging="329"/>
        <w:spacing w:after="0"/>
        <w:tabs>
          <w:tab w:leader="none" w:pos="1380" w:val="left"/>
        </w:tabs>
        <w:numPr>
          <w:ilvl w:val="4"/>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and</w:t>
      </w:r>
    </w:p>
    <w:p>
      <w:pPr>
        <w:spacing w:after="0" w:line="225" w:lineRule="exact"/>
        <w:rPr>
          <w:rFonts w:ascii="Arial" w:cs="Arial" w:eastAsia="Arial" w:hAnsi="Arial"/>
          <w:sz w:val="18"/>
          <w:szCs w:val="18"/>
          <w:color w:val="auto"/>
        </w:rPr>
      </w:pPr>
    </w:p>
    <w:p>
      <w:pPr>
        <w:ind w:firstLine="1047"/>
        <w:spacing w:after="0" w:line="332" w:lineRule="auto"/>
        <w:tabs>
          <w:tab w:leader="none" w:pos="1396" w:val="left"/>
        </w:tabs>
        <w:numPr>
          <w:ilvl w:val="4"/>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and</w:t>
      </w:r>
    </w:p>
    <w:p>
      <w:pPr>
        <w:spacing w:after="0" w:line="139" w:lineRule="exact"/>
        <w:rPr>
          <w:rFonts w:ascii="Arial" w:cs="Arial" w:eastAsia="Arial" w:hAnsi="Arial"/>
          <w:sz w:val="16"/>
          <w:szCs w:val="16"/>
          <w:color w:val="auto"/>
        </w:rPr>
      </w:pPr>
    </w:p>
    <w:p>
      <w:pPr>
        <w:ind w:firstLine="1177"/>
        <w:spacing w:after="0" w:line="268" w:lineRule="auto"/>
        <w:tabs>
          <w:tab w:leader="none" w:pos="1545" w:val="left"/>
        </w:tabs>
        <w:numPr>
          <w:ilvl w:val="5"/>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 and</w:t>
      </w:r>
    </w:p>
    <w:p>
      <w:pPr>
        <w:spacing w:after="0" w:line="185" w:lineRule="exact"/>
        <w:rPr>
          <w:rFonts w:ascii="Arial" w:cs="Arial" w:eastAsia="Arial" w:hAnsi="Arial"/>
          <w:sz w:val="18"/>
          <w:szCs w:val="18"/>
          <w:color w:val="auto"/>
        </w:rPr>
      </w:pPr>
    </w:p>
    <w:p>
      <w:pPr>
        <w:jc w:val="both"/>
        <w:ind w:firstLine="821"/>
        <w:spacing w:after="0" w:line="259" w:lineRule="auto"/>
        <w:tabs>
          <w:tab w:leader="none" w:pos="1198" w:val="left"/>
        </w:tabs>
        <w:numPr>
          <w:ilvl w:val="3"/>
          <w:numId w:val="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94" w:lineRule="exact"/>
        <w:rPr>
          <w:rFonts w:ascii="Arial" w:cs="Arial" w:eastAsia="Arial" w:hAnsi="Arial"/>
          <w:sz w:val="18"/>
          <w:szCs w:val="18"/>
          <w:color w:val="auto"/>
        </w:rPr>
      </w:pPr>
    </w:p>
    <w:p>
      <w:pPr>
        <w:ind w:right="20" w:firstLine="707"/>
        <w:spacing w:after="0" w:line="268" w:lineRule="auto"/>
        <w:tabs>
          <w:tab w:leader="none" w:pos="1041"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and (1)(ii)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Securities Exchange Act that are incorporated by reference in the Registration Statement.</w:t>
      </w:r>
    </w:p>
    <w:p>
      <w:pPr>
        <w:spacing w:after="0" w:line="194" w:lineRule="exact"/>
        <w:rPr>
          <w:sz w:val="20"/>
          <w:szCs w:val="20"/>
          <w:color w:val="auto"/>
        </w:rPr>
      </w:pPr>
    </w:p>
    <w:p>
      <w:pPr>
        <w:jc w:val="both"/>
        <w:ind w:firstLine="446"/>
        <w:spacing w:after="0" w:line="298" w:lineRule="auto"/>
        <w:tabs>
          <w:tab w:leader="none" w:pos="804"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Arial" w:cs="Arial" w:eastAsia="Arial" w:hAnsi="Arial"/>
          <w:sz w:val="16"/>
          <w:szCs w:val="16"/>
          <w:color w:val="auto"/>
        </w:rPr>
      </w:pPr>
    </w:p>
    <w:p>
      <w:pPr>
        <w:jc w:val="both"/>
        <w:ind w:firstLine="369"/>
        <w:spacing w:after="0" w:line="290" w:lineRule="auto"/>
        <w:tabs>
          <w:tab w:leader="none" w:pos="69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800735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September 30, 2019.</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VistaGen Therapeutics, Inc.</w:t>
      </w: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3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ind w:left="16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20"/>
                <w:szCs w:val="20"/>
                <w:color w:val="auto"/>
              </w:rPr>
            </w:pPr>
          </w:p>
        </w:tc>
        <w:tc>
          <w:tcPr>
            <w:tcW w:w="5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Title(s)</w:t>
            </w:r>
          </w:p>
        </w:tc>
        <w:tc>
          <w:tcPr>
            <w:tcW w:w="22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3200" w:type="dxa"/>
            <w:vAlign w:val="bottom"/>
            <w:gridSpan w:val="8"/>
          </w:tcPr>
          <w:p>
            <w:pPr>
              <w:spacing w:after="0"/>
              <w:rPr>
                <w:sz w:val="20"/>
                <w:szCs w:val="20"/>
                <w:color w:val="auto"/>
              </w:rPr>
            </w:pPr>
            <w:r>
              <w:rPr>
                <w:rFonts w:ascii="Arial" w:cs="Arial" w:eastAsia="Arial" w:hAnsi="Arial"/>
                <w:sz w:val="18"/>
                <w:szCs w:val="18"/>
                <w:color w:val="auto"/>
              </w:rPr>
              <w:t>/s/ Shawn K. Singh</w:t>
            </w: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Shawn K. Singh</w:t>
            </w:r>
          </w:p>
        </w:tc>
        <w:tc>
          <w:tcPr>
            <w:tcW w:w="1840" w:type="dxa"/>
            <w:vAlign w:val="bottom"/>
            <w:gridSpan w:val="5"/>
          </w:tcPr>
          <w:p>
            <w:pPr>
              <w:spacing w:after="0"/>
              <w:rPr>
                <w:sz w:val="20"/>
                <w:szCs w:val="20"/>
                <w:color w:val="auto"/>
              </w:rPr>
            </w:pP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 Jerrold D. Dotson</w:t>
            </w:r>
          </w:p>
        </w:tc>
        <w:tc>
          <w:tcPr>
            <w:tcW w:w="17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Jerrold D. Dotson</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58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H. Ralph Snodgrass, Ph. D.</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Jon S. Saxe</w:t>
            </w:r>
          </w:p>
        </w:tc>
        <w:tc>
          <w:tcPr>
            <w:tcW w:w="21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Jon S. Saxe</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5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Brian J. Underdown, Ph. D.</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3200" w:type="dxa"/>
            <w:vAlign w:val="bottom"/>
            <w:gridSpan w:val="8"/>
          </w:tcPr>
          <w:p>
            <w:pPr>
              <w:spacing w:after="0"/>
              <w:rPr>
                <w:sz w:val="20"/>
                <w:szCs w:val="20"/>
                <w:color w:val="auto"/>
              </w:rPr>
            </w:pPr>
            <w:r>
              <w:rPr>
                <w:rFonts w:ascii="Arial" w:cs="Arial" w:eastAsia="Arial" w:hAnsi="Arial"/>
                <w:sz w:val="18"/>
                <w:szCs w:val="18"/>
                <w:color w:val="auto"/>
              </w:rPr>
              <w:t>/s/ Jerry B. Gin</w:t>
            </w: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Jerry B. Gin, Ph. D., MBA</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94"/>
        </w:trPr>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/s/ Ann M. Cunningham</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September 30, 2019</w:t>
            </w:r>
          </w:p>
        </w:tc>
      </w:tr>
      <w:tr>
        <w:trPr>
          <w:trHeight w:val="235"/>
        </w:trPr>
        <w:tc>
          <w:tcPr>
            <w:tcW w:w="3200" w:type="dxa"/>
            <w:vAlign w:val="bottom"/>
            <w:gridSpan w:val="8"/>
          </w:tcPr>
          <w:p>
            <w:pPr>
              <w:spacing w:after="0"/>
              <w:rPr>
                <w:sz w:val="20"/>
                <w:szCs w:val="20"/>
                <w:color w:val="auto"/>
              </w:rPr>
            </w:pPr>
            <w:r>
              <w:rPr>
                <w:rFonts w:ascii="Arial" w:cs="Arial" w:eastAsia="Arial" w:hAnsi="Arial"/>
                <w:sz w:val="18"/>
                <w:szCs w:val="18"/>
                <w:color w:val="auto"/>
              </w:rPr>
              <w:t>Ann M. Cunningham</w:t>
            </w:r>
          </w:p>
        </w:tc>
        <w:tc>
          <w:tcPr>
            <w:tcW w:w="3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873"/>
        </w:trPr>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2310130</wp:posOffset>
            </wp:positionH>
            <wp:positionV relativeFrom="page">
              <wp:posOffset>226060</wp:posOffset>
            </wp:positionV>
            <wp:extent cx="2967355" cy="1741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6735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46" w:lineRule="exact"/>
        <w:rPr>
          <w:sz w:val="20"/>
          <w:szCs w:val="20"/>
          <w:color w:val="auto"/>
        </w:rPr>
      </w:pPr>
    </w:p>
    <w:p>
      <w:pPr>
        <w:ind w:left="360"/>
        <w:spacing w:after="0"/>
        <w:tabs>
          <w:tab w:leader="none" w:pos="12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Post-Effective Amendment to Registration Statement on Form S-8 for 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acted as legal counsel to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preparation of the Company’s Post-Effective Amendment No. 1 to the Registration Statement on Form S-8 (the “</w:t>
      </w:r>
      <w:r>
        <w:rPr>
          <w:rFonts w:ascii="Arial" w:cs="Arial" w:eastAsia="Arial" w:hAnsi="Arial"/>
          <w:sz w:val="16"/>
          <w:szCs w:val="16"/>
          <w:i w:val="1"/>
          <w:iCs w:val="1"/>
          <w:color w:val="auto"/>
        </w:rPr>
        <w:t>Post-Effective Amendment</w:t>
      </w:r>
      <w:r>
        <w:rPr>
          <w:rFonts w:ascii="Arial" w:cs="Arial" w:eastAsia="Arial" w:hAnsi="Arial"/>
          <w:sz w:val="16"/>
          <w:szCs w:val="16"/>
          <w:color w:val="auto"/>
        </w:rPr>
        <w:t>”), relating to the registration under the Securities Act of 1933, as amended (the “</w:t>
      </w:r>
      <w:r>
        <w:rPr>
          <w:rFonts w:ascii="Arial" w:cs="Arial" w:eastAsia="Arial" w:hAnsi="Arial"/>
          <w:sz w:val="16"/>
          <w:szCs w:val="16"/>
          <w:i w:val="1"/>
          <w:iCs w:val="1"/>
          <w:color w:val="auto"/>
        </w:rPr>
        <w:t>Act</w:t>
      </w:r>
      <w:r>
        <w:rPr>
          <w:rFonts w:ascii="Arial" w:cs="Arial" w:eastAsia="Arial" w:hAnsi="Arial"/>
          <w:sz w:val="16"/>
          <w:szCs w:val="16"/>
          <w:color w:val="auto"/>
        </w:rPr>
        <w:t>”), of the Prior Plan Shares (as defined below) authorized for issuance under the 2019 Plan (as defined below). On September 5, 2019 (the “</w:t>
      </w:r>
      <w:r>
        <w:rPr>
          <w:rFonts w:ascii="Arial" w:cs="Arial" w:eastAsia="Arial" w:hAnsi="Arial"/>
          <w:sz w:val="16"/>
          <w:szCs w:val="16"/>
          <w:i w:val="1"/>
          <w:iCs w:val="1"/>
          <w:color w:val="auto"/>
        </w:rPr>
        <w:t>Effective Date</w:t>
      </w:r>
      <w:r>
        <w:rPr>
          <w:rFonts w:ascii="Arial" w:cs="Arial" w:eastAsia="Arial" w:hAnsi="Arial"/>
          <w:sz w:val="16"/>
          <w:szCs w:val="16"/>
          <w:color w:val="auto"/>
        </w:rPr>
        <w:t>”), the stockholders of the Company approved the VistaGen Therapeutics, Inc.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The total number of shares of the Company’s common stock, par value $0.001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authorized for issuance under the 2019 Plan includes, in addition to 7,500,000 new shares of Common Stock registered concurrently on a new registration statement on Form S-8 being filed by the Company (the “</w:t>
      </w:r>
      <w:r>
        <w:rPr>
          <w:rFonts w:ascii="Arial" w:cs="Arial" w:eastAsia="Arial" w:hAnsi="Arial"/>
          <w:sz w:val="16"/>
          <w:szCs w:val="16"/>
          <w:i w:val="1"/>
          <w:iCs w:val="1"/>
          <w:color w:val="auto"/>
        </w:rPr>
        <w:t>New Registration Statement</w:t>
      </w:r>
      <w:r>
        <w:rPr>
          <w:rFonts w:ascii="Arial" w:cs="Arial" w:eastAsia="Arial" w:hAnsi="Arial"/>
          <w:sz w:val="16"/>
          <w:szCs w:val="16"/>
          <w:color w:val="auto"/>
        </w:rPr>
        <w:t>”), an aggregate of 1,388,412 unallocated shares of Common Stock available for issuance under the VistaGen Therapeutics, Inc. Amended and Restated 2016 Equity Incentive Plan (the “</w:t>
      </w:r>
      <w:r>
        <w:rPr>
          <w:rFonts w:ascii="Arial" w:cs="Arial" w:eastAsia="Arial" w:hAnsi="Arial"/>
          <w:sz w:val="16"/>
          <w:szCs w:val="16"/>
          <w:i w:val="1"/>
          <w:iCs w:val="1"/>
          <w:color w:val="auto"/>
        </w:rPr>
        <w:t>Prior Plan</w:t>
      </w:r>
      <w:r>
        <w:rPr>
          <w:rFonts w:ascii="Arial" w:cs="Arial" w:eastAsia="Arial" w:hAnsi="Arial"/>
          <w:sz w:val="16"/>
          <w:szCs w:val="16"/>
          <w:color w:val="auto"/>
        </w:rPr>
        <w:t>” and collectively with the 2019 Plan, the “</w:t>
      </w:r>
      <w:r>
        <w:rPr>
          <w:rFonts w:ascii="Arial" w:cs="Arial" w:eastAsia="Arial" w:hAnsi="Arial"/>
          <w:sz w:val="16"/>
          <w:szCs w:val="16"/>
          <w:i w:val="1"/>
          <w:iCs w:val="1"/>
          <w:color w:val="auto"/>
        </w:rPr>
        <w:t>Plans</w:t>
      </w:r>
      <w:r>
        <w:rPr>
          <w:rFonts w:ascii="Arial" w:cs="Arial" w:eastAsia="Arial" w:hAnsi="Arial"/>
          <w:sz w:val="16"/>
          <w:szCs w:val="16"/>
          <w:color w:val="auto"/>
        </w:rPr>
        <w:t>”), that are not subject to outstanding “Awards” (as defined in the 2019 Plan) as of the Effective Date (the “</w:t>
      </w:r>
      <w:r>
        <w:rPr>
          <w:rFonts w:ascii="Arial" w:cs="Arial" w:eastAsia="Arial" w:hAnsi="Arial"/>
          <w:sz w:val="16"/>
          <w:szCs w:val="16"/>
          <w:i w:val="1"/>
          <w:iCs w:val="1"/>
          <w:color w:val="auto"/>
        </w:rPr>
        <w:t>Prior Plan Shares</w:t>
      </w:r>
      <w:r>
        <w:rPr>
          <w:rFonts w:ascii="Arial" w:cs="Arial" w:eastAsia="Arial" w:hAnsi="Arial"/>
          <w:sz w:val="16"/>
          <w:szCs w:val="16"/>
          <w:color w:val="auto"/>
        </w:rPr>
        <w:t>”).</w:t>
      </w:r>
    </w:p>
    <w:p>
      <w:pPr>
        <w:spacing w:after="0" w:line="1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the opinion set forth below, we have examined originals, certified copies, or copies otherwise identified to our satisfaction as being true copies, of the following: (i) the Restated Articles of Incorporation of the Company, as amended, as currently in effect; (ii) the Amended and Restated Bylaws of the Company, as currently in effect; (iii) resolutions of the Board of Directors of the Company adopting the 2019 Plan, authorizing the issuance of the shares of Common Stock under the 2019 Plan and authorizing the filing of the New Registration Statement; (iv) resolutions of the Board of Directors of the Company adopting the Prior Plan, authorizing the issuance of the shares of Common Stock under the Prior Plan and authorizing the filing of the prior registration statement on Form S-8 relating to the Prior Plan (collectively, the “</w:t>
      </w:r>
      <w:r>
        <w:rPr>
          <w:rFonts w:ascii="Arial" w:cs="Arial" w:eastAsia="Arial" w:hAnsi="Arial"/>
          <w:sz w:val="16"/>
          <w:szCs w:val="16"/>
          <w:i w:val="1"/>
          <w:iCs w:val="1"/>
          <w:color w:val="auto"/>
        </w:rPr>
        <w:t>Prior Registration Statement</w:t>
      </w:r>
      <w:r>
        <w:rPr>
          <w:rFonts w:ascii="Arial" w:cs="Arial" w:eastAsia="Arial" w:hAnsi="Arial"/>
          <w:sz w:val="16"/>
          <w:szCs w:val="16"/>
          <w:color w:val="auto"/>
        </w:rPr>
        <w:t>”); (v) the Plans; (vi) the Post-Effective Amendment, the Prior Registration Statement and the New Registration Statement; and (vii) such other documents, records and other instruments as we have deemed appropriate for purposes of the opinion set forth herein.</w:t>
      </w:r>
    </w:p>
    <w:p>
      <w:pPr>
        <w:spacing w:after="0" w:line="1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making the foregoing examinations, we have assumed the genuineness of all signatures, the authenticity of all documents submitted to us as originals, the conformity to original documents of all documents submitted to us as certified or photostatic copies and that the persons executing the documents examined by us have the legal capacity to execute such documents. We have also assumed that the offer and sale of the Prior Plan Shares complies and will comply in all respects with the terms, conditions and restrictions set forth in the Prior Registration Statements (as amended by the Post-Effective Amendment) and the 2019 Plan. As to various questions of fact material to this opinion, we have relied, to the extent we deemed reasonably appropriate, upon representations of officers or directors of the Company and upon documents, records and instruments furnished to us by the Company, without independently checking or verifying the accuracy of such documents, records and instruments.</w:t>
      </w:r>
    </w:p>
    <w:p>
      <w:pPr>
        <w:spacing w:after="0" w:line="10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Based upon the foregoing examination and assumptions and further assuming that (i) the Company maintains an adequate number of authorized and unissued shares of Common Stock available for issuance pursuant to the 2019 Plan and (ii) the consideration, if any, required to be paid in connection with the issuance of underlying Prior Plan Shares issued pursuant to the 2019 Plan is actually received by the Company as provided in the 2019 Plan, we are of the opinion that the Prior Plan Shares to be issued pursuant to the 2019 Plan will be duly authorized, validly issued, fully paid and nonassessable.</w:t>
      </w:r>
    </w:p>
    <w:p>
      <w:pPr>
        <w:spacing w:after="0" w:line="9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opinion expressed herein is specifically limited to the Nevada Revised Statutes and the federal laws of the United States of America and speaks only as of the date hereof. Further, our opinion is based solely upon existing laws, rules, and regulations, and we undertake no obligation to update or supplement such opinion to reflect any facts or circumstances that may hereafter come to our attention or any changes in law that may hereafter occur. This opinion is rendered solely in connection with the transactions covered hereby and may not be relied upon for any other purpose, without our prior written consent.</w:t>
      </w:r>
    </w:p>
    <w:p>
      <w:pPr>
        <w:spacing w:after="0" w:line="9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hereby consent to the inclusion of this opinion as an exhibit to the Post-Effective Amendment. In giving such consent, we do not admit that we come within the category of persons whose consent is required under Section 7 of the Act or the rules or regulations of the U.S. Securities and Exchange Commission thereunder.</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Disclosure Law Group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hereby consent to the incorporation by reference in this Post-Effective Amendment No. 1 to the Registration Statement on Form S-8 of VistaGen Therapeutics, Inc., pertaining to the VistaGen Therapeutics, Inc. 1999 Stock Incentive Plan and the VistaGen Therapeutics, Inc. Amended and Restated 2016 Equity Incentive Plan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lowerRoman"/>
      <w:start w:val="1"/>
    </w:lvl>
    <w:lvl w:ilvl="5">
      <w:lvlJc w:val="left"/>
      <w:lvlText w:val="(%6)"/>
      <w:numFmt w:val="lowerLetter"/>
      <w:start w:val="61"/>
    </w:lvl>
  </w:abstractNum>
  <w:abstractNum w:abstractNumId="2">
    <w:nsid w:val="2AE8944A"/>
    <w:multiLevelType w:val="hybridMultilevel"/>
    <w:lvl w:ilvl="0">
      <w:lvlJc w:val="left"/>
      <w:lvlText w:val="%1"/>
      <w:numFmt w:val="lowerLetter"/>
      <w:start w:val="1"/>
    </w:lvl>
    <w:lvl w:ilvl="1">
      <w:lvlJc w:val="left"/>
      <w:lvlText w:val="(%2)"/>
      <w:numFmt w:val="lowerLetter"/>
      <w:start w:val="2"/>
    </w:lvl>
  </w:abstractNum>
  <w:abstractNum w:abstractNumId="3">
    <w:nsid w:val="625558EC"/>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png"/><Relationship Id="rId15" Type="http://schemas.openxmlformats.org/officeDocument/2006/relationships/hyperlink" Target="http://www.sec.gov/Archives/edgar/data/1411685/000141588911000362/ex10-1.htm" TargetMode="External"/><Relationship Id="rId17" Type="http://schemas.openxmlformats.org/officeDocument/2006/relationships/hyperlink" Target="http://www.sec.gov/Archives/edgar/data/1411685/000141588916006705/vtgndef14a_sep262016.htm" TargetMode="External"/><Relationship Id="rId18" Type="http://schemas.openxmlformats.org/officeDocument/2006/relationships/hyperlink" Target="http://www.sec.gov/Archives/edgar/data/1411685/000165495419008434/def14a_july262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2020-01-09T01:30:22Z</dcterms:created>
  <dcterms:modified xsi:type="dcterms:W3CDTF">2020-01-09T01:30:22Z</dcterms:modified>
</cp:coreProperties>
</file>