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March 14, 2016</w:t>
      </w:r>
    </w:p>
    <w:p>
      <w:pPr>
        <w:spacing w:after="0" w:line="201" w:lineRule="exact"/>
        <w:rPr>
          <w:sz w:val="24"/>
          <w:szCs w:val="24"/>
          <w:color w:val="auto"/>
        </w:rPr>
      </w:pPr>
    </w:p>
    <w:p>
      <w:pPr>
        <w:ind w:left="9460"/>
        <w:spacing w:after="0"/>
        <w:rPr>
          <w:sz w:val="20"/>
          <w:szCs w:val="20"/>
          <w:color w:val="auto"/>
        </w:rPr>
      </w:pPr>
      <w:r>
        <w:rPr>
          <w:rFonts w:ascii="Arial" w:cs="Arial" w:eastAsia="Arial" w:hAnsi="Arial"/>
          <w:sz w:val="12"/>
          <w:szCs w:val="12"/>
          <w:b w:val="1"/>
          <w:bCs w:val="1"/>
          <w:color w:val="auto"/>
        </w:rPr>
        <w:t>Registration No. 333-__________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28154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1545" cy="33020"/>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S-1</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VISTAGEN THERAPEUTICS,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64" w:lineRule="exact"/>
        <w:rPr>
          <w:sz w:val="24"/>
          <w:szCs w:val="24"/>
          <w:color w:val="auto"/>
        </w:rPr>
      </w:pPr>
    </w:p>
    <w:tbl>
      <w:tblPr>
        <w:tblLayout w:type="fixed"/>
        <w:tblInd w:w="780" w:type="dxa"/>
        <w:tblCellMar>
          <w:top w:w="0" w:type="dxa"/>
          <w:left w:w="0" w:type="dxa"/>
          <w:bottom w:w="0" w:type="dxa"/>
          <w:right w:w="0" w:type="dxa"/>
        </w:tblCellMar>
      </w:tblPr>
      <w:tr>
        <w:trPr>
          <w:trHeight w:val="174"/>
        </w:trPr>
        <w:tc>
          <w:tcPr>
            <w:tcW w:w="2900" w:type="dxa"/>
            <w:vAlign w:val="bottom"/>
          </w:tcPr>
          <w:p>
            <w:pPr>
              <w:jc w:val="center"/>
              <w:ind w:right="1129"/>
              <w:spacing w:after="0"/>
              <w:rPr>
                <w:sz w:val="20"/>
                <w:szCs w:val="20"/>
                <w:color w:val="auto"/>
              </w:rPr>
            </w:pPr>
            <w:r>
              <w:rPr>
                <w:rFonts w:ascii="Arial" w:cs="Arial" w:eastAsia="Arial" w:hAnsi="Arial"/>
                <w:sz w:val="14"/>
                <w:szCs w:val="14"/>
                <w:b w:val="1"/>
                <w:bCs w:val="1"/>
                <w:color w:val="auto"/>
                <w:w w:val="92"/>
              </w:rPr>
              <w:t>Nevada</w:t>
            </w:r>
          </w:p>
        </w:tc>
        <w:tc>
          <w:tcPr>
            <w:tcW w:w="418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3841</w:t>
            </w:r>
          </w:p>
        </w:tc>
        <w:tc>
          <w:tcPr>
            <w:tcW w:w="2620" w:type="dxa"/>
            <w:vAlign w:val="bottom"/>
          </w:tcPr>
          <w:p>
            <w:pPr>
              <w:jc w:val="center"/>
              <w:ind w:left="1249"/>
              <w:spacing w:after="0"/>
              <w:rPr>
                <w:sz w:val="20"/>
                <w:szCs w:val="20"/>
                <w:color w:val="auto"/>
              </w:rPr>
            </w:pPr>
            <w:r>
              <w:rPr>
                <w:rFonts w:ascii="Arial" w:cs="Arial" w:eastAsia="Arial" w:hAnsi="Arial"/>
                <w:sz w:val="14"/>
                <w:szCs w:val="14"/>
                <w:b w:val="1"/>
                <w:bCs w:val="1"/>
                <w:color w:val="auto"/>
                <w:w w:val="93"/>
              </w:rPr>
              <w:t>20-5093315</w:t>
            </w:r>
          </w:p>
        </w:tc>
      </w:tr>
      <w:tr>
        <w:trPr>
          <w:trHeight w:val="170"/>
        </w:trPr>
        <w:tc>
          <w:tcPr>
            <w:tcW w:w="2900" w:type="dxa"/>
            <w:vAlign w:val="bottom"/>
          </w:tcPr>
          <w:p>
            <w:pPr>
              <w:jc w:val="center"/>
              <w:ind w:right="1129"/>
              <w:spacing w:after="0"/>
              <w:rPr>
                <w:sz w:val="20"/>
                <w:szCs w:val="20"/>
                <w:color w:val="auto"/>
              </w:rPr>
            </w:pPr>
            <w:r>
              <w:rPr>
                <w:rFonts w:ascii="Arial" w:cs="Arial" w:eastAsia="Arial" w:hAnsi="Arial"/>
                <w:sz w:val="14"/>
                <w:szCs w:val="14"/>
                <w:color w:val="auto"/>
                <w:w w:val="94"/>
              </w:rPr>
              <w:t>(State or other jurisdiction of</w:t>
            </w:r>
          </w:p>
        </w:tc>
        <w:tc>
          <w:tcPr>
            <w:tcW w:w="4180" w:type="dxa"/>
            <w:vAlign w:val="bottom"/>
          </w:tcPr>
          <w:p>
            <w:pPr>
              <w:jc w:val="center"/>
              <w:ind w:right="9"/>
              <w:spacing w:after="0"/>
              <w:rPr>
                <w:sz w:val="20"/>
                <w:szCs w:val="20"/>
                <w:color w:val="auto"/>
              </w:rPr>
            </w:pPr>
            <w:r>
              <w:rPr>
                <w:rFonts w:ascii="Arial" w:cs="Arial" w:eastAsia="Arial" w:hAnsi="Arial"/>
                <w:sz w:val="14"/>
                <w:szCs w:val="14"/>
                <w:color w:val="auto"/>
                <w:w w:val="92"/>
              </w:rPr>
              <w:t>(Primary Standard Industrial</w:t>
            </w:r>
          </w:p>
        </w:tc>
        <w:tc>
          <w:tcPr>
            <w:tcW w:w="2620" w:type="dxa"/>
            <w:vAlign w:val="bottom"/>
          </w:tcPr>
          <w:p>
            <w:pPr>
              <w:jc w:val="center"/>
              <w:ind w:left="1249"/>
              <w:spacing w:after="0"/>
              <w:rPr>
                <w:sz w:val="20"/>
                <w:szCs w:val="20"/>
                <w:color w:val="auto"/>
              </w:rPr>
            </w:pPr>
            <w:r>
              <w:rPr>
                <w:rFonts w:ascii="Arial" w:cs="Arial" w:eastAsia="Arial" w:hAnsi="Arial"/>
                <w:sz w:val="14"/>
                <w:szCs w:val="14"/>
                <w:color w:val="auto"/>
                <w:w w:val="95"/>
              </w:rPr>
              <w:t>(I.R.S. Employer</w:t>
            </w:r>
          </w:p>
        </w:tc>
      </w:tr>
      <w:tr>
        <w:trPr>
          <w:trHeight w:val="180"/>
        </w:trPr>
        <w:tc>
          <w:tcPr>
            <w:tcW w:w="2900" w:type="dxa"/>
            <w:vAlign w:val="bottom"/>
          </w:tcPr>
          <w:p>
            <w:pPr>
              <w:jc w:val="center"/>
              <w:ind w:right="1129"/>
              <w:spacing w:after="0"/>
              <w:rPr>
                <w:sz w:val="20"/>
                <w:szCs w:val="20"/>
                <w:color w:val="auto"/>
              </w:rPr>
            </w:pPr>
            <w:r>
              <w:rPr>
                <w:rFonts w:ascii="Arial" w:cs="Arial" w:eastAsia="Arial" w:hAnsi="Arial"/>
                <w:sz w:val="14"/>
                <w:szCs w:val="14"/>
                <w:color w:val="auto"/>
                <w:w w:val="93"/>
              </w:rPr>
              <w:t>incorporation or organization)</w:t>
            </w:r>
          </w:p>
        </w:tc>
        <w:tc>
          <w:tcPr>
            <w:tcW w:w="4180" w:type="dxa"/>
            <w:vAlign w:val="bottom"/>
          </w:tcPr>
          <w:p>
            <w:pPr>
              <w:jc w:val="center"/>
              <w:ind w:right="9"/>
              <w:spacing w:after="0"/>
              <w:rPr>
                <w:sz w:val="20"/>
                <w:szCs w:val="20"/>
                <w:color w:val="auto"/>
              </w:rPr>
            </w:pPr>
            <w:r>
              <w:rPr>
                <w:rFonts w:ascii="Arial" w:cs="Arial" w:eastAsia="Arial" w:hAnsi="Arial"/>
                <w:sz w:val="14"/>
                <w:szCs w:val="14"/>
                <w:color w:val="auto"/>
                <w:w w:val="93"/>
              </w:rPr>
              <w:t>Classification Code Number)</w:t>
            </w:r>
          </w:p>
        </w:tc>
        <w:tc>
          <w:tcPr>
            <w:tcW w:w="2620" w:type="dxa"/>
            <w:vAlign w:val="bottom"/>
          </w:tcPr>
          <w:p>
            <w:pPr>
              <w:jc w:val="center"/>
              <w:ind w:left="1249"/>
              <w:spacing w:after="0"/>
              <w:rPr>
                <w:sz w:val="20"/>
                <w:szCs w:val="20"/>
                <w:color w:val="auto"/>
              </w:rPr>
            </w:pPr>
            <w:r>
              <w:rPr>
                <w:rFonts w:ascii="Arial" w:cs="Arial" w:eastAsia="Arial" w:hAnsi="Arial"/>
                <w:sz w:val="14"/>
                <w:szCs w:val="14"/>
                <w:color w:val="auto"/>
                <w:w w:val="94"/>
              </w:rPr>
              <w:t>Identification Number)</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343 Allerton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Shawn K. Singh</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343 Allerton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Copies of all communications to:</w:t>
      </w:r>
    </w:p>
    <w:p>
      <w:pPr>
        <w:spacing w:after="0" w:line="176" w:lineRule="exact"/>
        <w:rPr>
          <w:sz w:val="24"/>
          <w:szCs w:val="24"/>
          <w:color w:val="auto"/>
        </w:rPr>
      </w:pPr>
    </w:p>
    <w:tbl>
      <w:tblPr>
        <w:tblLayout w:type="fixed"/>
        <w:tblInd w:w="1960" w:type="dxa"/>
        <w:tblCellMar>
          <w:top w:w="0" w:type="dxa"/>
          <w:left w:w="0" w:type="dxa"/>
          <w:bottom w:w="0" w:type="dxa"/>
          <w:right w:w="0" w:type="dxa"/>
        </w:tblCellMar>
      </w:tblP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1"/>
              </w:rPr>
              <w:t>Daniel W. Rumsey, Esq.</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2"/>
              </w:rPr>
              <w:t>Oded Har-Even, Esq.</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88"/>
              </w:rPr>
              <w:t>Jessica R. Sudweeks, Esq.</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5"/>
              </w:rPr>
              <w:t>Robert V. Condon III, Esq.</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3"/>
              </w:rPr>
              <w:t>Disclosure Law Group,</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4"/>
              </w:rPr>
              <w:t>Zysman, Aharoni, Gayer and Sullivan &amp;Worcester LLP</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0"/>
              </w:rPr>
              <w:t>a Professional Corporation</w:t>
            </w:r>
          </w:p>
        </w:tc>
        <w:tc>
          <w:tcPr>
            <w:tcW w:w="4960" w:type="dxa"/>
            <w:vAlign w:val="bottom"/>
          </w:tcPr>
          <w:p>
            <w:pPr>
              <w:jc w:val="center"/>
              <w:ind w:left="1469"/>
              <w:spacing w:after="0"/>
              <w:rPr>
                <w:sz w:val="20"/>
                <w:szCs w:val="20"/>
                <w:color w:val="auto"/>
              </w:rPr>
            </w:pPr>
            <w:r>
              <w:rPr>
                <w:rFonts w:ascii="Arial" w:cs="Arial" w:eastAsia="Arial" w:hAnsi="Arial"/>
                <w:sz w:val="14"/>
                <w:szCs w:val="14"/>
                <w:b w:val="1"/>
                <w:bCs w:val="1"/>
                <w:color w:val="auto"/>
                <w:w w:val="92"/>
              </w:rPr>
              <w:t>1633 Broadway</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0"/>
              </w:rPr>
              <w:t>600 West Broadway, Suite 700</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4"/>
              </w:rPr>
              <w:t>New York, New York</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2"/>
              </w:rPr>
              <w:t>San Diego, California 92101</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3"/>
              </w:rPr>
              <w:t>Tel: (212) 260-5000</w:t>
            </w:r>
          </w:p>
        </w:tc>
      </w:tr>
      <w:tr>
        <w:trPr>
          <w:trHeight w:val="170"/>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1"/>
              </w:rPr>
              <w:t>Tel: (619) 795-1134</w:t>
            </w:r>
          </w:p>
        </w:tc>
        <w:tc>
          <w:tcPr>
            <w:tcW w:w="4960" w:type="dxa"/>
            <w:vAlign w:val="bottom"/>
          </w:tcPr>
          <w:p>
            <w:pPr>
              <w:jc w:val="center"/>
              <w:ind w:left="1489"/>
              <w:spacing w:after="0"/>
              <w:rPr>
                <w:sz w:val="20"/>
                <w:szCs w:val="20"/>
                <w:color w:val="auto"/>
              </w:rPr>
            </w:pPr>
            <w:r>
              <w:rPr>
                <w:rFonts w:ascii="Arial" w:cs="Arial" w:eastAsia="Arial" w:hAnsi="Arial"/>
                <w:sz w:val="14"/>
                <w:szCs w:val="14"/>
                <w:b w:val="1"/>
                <w:bCs w:val="1"/>
                <w:color w:val="auto"/>
                <w:w w:val="93"/>
              </w:rPr>
              <w:t>Fax: (212) 660-3001</w:t>
            </w:r>
          </w:p>
        </w:tc>
      </w:tr>
      <w:tr>
        <w:trPr>
          <w:trHeight w:val="184"/>
        </w:trPr>
        <w:tc>
          <w:tcPr>
            <w:tcW w:w="3380" w:type="dxa"/>
            <w:vAlign w:val="bottom"/>
          </w:tcPr>
          <w:p>
            <w:pPr>
              <w:jc w:val="center"/>
              <w:ind w:right="1489"/>
              <w:spacing w:after="0"/>
              <w:rPr>
                <w:sz w:val="20"/>
                <w:szCs w:val="20"/>
                <w:color w:val="auto"/>
              </w:rPr>
            </w:pPr>
            <w:r>
              <w:rPr>
                <w:rFonts w:ascii="Arial" w:cs="Arial" w:eastAsia="Arial" w:hAnsi="Arial"/>
                <w:sz w:val="14"/>
                <w:szCs w:val="14"/>
                <w:b w:val="1"/>
                <w:bCs w:val="1"/>
                <w:color w:val="auto"/>
                <w:w w:val="91"/>
              </w:rPr>
              <w:t>Fax: (619) 330-2101</w:t>
            </w:r>
          </w:p>
        </w:tc>
        <w:tc>
          <w:tcPr>
            <w:tcW w:w="4960" w:type="dxa"/>
            <w:vAlign w:val="bottom"/>
          </w:tcPr>
          <w:p>
            <w:pPr>
              <w:spacing w:after="0"/>
              <w:rPr>
                <w:sz w:val="16"/>
                <w:szCs w:val="16"/>
                <w:color w:val="auto"/>
              </w:rPr>
            </w:pPr>
          </w:p>
        </w:tc>
      </w:tr>
    </w:tbl>
    <w:p>
      <w:pPr>
        <w:spacing w:after="0" w:line="15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check the following box.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334645</wp:posOffset>
            </wp:positionV>
            <wp:extent cx="7281545" cy="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210" w:right="219" w:bottom="1440" w:gutter="0" w:footer="0" w:header="0"/>
        </w:sectPr>
      </w:pPr>
    </w:p>
    <w:bookmarkStart w:id="1" w:name="page2"/>
    <w:bookmarkEnd w:id="1"/>
    <w:p>
      <w:pPr>
        <w:ind w:right="320"/>
        <w:spacing w:after="0" w:line="28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31"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31" w:lineRule="exact"/>
        <w:rPr>
          <w:sz w:val="20"/>
          <w:szCs w:val="20"/>
          <w:color w:val="auto"/>
        </w:rPr>
      </w:pPr>
    </w:p>
    <w:p>
      <w:pPr>
        <w:ind w:right="520"/>
        <w:spacing w:after="0" w:line="28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3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149"/>
              <w:spacing w:after="0"/>
              <w:rPr>
                <w:sz w:val="20"/>
                <w:szCs w:val="20"/>
                <w:color w:val="auto"/>
              </w:rPr>
            </w:pPr>
            <w:r>
              <w:rPr>
                <w:rFonts w:ascii="Arial" w:cs="Arial" w:eastAsia="Arial" w:hAnsi="Arial"/>
                <w:sz w:val="14"/>
                <w:szCs w:val="14"/>
                <w:color w:val="auto"/>
              </w:rPr>
              <w:t>]</w:t>
            </w:r>
          </w:p>
        </w:tc>
        <w:tc>
          <w:tcPr>
            <w:tcW w:w="4060" w:type="dxa"/>
            <w:vAlign w:val="bottom"/>
          </w:tcPr>
          <w:p>
            <w:pPr>
              <w:ind w:left="1220"/>
              <w:spacing w:after="0"/>
              <w:rPr>
                <w:sz w:val="20"/>
                <w:szCs w:val="20"/>
                <w:color w:val="auto"/>
              </w:rPr>
            </w:pPr>
            <w:r>
              <w:rPr>
                <w:rFonts w:ascii="Arial" w:cs="Arial" w:eastAsia="Arial" w:hAnsi="Arial"/>
                <w:sz w:val="14"/>
                <w:szCs w:val="14"/>
                <w:color w:val="auto"/>
              </w:rPr>
              <w:t>Accelerated filer</w:t>
            </w:r>
          </w:p>
        </w:tc>
        <w:tc>
          <w:tcPr>
            <w:tcW w:w="2600" w:type="dxa"/>
            <w:vAlign w:val="bottom"/>
          </w:tcPr>
          <w:p>
            <w:pPr>
              <w:ind w:left="1280"/>
              <w:spacing w:after="0"/>
              <w:rPr>
                <w:sz w:val="20"/>
                <w:szCs w:val="20"/>
                <w:color w:val="auto"/>
              </w:rPr>
            </w:pPr>
            <w:r>
              <w:rPr>
                <w:rFonts w:ascii="Arial" w:cs="Arial" w:eastAsia="Arial" w:hAnsi="Arial"/>
                <w:sz w:val="14"/>
                <w:szCs w:val="14"/>
                <w:color w:val="auto"/>
              </w:rPr>
              <w:t>[ ]</w:t>
            </w:r>
          </w:p>
        </w:tc>
      </w:tr>
      <w:tr>
        <w:trPr>
          <w:trHeight w:val="170"/>
        </w:trPr>
        <w:tc>
          <w:tcPr>
            <w:tcW w:w="3020" w:type="dxa"/>
            <w:vAlign w:val="bottom"/>
          </w:tcPr>
          <w:p>
            <w:pPr>
              <w:spacing w:after="0"/>
              <w:rPr>
                <w:sz w:val="20"/>
                <w:szCs w:val="20"/>
                <w:color w:val="auto"/>
              </w:rPr>
            </w:pPr>
            <w:r>
              <w:rPr>
                <w:rFonts w:ascii="Arial" w:cs="Arial" w:eastAsia="Arial" w:hAnsi="Arial"/>
                <w:sz w:val="14"/>
                <w:szCs w:val="14"/>
                <w:color w:val="auto"/>
              </w:rPr>
              <w:t>Non-accelerated filer</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149"/>
              <w:spacing w:after="0"/>
              <w:rPr>
                <w:sz w:val="20"/>
                <w:szCs w:val="20"/>
                <w:color w:val="auto"/>
              </w:rPr>
            </w:pPr>
            <w:r>
              <w:rPr>
                <w:rFonts w:ascii="Arial" w:cs="Arial" w:eastAsia="Arial" w:hAnsi="Arial"/>
                <w:sz w:val="14"/>
                <w:szCs w:val="14"/>
                <w:color w:val="auto"/>
              </w:rPr>
              <w:t>]</w:t>
            </w:r>
          </w:p>
        </w:tc>
        <w:tc>
          <w:tcPr>
            <w:tcW w:w="4060" w:type="dxa"/>
            <w:vAlign w:val="bottom"/>
          </w:tcPr>
          <w:p>
            <w:pPr>
              <w:ind w:left="1220"/>
              <w:spacing w:after="0"/>
              <w:rPr>
                <w:sz w:val="20"/>
                <w:szCs w:val="20"/>
                <w:color w:val="auto"/>
              </w:rPr>
            </w:pPr>
            <w:r>
              <w:rPr>
                <w:rFonts w:ascii="Arial" w:cs="Arial" w:eastAsia="Arial" w:hAnsi="Arial"/>
                <w:sz w:val="14"/>
                <w:szCs w:val="14"/>
                <w:color w:val="auto"/>
              </w:rPr>
              <w:t>Smaller reporting company</w:t>
            </w:r>
          </w:p>
        </w:tc>
        <w:tc>
          <w:tcPr>
            <w:tcW w:w="2600" w:type="dxa"/>
            <w:vAlign w:val="bottom"/>
          </w:tcPr>
          <w:p>
            <w:pPr>
              <w:ind w:left="1280"/>
              <w:spacing w:after="0"/>
              <w:rPr>
                <w:sz w:val="20"/>
                <w:szCs w:val="20"/>
                <w:color w:val="auto"/>
              </w:rPr>
            </w:pPr>
            <w:r>
              <w:rPr>
                <w:rFonts w:ascii="Arial" w:cs="Arial" w:eastAsia="Arial" w:hAnsi="Arial"/>
                <w:sz w:val="14"/>
                <w:szCs w:val="14"/>
                <w:color w:val="auto"/>
              </w:rPr>
              <w:t>[X]</w:t>
            </w:r>
          </w:p>
        </w:tc>
      </w:tr>
      <w:tr>
        <w:trPr>
          <w:trHeight w:val="180"/>
        </w:trPr>
        <w:tc>
          <w:tcPr>
            <w:tcW w:w="3020" w:type="dxa"/>
            <w:vAlign w:val="bottom"/>
          </w:tcPr>
          <w:p>
            <w:pPr>
              <w:spacing w:after="0"/>
              <w:rPr>
                <w:sz w:val="20"/>
                <w:szCs w:val="20"/>
                <w:color w:val="auto"/>
              </w:rPr>
            </w:pPr>
            <w:r>
              <w:rPr>
                <w:rFonts w:ascii="Arial" w:cs="Arial" w:eastAsia="Arial" w:hAnsi="Arial"/>
                <w:sz w:val="14"/>
                <w:szCs w:val="14"/>
                <w:color w:val="auto"/>
              </w:rPr>
              <w:t>(Do not check if a smaller reporting company)</w:t>
            </w: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600" w:type="dxa"/>
            <w:vAlign w:val="bottom"/>
          </w:tcPr>
          <w:p>
            <w:pPr>
              <w:spacing w:after="0"/>
              <w:rPr>
                <w:sz w:val="15"/>
                <w:szCs w:val="15"/>
                <w:color w:val="auto"/>
              </w:rPr>
            </w:pPr>
          </w:p>
        </w:tc>
      </w:tr>
      <w:tr>
        <w:trPr>
          <w:trHeight w:val="496"/>
        </w:trPr>
        <w:tc>
          <w:tcPr>
            <w:tcW w:w="30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06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438"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8720" w:type="dxa"/>
            <w:vAlign w:val="bottom"/>
          </w:tcPr>
          <w:p>
            <w:pPr>
              <w:ind w:left="4380"/>
              <w:spacing w:after="0"/>
              <w:rPr>
                <w:sz w:val="20"/>
                <w:szCs w:val="20"/>
                <w:color w:val="auto"/>
              </w:rPr>
            </w:pPr>
            <w:r>
              <w:rPr>
                <w:rFonts w:ascii="Arial" w:cs="Arial" w:eastAsia="Arial" w:hAnsi="Arial"/>
                <w:sz w:val="14"/>
                <w:szCs w:val="14"/>
                <w:b w:val="1"/>
                <w:bCs w:val="1"/>
                <w:color w:val="auto"/>
              </w:rPr>
              <w:t>CALCULATION OF REGISTRATION FEE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Proposed</w:t>
            </w: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Maximum</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Aggregate</w:t>
            </w:r>
          </w:p>
        </w:tc>
        <w:tc>
          <w:tcPr>
            <w:tcW w:w="6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line="185" w:lineRule="exact"/>
              <w:rPr>
                <w:sz w:val="20"/>
                <w:szCs w:val="20"/>
                <w:color w:val="auto"/>
              </w:rPr>
            </w:pPr>
            <w:r>
              <w:rPr>
                <w:rFonts w:ascii="Arial" w:cs="Arial" w:eastAsia="Arial" w:hAnsi="Arial"/>
                <w:sz w:val="14"/>
                <w:szCs w:val="14"/>
                <w:b w:val="1"/>
                <w:bCs w:val="1"/>
                <w:color w:val="auto"/>
                <w:w w:val="91"/>
              </w:rPr>
              <w:t xml:space="preserve">Offering Price </w:t>
            </w:r>
            <w:r>
              <w:rPr>
                <w:rFonts w:ascii="Arial" w:cs="Arial" w:eastAsia="Arial" w:hAnsi="Arial"/>
                <w:sz w:val="19"/>
                <w:szCs w:val="19"/>
                <w:b w:val="1"/>
                <w:bCs w:val="1"/>
                <w:color w:val="auto"/>
                <w:w w:val="91"/>
                <w:vertAlign w:val="superscript"/>
              </w:rPr>
              <w:t>(1)</w:t>
            </w:r>
          </w:p>
        </w:tc>
        <w:tc>
          <w:tcPr>
            <w:tcW w:w="2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89"/>
              </w:rPr>
              <w:t>Registration Fee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72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Common stock, $0.001 par value </w:t>
            </w:r>
            <w:r>
              <w:rPr>
                <w:rFonts w:ascii="Arial" w:cs="Arial" w:eastAsia="Arial" w:hAnsi="Arial"/>
                <w:sz w:val="19"/>
                <w:szCs w:val="19"/>
                <w:color w:val="auto"/>
                <w:vertAlign w:val="superscript"/>
              </w:rPr>
              <w:t>(1)</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13,800,000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1,389.66</w:t>
            </w:r>
          </w:p>
        </w:tc>
        <w:tc>
          <w:tcPr>
            <w:tcW w:w="0" w:type="dxa"/>
            <w:vAlign w:val="bottom"/>
          </w:tcPr>
          <w:p>
            <w:pPr>
              <w:spacing w:after="0"/>
              <w:rPr>
                <w:sz w:val="1"/>
                <w:szCs w:val="1"/>
                <w:color w:val="auto"/>
              </w:rPr>
            </w:pPr>
          </w:p>
        </w:tc>
      </w:tr>
      <w:tr>
        <w:trPr>
          <w:trHeight w:val="170"/>
        </w:trPr>
        <w:tc>
          <w:tcPr>
            <w:tcW w:w="8720" w:type="dxa"/>
            <w:vAlign w:val="bottom"/>
          </w:tcPr>
          <w:p>
            <w:pPr>
              <w:spacing w:after="0" w:line="171" w:lineRule="exact"/>
              <w:rPr>
                <w:sz w:val="20"/>
                <w:szCs w:val="20"/>
                <w:color w:val="auto"/>
              </w:rPr>
            </w:pPr>
            <w:r>
              <w:rPr>
                <w:rFonts w:ascii="Arial" w:cs="Arial" w:eastAsia="Arial" w:hAnsi="Arial"/>
                <w:sz w:val="14"/>
                <w:szCs w:val="14"/>
                <w:color w:val="auto"/>
              </w:rPr>
              <w:t xml:space="preserve">Representatives’ common stock purchase warrants </w:t>
            </w:r>
            <w:r>
              <w:rPr>
                <w:rFonts w:ascii="Arial" w:cs="Arial" w:eastAsia="Arial" w:hAnsi="Arial"/>
                <w:sz w:val="19"/>
                <w:szCs w:val="19"/>
                <w:color w:val="auto"/>
                <w:vertAlign w:val="superscript"/>
              </w:rPr>
              <w:t>(2)</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72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Common stock underlying representatives’ common stock purchase warrants </w:t>
            </w:r>
            <w:r>
              <w:rPr>
                <w:rFonts w:ascii="Arial" w:cs="Arial" w:eastAsia="Arial" w:hAnsi="Arial"/>
                <w:sz w:val="19"/>
                <w:szCs w:val="19"/>
                <w:color w:val="auto"/>
                <w:vertAlign w:val="superscript"/>
              </w:rPr>
              <w:t>(1)(3)</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1,035,000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104.22</w:t>
            </w:r>
          </w:p>
        </w:tc>
        <w:tc>
          <w:tcPr>
            <w:tcW w:w="0" w:type="dxa"/>
            <w:vAlign w:val="bottom"/>
          </w:tcPr>
          <w:p>
            <w:pPr>
              <w:spacing w:after="0"/>
              <w:rPr>
                <w:sz w:val="1"/>
                <w:szCs w:val="1"/>
                <w:color w:val="auto"/>
              </w:rPr>
            </w:pPr>
          </w:p>
        </w:tc>
      </w:tr>
      <w:tr>
        <w:trPr>
          <w:trHeight w:val="180"/>
        </w:trPr>
        <w:tc>
          <w:tcPr>
            <w:tcW w:w="8720" w:type="dxa"/>
            <w:vAlign w:val="bottom"/>
          </w:tcPr>
          <w:p>
            <w:pPr>
              <w:spacing w:after="0"/>
              <w:rPr>
                <w:sz w:val="20"/>
                <w:szCs w:val="20"/>
                <w:color w:val="auto"/>
              </w:rPr>
            </w:pPr>
            <w:r>
              <w:rPr>
                <w:rFonts w:ascii="Arial" w:cs="Arial" w:eastAsia="Arial" w:hAnsi="Arial"/>
                <w:sz w:val="14"/>
                <w:szCs w:val="14"/>
                <w:color w:val="auto"/>
              </w:rPr>
              <w:t>Total</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14,835,000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1,493.88</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440" w:right="40" w:hanging="435"/>
        <w:spacing w:after="0" w:line="283" w:lineRule="auto"/>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457(o) under the Securities Act of 1933, as amended (</w:t>
      </w:r>
      <w:r>
        <w:rPr>
          <w:rFonts w:ascii="Arial" w:cs="Arial" w:eastAsia="Arial" w:hAnsi="Arial"/>
          <w:sz w:val="14"/>
          <w:szCs w:val="14"/>
          <w:i w:val="1"/>
          <w:iCs w:val="1"/>
          <w:color w:val="auto"/>
        </w:rPr>
        <w:t>Securities Act</w:t>
      </w:r>
      <w:r>
        <w:rPr>
          <w:rFonts w:ascii="Arial" w:cs="Arial" w:eastAsia="Arial" w:hAnsi="Arial"/>
          <w:sz w:val="14"/>
          <w:szCs w:val="14"/>
          <w:color w:val="auto"/>
        </w:rPr>
        <w:t>). Includes offering price of securities that the underwriters have the option to purchase to cover over-allotments, if any.</w:t>
      </w:r>
    </w:p>
    <w:p>
      <w:pPr>
        <w:spacing w:after="0" w:line="131" w:lineRule="exact"/>
        <w:rPr>
          <w:rFonts w:ascii="Arial" w:cs="Arial" w:eastAsia="Arial" w:hAnsi="Arial"/>
          <w:sz w:val="14"/>
          <w:szCs w:val="14"/>
          <w:color w:val="auto"/>
        </w:rPr>
      </w:pPr>
    </w:p>
    <w:p>
      <w:pPr>
        <w:ind w:left="440" w:hanging="435"/>
        <w:spacing w:after="0"/>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 fee pursuant to Rule 457(g) under the Securities Act.</w:t>
      </w:r>
    </w:p>
    <w:p>
      <w:pPr>
        <w:spacing w:after="0" w:line="179" w:lineRule="exact"/>
        <w:rPr>
          <w:rFonts w:ascii="Arial" w:cs="Arial" w:eastAsia="Arial" w:hAnsi="Arial"/>
          <w:sz w:val="14"/>
          <w:szCs w:val="14"/>
          <w:color w:val="auto"/>
        </w:rPr>
      </w:pPr>
    </w:p>
    <w:p>
      <w:pPr>
        <w:ind w:left="440" w:right="100" w:hanging="435"/>
        <w:spacing w:after="0" w:line="268" w:lineRule="auto"/>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pursuant to Rule 457(g) under the Securities Act. The warrants are exercisable at a per share exercise price equal to 125% of the public offering price. Estimated solely for the purpose of recalculating the registration fee pursuant to Rule 457(g) under the Securities Act, the proposed maximum aggregate offering price of the representatives’ warrants is equal to 125% of $828,000 (6% of $13,800,000).</w:t>
      </w:r>
    </w:p>
    <w:p>
      <w:pPr>
        <w:spacing w:after="0" w:line="138" w:lineRule="exact"/>
        <w:rPr>
          <w:sz w:val="20"/>
          <w:szCs w:val="20"/>
          <w:color w:val="auto"/>
        </w:rPr>
      </w:pPr>
    </w:p>
    <w:p>
      <w:pPr>
        <w:ind w:right="320"/>
        <w:spacing w:after="0" w:line="27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194310</wp:posOffset>
            </wp:positionV>
            <wp:extent cx="728154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1545" cy="368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275590</wp:posOffset>
            </wp:positionV>
            <wp:extent cx="7281545"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625" w:right="219" w:bottom="1440" w:gutter="0" w:footer="0" w:header="0"/>
        </w:sectPr>
      </w:pPr>
    </w:p>
    <w:bookmarkStart w:id="3" w:name="page4"/>
    <w:bookmarkEnd w:id="3"/>
    <w:p>
      <w:pPr>
        <w:ind w:left="280" w:right="380"/>
        <w:spacing w:after="0" w:line="271" w:lineRule="auto"/>
        <w:rPr>
          <w:sz w:val="20"/>
          <w:szCs w:val="20"/>
          <w:color w:val="auto"/>
        </w:rPr>
      </w:pPr>
      <w:r>
        <w:rPr>
          <w:rFonts w:ascii="Arial" w:cs="Arial" w:eastAsia="Arial" w:hAnsi="Arial"/>
          <w:sz w:val="14"/>
          <w:szCs w:val="14"/>
          <w:b w:val="1"/>
          <w:bCs w:val="1"/>
          <w:color w:val="FF0000"/>
        </w:rPr>
        <w:drawing>
          <wp:anchor simplePos="0" relativeHeight="251657728" behindDoc="1" locked="0" layoutInCell="0" allowOverlap="1">
            <wp:simplePos x="0" y="0"/>
            <wp:positionH relativeFrom="page">
              <wp:posOffset>142875</wp:posOffset>
            </wp:positionH>
            <wp:positionV relativeFrom="page">
              <wp:posOffset>271780</wp:posOffset>
            </wp:positionV>
            <wp:extent cx="7275830" cy="554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5830" cy="554355"/>
                    </a:xfrm>
                    <a:prstGeom prst="rect">
                      <a:avLst/>
                    </a:prstGeom>
                    <a:noFill/>
                  </pic:spPr>
                </pic:pic>
              </a:graphicData>
            </a:graphic>
          </wp:anchor>
        </w:drawing>
        <w:t>The information contained herein is subject to completion or amendment. A registration statement relating to these securities has been filed with the U.S. Securities and Exchange Commission. These securities may not be sold until the registration statement becomes effective. This preliminary prospectus is not an offer to sell and is not a solicitation of an offer to buy in any jurisdiction in which an offer, solicitation, or sale is not permitted.</w:t>
      </w:r>
    </w:p>
    <w:p>
      <w:pPr>
        <w:sectPr>
          <w:pgSz w:w="11900" w:h="16838" w:orient="portrait"/>
          <w:cols w:equalWidth="0" w:num="1">
            <w:col w:w="11460"/>
          </w:cols>
          <w:pgMar w:left="220" w:top="593" w:right="219" w:bottom="1440" w:gutter="0" w:footer="0" w:header="0"/>
        </w:sect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FF0000"/>
        </w:rPr>
        <w:t>PRELIMINARY PROSPECTUS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FF0000"/>
        </w:rPr>
        <w:t>SUBJECT TO COMPLETION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b w:val="1"/>
          <w:bCs w:val="1"/>
          <w:color w:val="FF0000"/>
        </w:rPr>
        <w:t>DATED MARCH 14, 2016</w:t>
      </w:r>
    </w:p>
    <w:p>
      <w:pPr>
        <w:spacing w:after="0" w:line="211" w:lineRule="exact"/>
        <w:rPr>
          <w:sz w:val="20"/>
          <w:szCs w:val="20"/>
          <w:color w:val="auto"/>
        </w:rPr>
      </w:pPr>
    </w:p>
    <w:p>
      <w:pPr>
        <w:sectPr>
          <w:pgSz w:w="11900" w:h="16838" w:orient="portrait"/>
          <w:cols w:equalWidth="0" w:num="3">
            <w:col w:w="4060" w:space="720"/>
            <w:col w:w="4360" w:space="720"/>
            <w:col w:w="1600"/>
          </w:cols>
          <w:pgMar w:left="220" w:top="593" w:right="219" w:bottom="1440" w:gutter="0" w:footer="0" w:header="0"/>
          <w:type w:val="continuous"/>
        </w:sectPr>
      </w:pPr>
    </w:p>
    <w:p>
      <w:pPr>
        <w:spacing w:after="0" w:line="342" w:lineRule="exact"/>
        <w:rPr>
          <w:sz w:val="20"/>
          <w:szCs w:val="20"/>
          <w:color w:val="auto"/>
        </w:rPr>
      </w:pPr>
    </w:p>
    <w:p>
      <w:pPr>
        <w:ind w:left="5040"/>
        <w:spacing w:after="0"/>
        <w:rPr>
          <w:sz w:val="20"/>
          <w:szCs w:val="20"/>
          <w:color w:val="auto"/>
        </w:rPr>
      </w:pPr>
      <w:r>
        <w:rPr>
          <w:rFonts w:ascii="Arial" w:cs="Arial" w:eastAsia="Arial" w:hAnsi="Arial"/>
          <w:sz w:val="12"/>
          <w:szCs w:val="12"/>
          <w:b w:val="1"/>
          <w:bCs w:val="1"/>
          <w:color w:val="auto"/>
        </w:rPr>
        <w:t>[____________]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137795</wp:posOffset>
            </wp:positionV>
            <wp:extent cx="1237615" cy="817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7615" cy="817880"/>
                    </a:xfrm>
                    <a:prstGeom prst="rect">
                      <a:avLst/>
                    </a:prstGeom>
                    <a:noFill/>
                  </pic:spPr>
                </pic:pic>
              </a:graphicData>
            </a:graphic>
          </wp:anchor>
        </w:drawing>
      </w:r>
    </w:p>
    <w:p>
      <w:pPr>
        <w:sectPr>
          <w:pgSz w:w="11900" w:h="16838" w:orient="portrait"/>
          <w:cols w:equalWidth="0" w:num="1">
            <w:col w:w="11460"/>
          </w:cols>
          <w:pgMar w:left="220" w:top="593"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VistaGen Therapeutics, Inc. is offering [__________] shares of common stock to purchasers in this offering (the </w:t>
      </w:r>
      <w:r>
        <w:rPr>
          <w:rFonts w:ascii="Arial" w:cs="Arial" w:eastAsia="Arial" w:hAnsi="Arial"/>
          <w:sz w:val="13"/>
          <w:szCs w:val="13"/>
          <w:i w:val="1"/>
          <w:iCs w:val="1"/>
          <w:color w:val="auto"/>
        </w:rPr>
        <w:t>Offering</w:t>
      </w:r>
      <w:r>
        <w:rPr>
          <w:rFonts w:ascii="Arial" w:cs="Arial" w:eastAsia="Arial" w:hAnsi="Arial"/>
          <w:sz w:val="13"/>
          <w:szCs w:val="13"/>
          <w:color w:val="auto"/>
        </w:rPr>
        <w:t>). Each share of common stock will be sold at a price of $[___] per share.</w:t>
      </w:r>
    </w:p>
    <w:p>
      <w:pPr>
        <w:spacing w:after="0" w:line="213" w:lineRule="exact"/>
        <w:rPr>
          <w:sz w:val="20"/>
          <w:szCs w:val="20"/>
          <w:color w:val="auto"/>
        </w:rPr>
      </w:pPr>
    </w:p>
    <w:p>
      <w:pPr>
        <w:ind w:right="120"/>
        <w:spacing w:after="0" w:line="323" w:lineRule="auto"/>
        <w:rPr>
          <w:sz w:val="20"/>
          <w:szCs w:val="20"/>
          <w:color w:val="auto"/>
        </w:rPr>
      </w:pPr>
      <w:r>
        <w:rPr>
          <w:rFonts w:ascii="Arial" w:cs="Arial" w:eastAsia="Arial" w:hAnsi="Arial"/>
          <w:sz w:val="13"/>
          <w:szCs w:val="13"/>
          <w:color w:val="auto"/>
        </w:rPr>
        <w:t>Currently, our common stock is quoted for trading on the OTC Markets (</w:t>
      </w:r>
      <w:r>
        <w:rPr>
          <w:rFonts w:ascii="Arial" w:cs="Arial" w:eastAsia="Arial" w:hAnsi="Arial"/>
          <w:sz w:val="13"/>
          <w:szCs w:val="13"/>
          <w:i w:val="1"/>
          <w:iCs w:val="1"/>
          <w:color w:val="auto"/>
        </w:rPr>
        <w:t>OTCQB</w:t>
      </w:r>
      <w:r>
        <w:rPr>
          <w:rFonts w:ascii="Arial" w:cs="Arial" w:eastAsia="Arial" w:hAnsi="Arial"/>
          <w:sz w:val="13"/>
          <w:szCs w:val="13"/>
          <w:color w:val="auto"/>
        </w:rPr>
        <w:t>) under the symbol “VSTA.” We have applied for listing of our common stock on the NASDAQ Capital Market under the symbol “VTGN.” Although we believe we will satisfy NASDAQ Capital Market listing requirements, no assurance can be given that such listing will be achieved in a timely manner or at all.</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On March 11, 2016, the closing price for our common stock, as quoted on the OTCQB, was $8.00 per share.</w:t>
      </w:r>
    </w:p>
    <w:p>
      <w:pPr>
        <w:spacing w:after="0" w:line="197" w:lineRule="exact"/>
        <w:rPr>
          <w:sz w:val="20"/>
          <w:szCs w:val="20"/>
          <w:color w:val="auto"/>
        </w:rPr>
      </w:pPr>
    </w:p>
    <w:p>
      <w:pPr>
        <w:ind w:right="380"/>
        <w:spacing w:after="0" w:line="288" w:lineRule="auto"/>
        <w:rPr>
          <w:sz w:val="20"/>
          <w:szCs w:val="20"/>
          <w:color w:val="auto"/>
        </w:rPr>
      </w:pPr>
      <w:r>
        <w:rPr>
          <w:rFonts w:ascii="Arial" w:cs="Arial" w:eastAsia="Arial" w:hAnsi="Arial"/>
          <w:sz w:val="14"/>
          <w:szCs w:val="14"/>
          <w:b w:val="1"/>
          <w:bCs w:val="1"/>
          <w:color w:val="auto"/>
        </w:rPr>
        <w:t>Investing in our securities involves a high degree of risk. Before deciding whether to invest in our securities, you should review carefully the risks and uncertainties described under the heading “</w:t>
      </w:r>
      <w:r>
        <w:rPr>
          <w:rFonts w:ascii="Arial" w:cs="Arial" w:eastAsia="Arial" w:hAnsi="Arial"/>
          <w:sz w:val="14"/>
          <w:szCs w:val="14"/>
          <w:b w:val="1"/>
          <w:bCs w:val="1"/>
          <w:i w:val="1"/>
          <w:iCs w:val="1"/>
          <w:color w:val="auto"/>
        </w:rPr>
        <w:t>Risk Factors</w:t>
      </w:r>
      <w:r>
        <w:rPr>
          <w:rFonts w:ascii="Arial" w:cs="Arial" w:eastAsia="Arial" w:hAnsi="Arial"/>
          <w:sz w:val="14"/>
          <w:szCs w:val="14"/>
          <w:b w:val="1"/>
          <w:bCs w:val="1"/>
          <w:color w:val="auto"/>
        </w:rPr>
        <w:t>” beginning on page 6 of this prospectus.</w:t>
      </w:r>
    </w:p>
    <w:p>
      <w:pPr>
        <w:spacing w:after="0" w:line="125" w:lineRule="exact"/>
        <w:rPr>
          <w:sz w:val="20"/>
          <w:szCs w:val="20"/>
          <w:color w:val="auto"/>
        </w:rPr>
      </w:pPr>
    </w:p>
    <w:p>
      <w:pPr>
        <w:ind w:right="460"/>
        <w:spacing w:after="0" w:line="288"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Per share</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r>
      <w:tr>
        <w:trPr>
          <w:trHeight w:val="170"/>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4300" w:type="dxa"/>
            <w:vAlign w:val="bottom"/>
            <w:gridSpan w:val="2"/>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5680" w:type="dxa"/>
            <w:vAlign w:val="bottom"/>
          </w:tcPr>
          <w:p>
            <w:pPr>
              <w:spacing w:after="0" w:line="171" w:lineRule="exact"/>
              <w:rPr>
                <w:sz w:val="20"/>
                <w:szCs w:val="20"/>
                <w:color w:val="auto"/>
              </w:rPr>
            </w:pPr>
            <w:r>
              <w:rPr>
                <w:rFonts w:ascii="Arial" w:cs="Arial" w:eastAsia="Arial" w:hAnsi="Arial"/>
                <w:sz w:val="14"/>
                <w:szCs w:val="14"/>
                <w:color w:val="auto"/>
              </w:rPr>
              <w:t xml:space="preserve">Underwriting discounts and commissions </w:t>
            </w:r>
            <w:r>
              <w:rPr>
                <w:rFonts w:ascii="Arial" w:cs="Arial" w:eastAsia="Arial" w:hAnsi="Arial"/>
                <w:sz w:val="19"/>
                <w:szCs w:val="19"/>
                <w:color w:val="auto"/>
                <w:vertAlign w:val="superscript"/>
              </w:rPr>
              <w:t>(1)</w:t>
            </w:r>
          </w:p>
        </w:tc>
        <w:tc>
          <w:tcPr>
            <w:tcW w:w="4300" w:type="dxa"/>
            <w:vAlign w:val="bottom"/>
            <w:gridSpan w:val="2"/>
          </w:tcPr>
          <w:p>
            <w:pPr>
              <w:jc w:val="right"/>
              <w:ind w:right="1009"/>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70"/>
        </w:trPr>
        <w:tc>
          <w:tcPr>
            <w:tcW w:w="5680" w:type="dxa"/>
            <w:vAlign w:val="bottom"/>
            <w:shd w:val="clear" w:color="auto" w:fill="CCEEFF"/>
          </w:tcPr>
          <w:p>
            <w:pPr>
              <w:spacing w:after="0"/>
              <w:rPr>
                <w:sz w:val="20"/>
                <w:szCs w:val="20"/>
                <w:color w:val="auto"/>
              </w:rPr>
            </w:pPr>
            <w:r>
              <w:rPr>
                <w:rFonts w:ascii="Arial" w:cs="Arial" w:eastAsia="Arial" w:hAnsi="Arial"/>
                <w:sz w:val="14"/>
                <w:szCs w:val="14"/>
                <w:color w:val="auto"/>
              </w:rPr>
              <w:t>Offering proceeds, before expenses</w:t>
            </w:r>
          </w:p>
        </w:tc>
        <w:tc>
          <w:tcPr>
            <w:tcW w:w="4300" w:type="dxa"/>
            <w:vAlign w:val="bottom"/>
            <w:gridSpan w:val="2"/>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r>
    </w:tbl>
    <w:p>
      <w:pPr>
        <w:spacing w:after="0" w:line="160" w:lineRule="exact"/>
        <w:rPr>
          <w:sz w:val="20"/>
          <w:szCs w:val="20"/>
          <w:color w:val="auto"/>
        </w:rPr>
      </w:pPr>
    </w:p>
    <w:p>
      <w:pPr>
        <w:ind w:left="600" w:right="280" w:hanging="595"/>
        <w:spacing w:after="0" w:line="283" w:lineRule="auto"/>
        <w:tabs>
          <w:tab w:leader="none" w:pos="60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and the underwriters will receive compensation in addition to underwriting discounts and commissions. See the section titled “</w:t>
      </w:r>
      <w:r>
        <w:rPr>
          <w:rFonts w:ascii="Arial" w:cs="Arial" w:eastAsia="Arial" w:hAnsi="Arial"/>
          <w:sz w:val="14"/>
          <w:szCs w:val="14"/>
          <w:i w:val="1"/>
          <w:iCs w:val="1"/>
          <w:color w:val="auto"/>
        </w:rPr>
        <w:t>Underwriting</w:t>
      </w:r>
      <w:r>
        <w:rPr>
          <w:rFonts w:ascii="Arial" w:cs="Arial" w:eastAsia="Arial" w:hAnsi="Arial"/>
          <w:sz w:val="14"/>
          <w:szCs w:val="14"/>
          <w:color w:val="auto"/>
        </w:rPr>
        <w:t>” for additional disclosure regarding underwriter compensation and offering expenses.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We granted the underwriters a 45-day option the right to purchase an additional [________] shares of common stock from us at the offering price, less the underwriting discounts and commissions, to</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cover over-allotments, if any.</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The underwriters expect to deliver the shares of common stock to purchasers on or about [_________], 2016.</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20" w:type="dxa"/>
            <w:vAlign w:val="bottom"/>
          </w:tcPr>
          <w:p>
            <w:pPr>
              <w:spacing w:after="0"/>
              <w:rPr>
                <w:sz w:val="15"/>
                <w:szCs w:val="15"/>
                <w:color w:val="auto"/>
              </w:rPr>
            </w:pPr>
          </w:p>
        </w:tc>
        <w:tc>
          <w:tcPr>
            <w:tcW w:w="7440" w:type="dxa"/>
            <w:vAlign w:val="bottom"/>
          </w:tcPr>
          <w:p>
            <w:pPr>
              <w:jc w:val="center"/>
              <w:ind w:right="3941"/>
              <w:spacing w:after="0"/>
              <w:rPr>
                <w:sz w:val="20"/>
                <w:szCs w:val="20"/>
                <w:color w:val="auto"/>
              </w:rPr>
            </w:pPr>
            <w:r>
              <w:rPr>
                <w:rFonts w:ascii="Arial" w:cs="Arial" w:eastAsia="Arial" w:hAnsi="Arial"/>
                <w:sz w:val="14"/>
                <w:szCs w:val="14"/>
                <w:i w:val="1"/>
                <w:iCs w:val="1"/>
                <w:color w:val="auto"/>
                <w:w w:val="92"/>
              </w:rPr>
              <w:t>Joint Book-Running Managers</w:t>
            </w:r>
          </w:p>
        </w:tc>
      </w:tr>
      <w:tr>
        <w:trPr>
          <w:trHeight w:val="419"/>
        </w:trPr>
        <w:tc>
          <w:tcPr>
            <w:tcW w:w="4020" w:type="dxa"/>
            <w:vAlign w:val="bottom"/>
          </w:tcPr>
          <w:p>
            <w:pPr>
              <w:ind w:left="3080"/>
              <w:spacing w:after="0"/>
              <w:rPr>
                <w:sz w:val="20"/>
                <w:szCs w:val="20"/>
                <w:color w:val="auto"/>
              </w:rPr>
            </w:pPr>
            <w:r>
              <w:rPr>
                <w:rFonts w:ascii="Arial" w:cs="Arial" w:eastAsia="Arial" w:hAnsi="Arial"/>
                <w:sz w:val="19"/>
                <w:szCs w:val="19"/>
                <w:b w:val="1"/>
                <w:bCs w:val="1"/>
                <w:color w:val="auto"/>
              </w:rPr>
              <w:t>Chardan</w:t>
            </w:r>
          </w:p>
        </w:tc>
        <w:tc>
          <w:tcPr>
            <w:tcW w:w="7440" w:type="dxa"/>
            <w:vAlign w:val="bottom"/>
          </w:tcPr>
          <w:p>
            <w:pPr>
              <w:ind w:left="2180"/>
              <w:spacing w:after="0"/>
              <w:rPr>
                <w:sz w:val="20"/>
                <w:szCs w:val="20"/>
                <w:color w:val="auto"/>
              </w:rPr>
            </w:pPr>
            <w:r>
              <w:rPr>
                <w:rFonts w:ascii="Arial" w:cs="Arial" w:eastAsia="Arial" w:hAnsi="Arial"/>
                <w:sz w:val="19"/>
                <w:szCs w:val="19"/>
                <w:b w:val="1"/>
                <w:bCs w:val="1"/>
                <w:color w:val="auto"/>
              </w:rPr>
              <w:t>WallachBeth Capital, LLC</w:t>
            </w:r>
          </w:p>
        </w:tc>
      </w:tr>
      <w:tr>
        <w:trPr>
          <w:trHeight w:val="359"/>
        </w:trPr>
        <w:tc>
          <w:tcPr>
            <w:tcW w:w="4020" w:type="dxa"/>
            <w:vAlign w:val="bottom"/>
          </w:tcPr>
          <w:p>
            <w:pPr>
              <w:spacing w:after="0"/>
              <w:rPr>
                <w:sz w:val="24"/>
                <w:szCs w:val="24"/>
                <w:color w:val="auto"/>
              </w:rPr>
            </w:pPr>
          </w:p>
        </w:tc>
        <w:tc>
          <w:tcPr>
            <w:tcW w:w="7440" w:type="dxa"/>
            <w:vAlign w:val="bottom"/>
          </w:tcPr>
          <w:p>
            <w:pPr>
              <w:jc w:val="center"/>
              <w:ind w:right="3921"/>
              <w:spacing w:after="0"/>
              <w:rPr>
                <w:sz w:val="20"/>
                <w:szCs w:val="20"/>
                <w:color w:val="auto"/>
              </w:rPr>
            </w:pPr>
            <w:r>
              <w:rPr>
                <w:rFonts w:ascii="Arial" w:cs="Arial" w:eastAsia="Arial" w:hAnsi="Arial"/>
                <w:sz w:val="14"/>
                <w:szCs w:val="14"/>
                <w:color w:val="auto"/>
                <w:w w:val="91"/>
              </w:rPr>
              <w:t>The date of this prospectus is [____________], 2016</w:t>
            </w:r>
          </w:p>
        </w:tc>
      </w:tr>
      <w:tr>
        <w:trPr>
          <w:trHeight w:val="571"/>
        </w:trPr>
        <w:tc>
          <w:tcPr>
            <w:tcW w:w="402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593" w:right="2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580" w:type="dxa"/>
            <w:vAlign w:val="bottom"/>
            <w:gridSpan w:val="2"/>
          </w:tcPr>
          <w:p>
            <w:pPr>
              <w:ind w:left="1120"/>
              <w:spacing w:after="0"/>
              <w:rPr>
                <w:sz w:val="20"/>
                <w:szCs w:val="20"/>
                <w:color w:val="auto"/>
              </w:rPr>
            </w:pPr>
            <w:r>
              <w:rPr>
                <w:rFonts w:ascii="Arial" w:cs="Arial" w:eastAsia="Arial" w:hAnsi="Arial"/>
                <w:sz w:val="14"/>
                <w:szCs w:val="14"/>
                <w:b w:val="1"/>
                <w:bCs w:val="1"/>
                <w:color w:val="auto"/>
              </w:rPr>
              <w:t>TABLE OF CONTENTS</w:t>
            </w:r>
          </w:p>
        </w:tc>
        <w:tc>
          <w:tcPr>
            <w:tcW w:w="1020" w:type="dxa"/>
            <w:vAlign w:val="bottom"/>
          </w:tcPr>
          <w:p>
            <w:pPr>
              <w:spacing w:after="0"/>
              <w:rPr>
                <w:sz w:val="16"/>
                <w:szCs w:val="16"/>
                <w:color w:val="auto"/>
              </w:rPr>
            </w:pPr>
          </w:p>
        </w:tc>
      </w:tr>
      <w:tr>
        <w:trPr>
          <w:trHeight w:val="364"/>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70"/>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0"/>
        </w:trPr>
        <w:tc>
          <w:tcPr>
            <w:tcW w:w="10440" w:type="dxa"/>
            <w:vAlign w:val="bottom"/>
            <w:gridSpan w:val="18"/>
            <w:shd w:val="clear" w:color="auto" w:fill="CCEEFF"/>
          </w:tcPr>
          <w:p>
            <w:pPr>
              <w:spacing w:after="0" w:line="139" w:lineRule="exact"/>
              <w:rPr>
                <w:rFonts w:ascii="Arial" w:cs="Arial" w:eastAsia="Arial" w:hAnsi="Arial"/>
                <w:sz w:val="14"/>
                <w:szCs w:val="14"/>
                <w:color w:val="0000EE"/>
              </w:rPr>
            </w:pPr>
            <w:hyperlink w:anchor="page6">
              <w:r>
                <w:rPr>
                  <w:rFonts w:ascii="Arial" w:cs="Arial" w:eastAsia="Arial" w:hAnsi="Arial"/>
                  <w:sz w:val="14"/>
                  <w:szCs w:val="14"/>
                  <w:color w:val="0000EE"/>
                </w:rPr>
                <w:t>Forward-looking Statements</w:t>
              </w:r>
            </w:hyperlink>
          </w:p>
        </w:tc>
        <w:tc>
          <w:tcPr>
            <w:tcW w:w="10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76"/>
              </w:rPr>
              <w:t>1</w:t>
            </w:r>
          </w:p>
        </w:tc>
      </w:tr>
      <w:tr>
        <w:trPr>
          <w:trHeight w:val="144"/>
        </w:trPr>
        <w:tc>
          <w:tcPr>
            <w:tcW w:w="1620" w:type="dxa"/>
            <w:vAlign w:val="bottom"/>
            <w:tcBorders>
              <w:top w:val="single" w:sz="8" w:color="0000EE"/>
            </w:tcBorders>
            <w:gridSpan w:val="8"/>
          </w:tcPr>
          <w:p>
            <w:pPr>
              <w:spacing w:after="0" w:line="139" w:lineRule="exact"/>
              <w:rPr>
                <w:rFonts w:ascii="Arial" w:cs="Arial" w:eastAsia="Arial" w:hAnsi="Arial"/>
                <w:sz w:val="14"/>
                <w:szCs w:val="14"/>
                <w:color w:val="0000EE"/>
              </w:rPr>
            </w:pPr>
            <w:hyperlink w:anchor="page7">
              <w:r>
                <w:rPr>
                  <w:rFonts w:ascii="Arial" w:cs="Arial" w:eastAsia="Arial" w:hAnsi="Arial"/>
                  <w:sz w:val="14"/>
                  <w:szCs w:val="14"/>
                  <w:color w:val="0000EE"/>
                </w:rPr>
                <w:t>Prospectus Summary</w:t>
              </w:r>
            </w:hyperlink>
          </w:p>
        </w:tc>
        <w:tc>
          <w:tcPr>
            <w:tcW w:w="8820" w:type="dxa"/>
            <w:vAlign w:val="bottom"/>
            <w:tcBorders>
              <w:top w:val="single" w:sz="8" w:color="CCEEFF"/>
            </w:tcBorders>
            <w:gridSpan w:val="10"/>
          </w:tcPr>
          <w:p>
            <w:pPr>
              <w:spacing w:after="0"/>
              <w:rPr>
                <w:sz w:val="12"/>
                <w:szCs w:val="12"/>
                <w:color w:val="auto"/>
              </w:rPr>
            </w:pPr>
          </w:p>
        </w:tc>
        <w:tc>
          <w:tcPr>
            <w:tcW w:w="1020" w:type="dxa"/>
            <w:vAlign w:val="bottom"/>
            <w:tcBorders>
              <w:top w:val="single" w:sz="8" w:color="CCEEFF"/>
            </w:tcBorders>
          </w:tcPr>
          <w:p>
            <w:pPr>
              <w:jc w:val="center"/>
              <w:spacing w:after="0" w:line="139" w:lineRule="exact"/>
              <w:rPr>
                <w:sz w:val="20"/>
                <w:szCs w:val="20"/>
                <w:color w:val="auto"/>
              </w:rPr>
            </w:pPr>
            <w:r>
              <w:rPr>
                <w:rFonts w:ascii="Arial" w:cs="Arial" w:eastAsia="Arial" w:hAnsi="Arial"/>
                <w:sz w:val="14"/>
                <w:szCs w:val="14"/>
                <w:color w:val="auto"/>
                <w:w w:val="76"/>
              </w:rPr>
              <w:t>2</w:t>
            </w:r>
          </w:p>
        </w:tc>
      </w:tr>
      <w:tr>
        <w:trPr>
          <w:trHeight w:val="156"/>
        </w:trPr>
        <w:tc>
          <w:tcPr>
            <w:tcW w:w="800" w:type="dxa"/>
            <w:vAlign w:val="bottom"/>
            <w:tcBorders>
              <w:top w:val="single" w:sz="8" w:color="0000EE"/>
              <w:bottom w:val="single" w:sz="8" w:color="0000EE"/>
              <w:right w:val="single" w:sz="8" w:color="CCEEFF"/>
            </w:tcBorders>
            <w:gridSpan w:val="3"/>
            <w:shd w:val="clear" w:color="auto" w:fill="CCEEFF"/>
          </w:tcPr>
          <w:p>
            <w:pPr>
              <w:spacing w:after="0" w:line="145" w:lineRule="exact"/>
              <w:rPr>
                <w:rFonts w:ascii="Arial" w:cs="Arial" w:eastAsia="Arial" w:hAnsi="Arial"/>
                <w:sz w:val="14"/>
                <w:szCs w:val="14"/>
                <w:color w:val="0000EE"/>
                <w:w w:val="97"/>
              </w:rPr>
            </w:pPr>
            <w:hyperlink w:anchor="page11">
              <w:r>
                <w:rPr>
                  <w:rFonts w:ascii="Arial" w:cs="Arial" w:eastAsia="Arial" w:hAnsi="Arial"/>
                  <w:sz w:val="14"/>
                  <w:szCs w:val="14"/>
                  <w:color w:val="0000EE"/>
                  <w:w w:val="97"/>
                </w:rPr>
                <w:t>Risk Factors</w:t>
              </w:r>
            </w:hyperlink>
          </w:p>
        </w:tc>
        <w:tc>
          <w:tcPr>
            <w:tcW w:w="400" w:type="dxa"/>
            <w:vAlign w:val="bottom"/>
            <w:tcBorders>
              <w:top w:val="single" w:sz="8" w:color="0000EE"/>
              <w:bottom w:val="single" w:sz="8" w:color="CCEEFF"/>
            </w:tcBorders>
            <w:gridSpan w:val="3"/>
            <w:shd w:val="clear" w:color="auto" w:fill="CCEEFF"/>
          </w:tcPr>
          <w:p>
            <w:pPr>
              <w:spacing w:after="0"/>
              <w:rPr>
                <w:sz w:val="13"/>
                <w:szCs w:val="13"/>
                <w:color w:val="auto"/>
              </w:rPr>
            </w:pPr>
          </w:p>
        </w:tc>
        <w:tc>
          <w:tcPr>
            <w:tcW w:w="9240" w:type="dxa"/>
            <w:vAlign w:val="bottom"/>
            <w:tcBorders>
              <w:bottom w:val="single" w:sz="8" w:color="CCEEFF"/>
            </w:tcBorders>
            <w:gridSpan w:val="12"/>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76"/>
              </w:rPr>
              <w:t>6</w:t>
            </w:r>
          </w:p>
        </w:tc>
      </w:tr>
      <w:tr>
        <w:trPr>
          <w:trHeight w:val="138"/>
        </w:trPr>
        <w:tc>
          <w:tcPr>
            <w:tcW w:w="10440" w:type="dxa"/>
            <w:vAlign w:val="bottom"/>
            <w:gridSpan w:val="18"/>
          </w:tcPr>
          <w:p>
            <w:pPr>
              <w:spacing w:after="0" w:line="139" w:lineRule="exact"/>
              <w:rPr>
                <w:rFonts w:ascii="Arial" w:cs="Arial" w:eastAsia="Arial" w:hAnsi="Arial"/>
                <w:sz w:val="14"/>
                <w:szCs w:val="14"/>
                <w:color w:val="0000EE"/>
              </w:rPr>
            </w:pPr>
            <w:hyperlink w:anchor="page43">
              <w:r>
                <w:rPr>
                  <w:rFonts w:ascii="Arial" w:cs="Arial" w:eastAsia="Arial" w:hAnsi="Arial"/>
                  <w:sz w:val="14"/>
                  <w:szCs w:val="14"/>
                  <w:color w:val="0000EE"/>
                </w:rPr>
                <w:t>Use of Proceeds</w:t>
              </w:r>
            </w:hyperlink>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38</w:t>
            </w:r>
          </w:p>
        </w:tc>
      </w:tr>
      <w:tr>
        <w:trPr>
          <w:trHeight w:val="26"/>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6"/>
        </w:trPr>
        <w:tc>
          <w:tcPr>
            <w:tcW w:w="1800" w:type="dxa"/>
            <w:vAlign w:val="bottom"/>
            <w:tcBorders>
              <w:bottom w:val="single" w:sz="8" w:color="0000EE"/>
            </w:tcBorders>
            <w:gridSpan w:val="11"/>
            <w:shd w:val="clear" w:color="auto" w:fill="CCEEFF"/>
          </w:tcPr>
          <w:p>
            <w:pPr>
              <w:spacing w:after="0" w:line="145" w:lineRule="exact"/>
              <w:rPr>
                <w:rFonts w:ascii="Arial" w:cs="Arial" w:eastAsia="Arial" w:hAnsi="Arial"/>
                <w:sz w:val="14"/>
                <w:szCs w:val="14"/>
                <w:color w:val="0000EE"/>
                <w:w w:val="93"/>
              </w:rPr>
            </w:pPr>
            <w:hyperlink w:anchor="page44">
              <w:r>
                <w:rPr>
                  <w:rFonts w:ascii="Arial" w:cs="Arial" w:eastAsia="Arial" w:hAnsi="Arial"/>
                  <w:sz w:val="14"/>
                  <w:szCs w:val="14"/>
                  <w:color w:val="0000EE"/>
                  <w:w w:val="93"/>
                </w:rPr>
                <w:t>Market for Our Common Stock</w:t>
              </w:r>
            </w:hyperlink>
          </w:p>
        </w:tc>
        <w:tc>
          <w:tcPr>
            <w:tcW w:w="8640" w:type="dxa"/>
            <w:vAlign w:val="bottom"/>
            <w:tcBorders>
              <w:bottom w:val="single" w:sz="8" w:color="CCEEFF"/>
            </w:tcBorders>
            <w:gridSpan w:val="7"/>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39</w:t>
            </w:r>
          </w:p>
        </w:tc>
      </w:tr>
      <w:tr>
        <w:trPr>
          <w:trHeight w:val="144"/>
        </w:trPr>
        <w:tc>
          <w:tcPr>
            <w:tcW w:w="940" w:type="dxa"/>
            <w:vAlign w:val="bottom"/>
            <w:tcBorders>
              <w:bottom w:val="single" w:sz="8" w:color="0000EE"/>
            </w:tcBorders>
            <w:gridSpan w:val="5"/>
          </w:tcPr>
          <w:p>
            <w:pPr>
              <w:spacing w:after="0" w:line="139" w:lineRule="exact"/>
              <w:rPr>
                <w:rFonts w:ascii="Arial" w:cs="Arial" w:eastAsia="Arial" w:hAnsi="Arial"/>
                <w:sz w:val="14"/>
                <w:szCs w:val="14"/>
                <w:color w:val="0000EE"/>
                <w:w w:val="96"/>
              </w:rPr>
            </w:pPr>
            <w:hyperlink w:anchor="page45">
              <w:r>
                <w:rPr>
                  <w:rFonts w:ascii="Arial" w:cs="Arial" w:eastAsia="Arial" w:hAnsi="Arial"/>
                  <w:sz w:val="14"/>
                  <w:szCs w:val="14"/>
                  <w:color w:val="0000EE"/>
                  <w:w w:val="96"/>
                </w:rPr>
                <w:t>Dividend Policy</w:t>
              </w:r>
            </w:hyperlink>
          </w:p>
        </w:tc>
        <w:tc>
          <w:tcPr>
            <w:tcW w:w="9500" w:type="dxa"/>
            <w:vAlign w:val="bottom"/>
            <w:gridSpan w:val="13"/>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40</w:t>
            </w:r>
          </w:p>
        </w:tc>
      </w:tr>
      <w:tr>
        <w:trPr>
          <w:trHeight w:val="156"/>
        </w:trPr>
        <w:tc>
          <w:tcPr>
            <w:tcW w:w="500" w:type="dxa"/>
            <w:vAlign w:val="bottom"/>
            <w:tcBorders>
              <w:bottom w:val="single" w:sz="8" w:color="0000EE"/>
              <w:right w:val="single" w:sz="8" w:color="CCEEFF"/>
            </w:tcBorders>
            <w:gridSpan w:val="2"/>
            <w:shd w:val="clear" w:color="auto" w:fill="CCEEFF"/>
          </w:tcPr>
          <w:p>
            <w:pPr>
              <w:spacing w:after="0" w:line="145" w:lineRule="exact"/>
              <w:rPr>
                <w:rFonts w:ascii="Arial" w:cs="Arial" w:eastAsia="Arial" w:hAnsi="Arial"/>
                <w:sz w:val="14"/>
                <w:szCs w:val="14"/>
                <w:color w:val="0000EE"/>
                <w:w w:val="98"/>
              </w:rPr>
            </w:pPr>
            <w:hyperlink w:anchor="page46">
              <w:r>
                <w:rPr>
                  <w:rFonts w:ascii="Arial" w:cs="Arial" w:eastAsia="Arial" w:hAnsi="Arial"/>
                  <w:sz w:val="14"/>
                  <w:szCs w:val="14"/>
                  <w:color w:val="0000EE"/>
                  <w:w w:val="98"/>
                </w:rPr>
                <w:t>Dilution</w:t>
              </w:r>
            </w:hyperlink>
          </w:p>
        </w:tc>
        <w:tc>
          <w:tcPr>
            <w:tcW w:w="9940" w:type="dxa"/>
            <w:vAlign w:val="bottom"/>
            <w:tcBorders>
              <w:bottom w:val="single" w:sz="8" w:color="CCEEFF"/>
            </w:tcBorders>
            <w:gridSpan w:val="16"/>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41</w:t>
            </w:r>
          </w:p>
        </w:tc>
      </w:tr>
      <w:tr>
        <w:trPr>
          <w:trHeight w:val="138"/>
        </w:trPr>
        <w:tc>
          <w:tcPr>
            <w:tcW w:w="10440" w:type="dxa"/>
            <w:vAlign w:val="bottom"/>
            <w:gridSpan w:val="18"/>
          </w:tcPr>
          <w:p>
            <w:pPr>
              <w:spacing w:after="0" w:line="139" w:lineRule="exact"/>
              <w:rPr>
                <w:rFonts w:ascii="Arial" w:cs="Arial" w:eastAsia="Arial" w:hAnsi="Arial"/>
                <w:sz w:val="14"/>
                <w:szCs w:val="14"/>
                <w:color w:val="0000EE"/>
              </w:rPr>
            </w:pPr>
            <w:hyperlink w:anchor="page47">
              <w:r>
                <w:rPr>
                  <w:rFonts w:ascii="Arial" w:cs="Arial" w:eastAsia="Arial" w:hAnsi="Arial"/>
                  <w:sz w:val="14"/>
                  <w:szCs w:val="14"/>
                  <w:color w:val="0000EE"/>
                </w:rPr>
                <w:t>Capitalization</w:t>
              </w:r>
            </w:hyperlink>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42</w:t>
            </w:r>
          </w:p>
        </w:tc>
      </w:tr>
      <w:tr>
        <w:trPr>
          <w:trHeight w:val="26"/>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6"/>
        </w:trPr>
        <w:tc>
          <w:tcPr>
            <w:tcW w:w="2140" w:type="dxa"/>
            <w:vAlign w:val="bottom"/>
            <w:tcBorders>
              <w:bottom w:val="single" w:sz="8" w:color="0000EE"/>
            </w:tcBorders>
            <w:gridSpan w:val="13"/>
            <w:shd w:val="clear" w:color="auto" w:fill="CCEEFF"/>
          </w:tcPr>
          <w:p>
            <w:pPr>
              <w:spacing w:after="0" w:line="145" w:lineRule="exact"/>
              <w:rPr>
                <w:rFonts w:ascii="Arial" w:cs="Arial" w:eastAsia="Arial" w:hAnsi="Arial"/>
                <w:sz w:val="14"/>
                <w:szCs w:val="14"/>
                <w:color w:val="0000EE"/>
                <w:w w:val="90"/>
              </w:rPr>
            </w:pPr>
            <w:hyperlink w:anchor="page48">
              <w:r>
                <w:rPr>
                  <w:rFonts w:ascii="Arial" w:cs="Arial" w:eastAsia="Arial" w:hAnsi="Arial"/>
                  <w:sz w:val="14"/>
                  <w:szCs w:val="14"/>
                  <w:color w:val="0000EE"/>
                  <w:w w:val="90"/>
                </w:rPr>
                <w:t>Selected Consolidated Financial Data</w:t>
              </w:r>
            </w:hyperlink>
          </w:p>
        </w:tc>
        <w:tc>
          <w:tcPr>
            <w:tcW w:w="8300" w:type="dxa"/>
            <w:vAlign w:val="bottom"/>
            <w:tcBorders>
              <w:bottom w:val="single" w:sz="8" w:color="CCEEFF"/>
            </w:tcBorders>
            <w:gridSpan w:val="5"/>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43</w:t>
            </w:r>
          </w:p>
        </w:tc>
      </w:tr>
      <w:tr>
        <w:trPr>
          <w:trHeight w:val="144"/>
        </w:trPr>
        <w:tc>
          <w:tcPr>
            <w:tcW w:w="5100" w:type="dxa"/>
            <w:vAlign w:val="bottom"/>
            <w:tcBorders>
              <w:bottom w:val="single" w:sz="8" w:color="0000EE"/>
            </w:tcBorders>
            <w:gridSpan w:val="17"/>
          </w:tcPr>
          <w:p>
            <w:pPr>
              <w:spacing w:after="0" w:line="139" w:lineRule="exact"/>
              <w:rPr>
                <w:rFonts w:ascii="Arial" w:cs="Arial" w:eastAsia="Arial" w:hAnsi="Arial"/>
                <w:sz w:val="14"/>
                <w:szCs w:val="14"/>
                <w:color w:val="0000EE"/>
                <w:w w:val="92"/>
              </w:rPr>
            </w:pPr>
            <w:hyperlink w:anchor="page49">
              <w:r>
                <w:rPr>
                  <w:rFonts w:ascii="Arial" w:cs="Arial" w:eastAsia="Arial" w:hAnsi="Arial"/>
                  <w:sz w:val="14"/>
                  <w:szCs w:val="14"/>
                  <w:color w:val="0000EE"/>
                  <w:w w:val="92"/>
                </w:rPr>
                <w:t>Management’s Discussion and Analysis of Financial Condition and Results of Operations</w:t>
              </w:r>
            </w:hyperlink>
          </w:p>
        </w:tc>
        <w:tc>
          <w:tcPr>
            <w:tcW w:w="5340" w:type="dxa"/>
            <w:vAlign w:val="bottom"/>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89"/>
              </w:rPr>
              <w:t>44</w:t>
            </w:r>
          </w:p>
        </w:tc>
      </w:tr>
      <w:tr>
        <w:trPr>
          <w:trHeight w:val="144"/>
        </w:trPr>
        <w:tc>
          <w:tcPr>
            <w:tcW w:w="10440" w:type="dxa"/>
            <w:vAlign w:val="bottom"/>
            <w:gridSpan w:val="18"/>
            <w:shd w:val="clear" w:color="auto" w:fill="CCEEFF"/>
          </w:tcPr>
          <w:p>
            <w:pPr>
              <w:spacing w:after="0" w:line="145" w:lineRule="exact"/>
              <w:rPr>
                <w:rFonts w:ascii="Arial" w:cs="Arial" w:eastAsia="Arial" w:hAnsi="Arial"/>
                <w:sz w:val="14"/>
                <w:szCs w:val="14"/>
                <w:color w:val="0000EE"/>
              </w:rPr>
            </w:pPr>
            <w:hyperlink w:anchor="page65">
              <w:r>
                <w:rPr>
                  <w:rFonts w:ascii="Arial" w:cs="Arial" w:eastAsia="Arial" w:hAnsi="Arial"/>
                  <w:sz w:val="14"/>
                  <w:szCs w:val="14"/>
                  <w:color w:val="0000EE"/>
                </w:rPr>
                <w:t>Business</w:t>
              </w:r>
            </w:hyperlink>
          </w:p>
        </w:tc>
        <w:tc>
          <w:tcPr>
            <w:tcW w:w="10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60</w:t>
            </w:r>
          </w:p>
        </w:tc>
      </w:tr>
      <w:tr>
        <w:trPr>
          <w:trHeight w:val="32"/>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1880" w:type="dxa"/>
            <w:vAlign w:val="bottom"/>
            <w:tcBorders>
              <w:bottom w:val="single" w:sz="8" w:color="0000EE"/>
            </w:tcBorders>
            <w:gridSpan w:val="12"/>
          </w:tcPr>
          <w:p>
            <w:pPr>
              <w:spacing w:after="0" w:line="139" w:lineRule="exact"/>
              <w:rPr>
                <w:rFonts w:ascii="Arial" w:cs="Arial" w:eastAsia="Arial" w:hAnsi="Arial"/>
                <w:sz w:val="14"/>
                <w:szCs w:val="14"/>
                <w:color w:val="0000EE"/>
                <w:w w:val="92"/>
              </w:rPr>
            </w:pPr>
            <w:hyperlink w:anchor="page105">
              <w:r>
                <w:rPr>
                  <w:rFonts w:ascii="Arial" w:cs="Arial" w:eastAsia="Arial" w:hAnsi="Arial"/>
                  <w:sz w:val="14"/>
                  <w:szCs w:val="14"/>
                  <w:color w:val="0000EE"/>
                  <w:w w:val="92"/>
                </w:rPr>
                <w:t>Directors and Executive Officers</w:t>
              </w:r>
            </w:hyperlink>
          </w:p>
        </w:tc>
        <w:tc>
          <w:tcPr>
            <w:tcW w:w="8560" w:type="dxa"/>
            <w:vAlign w:val="bottom"/>
            <w:gridSpan w:val="6"/>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100</w:t>
            </w:r>
          </w:p>
        </w:tc>
      </w:tr>
      <w:tr>
        <w:trPr>
          <w:trHeight w:val="156"/>
        </w:trPr>
        <w:tc>
          <w:tcPr>
            <w:tcW w:w="3860" w:type="dxa"/>
            <w:vAlign w:val="bottom"/>
            <w:tcBorders>
              <w:bottom w:val="single" w:sz="8" w:color="0000EE"/>
            </w:tcBorders>
            <w:gridSpan w:val="16"/>
            <w:shd w:val="clear" w:color="auto" w:fill="CCEEFF"/>
          </w:tcPr>
          <w:p>
            <w:pPr>
              <w:spacing w:after="0" w:line="145" w:lineRule="exact"/>
              <w:rPr>
                <w:rFonts w:ascii="Arial" w:cs="Arial" w:eastAsia="Arial" w:hAnsi="Arial"/>
                <w:sz w:val="14"/>
                <w:szCs w:val="14"/>
                <w:color w:val="0000EE"/>
                <w:w w:val="92"/>
              </w:rPr>
            </w:pPr>
            <w:hyperlink w:anchor="page120">
              <w:r>
                <w:rPr>
                  <w:rFonts w:ascii="Arial" w:cs="Arial" w:eastAsia="Arial" w:hAnsi="Arial"/>
                  <w:sz w:val="14"/>
                  <w:szCs w:val="14"/>
                  <w:color w:val="0000EE"/>
                  <w:w w:val="92"/>
                </w:rPr>
                <w:t>Security Ownership of Certain Beneficial Owners and Management</w:t>
              </w:r>
            </w:hyperlink>
          </w:p>
        </w:tc>
        <w:tc>
          <w:tcPr>
            <w:tcW w:w="6580" w:type="dxa"/>
            <w:vAlign w:val="bottom"/>
            <w:tcBorders>
              <w:bottom w:val="single" w:sz="8" w:color="CCEEFF"/>
            </w:tcBorders>
            <w:gridSpan w:val="2"/>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115</w:t>
            </w:r>
          </w:p>
        </w:tc>
      </w:tr>
      <w:tr>
        <w:trPr>
          <w:trHeight w:val="144"/>
        </w:trPr>
        <w:tc>
          <w:tcPr>
            <w:tcW w:w="2700" w:type="dxa"/>
            <w:vAlign w:val="bottom"/>
            <w:tcBorders>
              <w:bottom w:val="single" w:sz="8" w:color="0000EE"/>
            </w:tcBorders>
            <w:gridSpan w:val="15"/>
          </w:tcPr>
          <w:p>
            <w:pPr>
              <w:spacing w:after="0" w:line="139" w:lineRule="exact"/>
              <w:rPr>
                <w:rFonts w:ascii="Arial" w:cs="Arial" w:eastAsia="Arial" w:hAnsi="Arial"/>
                <w:sz w:val="14"/>
                <w:szCs w:val="14"/>
                <w:color w:val="0000EE"/>
                <w:w w:val="90"/>
              </w:rPr>
            </w:pPr>
            <w:hyperlink w:anchor="page128">
              <w:r>
                <w:rPr>
                  <w:rFonts w:ascii="Arial" w:cs="Arial" w:eastAsia="Arial" w:hAnsi="Arial"/>
                  <w:sz w:val="14"/>
                  <w:szCs w:val="14"/>
                  <w:color w:val="0000EE"/>
                  <w:w w:val="90"/>
                </w:rPr>
                <w:t>Certain Relationships and Related Transactions</w:t>
              </w:r>
            </w:hyperlink>
          </w:p>
        </w:tc>
        <w:tc>
          <w:tcPr>
            <w:tcW w:w="7740" w:type="dxa"/>
            <w:vAlign w:val="bottom"/>
            <w:gridSpan w:val="3"/>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123</w:t>
            </w:r>
          </w:p>
        </w:tc>
      </w:tr>
      <w:tr>
        <w:trPr>
          <w:trHeight w:val="156"/>
        </w:trPr>
        <w:tc>
          <w:tcPr>
            <w:tcW w:w="1420" w:type="dxa"/>
            <w:vAlign w:val="bottom"/>
            <w:tcBorders>
              <w:bottom w:val="single" w:sz="8" w:color="0000EE"/>
            </w:tcBorders>
            <w:gridSpan w:val="7"/>
            <w:shd w:val="clear" w:color="auto" w:fill="CCEEFF"/>
          </w:tcPr>
          <w:p>
            <w:pPr>
              <w:spacing w:after="0" w:line="145" w:lineRule="exact"/>
              <w:rPr>
                <w:rFonts w:ascii="Arial" w:cs="Arial" w:eastAsia="Arial" w:hAnsi="Arial"/>
                <w:sz w:val="14"/>
                <w:szCs w:val="14"/>
                <w:color w:val="0000EE"/>
                <w:w w:val="92"/>
              </w:rPr>
            </w:pPr>
            <w:hyperlink w:anchor="page129">
              <w:r>
                <w:rPr>
                  <w:rFonts w:ascii="Arial" w:cs="Arial" w:eastAsia="Arial" w:hAnsi="Arial"/>
                  <w:sz w:val="14"/>
                  <w:szCs w:val="14"/>
                  <w:color w:val="0000EE"/>
                  <w:w w:val="92"/>
                </w:rPr>
                <w:t>Description of Securities</w:t>
              </w:r>
            </w:hyperlink>
          </w:p>
        </w:tc>
        <w:tc>
          <w:tcPr>
            <w:tcW w:w="9020" w:type="dxa"/>
            <w:vAlign w:val="bottom"/>
            <w:tcBorders>
              <w:bottom w:val="single" w:sz="8" w:color="CCEEFF"/>
            </w:tcBorders>
            <w:gridSpan w:val="11"/>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124</w:t>
            </w:r>
          </w:p>
        </w:tc>
      </w:tr>
      <w:tr>
        <w:trPr>
          <w:trHeight w:val="144"/>
        </w:trPr>
        <w:tc>
          <w:tcPr>
            <w:tcW w:w="1760" w:type="dxa"/>
            <w:vAlign w:val="bottom"/>
            <w:tcBorders>
              <w:bottom w:val="single" w:sz="8" w:color="0000EE"/>
            </w:tcBorders>
            <w:gridSpan w:val="10"/>
          </w:tcPr>
          <w:p>
            <w:pPr>
              <w:spacing w:after="0" w:line="139" w:lineRule="exact"/>
              <w:rPr>
                <w:rFonts w:ascii="Arial" w:cs="Arial" w:eastAsia="Arial" w:hAnsi="Arial"/>
                <w:sz w:val="14"/>
                <w:szCs w:val="14"/>
                <w:color w:val="0000EE"/>
                <w:w w:val="91"/>
              </w:rPr>
            </w:pPr>
            <w:hyperlink w:anchor="page134">
              <w:r>
                <w:rPr>
                  <w:rFonts w:ascii="Arial" w:cs="Arial" w:eastAsia="Arial" w:hAnsi="Arial"/>
                  <w:sz w:val="14"/>
                  <w:szCs w:val="14"/>
                  <w:color w:val="0000EE"/>
                  <w:w w:val="91"/>
                </w:rPr>
                <w:t>Shares Eligible for Future Sale</w:t>
              </w:r>
            </w:hyperlink>
          </w:p>
        </w:tc>
        <w:tc>
          <w:tcPr>
            <w:tcW w:w="8680" w:type="dxa"/>
            <w:vAlign w:val="bottom"/>
            <w:gridSpan w:val="8"/>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129</w:t>
            </w:r>
          </w:p>
        </w:tc>
      </w:tr>
      <w:tr>
        <w:trPr>
          <w:trHeight w:val="144"/>
        </w:trPr>
        <w:tc>
          <w:tcPr>
            <w:tcW w:w="10440" w:type="dxa"/>
            <w:vAlign w:val="bottom"/>
            <w:gridSpan w:val="18"/>
            <w:shd w:val="clear" w:color="auto" w:fill="CCEEFF"/>
          </w:tcPr>
          <w:p>
            <w:pPr>
              <w:spacing w:after="0" w:line="145" w:lineRule="exact"/>
              <w:rPr>
                <w:rFonts w:ascii="Arial" w:cs="Arial" w:eastAsia="Arial" w:hAnsi="Arial"/>
                <w:sz w:val="14"/>
                <w:szCs w:val="14"/>
                <w:color w:val="0000EE"/>
              </w:rPr>
            </w:pPr>
            <w:hyperlink w:anchor="page135">
              <w:r>
                <w:rPr>
                  <w:rFonts w:ascii="Arial" w:cs="Arial" w:eastAsia="Arial" w:hAnsi="Arial"/>
                  <w:sz w:val="14"/>
                  <w:szCs w:val="14"/>
                  <w:color w:val="0000EE"/>
                </w:rPr>
                <w:t>Underwriting</w:t>
              </w:r>
            </w:hyperlink>
          </w:p>
        </w:tc>
        <w:tc>
          <w:tcPr>
            <w:tcW w:w="10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130</w:t>
            </w:r>
          </w:p>
        </w:tc>
      </w:tr>
      <w:tr>
        <w:trPr>
          <w:trHeight w:val="32"/>
        </w:trPr>
        <w:tc>
          <w:tcPr>
            <w:tcW w:w="4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800" w:type="dxa"/>
            <w:vAlign w:val="bottom"/>
            <w:tcBorders>
              <w:bottom w:val="single" w:sz="8" w:color="0000EE"/>
            </w:tcBorders>
            <w:gridSpan w:val="3"/>
          </w:tcPr>
          <w:p>
            <w:pPr>
              <w:spacing w:after="0" w:line="139" w:lineRule="exact"/>
              <w:rPr>
                <w:rFonts w:ascii="Arial" w:cs="Arial" w:eastAsia="Arial" w:hAnsi="Arial"/>
                <w:sz w:val="14"/>
                <w:szCs w:val="14"/>
                <w:color w:val="0000EE"/>
                <w:w w:val="89"/>
              </w:rPr>
            </w:pPr>
            <w:hyperlink w:anchor="page142">
              <w:r>
                <w:rPr>
                  <w:rFonts w:ascii="Arial" w:cs="Arial" w:eastAsia="Arial" w:hAnsi="Arial"/>
                  <w:sz w:val="14"/>
                  <w:szCs w:val="14"/>
                  <w:color w:val="0000EE"/>
                  <w:w w:val="89"/>
                </w:rPr>
                <w:t>Legal Matters</w:t>
              </w:r>
            </w:hyperlink>
          </w:p>
        </w:tc>
        <w:tc>
          <w:tcPr>
            <w:tcW w:w="9640" w:type="dxa"/>
            <w:vAlign w:val="bottom"/>
            <w:gridSpan w:val="15"/>
          </w:tcPr>
          <w:p>
            <w:pPr>
              <w:spacing w:after="0"/>
              <w:rPr>
                <w:sz w:val="12"/>
                <w:szCs w:val="12"/>
                <w:color w:val="auto"/>
              </w:rPr>
            </w:pP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137</w:t>
            </w:r>
          </w:p>
        </w:tc>
      </w:tr>
      <w:tr>
        <w:trPr>
          <w:trHeight w:val="156"/>
        </w:trPr>
        <w:tc>
          <w:tcPr>
            <w:tcW w:w="440" w:type="dxa"/>
            <w:vAlign w:val="bottom"/>
            <w:tcBorders>
              <w:bottom w:val="single" w:sz="8" w:color="0000EE"/>
            </w:tcBorders>
            <w:shd w:val="clear" w:color="auto" w:fill="CCEEFF"/>
          </w:tcPr>
          <w:p>
            <w:pPr>
              <w:spacing w:after="0" w:line="145" w:lineRule="exact"/>
              <w:rPr>
                <w:rFonts w:ascii="Arial" w:cs="Arial" w:eastAsia="Arial" w:hAnsi="Arial"/>
                <w:sz w:val="14"/>
                <w:szCs w:val="14"/>
                <w:color w:val="0000EE"/>
                <w:w w:val="88"/>
              </w:rPr>
            </w:pPr>
            <w:hyperlink w:anchor="page142">
              <w:r>
                <w:rPr>
                  <w:rFonts w:ascii="Arial" w:cs="Arial" w:eastAsia="Arial" w:hAnsi="Arial"/>
                  <w:sz w:val="14"/>
                  <w:szCs w:val="14"/>
                  <w:color w:val="0000EE"/>
                  <w:w w:val="88"/>
                </w:rPr>
                <w:t>Experts</w:t>
              </w:r>
            </w:hyperlink>
          </w:p>
        </w:tc>
        <w:tc>
          <w:tcPr>
            <w:tcW w:w="10000" w:type="dxa"/>
            <w:vAlign w:val="bottom"/>
            <w:tcBorders>
              <w:bottom w:val="single" w:sz="8" w:color="CCEEFF"/>
            </w:tcBorders>
            <w:gridSpan w:val="17"/>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137</w:t>
            </w:r>
          </w:p>
        </w:tc>
      </w:tr>
      <w:tr>
        <w:trPr>
          <w:trHeight w:val="144"/>
        </w:trPr>
        <w:tc>
          <w:tcPr>
            <w:tcW w:w="10440" w:type="dxa"/>
            <w:vAlign w:val="bottom"/>
            <w:gridSpan w:val="18"/>
          </w:tcPr>
          <w:p>
            <w:pPr>
              <w:spacing w:after="0" w:line="139" w:lineRule="exact"/>
              <w:rPr>
                <w:rFonts w:ascii="Arial" w:cs="Arial" w:eastAsia="Arial" w:hAnsi="Arial"/>
                <w:sz w:val="14"/>
                <w:szCs w:val="14"/>
                <w:color w:val="0000EE"/>
              </w:rPr>
            </w:pPr>
            <w:hyperlink w:anchor="page142">
              <w:r>
                <w:rPr>
                  <w:rFonts w:ascii="Arial" w:cs="Arial" w:eastAsia="Arial" w:hAnsi="Arial"/>
                  <w:sz w:val="14"/>
                  <w:szCs w:val="14"/>
                  <w:color w:val="0000EE"/>
                </w:rPr>
                <w:t>Where You Can Find More Information</w:t>
              </w:r>
            </w:hyperlink>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w w:val="94"/>
              </w:rPr>
              <w:t>137</w:t>
            </w:r>
          </w:p>
        </w:tc>
      </w:tr>
      <w:tr>
        <w:trPr>
          <w:trHeight w:val="156"/>
        </w:trPr>
        <w:tc>
          <w:tcPr>
            <w:tcW w:w="1700" w:type="dxa"/>
            <w:vAlign w:val="bottom"/>
            <w:tcBorders>
              <w:top w:val="single" w:sz="8" w:color="0000EE"/>
              <w:bottom w:val="single" w:sz="8" w:color="0000EE"/>
            </w:tcBorders>
            <w:gridSpan w:val="9"/>
            <w:shd w:val="clear" w:color="auto" w:fill="CCEEFF"/>
          </w:tcPr>
          <w:p>
            <w:pPr>
              <w:spacing w:after="0" w:line="145" w:lineRule="exact"/>
              <w:rPr>
                <w:rFonts w:ascii="Arial" w:cs="Arial" w:eastAsia="Arial" w:hAnsi="Arial"/>
                <w:sz w:val="14"/>
                <w:szCs w:val="14"/>
                <w:color w:val="0000EE"/>
                <w:w w:val="91"/>
              </w:rPr>
            </w:pPr>
            <w:hyperlink w:anchor="page143">
              <w:r>
                <w:rPr>
                  <w:rFonts w:ascii="Arial" w:cs="Arial" w:eastAsia="Arial" w:hAnsi="Arial"/>
                  <w:sz w:val="14"/>
                  <w:szCs w:val="14"/>
                  <w:color w:val="0000EE"/>
                  <w:w w:val="91"/>
                </w:rPr>
                <w:t>Index to Financial Statements</w:t>
              </w:r>
            </w:hyperlink>
          </w:p>
        </w:tc>
        <w:tc>
          <w:tcPr>
            <w:tcW w:w="560" w:type="dxa"/>
            <w:vAlign w:val="bottom"/>
            <w:tcBorders>
              <w:top w:val="single" w:sz="8" w:color="0000EE"/>
              <w:bottom w:val="single" w:sz="8" w:color="CCEEFF"/>
            </w:tcBorders>
            <w:gridSpan w:val="5"/>
            <w:shd w:val="clear" w:color="auto" w:fill="CCEEFF"/>
          </w:tcPr>
          <w:p>
            <w:pPr>
              <w:spacing w:after="0"/>
              <w:rPr>
                <w:sz w:val="13"/>
                <w:szCs w:val="13"/>
                <w:color w:val="auto"/>
              </w:rPr>
            </w:pPr>
          </w:p>
        </w:tc>
        <w:tc>
          <w:tcPr>
            <w:tcW w:w="8180" w:type="dxa"/>
            <w:vAlign w:val="bottom"/>
            <w:tcBorders>
              <w:bottom w:val="single" w:sz="8" w:color="CCEEFF"/>
            </w:tcBorders>
            <w:gridSpan w:val="4"/>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5"/>
              </w:rPr>
              <w:t>F-1</w:t>
            </w: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ABOUT THIS PROSPECTUS</w:t>
      </w:r>
    </w:p>
    <w:p>
      <w:pPr>
        <w:spacing w:after="0" w:line="184" w:lineRule="exact"/>
        <w:rPr>
          <w:sz w:val="20"/>
          <w:szCs w:val="20"/>
          <w:color w:val="auto"/>
        </w:rPr>
      </w:pPr>
    </w:p>
    <w:p>
      <w:pPr>
        <w:ind w:right="40"/>
        <w:spacing w:after="0" w:line="290" w:lineRule="auto"/>
        <w:rPr>
          <w:sz w:val="20"/>
          <w:szCs w:val="20"/>
          <w:color w:val="auto"/>
        </w:rPr>
      </w:pPr>
      <w:r>
        <w:rPr>
          <w:rFonts w:ascii="Arial" w:cs="Arial" w:eastAsia="Arial" w:hAnsi="Arial"/>
          <w:sz w:val="13"/>
          <w:szCs w:val="13"/>
          <w:color w:val="auto"/>
        </w:rPr>
        <w:t>You should rely only on the information contained in this prospectus. 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This prospectus includes industry and market data that we obtained from industry publications, internal estimates and other third-party sources. These sources may include government and industry sources. Industry publications and surveys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Unless the context otherwise requires, the words “</w:t>
      </w:r>
      <w:r>
        <w:rPr>
          <w:rFonts w:ascii="Arial" w:cs="Arial" w:eastAsia="Arial" w:hAnsi="Arial"/>
          <w:sz w:val="13"/>
          <w:szCs w:val="13"/>
          <w:i w:val="1"/>
          <w:iCs w:val="1"/>
          <w:color w:val="auto"/>
        </w:rPr>
        <w:t>VistaGen Therapeutics, Inc.</w:t>
      </w:r>
      <w:r>
        <w:rPr>
          <w:rFonts w:ascii="Arial" w:cs="Arial" w:eastAsia="Arial" w:hAnsi="Arial"/>
          <w:sz w:val="13"/>
          <w:szCs w:val="13"/>
          <w:color w:val="auto"/>
        </w:rPr>
        <w:t>” “</w:t>
      </w:r>
      <w:r>
        <w:rPr>
          <w:rFonts w:ascii="Arial" w:cs="Arial" w:eastAsia="Arial" w:hAnsi="Arial"/>
          <w:sz w:val="13"/>
          <w:szCs w:val="13"/>
          <w:i w:val="1"/>
          <w:iCs w:val="1"/>
          <w:color w:val="auto"/>
        </w:rPr>
        <w:t>VistaGen</w:t>
      </w:r>
      <w:r>
        <w:rPr>
          <w:rFonts w:ascii="Arial" w:cs="Arial" w:eastAsia="Arial" w:hAnsi="Arial"/>
          <w:sz w:val="13"/>
          <w:szCs w:val="13"/>
          <w:color w:val="auto"/>
        </w:rPr>
        <w:t>,” “</w:t>
      </w:r>
      <w:r>
        <w:rPr>
          <w:rFonts w:ascii="Arial" w:cs="Arial" w:eastAsia="Arial" w:hAnsi="Arial"/>
          <w:sz w:val="13"/>
          <w:szCs w:val="13"/>
          <w:i w:val="1"/>
          <w:iCs w:val="1"/>
          <w:color w:val="auto"/>
        </w:rPr>
        <w:t>we</w:t>
      </w:r>
      <w:r>
        <w:rPr>
          <w:rFonts w:ascii="Arial" w:cs="Arial" w:eastAsia="Arial" w:hAnsi="Arial"/>
          <w:sz w:val="13"/>
          <w:szCs w:val="13"/>
          <w:color w:val="auto"/>
        </w:rPr>
        <w:t>,” “</w:t>
      </w:r>
      <w:r>
        <w:rPr>
          <w:rFonts w:ascii="Arial" w:cs="Arial" w:eastAsia="Arial" w:hAnsi="Arial"/>
          <w:sz w:val="13"/>
          <w:szCs w:val="13"/>
          <w:i w:val="1"/>
          <w:iCs w:val="1"/>
          <w:color w:val="auto"/>
        </w:rPr>
        <w:t>the Company</w:t>
      </w:r>
      <w:r>
        <w:rPr>
          <w:rFonts w:ascii="Arial" w:cs="Arial" w:eastAsia="Arial" w:hAnsi="Arial"/>
          <w:sz w:val="13"/>
          <w:szCs w:val="13"/>
          <w:color w:val="auto"/>
        </w:rPr>
        <w:t>,” “</w:t>
      </w:r>
      <w:r>
        <w:rPr>
          <w:rFonts w:ascii="Arial" w:cs="Arial" w:eastAsia="Arial" w:hAnsi="Arial"/>
          <w:sz w:val="13"/>
          <w:szCs w:val="13"/>
          <w:i w:val="1"/>
          <w:iCs w:val="1"/>
          <w:color w:val="auto"/>
        </w:rPr>
        <w:t>us</w:t>
      </w:r>
      <w:r>
        <w:rPr>
          <w:rFonts w:ascii="Arial" w:cs="Arial" w:eastAsia="Arial" w:hAnsi="Arial"/>
          <w:sz w:val="13"/>
          <w:szCs w:val="13"/>
          <w:color w:val="auto"/>
        </w:rPr>
        <w:t>” and “</w:t>
      </w:r>
      <w:r>
        <w:rPr>
          <w:rFonts w:ascii="Arial" w:cs="Arial" w:eastAsia="Arial" w:hAnsi="Arial"/>
          <w:sz w:val="13"/>
          <w:szCs w:val="13"/>
          <w:i w:val="1"/>
          <w:iCs w:val="1"/>
          <w:color w:val="auto"/>
        </w:rPr>
        <w:t>our</w:t>
      </w:r>
      <w:r>
        <w:rPr>
          <w:rFonts w:ascii="Arial" w:cs="Arial" w:eastAsia="Arial" w:hAnsi="Arial"/>
          <w:sz w:val="13"/>
          <w:szCs w:val="13"/>
          <w:color w:val="auto"/>
        </w:rPr>
        <w:t>” refer to VistaGen Therapeutics, Inc., a Nevada corporation.</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VistaGen California</w:t>
      </w:r>
      <w:r>
        <w:rPr>
          <w:rFonts w:ascii="Arial" w:cs="Arial" w:eastAsia="Arial" w:hAnsi="Arial"/>
          <w:sz w:val="14"/>
          <w:szCs w:val="14"/>
          <w:color w:val="auto"/>
        </w:rPr>
        <w:t>” refers to VistaGen Therapeutics, Inc., a California corporation and our wholly owned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361950</wp:posOffset>
            </wp:positionV>
            <wp:extent cx="728154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434" w:right="219" w:bottom="1440" w:gutter="0" w:footer="0" w:header="0"/>
        </w:sectPr>
      </w:pPr>
    </w:p>
    <w:bookmarkStart w:id="5" w:name="page6"/>
    <w:bookmarkEnd w:id="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FORWARD-LOOKING STATEMENTS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This prospectus, including the information incorporated by reference, contains forward-looking statements as defined in the Private Securities Litigation Reform Act of 1995. The use of any statements containing the words “intend,” “believe,” “estimate,” “project,” “expect,” “anticipate,” “plan,” “should” or similar expressions are intended to identify such statements. Forward-looking statements inherently involve risks and uncertainties that could cause actual results to differ materially from the forward-looking statements. Factors that could cause or contribute to such differences include, but are not limited to, changes in demand for our products and services, changes in the level of operating expenses, our ability to execute our business and operating plan, changes in general economic conditions that impact government spending, regulatory issues, dependence on third party suppliers, and other risks detailed in this prospectus under the heading “</w:t>
      </w:r>
      <w:r>
        <w:rPr>
          <w:rFonts w:ascii="Arial" w:cs="Arial" w:eastAsia="Arial" w:hAnsi="Arial"/>
          <w:sz w:val="14"/>
          <w:szCs w:val="14"/>
          <w:i w:val="1"/>
          <w:iCs w:val="1"/>
          <w:color w:val="auto"/>
        </w:rPr>
        <w:t>Risk Factors</w:t>
      </w:r>
      <w:r>
        <w:rPr>
          <w:rFonts w:ascii="Arial" w:cs="Arial" w:eastAsia="Arial" w:hAnsi="Arial"/>
          <w:sz w:val="14"/>
          <w:szCs w:val="14"/>
          <w:color w:val="auto"/>
        </w:rPr>
        <w:t>” and in our periodic report filings with the Securities and Exchange Commission (</w:t>
      </w:r>
      <w:r>
        <w:rPr>
          <w:rFonts w:ascii="Arial" w:cs="Arial" w:eastAsia="Arial" w:hAnsi="Arial"/>
          <w:sz w:val="14"/>
          <w:szCs w:val="14"/>
          <w:i w:val="1"/>
          <w:iCs w:val="1"/>
          <w:color w:val="auto"/>
        </w:rPr>
        <w:t>SEC</w:t>
      </w:r>
      <w:r>
        <w:rPr>
          <w:rFonts w:ascii="Arial" w:cs="Arial" w:eastAsia="Arial" w:hAnsi="Arial"/>
          <w:sz w:val="14"/>
          <w:szCs w:val="14"/>
          <w:color w:val="auto"/>
        </w:rPr>
        <w:t>).</w:t>
      </w:r>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Forward-looking statements are subject to numerous assumptions, risks and uncertainties, which change over time. Forward-looking statements speak only as of the date they are made, and we assume no duty to and do not undertake to update forward-looking statements. These forward-looking statements may not meet the safe harbor for forward-looking statements pursuant to Sections 21E or 27A of the Securities Act of 1933, as amended (</w:t>
      </w:r>
      <w:r>
        <w:rPr>
          <w:rFonts w:ascii="Arial" w:cs="Arial" w:eastAsia="Arial" w:hAnsi="Arial"/>
          <w:sz w:val="14"/>
          <w:szCs w:val="14"/>
          <w:i w:val="1"/>
          <w:iCs w:val="1"/>
          <w:color w:val="auto"/>
        </w:rPr>
        <w:t>Securities Act</w:t>
      </w:r>
      <w:r>
        <w:rPr>
          <w:rFonts w:ascii="Arial" w:cs="Arial" w:eastAsia="Arial" w:hAnsi="Arial"/>
          <w:sz w:val="14"/>
          <w:szCs w:val="14"/>
          <w:color w:val="auto"/>
        </w:rPr>
        <w:t>). Actual results could differ materially from those anticipated in forward-looking statements and future results could differ materially from historical performance.</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sectPr>
      </w:pPr>
    </w:p>
    <w:bookmarkStart w:id="6" w:name="page7"/>
    <w:bookmarkEnd w:id="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132715</wp:posOffset>
            </wp:positionV>
            <wp:extent cx="6985000" cy="5760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5000" cy="5760720"/>
                    </a:xfrm>
                    <a:prstGeom prst="rect">
                      <a:avLst/>
                    </a:prstGeom>
                    <a:noFill/>
                  </pic:spPr>
                </pic:pic>
              </a:graphicData>
            </a:graphic>
          </wp:anchor>
        </w:drawing>
      </w:r>
    </w:p>
    <w:p>
      <w:pPr>
        <w:spacing w:after="0" w:line="366" w:lineRule="exact"/>
        <w:rPr>
          <w:sz w:val="20"/>
          <w:szCs w:val="20"/>
          <w:color w:val="auto"/>
        </w:rPr>
      </w:pPr>
    </w:p>
    <w:p>
      <w:pPr>
        <w:jc w:val="center"/>
        <w:ind w:right="-479"/>
        <w:spacing w:after="0"/>
        <w:rPr>
          <w:sz w:val="20"/>
          <w:szCs w:val="20"/>
          <w:color w:val="auto"/>
        </w:rPr>
      </w:pPr>
      <w:r>
        <w:rPr>
          <w:rFonts w:ascii="Arial" w:cs="Arial" w:eastAsia="Arial" w:hAnsi="Arial"/>
          <w:sz w:val="14"/>
          <w:szCs w:val="14"/>
          <w:b w:val="1"/>
          <w:bCs w:val="1"/>
          <w:color w:val="auto"/>
        </w:rPr>
        <w:t>PROSPECTUS SUMMARY</w:t>
      </w:r>
    </w:p>
    <w:p>
      <w:pPr>
        <w:spacing w:after="0" w:line="184" w:lineRule="exact"/>
        <w:rPr>
          <w:sz w:val="20"/>
          <w:szCs w:val="20"/>
          <w:color w:val="auto"/>
        </w:rPr>
      </w:pPr>
    </w:p>
    <w:p>
      <w:pPr>
        <w:jc w:val="both"/>
        <w:ind w:left="480" w:right="360"/>
        <w:spacing w:after="0" w:line="268" w:lineRule="auto"/>
        <w:rPr>
          <w:sz w:val="20"/>
          <w:szCs w:val="20"/>
          <w:color w:val="auto"/>
        </w:rPr>
      </w:pPr>
      <w:r>
        <w:rPr>
          <w:rFonts w:ascii="Arial" w:cs="Arial" w:eastAsia="Arial" w:hAnsi="Arial"/>
          <w:sz w:val="14"/>
          <w:szCs w:val="14"/>
          <w:i w:val="1"/>
          <w:iCs w:val="1"/>
          <w:color w:val="auto"/>
        </w:rPr>
        <w:t>This summary highlights selected information appearing elsewhere in this prospectus and does not contain all the information you should consider before investing in our common stock. You should carefully read this prospectus in its entirety before investing in our common stock, including the section entitled “Risk Factors” and our financial statements and related notes included elsewhere in this prospectus.</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Overview</w:t>
      </w:r>
    </w:p>
    <w:p>
      <w:pPr>
        <w:spacing w:after="0" w:line="184" w:lineRule="exact"/>
        <w:rPr>
          <w:sz w:val="20"/>
          <w:szCs w:val="20"/>
          <w:color w:val="auto"/>
        </w:rPr>
      </w:pPr>
    </w:p>
    <w:p>
      <w:pPr>
        <w:ind w:left="480" w:right="40"/>
        <w:spacing w:after="0" w:line="268" w:lineRule="auto"/>
        <w:rPr>
          <w:sz w:val="20"/>
          <w:szCs w:val="20"/>
          <w:color w:val="auto"/>
        </w:rPr>
      </w:pPr>
      <w:r>
        <w:rPr>
          <w:rFonts w:ascii="Arial" w:cs="Arial" w:eastAsia="Arial" w:hAnsi="Arial"/>
          <w:sz w:val="14"/>
          <w:szCs w:val="14"/>
          <w:color w:val="auto"/>
        </w:rPr>
        <w:t>We are a clinical-stage biopharmaceutical company dedicated to developing and commercializing innovative product candidates for patients with diseases and disorders involving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Our lead product candidate, AV-101, is a next generation, orally available prodrug candidate in Phase 2 development, initially for the adjunctive treatment of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in patients with an inadequate response to standard antidepressants.</w:t>
      </w:r>
    </w:p>
    <w:p>
      <w:pPr>
        <w:spacing w:after="0" w:line="142" w:lineRule="exact"/>
        <w:rPr>
          <w:sz w:val="20"/>
          <w:szCs w:val="20"/>
          <w:color w:val="auto"/>
        </w:rPr>
      </w:pPr>
    </w:p>
    <w:p>
      <w:pPr>
        <w:ind w:left="480" w:right="280"/>
        <w:spacing w:after="0" w:line="268" w:lineRule="auto"/>
        <w:rPr>
          <w:sz w:val="20"/>
          <w:szCs w:val="20"/>
          <w:color w:val="auto"/>
        </w:rPr>
      </w:pPr>
      <w:r>
        <w:rPr>
          <w:rFonts w:ascii="Arial" w:cs="Arial" w:eastAsia="Arial" w:hAnsi="Arial"/>
          <w:sz w:val="14"/>
          <w:szCs w:val="14"/>
          <w:color w:val="auto"/>
        </w:rPr>
        <w:t>AV-101’s mechanism of action, as an N-methyl D aspartate receptor (</w:t>
      </w:r>
      <w:r>
        <w:rPr>
          <w:rFonts w:ascii="Arial" w:cs="Arial" w:eastAsia="Arial" w:hAnsi="Arial"/>
          <w:sz w:val="14"/>
          <w:szCs w:val="14"/>
          <w:i w:val="1"/>
          <w:iCs w:val="1"/>
          <w:color w:val="auto"/>
        </w:rPr>
        <w:t>NMDAR</w:t>
      </w:r>
      <w:r>
        <w:rPr>
          <w:rFonts w:ascii="Arial" w:cs="Arial" w:eastAsia="Arial" w:hAnsi="Arial"/>
          <w:sz w:val="14"/>
          <w:szCs w:val="14"/>
          <w:color w:val="auto"/>
        </w:rPr>
        <w:t>) antagonist binding selectively at the glycine binding (</w:t>
      </w:r>
      <w:r>
        <w:rPr>
          <w:rFonts w:ascii="Arial" w:cs="Arial" w:eastAsia="Arial" w:hAnsi="Arial"/>
          <w:sz w:val="14"/>
          <w:szCs w:val="14"/>
          <w:i w:val="1"/>
          <w:iCs w:val="1"/>
          <w:color w:val="auto"/>
        </w:rPr>
        <w:t>GlyB</w:t>
      </w:r>
      <w:r>
        <w:rPr>
          <w:rFonts w:ascii="Arial" w:cs="Arial" w:eastAsia="Arial" w:hAnsi="Arial"/>
          <w:sz w:val="14"/>
          <w:szCs w:val="14"/>
          <w:color w:val="auto"/>
        </w:rPr>
        <w:t>) co-agonist site of the NMDAR, is fundamentally differentiated from all antidepressants, as well as all atypical antipsychotics used adjunctively with standard antidepressants, currently approved by the U.S.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w:t>
      </w:r>
    </w:p>
    <w:p>
      <w:pPr>
        <w:spacing w:after="0" w:line="142" w:lineRule="exact"/>
        <w:rPr>
          <w:sz w:val="20"/>
          <w:szCs w:val="20"/>
          <w:color w:val="auto"/>
        </w:rPr>
      </w:pPr>
    </w:p>
    <w:p>
      <w:pPr>
        <w:ind w:left="480" w:right="80"/>
        <w:spacing w:after="0" w:line="311" w:lineRule="auto"/>
        <w:rPr>
          <w:sz w:val="20"/>
          <w:szCs w:val="20"/>
          <w:color w:val="auto"/>
        </w:rPr>
      </w:pPr>
      <w:r>
        <w:rPr>
          <w:rFonts w:ascii="Arial" w:cs="Arial" w:eastAsia="Arial" w:hAnsi="Arial"/>
          <w:sz w:val="12"/>
          <w:szCs w:val="12"/>
          <w:color w:val="auto"/>
        </w:rPr>
        <w:t>Our ongoing Phase 2a clinical study of AV-101 in subjects with treatment-resistant MDD is being conducted and funded by the U.S. National Institutes of Mental Health (</w:t>
      </w:r>
      <w:r>
        <w:rPr>
          <w:rFonts w:ascii="Arial" w:cs="Arial" w:eastAsia="Arial" w:hAnsi="Arial"/>
          <w:sz w:val="12"/>
          <w:szCs w:val="12"/>
          <w:i w:val="1"/>
          <w:iCs w:val="1"/>
          <w:color w:val="auto"/>
        </w:rPr>
        <w:t>NIMH</w:t>
      </w:r>
      <w:r>
        <w:rPr>
          <w:rFonts w:ascii="Arial" w:cs="Arial" w:eastAsia="Arial" w:hAnsi="Arial"/>
          <w:sz w:val="12"/>
          <w:szCs w:val="12"/>
          <w:color w:val="auto"/>
        </w:rPr>
        <w:t>) under our February 2015 Cooperative Research and Development Agreement (</w:t>
      </w:r>
      <w:r>
        <w:rPr>
          <w:rFonts w:ascii="Arial" w:cs="Arial" w:eastAsia="Arial" w:hAnsi="Arial"/>
          <w:sz w:val="12"/>
          <w:szCs w:val="12"/>
          <w:i w:val="1"/>
          <w:iCs w:val="1"/>
          <w:color w:val="auto"/>
        </w:rPr>
        <w:t>CRADA</w:t>
      </w:r>
      <w:r>
        <w:rPr>
          <w:rFonts w:ascii="Arial" w:cs="Arial" w:eastAsia="Arial" w:hAnsi="Arial"/>
          <w:sz w:val="12"/>
          <w:szCs w:val="12"/>
          <w:color w:val="auto"/>
        </w:rPr>
        <w:t>) with the NIMH. This NIMH-sponsored Phase 2a study was initiated in October 2015 and is ongoing.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effects of intravenous (</w:t>
      </w:r>
      <w:r>
        <w:rPr>
          <w:rFonts w:ascii="Arial" w:cs="Arial" w:eastAsia="Arial" w:hAnsi="Arial"/>
          <w:sz w:val="12"/>
          <w:szCs w:val="12"/>
          <w:i w:val="1"/>
          <w:iCs w:val="1"/>
          <w:color w:val="auto"/>
        </w:rPr>
        <w:t>I.V.</w:t>
      </w:r>
      <w:r>
        <w:rPr>
          <w:rFonts w:ascii="Arial" w:cs="Arial" w:eastAsia="Arial" w:hAnsi="Arial"/>
          <w:sz w:val="12"/>
          <w:szCs w:val="12"/>
          <w:color w:val="auto"/>
        </w:rPr>
        <w:t>) ketamine on depression. These NIMH studies, as well as clinical research by others, have demonstrated robust antidepressant effects in patients with treatment-resistant MDD within hours of a single low dose of I.V. ketamine and stimulated research and development around a new generation of antidepressants with potential to deliver ketamine-like fast-onset benefits without its side effects.</w:t>
      </w:r>
    </w:p>
    <w:p>
      <w:pPr>
        <w:spacing w:after="0" w:line="120" w:lineRule="exact"/>
        <w:rPr>
          <w:sz w:val="20"/>
          <w:szCs w:val="20"/>
          <w:color w:val="auto"/>
        </w:rPr>
      </w:pPr>
    </w:p>
    <w:p>
      <w:pPr>
        <w:ind w:left="480"/>
        <w:spacing w:after="0" w:line="263" w:lineRule="auto"/>
        <w:rPr>
          <w:sz w:val="20"/>
          <w:szCs w:val="20"/>
          <w:color w:val="auto"/>
        </w:rPr>
      </w:pPr>
      <w:r>
        <w:rPr>
          <w:rFonts w:ascii="Arial" w:cs="Arial" w:eastAsia="Arial" w:hAnsi="Arial"/>
          <w:sz w:val="14"/>
          <w:szCs w:val="14"/>
          <w:color w:val="auto"/>
        </w:rPr>
        <w:t>Currently, we are preparing to launch our Phase 2b clinical study of AV-101 for the adjunctive treatment of MDD in patients with an inadequate response to standard antidepressants. We anticipate commencement of this potentially pivotal, multi-center, multi-dose, double blind, placebo-controlled Phase 2b efficacy and safety study in the fourth quarter of 2016. Dr. Maurizio Fava, Professor of Psychiatry at Harvard Medical School and Director, Division of Clinical Research, Massachusetts General Hospital (</w:t>
      </w:r>
      <w:r>
        <w:rPr>
          <w:rFonts w:ascii="Arial" w:cs="Arial" w:eastAsia="Arial" w:hAnsi="Arial"/>
          <w:sz w:val="14"/>
          <w:szCs w:val="14"/>
          <w:i w:val="1"/>
          <w:iCs w:val="1"/>
          <w:color w:val="auto"/>
        </w:rPr>
        <w:t>MGH</w:t>
      </w:r>
      <w:r>
        <w:rPr>
          <w:rFonts w:ascii="Arial" w:cs="Arial" w:eastAsia="Arial" w:hAnsi="Arial"/>
          <w:sz w:val="14"/>
          <w:szCs w:val="14"/>
          <w:color w:val="auto"/>
        </w:rPr>
        <w:t>) Research Institute and Executive Director, MGH Clinical Trials Network and Institute, will be the Principal Investigator of our Phase 2b study.</w:t>
      </w:r>
    </w:p>
    <w:p>
      <w:pPr>
        <w:spacing w:after="0" w:line="146" w:lineRule="exact"/>
        <w:rPr>
          <w:sz w:val="20"/>
          <w:szCs w:val="20"/>
          <w:color w:val="auto"/>
        </w:rPr>
      </w:pPr>
    </w:p>
    <w:p>
      <w:pPr>
        <w:ind w:left="480" w:right="140"/>
        <w:spacing w:after="0" w:line="283" w:lineRule="auto"/>
        <w:rPr>
          <w:sz w:val="20"/>
          <w:szCs w:val="20"/>
          <w:color w:val="auto"/>
        </w:rPr>
      </w:pPr>
      <w:r>
        <w:rPr>
          <w:rFonts w:ascii="Arial" w:cs="Arial" w:eastAsia="Arial" w:hAnsi="Arial"/>
          <w:sz w:val="14"/>
          <w:szCs w:val="14"/>
          <w:color w:val="auto"/>
        </w:rPr>
        <w:t>We also believe AV-101 has broad therapeutic utility with multiple near term CNS pipeline expansion opportunities, including chronic neuropathic pain, epilepsy, Huntington’s disease and Parkinson’s disease.</w:t>
      </w:r>
    </w:p>
    <w:p>
      <w:pPr>
        <w:spacing w:after="0" w:line="131" w:lineRule="exact"/>
        <w:rPr>
          <w:sz w:val="20"/>
          <w:szCs w:val="20"/>
          <w:color w:val="auto"/>
        </w:rPr>
      </w:pPr>
    </w:p>
    <w:p>
      <w:pPr>
        <w:ind w:left="480" w:right="60"/>
        <w:spacing w:after="0" w:line="268" w:lineRule="auto"/>
        <w:rPr>
          <w:sz w:val="20"/>
          <w:szCs w:val="20"/>
          <w:color w:val="auto"/>
        </w:rPr>
      </w:pPr>
      <w:r>
        <w:rPr>
          <w:rFonts w:ascii="Arial" w:cs="Arial" w:eastAsia="Arial" w:hAnsi="Arial"/>
          <w:sz w:val="14"/>
          <w:szCs w:val="14"/>
          <w:color w:val="auto"/>
        </w:rPr>
        <w:t>In addition to clinical development of AV-101, we are also focused on potential commercial applications of our human pluripotent stem cell (</w:t>
      </w:r>
      <w:r>
        <w:rPr>
          <w:rFonts w:ascii="Arial" w:cs="Arial" w:eastAsia="Arial" w:hAnsi="Arial"/>
          <w:sz w:val="14"/>
          <w:szCs w:val="14"/>
          <w:i w:val="1"/>
          <w:iCs w:val="1"/>
          <w:color w:val="auto"/>
        </w:rPr>
        <w:t>hPSC</w:t>
      </w:r>
      <w:r>
        <w:rPr>
          <w:rFonts w:ascii="Arial" w:cs="Arial" w:eastAsia="Arial" w:hAnsi="Arial"/>
          <w:sz w:val="14"/>
          <w:szCs w:val="14"/>
          <w:color w:val="auto"/>
        </w:rPr>
        <w:t>) technology platform, including drug rescue to develop proprietary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for our internal drug candidate pipeline, and, through potential strategic collaborations, regenerative medicine (</w:t>
      </w:r>
      <w:r>
        <w:rPr>
          <w:rFonts w:ascii="Arial" w:cs="Arial" w:eastAsia="Arial" w:hAnsi="Arial"/>
          <w:sz w:val="14"/>
          <w:szCs w:val="14"/>
          <w:i w:val="1"/>
          <w:iCs w:val="1"/>
          <w:color w:val="auto"/>
        </w:rPr>
        <w:t>RM</w:t>
      </w:r>
      <w:r>
        <w:rPr>
          <w:rFonts w:ascii="Arial" w:cs="Arial" w:eastAsia="Arial" w:hAnsi="Arial"/>
          <w:sz w:val="14"/>
          <w:szCs w:val="14"/>
          <w:color w:val="auto"/>
        </w:rPr>
        <w:t>) using blood, cartilage, heart and liver cells derived from our hPSC technology.</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AV-101 and Major Depressive Disorder</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4"/>
          <w:szCs w:val="14"/>
          <w:i w:val="1"/>
          <w:iCs w:val="1"/>
          <w:color w:val="auto"/>
        </w:rPr>
        <w:t>Background</w:t>
      </w:r>
    </w:p>
    <w:p>
      <w:pPr>
        <w:spacing w:after="0" w:line="180" w:lineRule="exact"/>
        <w:rPr>
          <w:sz w:val="20"/>
          <w:szCs w:val="20"/>
          <w:color w:val="auto"/>
        </w:rPr>
      </w:pPr>
    </w:p>
    <w:p>
      <w:pPr>
        <w:ind w:left="480" w:right="120"/>
        <w:spacing w:after="0" w:line="263" w:lineRule="auto"/>
        <w:rPr>
          <w:sz w:val="20"/>
          <w:szCs w:val="20"/>
          <w:color w:val="auto"/>
        </w:rPr>
      </w:pPr>
      <w:r>
        <w:rPr>
          <w:rFonts w:ascii="Arial" w:cs="Arial" w:eastAsia="Arial" w:hAnsi="Arial"/>
          <w:sz w:val="14"/>
          <w:szCs w:val="14"/>
          <w:color w:val="auto"/>
        </w:rPr>
        <w:t>The World Health Organization (</w:t>
      </w:r>
      <w:r>
        <w:rPr>
          <w:rFonts w:ascii="Arial" w:cs="Arial" w:eastAsia="Arial" w:hAnsi="Arial"/>
          <w:sz w:val="14"/>
          <w:szCs w:val="14"/>
          <w:i w:val="1"/>
          <w:iCs w:val="1"/>
          <w:color w:val="auto"/>
        </w:rPr>
        <w:t>WHO</w:t>
      </w:r>
      <w:r>
        <w:rPr>
          <w:rFonts w:ascii="Arial" w:cs="Arial" w:eastAsia="Arial" w:hAnsi="Arial"/>
          <w:sz w:val="14"/>
          <w:szCs w:val="14"/>
          <w:color w:val="auto"/>
        </w:rPr>
        <w:t>) estimates that 350 million people worldwide are affected by depression. According to the U.S. National Institutes of Health (</w:t>
      </w:r>
      <w:r>
        <w:rPr>
          <w:rFonts w:ascii="Arial" w:cs="Arial" w:eastAsia="Arial" w:hAnsi="Arial"/>
          <w:sz w:val="14"/>
          <w:szCs w:val="14"/>
          <w:i w:val="1"/>
          <w:iCs w:val="1"/>
          <w:color w:val="auto"/>
        </w:rPr>
        <w:t>NIH</w:t>
      </w:r>
      <w:r>
        <w:rPr>
          <w:rFonts w:ascii="Arial" w:cs="Arial" w:eastAsia="Arial" w:hAnsi="Arial"/>
          <w:sz w:val="14"/>
          <w:szCs w:val="14"/>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4"/>
          <w:szCs w:val="14"/>
          <w:i w:val="1"/>
          <w:iCs w:val="1"/>
          <w:color w:val="auto"/>
        </w:rPr>
        <w:t>CDC</w:t>
      </w:r>
      <w:r>
        <w:rPr>
          <w:rFonts w:ascii="Arial" w:cs="Arial" w:eastAsia="Arial" w:hAnsi="Arial"/>
          <w:sz w:val="14"/>
          <w:szCs w:val="14"/>
          <w:color w:val="auto"/>
        </w:rPr>
        <w:t>) one in 10 Americans takes an antidepressant medication.</w:t>
      </w:r>
    </w:p>
    <w:p>
      <w:pPr>
        <w:spacing w:after="0" w:line="146" w:lineRule="exact"/>
        <w:rPr>
          <w:sz w:val="20"/>
          <w:szCs w:val="20"/>
          <w:color w:val="auto"/>
        </w:rPr>
      </w:pPr>
    </w:p>
    <w:p>
      <w:pPr>
        <w:ind w:left="480" w:right="140"/>
        <w:spacing w:after="0" w:line="281" w:lineRule="auto"/>
        <w:rPr>
          <w:sz w:val="20"/>
          <w:szCs w:val="20"/>
          <w:color w:val="auto"/>
        </w:rPr>
      </w:pPr>
      <w:r>
        <w:rPr>
          <w:rFonts w:ascii="Arial" w:cs="Arial" w:eastAsia="Arial" w:hAnsi="Arial"/>
          <w:sz w:val="13"/>
          <w:szCs w:val="13"/>
          <w:color w:val="auto"/>
        </w:rPr>
        <w:t>Most standard blockbuster antidepressants target neurotransmitter reuptake inhibition - serotonin (</w:t>
      </w:r>
      <w:r>
        <w:rPr>
          <w:rFonts w:ascii="Arial" w:cs="Arial" w:eastAsia="Arial" w:hAnsi="Arial"/>
          <w:sz w:val="13"/>
          <w:szCs w:val="13"/>
          <w:i w:val="1"/>
          <w:iCs w:val="1"/>
          <w:color w:val="auto"/>
        </w:rPr>
        <w:t>SSRIs</w:t>
      </w:r>
      <w:r>
        <w:rPr>
          <w:rFonts w:ascii="Arial" w:cs="Arial" w:eastAsia="Arial" w:hAnsi="Arial"/>
          <w:sz w:val="13"/>
          <w:szCs w:val="13"/>
          <w:color w:val="auto"/>
        </w:rPr>
        <w:t>) or serotonin/norepinephrine (</w:t>
      </w:r>
      <w:r>
        <w:rPr>
          <w:rFonts w:ascii="Arial" w:cs="Arial" w:eastAsia="Arial" w:hAnsi="Arial"/>
          <w:sz w:val="13"/>
          <w:szCs w:val="13"/>
          <w:i w:val="1"/>
          <w:iCs w:val="1"/>
          <w:color w:val="auto"/>
        </w:rPr>
        <w:t>SNRIs</w:t>
      </w:r>
      <w:r>
        <w:rPr>
          <w:rFonts w:ascii="Arial" w:cs="Arial" w:eastAsia="Arial" w:hAnsi="Arial"/>
          <w:sz w:val="13"/>
          <w:szCs w:val="13"/>
          <w:color w:val="auto"/>
        </w:rPr>
        <w:t>). Even when effective, standard antidepressants take many weeks to achieve adequate therapeutic benefits. Nearly two out of every three drug-treated depression patients obtain no benefit from initial treatment using standard antidepressants and have significant side effects, including anxiety, metabolic syndrome, sleep disturbance and sexual dysfunction. All standard antidepressants have a “Black Box” warning due to safety risks, including, in certain groups, worsening depression and risk of suicide. Unfortunately, even after treatment with as many as four different standard antidepressants, nearly one out of every three drug-treated depression patients do not achieve an adequate therapeutic response. These patients often transition to using atypical antipsychotics to augment their use of standard antidepressants. However, adjunctive use of atypical antipsychotics increases risk of serious side effects, including tardive dyskinesia, significant weight gain, diabetes and heart disease, while offering only a modest (10% to 20%) potential increase in therapeutic benefit.</w:t>
      </w:r>
    </w:p>
    <w:p>
      <w:pPr>
        <w:spacing w:after="0" w:line="200" w:lineRule="exact"/>
        <w:rPr>
          <w:sz w:val="20"/>
          <w:szCs w:val="20"/>
          <w:color w:val="auto"/>
        </w:rPr>
      </w:pPr>
    </w:p>
    <w:p>
      <w:pPr>
        <w:spacing w:after="0" w:line="247"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020"/>
          </w:cols>
          <w:pgMar w:left="220" w:top="133" w:right="659" w:bottom="1440" w:gutter="0" w:footer="0" w:header="0"/>
        </w:sectPr>
      </w:pPr>
    </w:p>
    <w:bookmarkStart w:id="7" w:name="page8"/>
    <w:bookmarkEnd w:id="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240665</wp:posOffset>
            </wp:positionV>
            <wp:extent cx="6985000" cy="6410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5000" cy="641032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480"/>
        <w:spacing w:after="0"/>
        <w:rPr>
          <w:sz w:val="20"/>
          <w:szCs w:val="20"/>
          <w:color w:val="auto"/>
        </w:rPr>
      </w:pPr>
      <w:r>
        <w:rPr>
          <w:rFonts w:ascii="Arial" w:cs="Arial" w:eastAsia="Arial" w:hAnsi="Arial"/>
          <w:sz w:val="14"/>
          <w:szCs w:val="14"/>
          <w:i w:val="1"/>
          <w:iCs w:val="1"/>
          <w:color w:val="auto"/>
        </w:rPr>
        <w:t>AV-101</w:t>
      </w:r>
    </w:p>
    <w:p>
      <w:pPr>
        <w:spacing w:after="0" w:line="180" w:lineRule="exact"/>
        <w:rPr>
          <w:sz w:val="20"/>
          <w:szCs w:val="20"/>
          <w:color w:val="auto"/>
        </w:rPr>
      </w:pPr>
    </w:p>
    <w:p>
      <w:pPr>
        <w:ind w:left="480"/>
        <w:spacing w:after="0" w:line="314" w:lineRule="auto"/>
        <w:rPr>
          <w:sz w:val="20"/>
          <w:szCs w:val="20"/>
          <w:color w:val="auto"/>
        </w:rPr>
      </w:pPr>
      <w:r>
        <w:rPr>
          <w:rFonts w:ascii="Arial" w:cs="Arial" w:eastAsia="Arial" w:hAnsi="Arial"/>
          <w:sz w:val="12"/>
          <w:szCs w:val="12"/>
          <w:color w:val="auto"/>
        </w:rPr>
        <w:t xml:space="preserve">AV-101, our orally available prodrug candidate, is in Phase 2 clinical development for the adjunctive treatment of MDD patients with an inadequate response to standard antidepressants. As published in the October 2015 issue of the peer-reviewed, </w:t>
      </w:r>
      <w:r>
        <w:rPr>
          <w:rFonts w:ascii="Arial" w:cs="Arial" w:eastAsia="Arial" w:hAnsi="Arial"/>
          <w:sz w:val="12"/>
          <w:szCs w:val="12"/>
          <w:i w:val="1"/>
          <w:iCs w:val="1"/>
          <w:color w:val="auto"/>
        </w:rPr>
        <w:t>Journal of Pharmacology and Experimental Therapeutics,</w:t>
      </w:r>
      <w:r>
        <w:rPr>
          <w:rFonts w:ascii="Arial" w:cs="Arial" w:eastAsia="Arial" w:hAnsi="Arial"/>
          <w:sz w:val="12"/>
          <w:szCs w:val="12"/>
          <w:color w:val="auto"/>
        </w:rPr>
        <w:t xml:space="preserve"> in an article entitled, </w:t>
      </w:r>
      <w:r>
        <w:rPr>
          <w:rFonts w:ascii="Arial" w:cs="Arial" w:eastAsia="Arial" w:hAnsi="Arial"/>
          <w:sz w:val="12"/>
          <w:szCs w:val="12"/>
          <w:i w:val="1"/>
          <w:iCs w:val="1"/>
          <w:color w:val="auto"/>
        </w:rPr>
        <w:t>The prodrug 4-chlorokynurenine causes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ketamine-like antidepressant effects, but not side effects, by NMDA/glycineB-site inhibition, </w:t>
      </w:r>
      <w:r>
        <w:rPr>
          <w:rFonts w:ascii="Arial" w:cs="Arial" w:eastAsia="Arial" w:hAnsi="Arial"/>
          <w:sz w:val="12"/>
          <w:szCs w:val="12"/>
          <w:color w:val="auto"/>
        </w:rPr>
        <w:t>using well-established preclinical models of depression, AV-101 was shown to induce fast-acting, dose-dependent, persistent and statistically significant antidepressant-like responses, following a single treatment. These responses were equivalent to those seen with a single, sub-anesthetic control dose of the NMDAR antagonist ketamine. In the same preclinical studies, the SSRI fluoxetine did not induce rapid onset antidepressant-like responses.</w:t>
      </w:r>
    </w:p>
    <w:p>
      <w:pPr>
        <w:spacing w:after="0" w:line="120" w:lineRule="exact"/>
        <w:rPr>
          <w:sz w:val="20"/>
          <w:szCs w:val="20"/>
          <w:color w:val="auto"/>
        </w:rPr>
      </w:pPr>
    </w:p>
    <w:p>
      <w:pPr>
        <w:ind w:left="480"/>
        <w:spacing w:after="0" w:line="259" w:lineRule="auto"/>
        <w:rPr>
          <w:sz w:val="20"/>
          <w:szCs w:val="20"/>
          <w:color w:val="auto"/>
        </w:rPr>
      </w:pPr>
      <w:r>
        <w:rPr>
          <w:rFonts w:ascii="Arial" w:cs="Arial" w:eastAsia="Arial" w:hAnsi="Arial"/>
          <w:sz w:val="14"/>
          <w:szCs w:val="14"/>
          <w:color w:val="auto"/>
        </w:rPr>
        <w:t>Following the completion of our randomized, double blind, placebo-controlled Phase 1a and Phase 1b safety studies funded by the NIH, we are now collaborating with the NIMH under our February 2015 CRADA. Pursuant to the CRADA, the NIMH is sponsoring our ongoing Phase 2a efficacy and safety study of AV-101 in subjects with treatment-resistant MDD. This Phase 2a study began in late 2015, and the first patient was dosed in November 2015. The trial is expected to enroll 24 to 28 patients. The Principal Investigator of our Phase 2a study is Dr. Carlos Zarate, Jr. of the NIMH. We are preparing to launch our Phase 2b clinical study of AV-101 for the adjunctive treatment of MDD in patients with an inadequate response to standard antidepressants. We anticipate the launch of this study, which is expected to enroll approximately 315 patients, in the fourth quarter of 2016. The Principal Investigator of this Phase 2b study will be Dr. Maurizio Fava of Harvard Medical School.</w:t>
      </w:r>
    </w:p>
    <w:p>
      <w:pPr>
        <w:spacing w:after="0" w:line="150" w:lineRule="exact"/>
        <w:rPr>
          <w:sz w:val="20"/>
          <w:szCs w:val="20"/>
          <w:color w:val="auto"/>
        </w:rPr>
      </w:pPr>
    </w:p>
    <w:p>
      <w:pPr>
        <w:ind w:left="480" w:right="300"/>
        <w:spacing w:after="0" w:line="323" w:lineRule="auto"/>
        <w:rPr>
          <w:sz w:val="20"/>
          <w:szCs w:val="20"/>
          <w:color w:val="auto"/>
        </w:rPr>
      </w:pPr>
      <w:r>
        <w:rPr>
          <w:rFonts w:ascii="Arial" w:cs="Arial" w:eastAsia="Arial" w:hAnsi="Arial"/>
          <w:sz w:val="13"/>
          <w:szCs w:val="13"/>
          <w:color w:val="auto"/>
        </w:rPr>
        <w:t>Preclinical studies also support the hypothesis that AV-101 has the potential to treat several additional CNS disorders and neurodegenerative diseases, including chronic neuropathic pain, epilepsy, Parkinson’s disease and Huntington’s disease, where modulation of the NMDAR or active metabolites of AV-101 may achieve therapeutic benefit.</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CardioSafe 3D™; NCE Drug Rescue and Regenerative Medicine</w:t>
      </w:r>
    </w:p>
    <w:p>
      <w:pPr>
        <w:spacing w:after="0" w:line="184" w:lineRule="exact"/>
        <w:rPr>
          <w:sz w:val="20"/>
          <w:szCs w:val="20"/>
          <w:color w:val="auto"/>
        </w:rPr>
      </w:pPr>
    </w:p>
    <w:p>
      <w:pPr>
        <w:ind w:left="480" w:right="40"/>
        <w:spacing w:after="0" w:line="261" w:lineRule="auto"/>
        <w:rPr>
          <w:sz w:val="20"/>
          <w:szCs w:val="20"/>
          <w:color w:val="auto"/>
        </w:rPr>
      </w:pPr>
      <w:r>
        <w:rPr>
          <w:rFonts w:ascii="Arial" w:cs="Arial" w:eastAsia="Arial" w:hAnsi="Arial"/>
          <w:sz w:val="14"/>
          <w:szCs w:val="14"/>
          <w:i w:val="1"/>
          <w:iCs w:val="1"/>
          <w:color w:val="auto"/>
        </w:rPr>
        <w:t xml:space="preserve">CardioSafe </w:t>
      </w:r>
      <w:r>
        <w:rPr>
          <w:rFonts w:ascii="Arial" w:cs="Arial" w:eastAsia="Arial" w:hAnsi="Arial"/>
          <w:sz w:val="14"/>
          <w:szCs w:val="14"/>
          <w:color w:val="auto"/>
        </w:rPr>
        <w:t>3D™ is our customized</w:t>
      </w:r>
      <w:r>
        <w:rPr>
          <w:rFonts w:ascii="Arial" w:cs="Arial" w:eastAsia="Arial" w:hAnsi="Arial"/>
          <w:sz w:val="14"/>
          <w:szCs w:val="14"/>
          <w:i w:val="1"/>
          <w:iCs w:val="1"/>
          <w:color w:val="auto"/>
        </w:rPr>
        <w:t xml:space="preserve"> in vitro </w:t>
      </w:r>
      <w:r>
        <w:rPr>
          <w:rFonts w:ascii="Arial" w:cs="Arial" w:eastAsia="Arial" w:hAnsi="Arial"/>
          <w:sz w:val="14"/>
          <w:szCs w:val="14"/>
          <w:color w:val="auto"/>
        </w:rPr>
        <w:t>cardiac bioassay system capable of predicting potential human heart toxicity of NCEs</w:t>
      </w:r>
      <w:r>
        <w:rPr>
          <w:rFonts w:ascii="Arial" w:cs="Arial" w:eastAsia="Arial" w:hAnsi="Arial"/>
          <w:sz w:val="14"/>
          <w:szCs w:val="14"/>
          <w:i w:val="1"/>
          <w:iCs w:val="1"/>
          <w:color w:val="auto"/>
        </w:rPr>
        <w:t xml:space="preserve"> in vitro</w:t>
      </w:r>
      <w:r>
        <w:rPr>
          <w:rFonts w:ascii="Arial" w:cs="Arial" w:eastAsia="Arial" w:hAnsi="Arial"/>
          <w:sz w:val="14"/>
          <w:szCs w:val="14"/>
          <w:color w:val="auto"/>
        </w:rPr>
        <w:t>, long before they are ever tested in animal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human studies. Our current strategic interests involving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and our stem cell technology platform include collaborative arrangements focused on both (i) drug rescue designed to leverage substantial prior investments by pharmaceutical companies and others related to screening large-scale compound libraries, and optimizing and testing for efficacy NCEs terminated before FDA approval due to heart toxicity risks and now available in the public domain and (ii) nonclinical proof of concept studies to explore potential commercial RM applications involving hPSC-derived blood, bone, cartilage, heart and liver cells.</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Risk Factors</w:t>
      </w:r>
    </w:p>
    <w:p>
      <w:pPr>
        <w:spacing w:after="0" w:line="184" w:lineRule="exact"/>
        <w:rPr>
          <w:sz w:val="20"/>
          <w:szCs w:val="20"/>
          <w:color w:val="auto"/>
        </w:rPr>
      </w:pPr>
    </w:p>
    <w:p>
      <w:pPr>
        <w:ind w:left="480" w:right="460"/>
        <w:spacing w:after="0" w:line="283" w:lineRule="auto"/>
        <w:rPr>
          <w:sz w:val="20"/>
          <w:szCs w:val="20"/>
          <w:color w:val="auto"/>
        </w:rPr>
      </w:pPr>
      <w:r>
        <w:rPr>
          <w:rFonts w:ascii="Arial" w:cs="Arial" w:eastAsia="Arial" w:hAnsi="Arial"/>
          <w:sz w:val="14"/>
          <w:szCs w:val="14"/>
          <w:color w:val="auto"/>
        </w:rPr>
        <w:t>Our business is subject to substantial risk. Please carefully consider the “</w:t>
      </w:r>
      <w:r>
        <w:rPr>
          <w:rFonts w:ascii="Arial" w:cs="Arial" w:eastAsia="Arial" w:hAnsi="Arial"/>
          <w:sz w:val="14"/>
          <w:szCs w:val="14"/>
          <w:i w:val="1"/>
          <w:iCs w:val="1"/>
          <w:color w:val="auto"/>
        </w:rPr>
        <w:t>Risk Factors</w:t>
      </w:r>
      <w:r>
        <w:rPr>
          <w:rFonts w:ascii="Arial" w:cs="Arial" w:eastAsia="Arial" w:hAnsi="Arial"/>
          <w:sz w:val="14"/>
          <w:szCs w:val="14"/>
          <w:color w:val="auto"/>
        </w:rPr>
        <w:t>” beginning on page 6 of this prospectus for a discussion of the factors you should carefully consider before deciding to purchase the securities offered by this prospectus. These risks include, among others:</w:t>
      </w:r>
    </w:p>
    <w:p>
      <w:pPr>
        <w:spacing w:after="0" w:line="131" w:lineRule="exact"/>
        <w:rPr>
          <w:sz w:val="20"/>
          <w:szCs w:val="20"/>
          <w:color w:val="auto"/>
        </w:rPr>
      </w:pPr>
    </w:p>
    <w:p>
      <w:pPr>
        <w:ind w:left="940" w:right="540" w:hanging="466"/>
        <w:spacing w:after="0" w:line="283" w:lineRule="auto"/>
        <w:tabs>
          <w:tab w:leader="none" w:pos="9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a development stage biopharmaceutical company with no current revenues or approved products, and limited experience developing new drug, biological and/or regenerative medicine candidates, which makes it difficult to assess our future viability;</w:t>
      </w:r>
    </w:p>
    <w:p>
      <w:pPr>
        <w:spacing w:after="0" w:line="131" w:lineRule="exact"/>
        <w:rPr>
          <w:rFonts w:ascii="Arial" w:cs="Arial" w:eastAsia="Arial" w:hAnsi="Arial"/>
          <w:sz w:val="14"/>
          <w:szCs w:val="14"/>
          <w:color w:val="auto"/>
        </w:rPr>
      </w:pPr>
    </w:p>
    <w:p>
      <w:pPr>
        <w:ind w:left="940" w:right="280" w:hanging="466"/>
        <w:spacing w:after="0" w:line="283" w:lineRule="auto"/>
        <w:tabs>
          <w:tab w:leader="none" w:pos="9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depend heavily on the success of AV-101, and we cannot be certain that we will be able to obtain regulatory approval for, or successfully commercialize, AV-101, or any product candidate;</w:t>
      </w:r>
    </w:p>
    <w:p>
      <w:pPr>
        <w:spacing w:after="0" w:line="131" w:lineRule="exact"/>
        <w:rPr>
          <w:rFonts w:ascii="Arial" w:cs="Arial" w:eastAsia="Arial" w:hAnsi="Arial"/>
          <w:sz w:val="14"/>
          <w:szCs w:val="14"/>
          <w:color w:val="auto"/>
        </w:rPr>
      </w:pPr>
    </w:p>
    <w:p>
      <w:pPr>
        <w:ind w:left="940" w:hanging="466"/>
        <w:spacing w:after="0"/>
        <w:tabs>
          <w:tab w:leader="none" w:pos="940" w:val="left"/>
        </w:tabs>
        <w:numPr>
          <w:ilvl w:val="0"/>
          <w:numId w:val="3"/>
        </w:numPr>
        <w:rPr>
          <w:rFonts w:ascii="Arial" w:cs="Arial" w:eastAsia="Arial" w:hAnsi="Arial"/>
          <w:sz w:val="13"/>
          <w:szCs w:val="13"/>
          <w:color w:val="auto"/>
        </w:rPr>
      </w:pPr>
      <w:r>
        <w:rPr>
          <w:rFonts w:ascii="Arial" w:cs="Arial" w:eastAsia="Arial" w:hAnsi="Arial"/>
          <w:sz w:val="13"/>
          <w:szCs w:val="13"/>
          <w:color w:val="auto"/>
        </w:rPr>
        <w:t>failures or delays in the commencement or completion of our planned clinical trials could delay, prevent or limit our ability to generate revenue and continue our business;</w:t>
      </w:r>
    </w:p>
    <w:p>
      <w:pPr>
        <w:spacing w:after="0" w:line="191" w:lineRule="exact"/>
        <w:rPr>
          <w:rFonts w:ascii="Arial" w:cs="Arial" w:eastAsia="Arial" w:hAnsi="Arial"/>
          <w:sz w:val="13"/>
          <w:szCs w:val="13"/>
          <w:color w:val="auto"/>
        </w:rPr>
      </w:pPr>
    </w:p>
    <w:p>
      <w:pPr>
        <w:ind w:left="940" w:right="100" w:hanging="466"/>
        <w:spacing w:after="0" w:line="283" w:lineRule="auto"/>
        <w:tabs>
          <w:tab w:leader="none" w:pos="9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significant competition, and if we are unable to compete effectively, we may not be able to achieve or maintain significant market penetration or improve our results of operations;</w:t>
      </w:r>
    </w:p>
    <w:p>
      <w:pPr>
        <w:spacing w:after="0" w:line="131" w:lineRule="exact"/>
        <w:rPr>
          <w:rFonts w:ascii="Arial" w:cs="Arial" w:eastAsia="Arial" w:hAnsi="Arial"/>
          <w:sz w:val="14"/>
          <w:szCs w:val="14"/>
          <w:color w:val="auto"/>
        </w:rPr>
      </w:pPr>
    </w:p>
    <w:p>
      <w:pPr>
        <w:ind w:left="940" w:hanging="466"/>
        <w:spacing w:after="0"/>
        <w:tabs>
          <w:tab w:leader="none" w:pos="9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some of our programs have been partially supported by government grants, which may not be available to us in the future;</w:t>
      </w:r>
    </w:p>
    <w:p>
      <w:pPr>
        <w:spacing w:after="0" w:line="179" w:lineRule="exact"/>
        <w:rPr>
          <w:rFonts w:ascii="Arial" w:cs="Arial" w:eastAsia="Arial" w:hAnsi="Arial"/>
          <w:sz w:val="14"/>
          <w:szCs w:val="14"/>
          <w:color w:val="auto"/>
        </w:rPr>
      </w:pPr>
    </w:p>
    <w:p>
      <w:pPr>
        <w:ind w:left="940" w:right="500" w:hanging="466"/>
        <w:spacing w:after="0" w:line="323" w:lineRule="auto"/>
        <w:tabs>
          <w:tab w:leader="none" w:pos="9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 and</w:t>
      </w:r>
    </w:p>
    <w:p>
      <w:pPr>
        <w:spacing w:after="0" w:line="108" w:lineRule="exact"/>
        <w:rPr>
          <w:rFonts w:ascii="Arial" w:cs="Arial" w:eastAsia="Arial" w:hAnsi="Arial"/>
          <w:sz w:val="13"/>
          <w:szCs w:val="13"/>
          <w:color w:val="auto"/>
        </w:rPr>
      </w:pPr>
    </w:p>
    <w:p>
      <w:pPr>
        <w:ind w:left="940" w:hanging="466"/>
        <w:spacing w:after="0"/>
        <w:tabs>
          <w:tab w:leader="none" w:pos="9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incurred significant net losses since inception and we will continue to incur substantial operating losses for the foreseeable future.</w:t>
      </w:r>
    </w:p>
    <w:p>
      <w:pPr>
        <w:spacing w:after="0" w:line="180" w:lineRule="exact"/>
        <w:rPr>
          <w:sz w:val="20"/>
          <w:szCs w:val="20"/>
          <w:color w:val="auto"/>
        </w:rPr>
      </w:pPr>
    </w:p>
    <w:p>
      <w:pPr>
        <w:ind w:left="480"/>
        <w:spacing w:after="0" w:line="283" w:lineRule="auto"/>
        <w:rPr>
          <w:sz w:val="20"/>
          <w:szCs w:val="20"/>
          <w:color w:val="auto"/>
        </w:rPr>
      </w:pPr>
      <w:r>
        <w:rPr>
          <w:rFonts w:ascii="Arial" w:cs="Arial" w:eastAsia="Arial" w:hAnsi="Arial"/>
          <w:sz w:val="14"/>
          <w:szCs w:val="14"/>
          <w:color w:val="auto"/>
        </w:rPr>
        <w:t>Additional risks and uncertainties not presently known to us or that we currently deem immaterial may also impair our business operations. You should be able to bear a complete loss of your investment.</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Corporate information</w:t>
      </w:r>
    </w:p>
    <w:p>
      <w:pPr>
        <w:spacing w:after="0" w:line="184" w:lineRule="exact"/>
        <w:rPr>
          <w:sz w:val="20"/>
          <w:szCs w:val="20"/>
          <w:color w:val="auto"/>
        </w:rPr>
      </w:pPr>
    </w:p>
    <w:p>
      <w:pPr>
        <w:jc w:val="both"/>
        <w:ind w:left="480" w:right="20"/>
        <w:spacing w:after="0" w:line="298" w:lineRule="auto"/>
        <w:rPr>
          <w:sz w:val="20"/>
          <w:szCs w:val="20"/>
          <w:color w:val="auto"/>
        </w:rPr>
      </w:pPr>
      <w:r>
        <w:rPr>
          <w:rFonts w:ascii="Arial" w:cs="Arial" w:eastAsia="Arial" w:hAnsi="Arial"/>
          <w:sz w:val="13"/>
          <w:szCs w:val="13"/>
          <w:color w:val="auto"/>
        </w:rPr>
        <w:t xml:space="preserve">VistaGen Therapeutics, Inc., a Nevada corporation, is the parent of VistaGen Therapeutics, Inc., a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3"/>
          <w:szCs w:val="13"/>
          <w:i w:val="1"/>
          <w:iCs w:val="1"/>
          <w:color w:val="auto"/>
        </w:rPr>
        <w:t>www.vistagen.com</w:t>
      </w:r>
      <w:r>
        <w:rPr>
          <w:rFonts w:ascii="Arial" w:cs="Arial" w:eastAsia="Arial" w:hAnsi="Arial"/>
          <w:sz w:val="13"/>
          <w:szCs w:val="13"/>
          <w:color w:val="auto"/>
        </w:rPr>
        <w:t>. The information contained on our website is not part of this prospectus. We have included our website address as a factual reference and do not intend it to be an active link to our website.</w:t>
      </w:r>
    </w:p>
    <w:p>
      <w:pPr>
        <w:spacing w:after="0" w:line="200" w:lineRule="exact"/>
        <w:rPr>
          <w:sz w:val="20"/>
          <w:szCs w:val="20"/>
          <w:color w:val="auto"/>
        </w:rPr>
      </w:pPr>
    </w:p>
    <w:p>
      <w:pPr>
        <w:spacing w:after="0" w:line="255"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000"/>
          </w:cols>
          <w:pgMar w:left="220" w:top="133" w:right="679" w:bottom="1440" w:gutter="0" w:footer="0" w:header="0"/>
        </w:sectPr>
      </w:pPr>
    </w:p>
    <w:bookmarkStart w:id="8" w:name="page9"/>
    <w:bookmarkEnd w:id="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118745</wp:posOffset>
            </wp:positionV>
            <wp:extent cx="6985000" cy="7167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85000" cy="7167245"/>
                    </a:xfrm>
                    <a:prstGeom prst="rect">
                      <a:avLst/>
                    </a:prstGeom>
                    <a:noFill/>
                  </pic:spPr>
                </pic:pic>
              </a:graphicData>
            </a:graphic>
          </wp:anchor>
        </w:drawing>
      </w:r>
    </w:p>
    <w:p>
      <w:pPr>
        <w:spacing w:after="0" w:line="344" w:lineRule="exact"/>
        <w:rPr>
          <w:sz w:val="20"/>
          <w:szCs w:val="20"/>
          <w:color w:val="auto"/>
        </w:rPr>
      </w:pPr>
    </w:p>
    <w:p>
      <w:pPr>
        <w:jc w:val="center"/>
        <w:ind w:right="-479"/>
        <w:spacing w:after="0"/>
        <w:rPr>
          <w:sz w:val="20"/>
          <w:szCs w:val="20"/>
          <w:color w:val="auto"/>
        </w:rPr>
      </w:pPr>
      <w:r>
        <w:rPr>
          <w:rFonts w:ascii="Arial" w:cs="Arial" w:eastAsia="Arial" w:hAnsi="Arial"/>
          <w:sz w:val="14"/>
          <w:szCs w:val="14"/>
          <w:b w:val="1"/>
          <w:bCs w:val="1"/>
          <w:color w:val="auto"/>
        </w:rPr>
        <w:t>THE OFFERING</w:t>
      </w:r>
    </w:p>
    <w:p>
      <w:pPr>
        <w:sectPr>
          <w:pgSz w:w="11900" w:h="16838" w:orient="portrait"/>
          <w:cols w:equalWidth="0" w:num="1">
            <w:col w:w="11000"/>
          </w:cols>
          <w:pgMar w:left="220" w:top="133" w:right="679" w:bottom="1440" w:gutter="0" w:footer="0" w:header="0"/>
        </w:sectPr>
      </w:pPr>
    </w:p>
    <w:p>
      <w:pPr>
        <w:spacing w:after="0" w:line="184" w:lineRule="exact"/>
        <w:rPr>
          <w:sz w:val="20"/>
          <w:szCs w:val="20"/>
          <w:color w:val="auto"/>
        </w:rPr>
      </w:pPr>
    </w:p>
    <w:p>
      <w:pPr>
        <w:ind w:left="480"/>
        <w:spacing w:after="0"/>
        <w:rPr>
          <w:sz w:val="20"/>
          <w:szCs w:val="20"/>
          <w:color w:val="auto"/>
        </w:rPr>
      </w:pPr>
      <w:r>
        <w:rPr>
          <w:rFonts w:ascii="Arial" w:cs="Arial" w:eastAsia="Arial" w:hAnsi="Arial"/>
          <w:sz w:val="12"/>
          <w:szCs w:val="12"/>
          <w:color w:val="auto"/>
        </w:rPr>
        <w:t>Common stock offered by us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[____________] shares of common stock.</w:t>
      </w:r>
    </w:p>
    <w:p>
      <w:pPr>
        <w:spacing w:after="0" w:line="200" w:lineRule="exact"/>
        <w:rPr>
          <w:sz w:val="20"/>
          <w:szCs w:val="20"/>
          <w:color w:val="auto"/>
        </w:rPr>
      </w:pPr>
    </w:p>
    <w:p>
      <w:pPr>
        <w:sectPr>
          <w:pgSz w:w="11900" w:h="16838" w:orient="portrait"/>
          <w:cols w:equalWidth="0" w:num="2">
            <w:col w:w="2860" w:space="720"/>
            <w:col w:w="7420"/>
          </w:cols>
          <w:pgMar w:left="220" w:top="133" w:right="679" w:bottom="1440" w:gutter="0" w:footer="0" w:header="0"/>
          <w:type w:val="continuous"/>
        </w:sectPr>
      </w:pPr>
    </w:p>
    <w:p>
      <w:pPr>
        <w:spacing w:after="0" w:line="3" w:lineRule="exact"/>
        <w:rPr>
          <w:sz w:val="20"/>
          <w:szCs w:val="20"/>
          <w:color w:val="auto"/>
        </w:rPr>
      </w:pPr>
    </w:p>
    <w:p>
      <w:pPr>
        <w:ind w:left="480"/>
        <w:spacing w:after="0"/>
        <w:rPr>
          <w:sz w:val="20"/>
          <w:szCs w:val="20"/>
          <w:color w:val="auto"/>
        </w:rPr>
      </w:pPr>
      <w:r>
        <w:rPr>
          <w:rFonts w:ascii="Arial" w:cs="Arial" w:eastAsia="Arial" w:hAnsi="Arial"/>
          <w:sz w:val="13"/>
          <w:szCs w:val="13"/>
          <w:color w:val="auto"/>
        </w:rPr>
        <w:t>Common stock outstanding prior to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2,432,832 shares (as of March 4, 2016).</w:t>
      </w:r>
    </w:p>
    <w:p>
      <w:pPr>
        <w:spacing w:after="0" w:line="202" w:lineRule="exact"/>
        <w:rPr>
          <w:sz w:val="20"/>
          <w:szCs w:val="20"/>
          <w:color w:val="auto"/>
        </w:rPr>
      </w:pPr>
    </w:p>
    <w:p>
      <w:pPr>
        <w:sectPr>
          <w:pgSz w:w="11900" w:h="16838" w:orient="portrait"/>
          <w:cols w:equalWidth="0" w:num="2">
            <w:col w:w="3020" w:space="560"/>
            <w:col w:w="7420"/>
          </w:cols>
          <w:pgMar w:left="220" w:top="133" w:right="679" w:bottom="1440" w:gutter="0" w:footer="0" w:header="0"/>
          <w:type w:val="continuous"/>
        </w:sectPr>
      </w:pPr>
    </w:p>
    <w:p>
      <w:pPr>
        <w:jc w:val="center"/>
        <w:ind w:left="480"/>
        <w:spacing w:after="0"/>
        <w:rPr>
          <w:sz w:val="20"/>
          <w:szCs w:val="20"/>
          <w:color w:val="auto"/>
        </w:rPr>
      </w:pPr>
      <w:r>
        <w:rPr>
          <w:rFonts w:ascii="Arial" w:cs="Arial" w:eastAsia="Arial" w:hAnsi="Arial"/>
          <w:sz w:val="12"/>
          <w:szCs w:val="12"/>
          <w:color w:val="auto"/>
        </w:rPr>
        <w:t>Common stock outstanding after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[___________] shares.</w:t>
      </w:r>
    </w:p>
    <w:p>
      <w:pPr>
        <w:spacing w:after="0" w:line="200" w:lineRule="exact"/>
        <w:rPr>
          <w:sz w:val="20"/>
          <w:szCs w:val="20"/>
          <w:color w:val="auto"/>
        </w:rPr>
      </w:pPr>
    </w:p>
    <w:p>
      <w:pPr>
        <w:sectPr>
          <w:pgSz w:w="11900" w:h="16838" w:orient="portrait"/>
          <w:cols w:equalWidth="0" w:num="2">
            <w:col w:w="3060" w:space="520"/>
            <w:col w:w="7420"/>
          </w:cols>
          <w:pgMar w:left="220" w:top="133" w:right="679" w:bottom="1440" w:gutter="0" w:footer="0" w:header="0"/>
          <w:type w:val="continuous"/>
        </w:sectPr>
      </w:pPr>
    </w:p>
    <w:p>
      <w:pPr>
        <w:spacing w:after="0" w:line="3" w:lineRule="exact"/>
        <w:rPr>
          <w:sz w:val="20"/>
          <w:szCs w:val="20"/>
          <w:color w:val="auto"/>
        </w:rPr>
      </w:pPr>
    </w:p>
    <w:p>
      <w:pPr>
        <w:ind w:left="480"/>
        <w:spacing w:after="0"/>
        <w:rPr>
          <w:sz w:val="20"/>
          <w:szCs w:val="20"/>
          <w:color w:val="auto"/>
        </w:rPr>
      </w:pPr>
      <w:r>
        <w:rPr>
          <w:rFonts w:ascii="Arial" w:cs="Arial" w:eastAsia="Arial" w:hAnsi="Arial"/>
          <w:sz w:val="12"/>
          <w:szCs w:val="12"/>
          <w:color w:val="auto"/>
        </w:rPr>
        <w:t>Use of proceeds</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4"/>
          <w:szCs w:val="14"/>
          <w:color w:val="auto"/>
        </w:rPr>
        <w:t>We estimate that net proceeds to us from this Offering will be approximately $[___] million, or approximately $[___] million if the underwriters exercise their option to purchase additional shares in full, after deducting underwriting discounts and commissions and estimated offering expenses payable by us.</w:t>
      </w:r>
    </w:p>
    <w:p>
      <w:pPr>
        <w:spacing w:after="0" w:line="142" w:lineRule="exact"/>
        <w:rPr>
          <w:sz w:val="20"/>
          <w:szCs w:val="20"/>
          <w:color w:val="auto"/>
        </w:rPr>
      </w:pPr>
    </w:p>
    <w:p>
      <w:pPr>
        <w:sectPr>
          <w:pgSz w:w="11900" w:h="16838" w:orient="portrait"/>
          <w:cols w:equalWidth="0" w:num="2">
            <w:col w:w="2860" w:space="720"/>
            <w:col w:w="7420"/>
          </w:cols>
          <w:pgMar w:left="220" w:top="133" w:right="679" w:bottom="1440" w:gutter="0" w:footer="0" w:header="0"/>
          <w:type w:val="continuous"/>
        </w:sectPr>
      </w:pPr>
    </w:p>
    <w:p>
      <w:pPr>
        <w:ind w:left="3580"/>
        <w:spacing w:after="0" w:line="268" w:lineRule="auto"/>
        <w:rPr>
          <w:sz w:val="20"/>
          <w:szCs w:val="20"/>
          <w:color w:val="auto"/>
        </w:rPr>
      </w:pPr>
      <w:r>
        <w:rPr>
          <w:rFonts w:ascii="Arial" w:cs="Arial" w:eastAsia="Arial" w:hAnsi="Arial"/>
          <w:sz w:val="14"/>
          <w:szCs w:val="14"/>
          <w:color w:val="auto"/>
        </w:rPr>
        <w:t>We currently intend to use the net proceeds from this Offering for research and development, working capital needs, capital expenditures and other general corporate purposes. See “</w:t>
      </w:r>
      <w:r>
        <w:rPr>
          <w:rFonts w:ascii="Arial" w:cs="Arial" w:eastAsia="Arial" w:hAnsi="Arial"/>
          <w:sz w:val="14"/>
          <w:szCs w:val="14"/>
          <w:i w:val="1"/>
          <w:iCs w:val="1"/>
          <w:color w:val="auto"/>
        </w:rPr>
        <w:t>Use of Proceeds</w:t>
      </w:r>
      <w:r>
        <w:rPr>
          <w:rFonts w:ascii="Arial" w:cs="Arial" w:eastAsia="Arial" w:hAnsi="Arial"/>
          <w:sz w:val="14"/>
          <w:szCs w:val="14"/>
          <w:color w:val="auto"/>
        </w:rPr>
        <w:t>” for additional information regarding the intended use of proceeds from the Offering.</w:t>
      </w:r>
    </w:p>
    <w:p>
      <w:pPr>
        <w:sectPr>
          <w:pgSz w:w="11900" w:h="16838" w:orient="portrait"/>
          <w:cols w:equalWidth="0" w:num="1">
            <w:col w:w="11000"/>
          </w:cols>
          <w:pgMar w:left="220" w:top="133" w:right="679" w:bottom="1440" w:gutter="0" w:footer="0" w:header="0"/>
          <w:type w:val="continuous"/>
        </w:sectPr>
      </w:pPr>
    </w:p>
    <w:p>
      <w:pPr>
        <w:spacing w:after="0" w:line="14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Dividend policy</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We have never declared or paid and do not anticipate declaring or paying any cash dividends on our common stock in the near future. You should read the “</w:t>
      </w:r>
      <w:r>
        <w:rPr>
          <w:rFonts w:ascii="Arial" w:cs="Arial" w:eastAsia="Arial" w:hAnsi="Arial"/>
          <w:sz w:val="14"/>
          <w:szCs w:val="14"/>
          <w:i w:val="1"/>
          <w:iCs w:val="1"/>
          <w:color w:val="auto"/>
        </w:rPr>
        <w:t>Dividend Policy</w:t>
      </w:r>
      <w:r>
        <w:rPr>
          <w:rFonts w:ascii="Arial" w:cs="Arial" w:eastAsia="Arial" w:hAnsi="Arial"/>
          <w:sz w:val="14"/>
          <w:szCs w:val="14"/>
          <w:color w:val="auto"/>
        </w:rPr>
        <w:t>” section of this prospectus for more information on future declarations and payments of dividends.</w:t>
      </w:r>
    </w:p>
    <w:p>
      <w:pPr>
        <w:spacing w:after="0" w:line="142" w:lineRule="exact"/>
        <w:rPr>
          <w:sz w:val="20"/>
          <w:szCs w:val="20"/>
          <w:color w:val="auto"/>
        </w:rPr>
      </w:pPr>
    </w:p>
    <w:p>
      <w:pPr>
        <w:sectPr>
          <w:pgSz w:w="11900" w:h="16838" w:orient="portrait"/>
          <w:cols w:equalWidth="0" w:num="2">
            <w:col w:w="2860" w:space="720"/>
            <w:col w:w="7420"/>
          </w:cols>
          <w:pgMar w:left="220" w:top="133" w:right="67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OTCQB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VSTA.</w:t>
      </w:r>
    </w:p>
    <w:p>
      <w:pPr>
        <w:spacing w:after="0" w:line="191" w:lineRule="exact"/>
        <w:rPr>
          <w:sz w:val="20"/>
          <w:szCs w:val="20"/>
          <w:color w:val="auto"/>
        </w:rPr>
      </w:pPr>
    </w:p>
    <w:p>
      <w:pPr>
        <w:sectPr>
          <w:pgSz w:w="11900" w:h="16838" w:orient="portrait"/>
          <w:cols w:equalWidth="0" w:num="2">
            <w:col w:w="2860" w:space="720"/>
            <w:col w:w="7420"/>
          </w:cols>
          <w:pgMar w:left="220" w:top="133" w:right="67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NASDAQ Application</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4"/>
          <w:szCs w:val="14"/>
          <w:color w:val="auto"/>
        </w:rPr>
        <w:t>We have applied to have our common stock listed on The NASDAQ Capital Market under the symbol “VTGN.” No assurance can be given that our application will be approved.</w:t>
      </w:r>
    </w:p>
    <w:p>
      <w:pPr>
        <w:spacing w:after="0" w:line="131" w:lineRule="exact"/>
        <w:rPr>
          <w:sz w:val="20"/>
          <w:szCs w:val="20"/>
          <w:color w:val="auto"/>
        </w:rPr>
      </w:pPr>
    </w:p>
    <w:p>
      <w:pPr>
        <w:sectPr>
          <w:pgSz w:w="11900" w:h="16838" w:orient="portrait"/>
          <w:cols w:equalWidth="0" w:num="2">
            <w:col w:w="2860" w:space="720"/>
            <w:col w:w="7420"/>
          </w:cols>
          <w:pgMar w:left="220" w:top="133" w:right="679" w:bottom="1440" w:gutter="0" w:footer="0" w:header="0"/>
          <w:type w:val="continuous"/>
        </w:sectPr>
      </w:pPr>
    </w:p>
    <w:p>
      <w:pPr>
        <w:ind w:left="480"/>
        <w:spacing w:after="0"/>
        <w:rPr>
          <w:sz w:val="20"/>
          <w:szCs w:val="20"/>
          <w:color w:val="auto"/>
        </w:rPr>
      </w:pPr>
      <w:r>
        <w:rPr>
          <w:rFonts w:ascii="Arial" w:cs="Arial" w:eastAsia="Arial" w:hAnsi="Arial"/>
          <w:sz w:val="12"/>
          <w:szCs w:val="12"/>
          <w:color w:val="auto"/>
        </w:rPr>
        <w:t>Representatives’ Warrants</w:t>
      </w:r>
    </w:p>
    <w:p>
      <w:pPr>
        <w:spacing w:after="0" w:line="20" w:lineRule="exact"/>
        <w:rPr>
          <w:sz w:val="20"/>
          <w:szCs w:val="20"/>
          <w:color w:val="auto"/>
        </w:rPr>
      </w:pPr>
      <w:r>
        <w:rPr>
          <w:sz w:val="20"/>
          <w:szCs w:val="20"/>
          <w:color w:val="auto"/>
        </w:rPr>
        <w:br w:type="column"/>
      </w:r>
    </w:p>
    <w:p>
      <w:pPr>
        <w:ind w:right="180"/>
        <w:spacing w:after="0" w:line="290" w:lineRule="auto"/>
        <w:rPr>
          <w:sz w:val="20"/>
          <w:szCs w:val="20"/>
          <w:color w:val="auto"/>
        </w:rPr>
      </w:pPr>
      <w:r>
        <w:rPr>
          <w:rFonts w:ascii="Arial" w:cs="Arial" w:eastAsia="Arial" w:hAnsi="Arial"/>
          <w:sz w:val="13"/>
          <w:szCs w:val="13"/>
          <w:color w:val="auto"/>
        </w:rPr>
        <w:t>We will issue to Chardan Capital Markets, LLC and WallachBeth Capital, LLC, as representatives of the underwriters, warrants entitling the representatives to purchase up to 6% of the aggregate number of shares sold in this Offering, including those sold pursuant to the underwriters’ over-allotment option. The representatives’ warrants may be exercised for a period of five years following the date of effectiveness of the Registration Statement of which this prospectus forms a part.</w:t>
      </w:r>
    </w:p>
    <w:p>
      <w:pPr>
        <w:spacing w:after="0" w:line="129" w:lineRule="exact"/>
        <w:rPr>
          <w:sz w:val="20"/>
          <w:szCs w:val="20"/>
          <w:color w:val="auto"/>
        </w:rPr>
      </w:pPr>
    </w:p>
    <w:p>
      <w:pPr>
        <w:sectPr>
          <w:pgSz w:w="11900" w:h="16838" w:orient="portrait"/>
          <w:cols w:equalWidth="0" w:num="2">
            <w:col w:w="2860" w:space="720"/>
            <w:col w:w="7420"/>
          </w:cols>
          <w:pgMar w:left="220" w:top="133" w:right="679" w:bottom="1440" w:gutter="0" w:footer="0" w:header="0"/>
          <w:type w:val="continuous"/>
        </w:sectPr>
      </w:pPr>
    </w:p>
    <w:p>
      <w:pPr>
        <w:ind w:left="480"/>
        <w:spacing w:after="0"/>
        <w:rPr>
          <w:sz w:val="20"/>
          <w:szCs w:val="20"/>
          <w:color w:val="auto"/>
        </w:rPr>
      </w:pPr>
      <w:r>
        <w:rPr>
          <w:rFonts w:ascii="Arial" w:cs="Arial" w:eastAsia="Arial" w:hAnsi="Arial"/>
          <w:sz w:val="12"/>
          <w:szCs w:val="12"/>
          <w:color w:val="auto"/>
        </w:rPr>
        <w:t>Risk Factors</w:t>
      </w:r>
    </w:p>
    <w:p>
      <w:pPr>
        <w:spacing w:after="0" w:line="20" w:lineRule="exact"/>
        <w:rPr>
          <w:sz w:val="20"/>
          <w:szCs w:val="20"/>
          <w:color w:val="auto"/>
        </w:rPr>
      </w:pPr>
      <w:r>
        <w:rPr>
          <w:sz w:val="20"/>
          <w:szCs w:val="20"/>
          <w:color w:val="auto"/>
        </w:rPr>
        <w:br w:type="column"/>
      </w:r>
    </w:p>
    <w:p>
      <w:pPr>
        <w:ind w:right="200"/>
        <w:spacing w:after="0" w:line="323" w:lineRule="auto"/>
        <w:rPr>
          <w:sz w:val="20"/>
          <w:szCs w:val="20"/>
          <w:color w:val="auto"/>
        </w:rPr>
      </w:pPr>
      <w:r>
        <w:rPr>
          <w:rFonts w:ascii="Arial" w:cs="Arial" w:eastAsia="Arial" w:hAnsi="Arial"/>
          <w:sz w:val="13"/>
          <w:szCs w:val="13"/>
          <w:color w:val="auto"/>
        </w:rPr>
        <w:t>An investment in our Company is highly speculative and involves a significant degree of risk. See “</w:t>
      </w:r>
      <w:r>
        <w:rPr>
          <w:rFonts w:ascii="Arial" w:cs="Arial" w:eastAsia="Arial" w:hAnsi="Arial"/>
          <w:sz w:val="13"/>
          <w:szCs w:val="13"/>
          <w:i w:val="1"/>
          <w:iCs w:val="1"/>
          <w:color w:val="auto"/>
        </w:rPr>
        <w:t>Risk Factors</w:t>
      </w:r>
      <w:r>
        <w:rPr>
          <w:rFonts w:ascii="Arial" w:cs="Arial" w:eastAsia="Arial" w:hAnsi="Arial"/>
          <w:sz w:val="13"/>
          <w:szCs w:val="13"/>
          <w:color w:val="auto"/>
        </w:rPr>
        <w:t>” beginning on page 6 of this prospectus for a discussion of factors you should carefully consider before investing in our securities.</w:t>
      </w:r>
    </w:p>
    <w:p>
      <w:pPr>
        <w:spacing w:after="0" w:line="109" w:lineRule="exact"/>
        <w:rPr>
          <w:sz w:val="20"/>
          <w:szCs w:val="20"/>
          <w:color w:val="auto"/>
        </w:rPr>
      </w:pPr>
    </w:p>
    <w:p>
      <w:pPr>
        <w:sectPr>
          <w:pgSz w:w="11900" w:h="16838" w:orient="portrait"/>
          <w:cols w:equalWidth="0" w:num="2">
            <w:col w:w="2860" w:space="720"/>
            <w:col w:w="7420"/>
          </w:cols>
          <w:pgMar w:left="220" w:top="133" w:right="679" w:bottom="1440" w:gutter="0" w:footer="0" w:header="0"/>
          <w:type w:val="continuous"/>
        </w:sectPr>
      </w:pPr>
    </w:p>
    <w:p>
      <w:pPr>
        <w:ind w:left="480"/>
        <w:spacing w:after="0"/>
        <w:rPr>
          <w:sz w:val="20"/>
          <w:szCs w:val="20"/>
          <w:color w:val="auto"/>
        </w:rPr>
      </w:pPr>
      <w:r>
        <w:rPr>
          <w:rFonts w:ascii="Arial" w:cs="Arial" w:eastAsia="Arial" w:hAnsi="Arial"/>
          <w:sz w:val="13"/>
          <w:szCs w:val="13"/>
          <w:color w:val="auto"/>
        </w:rPr>
        <w:t xml:space="preserve">The number of shares of common stock to be outstanding after this Offering is based on 2,432,832 shares outstanding as of March 4, 2016 and does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include, as of that date:</w:t>
      </w:r>
    </w:p>
    <w:p>
      <w:pPr>
        <w:spacing w:after="0" w:line="191" w:lineRule="exact"/>
        <w:rPr>
          <w:sz w:val="20"/>
          <w:szCs w:val="20"/>
          <w:color w:val="auto"/>
        </w:rPr>
      </w:pPr>
    </w:p>
    <w:p>
      <w:pPr>
        <w:ind w:left="940" w:right="20" w:hanging="466"/>
        <w:spacing w:after="0" w:line="283" w:lineRule="auto"/>
        <w:tabs>
          <w:tab w:leader="none" w:pos="940" w:val="left"/>
        </w:tabs>
        <w:numPr>
          <w:ilvl w:val="0"/>
          <w:numId w:val="4"/>
        </w:numPr>
        <w:rPr>
          <w:rFonts w:ascii="Arial" w:cs="Arial" w:eastAsia="Arial" w:hAnsi="Arial"/>
          <w:sz w:val="14"/>
          <w:szCs w:val="14"/>
          <w:color w:val="auto"/>
        </w:rPr>
      </w:pPr>
      <w:r>
        <w:rPr>
          <w:rFonts w:ascii="Arial" w:cs="Arial" w:eastAsia="Arial" w:hAnsi="Arial"/>
          <w:sz w:val="14"/>
          <w:szCs w:val="14"/>
          <w:color w:val="auto"/>
        </w:rPr>
        <w:t>316,379 shares of common stock issuable upon the exercise of outstanding options under our 1999 Stock Incentive Plan and 2008 Stock Incentive Plan, with a weighted average exercise price of $9.71 per share, of which approximately 205,337 were exercisable as of March 4, 2016;</w:t>
      </w:r>
    </w:p>
    <w:p>
      <w:pPr>
        <w:spacing w:after="0" w:line="131" w:lineRule="exact"/>
        <w:rPr>
          <w:rFonts w:ascii="Arial" w:cs="Arial" w:eastAsia="Arial" w:hAnsi="Arial"/>
          <w:sz w:val="14"/>
          <w:szCs w:val="14"/>
          <w:color w:val="auto"/>
        </w:rPr>
      </w:pPr>
    </w:p>
    <w:p>
      <w:pPr>
        <w:ind w:left="940" w:right="20" w:hanging="466"/>
        <w:spacing w:after="0" w:line="283" w:lineRule="auto"/>
        <w:tabs>
          <w:tab w:leader="none" w:pos="940" w:val="left"/>
        </w:tabs>
        <w:numPr>
          <w:ilvl w:val="0"/>
          <w:numId w:val="4"/>
        </w:numPr>
        <w:rPr>
          <w:rFonts w:ascii="Arial" w:cs="Arial" w:eastAsia="Arial" w:hAnsi="Arial"/>
          <w:sz w:val="14"/>
          <w:szCs w:val="14"/>
          <w:color w:val="auto"/>
        </w:rPr>
      </w:pPr>
      <w:r>
        <w:rPr>
          <w:rFonts w:ascii="Arial" w:cs="Arial" w:eastAsia="Arial" w:hAnsi="Arial"/>
          <w:sz w:val="14"/>
          <w:szCs w:val="14"/>
          <w:color w:val="auto"/>
        </w:rPr>
        <w:t>316,379 shares of common stock issuable upon the exercise of outstanding options under our 1999 Stock Incentive Plan and 2008 Stock Incentive Plan, with a weighted average exercise price of $9.71 per share, of which approximately 205,337 were exercisable as of March 4, 2016;</w:t>
      </w:r>
    </w:p>
    <w:p>
      <w:pPr>
        <w:spacing w:after="0" w:line="131" w:lineRule="exact"/>
        <w:rPr>
          <w:rFonts w:ascii="Arial" w:cs="Arial" w:eastAsia="Arial" w:hAnsi="Arial"/>
          <w:sz w:val="14"/>
          <w:szCs w:val="14"/>
          <w:color w:val="auto"/>
        </w:rPr>
      </w:pPr>
    </w:p>
    <w:p>
      <w:pPr>
        <w:ind w:left="940" w:hanging="466"/>
        <w:spacing w:after="0"/>
        <w:tabs>
          <w:tab w:leader="none" w:pos="940" w:val="left"/>
        </w:tabs>
        <w:numPr>
          <w:ilvl w:val="0"/>
          <w:numId w:val="4"/>
        </w:numPr>
        <w:rPr>
          <w:rFonts w:ascii="Arial" w:cs="Arial" w:eastAsia="Arial" w:hAnsi="Arial"/>
          <w:sz w:val="14"/>
          <w:szCs w:val="14"/>
          <w:color w:val="auto"/>
        </w:rPr>
      </w:pPr>
      <w:r>
        <w:rPr>
          <w:rFonts w:ascii="Arial" w:cs="Arial" w:eastAsia="Arial" w:hAnsi="Arial"/>
          <w:sz w:val="14"/>
          <w:szCs w:val="14"/>
          <w:color w:val="auto"/>
        </w:rPr>
        <w:t>680,850 shares of common stock reserved for issuance in connection with future grants under our 2008 Stock Incentive Plan;</w:t>
      </w:r>
    </w:p>
    <w:p>
      <w:pPr>
        <w:spacing w:after="0" w:line="179" w:lineRule="exact"/>
        <w:rPr>
          <w:rFonts w:ascii="Arial" w:cs="Arial" w:eastAsia="Arial" w:hAnsi="Arial"/>
          <w:sz w:val="14"/>
          <w:szCs w:val="14"/>
          <w:color w:val="auto"/>
        </w:rPr>
      </w:pPr>
    </w:p>
    <w:p>
      <w:pPr>
        <w:ind w:left="940" w:right="360" w:hanging="466"/>
        <w:spacing w:after="0" w:line="283" w:lineRule="auto"/>
        <w:tabs>
          <w:tab w:leader="none" w:pos="940" w:val="left"/>
        </w:tabs>
        <w:numPr>
          <w:ilvl w:val="0"/>
          <w:numId w:val="4"/>
        </w:numPr>
        <w:rPr>
          <w:rFonts w:ascii="Arial" w:cs="Arial" w:eastAsia="Arial" w:hAnsi="Arial"/>
          <w:sz w:val="14"/>
          <w:szCs w:val="14"/>
          <w:color w:val="auto"/>
        </w:rPr>
      </w:pPr>
      <w:r>
        <w:rPr>
          <w:rFonts w:ascii="Arial" w:cs="Arial" w:eastAsia="Arial" w:hAnsi="Arial"/>
          <w:sz w:val="14"/>
          <w:szCs w:val="14"/>
          <w:color w:val="auto"/>
        </w:rPr>
        <w:t>1,707,222 shares of common stock that have been reserved for issuance upon exercise of outstanding warrants, which have exercise prices ranging from $7.00 per share to $20.00 per share, and a weighted average exercise price of $8.23 per share;</w:t>
      </w:r>
    </w:p>
    <w:p>
      <w:pPr>
        <w:spacing w:after="0" w:line="131" w:lineRule="exact"/>
        <w:rPr>
          <w:rFonts w:ascii="Arial" w:cs="Arial" w:eastAsia="Arial" w:hAnsi="Arial"/>
          <w:sz w:val="14"/>
          <w:szCs w:val="14"/>
          <w:color w:val="auto"/>
        </w:rPr>
      </w:pPr>
    </w:p>
    <w:p>
      <w:pPr>
        <w:ind w:left="940" w:hanging="466"/>
        <w:spacing w:after="0"/>
        <w:tabs>
          <w:tab w:leader="none" w:pos="940" w:val="left"/>
        </w:tabs>
        <w:numPr>
          <w:ilvl w:val="0"/>
          <w:numId w:val="4"/>
        </w:numPr>
        <w:rPr>
          <w:rFonts w:ascii="Arial" w:cs="Arial" w:eastAsia="Arial" w:hAnsi="Arial"/>
          <w:sz w:val="14"/>
          <w:szCs w:val="14"/>
          <w:color w:val="auto"/>
        </w:rPr>
      </w:pPr>
      <w:r>
        <w:rPr>
          <w:rFonts w:ascii="Arial" w:cs="Arial" w:eastAsia="Arial" w:hAnsi="Arial"/>
          <w:sz w:val="14"/>
          <w:szCs w:val="14"/>
          <w:color w:val="auto"/>
        </w:rPr>
        <w:t>750,000 shares of common stock reserved for issuance upon the exchange of Series A Preferred Stock (</w:t>
      </w:r>
      <w:r>
        <w:rPr>
          <w:rFonts w:ascii="Arial" w:cs="Arial" w:eastAsia="Arial" w:hAnsi="Arial"/>
          <w:sz w:val="14"/>
          <w:szCs w:val="14"/>
          <w:i w:val="1"/>
          <w:iCs w:val="1"/>
          <w:color w:val="auto"/>
        </w:rPr>
        <w:t>Series A Preferred</w:t>
      </w:r>
      <w:r>
        <w:rPr>
          <w:rFonts w:ascii="Arial" w:cs="Arial" w:eastAsia="Arial" w:hAnsi="Arial"/>
          <w:sz w:val="14"/>
          <w:szCs w:val="14"/>
          <w:color w:val="auto"/>
        </w:rPr>
        <w:t>);</w:t>
      </w:r>
    </w:p>
    <w:p>
      <w:pPr>
        <w:spacing w:after="0" w:line="179" w:lineRule="exact"/>
        <w:rPr>
          <w:rFonts w:ascii="Arial" w:cs="Arial" w:eastAsia="Arial" w:hAnsi="Arial"/>
          <w:sz w:val="14"/>
          <w:szCs w:val="14"/>
          <w:color w:val="auto"/>
        </w:rPr>
      </w:pPr>
    </w:p>
    <w:p>
      <w:pPr>
        <w:ind w:left="940" w:hanging="466"/>
        <w:spacing w:after="0"/>
        <w:tabs>
          <w:tab w:leader="none" w:pos="940" w:val="left"/>
        </w:tabs>
        <w:numPr>
          <w:ilvl w:val="0"/>
          <w:numId w:val="4"/>
        </w:numPr>
        <w:rPr>
          <w:rFonts w:ascii="Arial" w:cs="Arial" w:eastAsia="Arial" w:hAnsi="Arial"/>
          <w:sz w:val="14"/>
          <w:szCs w:val="14"/>
          <w:color w:val="auto"/>
        </w:rPr>
      </w:pPr>
      <w:r>
        <w:rPr>
          <w:rFonts w:ascii="Arial" w:cs="Arial" w:eastAsia="Arial" w:hAnsi="Arial"/>
          <w:sz w:val="14"/>
          <w:szCs w:val="14"/>
          <w:color w:val="auto"/>
        </w:rPr>
        <w:t>3,620,220 shares of common stock reserved for issuance upon the exchange of 10% Series B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w:t>
      </w:r>
    </w:p>
    <w:p>
      <w:pPr>
        <w:spacing w:after="0" w:line="179" w:lineRule="exact"/>
        <w:rPr>
          <w:rFonts w:ascii="Arial" w:cs="Arial" w:eastAsia="Arial" w:hAnsi="Arial"/>
          <w:sz w:val="14"/>
          <w:szCs w:val="14"/>
          <w:color w:val="auto"/>
        </w:rPr>
      </w:pPr>
    </w:p>
    <w:p>
      <w:pPr>
        <w:ind w:left="940" w:hanging="466"/>
        <w:spacing w:after="0"/>
        <w:tabs>
          <w:tab w:leader="none" w:pos="940" w:val="left"/>
        </w:tabs>
        <w:numPr>
          <w:ilvl w:val="0"/>
          <w:numId w:val="4"/>
        </w:numPr>
        <w:rPr>
          <w:rFonts w:ascii="Arial" w:cs="Arial" w:eastAsia="Arial" w:hAnsi="Arial"/>
          <w:sz w:val="14"/>
          <w:szCs w:val="14"/>
          <w:color w:val="auto"/>
        </w:rPr>
      </w:pPr>
      <w:r>
        <w:rPr>
          <w:rFonts w:ascii="Arial" w:cs="Arial" w:eastAsia="Arial" w:hAnsi="Arial"/>
          <w:sz w:val="14"/>
          <w:szCs w:val="14"/>
          <w:color w:val="auto"/>
        </w:rPr>
        <w:t>2,318,012 shares of common stock reserved for issuance upon the exchange of Series C Convertible Preferred Stock (</w:t>
      </w:r>
      <w:r>
        <w:rPr>
          <w:rFonts w:ascii="Arial" w:cs="Arial" w:eastAsia="Arial" w:hAnsi="Arial"/>
          <w:sz w:val="14"/>
          <w:szCs w:val="14"/>
          <w:i w:val="1"/>
          <w:iCs w:val="1"/>
          <w:color w:val="auto"/>
        </w:rPr>
        <w:t>Series C Preferred</w:t>
      </w:r>
      <w:r>
        <w:rPr>
          <w:rFonts w:ascii="Arial" w:cs="Arial" w:eastAsia="Arial" w:hAnsi="Arial"/>
          <w:sz w:val="14"/>
          <w:szCs w:val="14"/>
          <w:color w:val="auto"/>
        </w:rPr>
        <w:t>); and</w:t>
      </w:r>
    </w:p>
    <w:p>
      <w:pPr>
        <w:spacing w:after="0" w:line="179" w:lineRule="exact"/>
        <w:rPr>
          <w:rFonts w:ascii="Arial" w:cs="Arial" w:eastAsia="Arial" w:hAnsi="Arial"/>
          <w:sz w:val="14"/>
          <w:szCs w:val="14"/>
          <w:color w:val="auto"/>
        </w:rPr>
      </w:pPr>
    </w:p>
    <w:p>
      <w:pPr>
        <w:ind w:left="940" w:right="220" w:hanging="466"/>
        <w:spacing w:after="0" w:line="283" w:lineRule="auto"/>
        <w:tabs>
          <w:tab w:leader="none" w:pos="940" w:val="left"/>
        </w:tabs>
        <w:numPr>
          <w:ilvl w:val="0"/>
          <w:numId w:val="4"/>
        </w:numPr>
        <w:rPr>
          <w:rFonts w:ascii="Arial" w:cs="Arial" w:eastAsia="Arial" w:hAnsi="Arial"/>
          <w:sz w:val="14"/>
          <w:szCs w:val="14"/>
          <w:color w:val="auto"/>
        </w:rPr>
      </w:pPr>
      <w:r>
        <w:rPr>
          <w:rFonts w:ascii="Arial" w:cs="Arial" w:eastAsia="Arial" w:hAnsi="Arial"/>
          <w:sz w:val="14"/>
          <w:szCs w:val="14"/>
          <w:color w:val="auto"/>
        </w:rPr>
        <w:t>Up to [________] shares of common stock issuable upon exercise of warrants to be issued to the representatives in connection with this Offering at an exercise price equal to 125% of the per share offering price.</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Unless otherwise indicated, this prospectus reflects and assumes the following:</w:t>
      </w:r>
    </w:p>
    <w:p>
      <w:pPr>
        <w:spacing w:after="0" w:line="180" w:lineRule="exact"/>
        <w:rPr>
          <w:sz w:val="20"/>
          <w:szCs w:val="20"/>
          <w:color w:val="auto"/>
        </w:rPr>
      </w:pPr>
    </w:p>
    <w:p>
      <w:pPr>
        <w:ind w:left="940" w:hanging="466"/>
        <w:spacing w:after="0"/>
        <w:tabs>
          <w:tab w:leader="none" w:pos="9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no exercise of options or warrants outstanding as of March 4, 2015;</w:t>
      </w:r>
    </w:p>
    <w:p>
      <w:pPr>
        <w:spacing w:after="0" w:line="179" w:lineRule="exact"/>
        <w:rPr>
          <w:rFonts w:ascii="Arial" w:cs="Arial" w:eastAsia="Arial" w:hAnsi="Arial"/>
          <w:sz w:val="14"/>
          <w:szCs w:val="14"/>
          <w:color w:val="auto"/>
        </w:rPr>
      </w:pPr>
    </w:p>
    <w:p>
      <w:pPr>
        <w:ind w:left="940" w:right="200" w:hanging="466"/>
        <w:spacing w:after="0" w:line="283" w:lineRule="auto"/>
        <w:tabs>
          <w:tab w:leader="none" w:pos="9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automatic conversion of approximately [_________] shares of our Series B Preferred, which conversions, subject to certain ownership limitations, will automatically take place upon consummation of the Offering; and</w:t>
      </w:r>
    </w:p>
    <w:p>
      <w:pPr>
        <w:spacing w:after="0" w:line="131" w:lineRule="exact"/>
        <w:rPr>
          <w:rFonts w:ascii="Arial" w:cs="Arial" w:eastAsia="Arial" w:hAnsi="Arial"/>
          <w:sz w:val="14"/>
          <w:szCs w:val="14"/>
          <w:color w:val="auto"/>
        </w:rPr>
      </w:pPr>
    </w:p>
    <w:p>
      <w:pPr>
        <w:ind w:left="940" w:right="720" w:hanging="466"/>
        <w:spacing w:after="0" w:line="283" w:lineRule="auto"/>
        <w:tabs>
          <w:tab w:leader="none" w:pos="9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no exercise by the underwriters of their option to purchase up to [_______] additional shares of common stock from us, and no exercise of the warrants issued to the representatives in connection with this Offering.</w:t>
      </w:r>
    </w:p>
    <w:p>
      <w:pPr>
        <w:spacing w:after="0" w:line="200" w:lineRule="exact"/>
        <w:rPr>
          <w:sz w:val="20"/>
          <w:szCs w:val="20"/>
          <w:color w:val="auto"/>
        </w:rPr>
      </w:pPr>
    </w:p>
    <w:p>
      <w:pPr>
        <w:spacing w:after="0" w:line="262"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000"/>
          </w:cols>
          <w:pgMar w:left="220" w:top="133" w:right="679" w:bottom="1440" w:gutter="0" w:footer="0" w:header="0"/>
          <w:type w:val="continuous"/>
        </w:sectPr>
      </w:pPr>
    </w:p>
    <w:bookmarkStart w:id="9" w:name="page10"/>
    <w:bookmarkEnd w:id="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132715</wp:posOffset>
            </wp:positionV>
            <wp:extent cx="7126605" cy="6436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6605" cy="6436995"/>
                    </a:xfrm>
                    <a:prstGeom prst="rect">
                      <a:avLst/>
                    </a:prstGeom>
                    <a:noFill/>
                  </pic:spPr>
                </pic:pic>
              </a:graphicData>
            </a:graphic>
          </wp:anchor>
        </w:drawing>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SUMMARY CONSOLIDATED FINANCIAL DATA</w:t>
      </w:r>
    </w:p>
    <w:p>
      <w:pPr>
        <w:spacing w:after="0" w:line="184" w:lineRule="exact"/>
        <w:rPr>
          <w:sz w:val="20"/>
          <w:szCs w:val="20"/>
          <w:color w:val="auto"/>
        </w:rPr>
      </w:pPr>
    </w:p>
    <w:p>
      <w:pPr>
        <w:ind w:left="480" w:right="580"/>
        <w:spacing w:after="0" w:line="258" w:lineRule="auto"/>
        <w:rPr>
          <w:sz w:val="20"/>
          <w:szCs w:val="20"/>
          <w:color w:val="auto"/>
        </w:rPr>
      </w:pPr>
      <w:r>
        <w:rPr>
          <w:rFonts w:ascii="Arial" w:cs="Arial" w:eastAsia="Arial" w:hAnsi="Arial"/>
          <w:sz w:val="14"/>
          <w:szCs w:val="14"/>
          <w:color w:val="auto"/>
        </w:rPr>
        <w:t>The following tables summarize our consolidated financial data. We have derived the summary consolidated statement of operations data for the years ended March 31, 2015 and 2014 from our audited consolidated financial statements included elsewhere in this prospectus. We have derived the summary consolidated statement of operations data for the nine-months ended December 31, 2015 and 2014 and our balance sheet data as of December 31, 2015 from our unaudited interim consolidated financial statements included elsewhere in this prospectus. The unaudited interim consolidated financial statements have been prepared on the same basis as the audited consolidated financial statements and reflect, in our opinion, only adjustments of a normal, recurring nature that are necessary for a fair statement of the unaudited interim consolidated financial statements. Our results for the nine months ended December 31, 2015 are not necessarily indicative of results to be expected for the full year or any other period. The following summary consolidated financial data should be read in conjunction with the section titled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and our consolidated financial statements and related notes included elsewhere in this prospectus.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1"/>
              </w:rPr>
              <w:t>Fiscal Year Ended</w:t>
            </w:r>
          </w:p>
        </w:tc>
        <w:tc>
          <w:tcPr>
            <w:tcW w:w="220" w:type="dxa"/>
            <w:vAlign w:val="bottom"/>
          </w:tcPr>
          <w:p>
            <w:pPr>
              <w:spacing w:after="0"/>
              <w:rPr>
                <w:sz w:val="14"/>
                <w:szCs w:val="14"/>
                <w:color w:val="auto"/>
              </w:rPr>
            </w:pPr>
          </w:p>
        </w:tc>
        <w:tc>
          <w:tcPr>
            <w:tcW w:w="1700" w:type="dxa"/>
            <w:vAlign w:val="bottom"/>
            <w:gridSpan w:val="4"/>
          </w:tcPr>
          <w:p>
            <w:pPr>
              <w:jc w:val="center"/>
              <w:ind w:left="289"/>
              <w:spacing w:after="0"/>
              <w:rPr>
                <w:sz w:val="20"/>
                <w:szCs w:val="20"/>
                <w:color w:val="auto"/>
              </w:rPr>
            </w:pPr>
            <w:r>
              <w:rPr>
                <w:rFonts w:ascii="Arial" w:cs="Arial" w:eastAsia="Arial" w:hAnsi="Arial"/>
                <w:sz w:val="14"/>
                <w:szCs w:val="14"/>
                <w:b w:val="1"/>
                <w:bCs w:val="1"/>
                <w:color w:val="auto"/>
                <w:w w:val="92"/>
              </w:rPr>
              <w:t>Nine-Months Ended</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left="589"/>
              <w:spacing w:after="0"/>
              <w:rPr>
                <w:sz w:val="20"/>
                <w:szCs w:val="20"/>
                <w:color w:val="auto"/>
              </w:rPr>
            </w:pPr>
            <w:r>
              <w:rPr>
                <w:rFonts w:ascii="Arial" w:cs="Arial" w:eastAsia="Arial" w:hAnsi="Arial"/>
                <w:sz w:val="14"/>
                <w:szCs w:val="14"/>
                <w:b w:val="1"/>
                <w:bCs w:val="1"/>
                <w:color w:val="auto"/>
                <w:w w:val="95"/>
              </w:rPr>
              <w:t>March 31,</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left="269"/>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b w:val="1"/>
                <w:bCs w:val="1"/>
                <w:color w:val="auto"/>
              </w:rPr>
              <w:t>Consolidated Statement of Operations Data:</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spacing w:after="0"/>
              <w:rPr>
                <w:sz w:val="20"/>
                <w:szCs w:val="20"/>
                <w:color w:val="auto"/>
              </w:rPr>
            </w:pPr>
            <w:r>
              <w:rPr>
                <w:rFonts w:ascii="Arial" w:cs="Arial" w:eastAsia="Arial" w:hAnsi="Arial"/>
                <w:sz w:val="14"/>
                <w:szCs w:val="14"/>
                <w:b w:val="1"/>
                <w:bCs w:val="1"/>
                <w:color w:val="auto"/>
                <w:w w:val="92"/>
              </w:rPr>
              <w:t>(in thousands, except per share amounts)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Operating expenses: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Research and development</w:t>
            </w:r>
          </w:p>
        </w:tc>
        <w:tc>
          <w:tcPr>
            <w:tcW w:w="8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2,433</w:t>
            </w:r>
          </w:p>
        </w:tc>
        <w:tc>
          <w:tcPr>
            <w:tcW w:w="14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2,481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2,835</w:t>
            </w:r>
          </w:p>
        </w:tc>
        <w:tc>
          <w:tcPr>
            <w:tcW w:w="80" w:type="dxa"/>
            <w:vAlign w:val="bottom"/>
          </w:tcPr>
          <w:p>
            <w:pPr>
              <w:spacing w:after="0"/>
              <w:rPr>
                <w:sz w:val="14"/>
                <w:szCs w:val="14"/>
                <w:color w:val="auto"/>
              </w:rPr>
            </w:pPr>
          </w:p>
        </w:tc>
        <w:tc>
          <w:tcPr>
            <w:tcW w:w="700" w:type="dxa"/>
            <w:vAlign w:val="bottom"/>
            <w:gridSpan w:val="2"/>
          </w:tcPr>
          <w:p>
            <w:pPr>
              <w:jc w:val="center"/>
              <w:ind w:right="26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General and administrative</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2,548</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
        </w:trPr>
        <w:tc>
          <w:tcPr>
            <w:tcW w:w="5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Total operating expenses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5,029</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from operations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(6,777)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(5,029)</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(9,350)</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Other expenses, net: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Interest expense, net</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(1,503)</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Change in warrant liabilities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3,567</w:t>
            </w: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(1,895)</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on early extinguishment of debt</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(26,700)</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(2,371)</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Other expense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Loss before income taxes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(13,884)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(2,965)</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(38,717)</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Income taxes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loss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(13,886)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(2,968)</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(38,719)</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Accrued dividend on Series B Preferred Stock</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(1,459)</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Deemed dividend on Series B Preferred Units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(1,812)</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5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Net loss attributable to common stockholders</w:t>
            </w:r>
          </w:p>
        </w:tc>
        <w:tc>
          <w:tcPr>
            <w:tcW w:w="54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(13,886)</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(2,968)</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(41,990)</w:t>
            </w:r>
          </w:p>
        </w:tc>
        <w:tc>
          <w:tcPr>
            <w:tcW w:w="700" w:type="dxa"/>
            <w:vAlign w:val="bottom"/>
            <w:gridSpan w:val="2"/>
          </w:tcPr>
          <w:p>
            <w:pPr>
              <w:jc w:val="center"/>
              <w:ind w:right="26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8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(10.53)</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(2.70)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(25.45)</w:t>
            </w:r>
          </w:p>
        </w:tc>
        <w:tc>
          <w:tcPr>
            <w:tcW w:w="700" w:type="dxa"/>
            <w:vAlign w:val="bottom"/>
            <w:gridSpan w:val="2"/>
          </w:tcPr>
          <w:p>
            <w:pPr>
              <w:jc w:val="center"/>
              <w:ind w:right="26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80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(10.61)</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(3.81)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(25.45)</w:t>
            </w:r>
          </w:p>
        </w:tc>
        <w:tc>
          <w:tcPr>
            <w:tcW w:w="700" w:type="dxa"/>
            <w:vAlign w:val="bottom"/>
            <w:gridSpan w:val="2"/>
          </w:tcPr>
          <w:p>
            <w:pPr>
              <w:jc w:val="center"/>
              <w:ind w:right="26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Weighted average shares used in computing:</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1,318,797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1,098,742</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1,650,160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w w:val="86"/>
              </w:rPr>
              <w:t>1,270,495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00" w:type="dxa"/>
            <w:vAlign w:val="bottom"/>
          </w:tcPr>
          <w:p>
            <w:pPr>
              <w:ind w:left="480"/>
              <w:spacing w:after="0" w:line="153" w:lineRule="exact"/>
              <w:rPr>
                <w:sz w:val="20"/>
                <w:szCs w:val="20"/>
                <w:color w:val="auto"/>
              </w:rPr>
            </w:pPr>
            <w:r>
              <w:rPr>
                <w:rFonts w:ascii="Arial" w:cs="Arial" w:eastAsia="Arial" w:hAnsi="Arial"/>
                <w:sz w:val="14"/>
                <w:szCs w:val="14"/>
                <w:color w:val="auto"/>
              </w:rPr>
              <w:t>Diluted net loss attributable to common stockholders per common share</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3" w:lineRule="exact"/>
              <w:rPr>
                <w:sz w:val="20"/>
                <w:szCs w:val="20"/>
                <w:color w:val="auto"/>
              </w:rPr>
            </w:pPr>
            <w:r>
              <w:rPr>
                <w:rFonts w:ascii="Arial" w:cs="Arial" w:eastAsia="Arial" w:hAnsi="Arial"/>
                <w:sz w:val="14"/>
                <w:szCs w:val="14"/>
                <w:color w:val="auto"/>
              </w:rPr>
              <w:t>1,318,797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240"/>
              <w:spacing w:after="0" w:line="153" w:lineRule="exact"/>
              <w:rPr>
                <w:sz w:val="20"/>
                <w:szCs w:val="20"/>
                <w:color w:val="auto"/>
              </w:rPr>
            </w:pPr>
            <w:r>
              <w:rPr>
                <w:rFonts w:ascii="Arial" w:cs="Arial" w:eastAsia="Arial" w:hAnsi="Arial"/>
                <w:sz w:val="14"/>
                <w:szCs w:val="14"/>
                <w:color w:val="auto"/>
              </w:rPr>
              <w:t>1,099,216</w:t>
            </w:r>
          </w:p>
        </w:tc>
        <w:tc>
          <w:tcPr>
            <w:tcW w:w="22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Arial" w:cs="Arial" w:eastAsia="Arial" w:hAnsi="Arial"/>
                <w:sz w:val="14"/>
                <w:szCs w:val="14"/>
                <w:color w:val="auto"/>
              </w:rPr>
              <w:t>1,650,160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gridSpan w:val="2"/>
          </w:tcPr>
          <w:p>
            <w:pPr>
              <w:jc w:val="right"/>
              <w:ind w:right="560"/>
              <w:spacing w:after="0" w:line="153" w:lineRule="exact"/>
              <w:rPr>
                <w:sz w:val="20"/>
                <w:szCs w:val="20"/>
                <w:color w:val="auto"/>
              </w:rPr>
            </w:pPr>
            <w:r>
              <w:rPr>
                <w:rFonts w:ascii="Arial" w:cs="Arial" w:eastAsia="Arial" w:hAnsi="Arial"/>
                <w:sz w:val="14"/>
                <w:szCs w:val="14"/>
                <w:color w:val="auto"/>
                <w:w w:val="86"/>
              </w:rPr>
              <w:t>1,288,674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700" w:type="dxa"/>
            <w:vAlign w:val="bottom"/>
            <w:gridSpan w:val="4"/>
          </w:tcPr>
          <w:p>
            <w:pPr>
              <w:jc w:val="center"/>
              <w:ind w:left="389"/>
              <w:spacing w:after="0"/>
              <w:rPr>
                <w:sz w:val="20"/>
                <w:szCs w:val="20"/>
                <w:color w:val="auto"/>
              </w:rPr>
            </w:pPr>
            <w:r>
              <w:rPr>
                <w:rFonts w:ascii="Arial" w:cs="Arial" w:eastAsia="Arial" w:hAnsi="Arial"/>
                <w:sz w:val="14"/>
                <w:szCs w:val="14"/>
                <w:b w:val="1"/>
                <w:bCs w:val="1"/>
                <w:color w:val="auto"/>
                <w:w w:val="89"/>
              </w:rPr>
              <w:t>Dececmber 31, 2015</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line="185" w:lineRule="exact"/>
              <w:rPr>
                <w:sz w:val="20"/>
                <w:szCs w:val="20"/>
                <w:color w:val="auto"/>
              </w:rPr>
            </w:pPr>
            <w:r>
              <w:rPr>
                <w:rFonts w:ascii="Arial" w:cs="Arial" w:eastAsia="Arial" w:hAnsi="Arial"/>
                <w:sz w:val="14"/>
                <w:szCs w:val="14"/>
                <w:b w:val="1"/>
                <w:bCs w:val="1"/>
                <w:color w:val="auto"/>
                <w:w w:val="91"/>
              </w:rPr>
              <w:t>Pro Forma</w:t>
            </w:r>
            <w:r>
              <w:rPr>
                <w:rFonts w:ascii="Arial" w:cs="Arial" w:eastAsia="Arial" w:hAnsi="Arial"/>
                <w:sz w:val="19"/>
                <w:szCs w:val="19"/>
                <w:b w:val="1"/>
                <w:bCs w:val="1"/>
                <w:color w:val="auto"/>
                <w:w w:val="91"/>
                <w:vertAlign w:val="superscript"/>
              </w:rPr>
              <w:t>(1)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Consolidated Balance Sheet Data:</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3"/>
          </w:tcPr>
          <w:p>
            <w:pPr>
              <w:jc w:val="center"/>
              <w:ind w:right="169"/>
              <w:spacing w:after="0"/>
              <w:rPr>
                <w:sz w:val="20"/>
                <w:szCs w:val="20"/>
                <w:color w:val="auto"/>
              </w:rPr>
            </w:pPr>
            <w:r>
              <w:rPr>
                <w:rFonts w:ascii="Arial" w:cs="Arial" w:eastAsia="Arial" w:hAnsi="Arial"/>
                <w:sz w:val="14"/>
                <w:szCs w:val="14"/>
                <w:b w:val="1"/>
                <w:bCs w:val="1"/>
                <w:color w:val="auto"/>
                <w:w w:val="71"/>
              </w:rPr>
              <w:t>thousands)</w:t>
            </w: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Cash and cash equivalents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right="26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Total assets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270</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2,012</w:t>
            </w:r>
          </w:p>
        </w:tc>
        <w:tc>
          <w:tcPr>
            <w:tcW w:w="80" w:type="dxa"/>
            <w:vAlign w:val="bottom"/>
          </w:tcPr>
          <w:p>
            <w:pPr>
              <w:spacing w:after="0"/>
              <w:rPr>
                <w:sz w:val="14"/>
                <w:szCs w:val="14"/>
                <w:color w:val="auto"/>
              </w:rPr>
            </w:pPr>
          </w:p>
        </w:tc>
        <w:tc>
          <w:tcPr>
            <w:tcW w:w="700" w:type="dxa"/>
            <w:vAlign w:val="bottom"/>
            <w:gridSpan w:val="2"/>
          </w:tcPr>
          <w:p>
            <w:pPr>
              <w:jc w:val="center"/>
              <w:ind w:right="269"/>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Current portion of notes payable</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13,930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right="26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ind w:left="480"/>
              <w:spacing w:after="0"/>
              <w:rPr>
                <w:sz w:val="20"/>
                <w:szCs w:val="20"/>
                <w:color w:val="auto"/>
              </w:rPr>
            </w:pPr>
            <w:r>
              <w:rPr>
                <w:rFonts w:ascii="Arial" w:cs="Arial" w:eastAsia="Arial" w:hAnsi="Arial"/>
                <w:sz w:val="14"/>
                <w:szCs w:val="14"/>
                <w:color w:val="auto"/>
              </w:rPr>
              <w:t>Working capital</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(17,282)</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(215)</w:t>
            </w:r>
          </w:p>
        </w:tc>
        <w:tc>
          <w:tcPr>
            <w:tcW w:w="700" w:type="dxa"/>
            <w:vAlign w:val="bottom"/>
            <w:gridSpan w:val="2"/>
          </w:tcPr>
          <w:p>
            <w:pPr>
              <w:jc w:val="center"/>
              <w:ind w:right="269"/>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Common stock and preferred stock and additional paid-in capital</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67,948</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125,611</w:t>
            </w:r>
          </w:p>
        </w:tc>
        <w:tc>
          <w:tcPr>
            <w:tcW w:w="700" w:type="dxa"/>
            <w:vAlign w:val="bottom"/>
            <w:gridSpan w:val="2"/>
            <w:shd w:val="clear" w:color="auto" w:fill="CCEEFF"/>
          </w:tcPr>
          <w:p>
            <w:pPr>
              <w:jc w:val="center"/>
              <w:ind w:right="26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480"/>
              <w:spacing w:after="0"/>
              <w:rPr>
                <w:sz w:val="20"/>
                <w:szCs w:val="20"/>
                <w:color w:val="auto"/>
              </w:rPr>
            </w:pPr>
            <w:r>
              <w:rPr>
                <w:rFonts w:ascii="Arial" w:cs="Arial" w:eastAsia="Arial" w:hAnsi="Arial"/>
                <w:sz w:val="14"/>
                <w:szCs w:val="14"/>
                <w:color w:val="auto"/>
              </w:rPr>
              <w:t>Total stockholders’ deficit</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(20,543)</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(1,598)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-4225290</wp:posOffset>
            </wp:positionV>
            <wp:extent cx="148590" cy="4773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8590" cy="4773930"/>
                    </a:xfrm>
                    <a:prstGeom prst="rect">
                      <a:avLst/>
                    </a:prstGeom>
                    <a:noFill/>
                  </pic:spPr>
                </pic:pic>
              </a:graphicData>
            </a:graphic>
          </wp:anchor>
        </w:drawing>
      </w:r>
    </w:p>
    <w:p>
      <w:pPr>
        <w:spacing w:after="0" w:line="130" w:lineRule="exact"/>
        <w:rPr>
          <w:sz w:val="20"/>
          <w:szCs w:val="20"/>
          <w:color w:val="auto"/>
        </w:rPr>
      </w:pPr>
    </w:p>
    <w:p>
      <w:pPr>
        <w:ind w:left="940" w:right="460" w:hanging="466"/>
        <w:spacing w:after="0" w:line="226" w:lineRule="auto"/>
        <w:tabs>
          <w:tab w:leader="none" w:pos="940" w:val="left"/>
        </w:tabs>
        <w:numPr>
          <w:ilvl w:val="0"/>
          <w:numId w:val="6"/>
        </w:numPr>
        <w:rPr>
          <w:rFonts w:ascii="Arial" w:cs="Arial" w:eastAsia="Arial" w:hAnsi="Arial"/>
          <w:sz w:val="20"/>
          <w:szCs w:val="20"/>
          <w:color w:val="auto"/>
          <w:vertAlign w:val="superscript"/>
        </w:rPr>
      </w:pPr>
      <w:r>
        <w:rPr>
          <w:rFonts w:ascii="Arial" w:cs="Arial" w:eastAsia="Arial" w:hAnsi="Arial"/>
          <w:sz w:val="14"/>
          <w:szCs w:val="14"/>
          <w:color w:val="auto"/>
        </w:rPr>
        <w:t>The pro forma column gives effect to the sale and issuance by us of [_________] shares of our common stock in this Offering, assuming an offering price of $[___] per share (the last reported sale price of our common stock on the OTCQB on [ ], 2016), after deducting underwriting discounts and commissions and estimated offering expenses payable by us.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 w:name="page11"/>
    <w:bookmarkEnd w:id="1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 FACTORS</w:t>
      </w:r>
    </w:p>
    <w:p>
      <w:pPr>
        <w:spacing w:after="0" w:line="184" w:lineRule="exact"/>
        <w:rPr>
          <w:sz w:val="20"/>
          <w:szCs w:val="20"/>
          <w:color w:val="auto"/>
        </w:rPr>
      </w:pPr>
    </w:p>
    <w:p>
      <w:pPr>
        <w:ind w:right="360"/>
        <w:spacing w:after="0" w:line="268" w:lineRule="auto"/>
        <w:rPr>
          <w:sz w:val="20"/>
          <w:szCs w:val="20"/>
          <w:color w:val="auto"/>
        </w:rPr>
      </w:pPr>
      <w:r>
        <w:rPr>
          <w:rFonts w:ascii="Arial" w:cs="Arial" w:eastAsia="Arial" w:hAnsi="Arial"/>
          <w:sz w:val="14"/>
          <w:szCs w:val="14"/>
          <w:i w:val="1"/>
          <w:iCs w:val="1"/>
          <w:color w:val="auto"/>
        </w:rPr>
        <w:t>Investing in our securities involves a high degree of risk. You should consider carefully the risks and uncertainties described below, together with all of the other information in this prospectus, including our financial statements and related notes, before deciding whether to purchase securities in the Offering. If any of the following risks are realized, our business, financial condition and results of operations could be materially and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Product Development, Regulatory Approval and Commercialization</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224"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MDD, and various other diseases and disorders involving the CNS, as well as our ability to produce, develop and commercialize NCEs from our drug rescue programs. AV-101 will require substantial additional Phase 2 and Phase 3 clinical development, testing and regulatory approval before we are permitted to commence its commercialization and is unlikely to achieve regulatory approval until at least 2020, if at all. Each drug rescue NCE will require substantial non-clinical development, all phases of clinical development, and regulatory approval before we are permitted to commence its commercialization. The non-clinical studies and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studies or clinical trials.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FDA regulatory approval process and will be commercialized. Accordingly, even if we are able to obtain the requisite financing to continue to fund our non-clinical studies and clinical trials, we cannot assure you that AV-101, any drug rescue NCE, or any other product candidate will be successfully developed or commercialized.</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are not permitted to market our product candidates in the United States until we receive approval of a New Drug Application (</w:t>
      </w:r>
      <w:r>
        <w:rPr>
          <w:rFonts w:ascii="Arial" w:cs="Arial" w:eastAsia="Arial" w:hAnsi="Arial"/>
          <w:sz w:val="14"/>
          <w:szCs w:val="14"/>
          <w:i w:val="1"/>
          <w:iCs w:val="1"/>
          <w:color w:val="auto"/>
        </w:rPr>
        <w:t>NDA</w:t>
      </w:r>
      <w:r>
        <w:rPr>
          <w:rFonts w:ascii="Arial" w:cs="Arial" w:eastAsia="Arial" w:hAnsi="Arial"/>
          <w:sz w:val="14"/>
          <w:szCs w:val="14"/>
          <w:color w:val="auto"/>
        </w:rPr>
        <w:t>) from the FDA, or in any foreign countries until we receive the requisite approval from such countries. In late 2015, in collaboration with the NIMH under our CRADA, we began a Phase 2a clinical trial involving AV-101, to study its safety, tolerability and efficacy in patients with MDD. If our Phase 2a clinical trial of AV-101 is successful, we expect the FDA to require us to complete at least one pivotal Phase 2B clinical trial and at least one pivotal Phase 3 clinical trial in order to submit an NDA for AV-101 as an adjunctive treatment for MDD. However, the FDA may require that we conduct more than one Phase 2B clinical study and more than one Phase 3 pivotal trial of AV-101 before we can submit an NDA. The FDA may also require that we conduct additional toxicity studies and additional non-clinical studies before submitting an NDA for AV-101.</w:t>
      </w:r>
    </w:p>
    <w:p>
      <w:pPr>
        <w:spacing w:after="0" w:line="150"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Obtaining FDA approval of an NDA is a complex, lengthy, expensive and uncertain process, and the FDA may delay, limit or deny approval of AV-101 or any of our product candidates for many reasons, including, among others:</w:t>
      </w:r>
    </w:p>
    <w:p>
      <w:pPr>
        <w:spacing w:after="0" w:line="131" w:lineRule="exact"/>
        <w:rPr>
          <w:sz w:val="20"/>
          <w:szCs w:val="20"/>
          <w:color w:val="auto"/>
        </w:rPr>
      </w:pPr>
    </w:p>
    <w:p>
      <w:pPr>
        <w:ind w:left="480" w:hanging="475"/>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may not be able to demonstrate that our product candidate is safe and effective in treating a human disease or disorder, to the satisfaction of the FDA;</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results of our non-clinical studies and clinical trials may not meet the level of statistical or clinical significance required by the FDA for marketing approval;</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FDA may disagree with the number, design, size, conduct or implementation of our non-clinical studies and clinical trials;</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FDA may require that we conduct additional non-clinical studies and clinical trials;</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FDA or the applicable foreign regulatory agency may not approve the formulation, labeling or specifications of any of our product candidates;</w:t>
      </w:r>
    </w:p>
    <w:p>
      <w:pPr>
        <w:spacing w:after="0" w:line="201" w:lineRule="exact"/>
        <w:rPr>
          <w:rFonts w:ascii="Arial" w:cs="Arial" w:eastAsia="Arial" w:hAnsi="Arial"/>
          <w:sz w:val="14"/>
          <w:szCs w:val="14"/>
          <w:color w:val="auto"/>
        </w:rPr>
      </w:pPr>
    </w:p>
    <w:p>
      <w:pPr>
        <w:ind w:left="480" w:right="80" w:hanging="475"/>
        <w:spacing w:after="0" w:line="283" w:lineRule="auto"/>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contract research organizations (</w:t>
      </w:r>
      <w:r>
        <w:rPr>
          <w:rFonts w:ascii="Arial" w:cs="Arial" w:eastAsia="Arial" w:hAnsi="Arial"/>
          <w:sz w:val="14"/>
          <w:szCs w:val="14"/>
          <w:i w:val="1"/>
          <w:iCs w:val="1"/>
          <w:color w:val="auto"/>
        </w:rPr>
        <w:t>CROs</w:t>
      </w:r>
      <w:r>
        <w:rPr>
          <w:rFonts w:ascii="Arial" w:cs="Arial" w:eastAsia="Arial" w:hAnsi="Arial"/>
          <w:sz w:val="14"/>
          <w:szCs w:val="14"/>
          <w:color w:val="auto"/>
        </w:rPr>
        <w:t>) that we retain to conduct our non-clinical studies and clinical trials may take actions outside of our control that materially adversely impact our non-clinical studies and clinical trials;</w:t>
      </w:r>
    </w:p>
    <w:p>
      <w:pPr>
        <w:spacing w:after="0" w:line="152" w:lineRule="exact"/>
        <w:rPr>
          <w:rFonts w:ascii="Arial" w:cs="Arial" w:eastAsia="Arial" w:hAnsi="Arial"/>
          <w:sz w:val="14"/>
          <w:szCs w:val="14"/>
          <w:color w:val="auto"/>
        </w:rPr>
      </w:pPr>
    </w:p>
    <w:p>
      <w:pPr>
        <w:ind w:left="480" w:hanging="475"/>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FDA may find the data from non-clinical studies and clinical trials insufficient to demonstrate that our product candidates’ clinical and other benefits outweigh their safety risks;</w:t>
      </w:r>
    </w:p>
    <w:p>
      <w:pPr>
        <w:spacing w:after="0" w:line="212" w:lineRule="exact"/>
        <w:rPr>
          <w:rFonts w:ascii="Arial" w:cs="Arial" w:eastAsia="Arial" w:hAnsi="Arial"/>
          <w:sz w:val="13"/>
          <w:szCs w:val="13"/>
          <w:color w:val="auto"/>
        </w:rPr>
      </w:pPr>
    </w:p>
    <w:p>
      <w:pPr>
        <w:ind w:left="480" w:hanging="475"/>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FDA may disagree with our interpretation of data from our non-clinical studies and clinical trials;</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FDA may not accept data generated at our non-clinical studies and clinical trial sites;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1" w:name="page12"/>
    <w:bookmarkEnd w:id="1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480" w:right="60" w:hanging="475"/>
        <w:spacing w:after="0" w:line="268" w:lineRule="auto"/>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142" w:lineRule="exact"/>
        <w:rPr>
          <w:rFonts w:ascii="Arial" w:cs="Arial" w:eastAsia="Arial" w:hAnsi="Arial"/>
          <w:sz w:val="14"/>
          <w:szCs w:val="14"/>
          <w:color w:val="auto"/>
        </w:rPr>
      </w:pPr>
    </w:p>
    <w:p>
      <w:pPr>
        <w:ind w:left="480" w:hanging="475"/>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FDA may require development of a Risk Evaluation and Mitigation Strategy (</w:t>
      </w:r>
      <w:r>
        <w:rPr>
          <w:rFonts w:ascii="Arial" w:cs="Arial" w:eastAsia="Arial" w:hAnsi="Arial"/>
          <w:sz w:val="14"/>
          <w:szCs w:val="14"/>
          <w:i w:val="1"/>
          <w:iCs w:val="1"/>
          <w:color w:val="auto"/>
        </w:rPr>
        <w:t>REMS</w:t>
      </w:r>
      <w:r>
        <w:rPr>
          <w:rFonts w:ascii="Arial" w:cs="Arial" w:eastAsia="Arial" w:hAnsi="Arial"/>
          <w:sz w:val="14"/>
          <w:szCs w:val="14"/>
          <w:color w:val="auto"/>
        </w:rPr>
        <w:t>) as a condition of approval or post-approval;</w:t>
      </w:r>
    </w:p>
    <w:p>
      <w:pPr>
        <w:spacing w:after="0" w:line="179" w:lineRule="exact"/>
        <w:rPr>
          <w:rFonts w:ascii="Arial" w:cs="Arial" w:eastAsia="Arial" w:hAnsi="Arial"/>
          <w:sz w:val="14"/>
          <w:szCs w:val="14"/>
          <w:color w:val="auto"/>
        </w:rPr>
      </w:pPr>
    </w:p>
    <w:p>
      <w:pPr>
        <w:ind w:left="480" w:right="100" w:hanging="475"/>
        <w:spacing w:after="0" w:line="283" w:lineRule="auto"/>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4"/>
          <w:szCs w:val="14"/>
          <w:i w:val="1"/>
          <w:iCs w:val="1"/>
          <w:color w:val="auto"/>
        </w:rPr>
        <w:t>cGMPs</w:t>
      </w:r>
      <w:r>
        <w:rPr>
          <w:rFonts w:ascii="Arial" w:cs="Arial" w:eastAsia="Arial" w:hAnsi="Arial"/>
          <w:sz w:val="14"/>
          <w:szCs w:val="14"/>
          <w:color w:val="auto"/>
        </w:rPr>
        <w:t>); or</w:t>
      </w:r>
    </w:p>
    <w:p>
      <w:pPr>
        <w:spacing w:after="0" w:line="152" w:lineRule="exact"/>
        <w:rPr>
          <w:rFonts w:ascii="Arial" w:cs="Arial" w:eastAsia="Arial" w:hAnsi="Arial"/>
          <w:sz w:val="14"/>
          <w:szCs w:val="14"/>
          <w:color w:val="auto"/>
        </w:rPr>
      </w:pPr>
    </w:p>
    <w:p>
      <w:pPr>
        <w:ind w:left="480" w:hanging="475"/>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FDA or applicable foreign regulatory agency may change its approval policies or adopt new regulations.</w:t>
      </w:r>
    </w:p>
    <w:p>
      <w:pPr>
        <w:spacing w:after="0" w:line="201"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would have a material adverse effect on our business and prospects.</w:t>
      </w:r>
    </w:p>
    <w:p>
      <w:pPr>
        <w:spacing w:after="0" w:line="153"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b w:val="1"/>
          <w:bCs w:val="1"/>
          <w:i w:val="1"/>
          <w:iCs w:val="1"/>
          <w:color w:val="auto"/>
        </w:rPr>
        <w:t>We intend to seek a Fast Track designation from the FDA for AV-101 for treatment of MDD. Even if the FDA approves Fast Track designation for AV-101 for treatment of MDD, it may not actually lead to a faster development or regulatory review or approval process.</w:t>
      </w:r>
    </w:p>
    <w:p>
      <w:pPr>
        <w:spacing w:after="0" w:line="153"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agency.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67" w:lineRule="exact"/>
        <w:rPr>
          <w:sz w:val="20"/>
          <w:szCs w:val="20"/>
          <w:color w:val="auto"/>
        </w:rPr>
      </w:pPr>
    </w:p>
    <w:p>
      <w:pPr>
        <w:jc w:val="both"/>
        <w:ind w:right="220"/>
        <w:spacing w:after="0" w:line="298" w:lineRule="auto"/>
        <w:rPr>
          <w:sz w:val="20"/>
          <w:szCs w:val="20"/>
          <w:color w:val="auto"/>
        </w:rPr>
      </w:pPr>
      <w:r>
        <w:rPr>
          <w:rFonts w:ascii="Arial" w:cs="Arial" w:eastAsia="Arial" w:hAnsi="Arial"/>
          <w:sz w:val="13"/>
          <w:szCs w:val="13"/>
          <w:color w:val="auto"/>
        </w:rPr>
        <w:t>We intend to seek FDA Fast Track designation for AV-101 for adjunctive treatment of MDD, and we may do so for other product candidates as well. The FDA has broad discretion whether or not to grant this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46"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our NIH-funded Phase 2a clinical study of AV-101 in MDD, thereby delaying or preventing clinical development. Further, if AV-101 is approved for adjunctive treatment of MDD, and the market for this indication is smaller than we anticipate, our ability to achieve profitability could be limited.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of earlier clinical trials may not be predictive of the results of later-stage clinical trials.</w:t>
      </w:r>
    </w:p>
    <w:p>
      <w:pPr>
        <w:spacing w:after="0" w:line="180"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results of preclinical studies and early clinical trials of AV-101 and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46"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67"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b w:val="1"/>
          <w:bCs w:val="1"/>
          <w:i w:val="1"/>
          <w:iCs w:val="1"/>
          <w:color w:val="auto"/>
        </w:rPr>
        <w:t>If serious adverse events or other undesirable side effects are identified during the use of AV-101 in clinical trials, it may adversely effect our development of AV-101 for MDD and other CNS indications.</w:t>
      </w:r>
    </w:p>
    <w:p>
      <w:pPr>
        <w:spacing w:after="0" w:line="153" w:lineRule="exact"/>
        <w:rPr>
          <w:sz w:val="20"/>
          <w:szCs w:val="20"/>
          <w:color w:val="auto"/>
        </w:rPr>
      </w:pPr>
    </w:p>
    <w:p>
      <w:pPr>
        <w:jc w:val="both"/>
        <w:ind w:right="100"/>
        <w:spacing w:after="0" w:line="298" w:lineRule="auto"/>
        <w:rPr>
          <w:sz w:val="20"/>
          <w:szCs w:val="20"/>
          <w:color w:val="auto"/>
        </w:rPr>
      </w:pPr>
      <w:r>
        <w:rPr>
          <w:rFonts w:ascii="Arial" w:cs="Arial" w:eastAsia="Arial" w:hAnsi="Arial"/>
          <w:sz w:val="13"/>
          <w:szCs w:val="13"/>
          <w:color w:val="auto"/>
        </w:rPr>
        <w:t>AV-101 is currently being tested in an NIH-investigator sponsored Phase 2a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12" w:name="page13"/>
    <w:bookmarkEnd w:id="1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b w:val="1"/>
          <w:bCs w:val="1"/>
          <w:i w:val="1"/>
          <w:iCs w:val="1"/>
          <w:color w:val="auto"/>
        </w:rPr>
        <w:t>Positive results from early preclinical studies and clinical trials of AV-101 or other product candidates are not necessarily predictive of the results of later preclinical studies and clinical trials of such product candidates. If we cannot replicate the positive results from our earlier pre-clinical studies and clinical trials of AV-101 or other product candidates in our later pre-clinical studies and clinical trials, we may be unable to successfully develop, obtain regulatory approval for and commercialize our product candidates.</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Positive results from preclinical studies of our product candidates, and any positive results we may obtain from early clinical trials of our product candidates, may not necessarily be predictive of the results from required later pre-clinical studies and clinical trials. Similarly, even if we are able to complete our planned pre-clinical studies or clinical trials of our product candidates according to our current development timeline, the positive results from our pre-clinical studies and clinical trials of our product candidates may not be replicated in subsequent pre-clinical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2a clinical trial for AV-101, and if we fail to produce positive results in our NIH-sponsored Phase 2a clinical trial of AV-101 in MDD, the development timeline and regulatory approval and commercialization prospects for AV-101 and, correspondingly, our business and financial prospects, could be materially adversely affected.</w:t>
      </w:r>
    </w:p>
    <w:p>
      <w:pPr>
        <w:spacing w:after="0" w:line="161"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b w:val="1"/>
          <w:bCs w:val="1"/>
          <w:i w:val="1"/>
          <w:iCs w:val="1"/>
          <w:color w:val="auto"/>
        </w:rPr>
        <w:t>Failures or delays in the commencement or completion of our planned clinical trials of our product candidates could result in increased costs to us and could delay, prevent or limit our ability to generate revenue and continue our business.</w:t>
      </w:r>
    </w:p>
    <w:p>
      <w:pPr>
        <w:spacing w:after="0" w:line="131" w:lineRule="exact"/>
        <w:rPr>
          <w:sz w:val="20"/>
          <w:szCs w:val="20"/>
          <w:color w:val="auto"/>
        </w:rPr>
      </w:pPr>
    </w:p>
    <w:p>
      <w:pPr>
        <w:ind w:right="200"/>
        <w:spacing w:after="0" w:line="320" w:lineRule="auto"/>
        <w:rPr>
          <w:sz w:val="20"/>
          <w:szCs w:val="20"/>
          <w:color w:val="auto"/>
        </w:rPr>
      </w:pPr>
      <w:r>
        <w:rPr>
          <w:rFonts w:ascii="Arial" w:cs="Arial" w:eastAsia="Arial" w:hAnsi="Arial"/>
          <w:sz w:val="12"/>
          <w:szCs w:val="12"/>
          <w:color w:val="auto"/>
        </w:rPr>
        <w:t>Under our CRADA, we and the NIH have commenced an NIH-funded Phase 2a clinical trial of AV-101 as a treatment for MDD. We will need to complete at least two additional large clinical trials prior to the submission of an NDA for AV-101 as a treatment for MDD. Successful completion of our clinical trials is a prerequisite to submitting an NDA to the FDA and, consequently, the ultimate approval and commercial marketing of AV-101 for MDD and any other product candidates we may develop. We do not know whether the NIH-funded Phase 2a study of AV-101 or any of our future-planned clinical trials will be completed on schedule, if at all, as the commencement and completion of clinical trials can be delayed or prevented for a number of reasons, including, among others:</w:t>
      </w:r>
    </w:p>
    <w:p>
      <w:pPr>
        <w:spacing w:after="0" w:line="116" w:lineRule="exact"/>
        <w:rPr>
          <w:sz w:val="20"/>
          <w:szCs w:val="20"/>
          <w:color w:val="auto"/>
        </w:rPr>
      </w:pPr>
    </w:p>
    <w:p>
      <w:pPr>
        <w:ind w:left="480" w:hanging="475"/>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FDA may deny permission to proceed with our planned clinical trials or any other clinical trials we may initiate, or may place a clinical trial on hold;</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delays in filing or receiving approvals of additional INDs that may be required;</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negative results from our ongoing pre-clinical studies;</w:t>
      </w:r>
    </w:p>
    <w:p>
      <w:pPr>
        <w:spacing w:after="0" w:line="179" w:lineRule="exact"/>
        <w:rPr>
          <w:rFonts w:ascii="Arial" w:cs="Arial" w:eastAsia="Arial" w:hAnsi="Arial"/>
          <w:sz w:val="14"/>
          <w:szCs w:val="14"/>
          <w:color w:val="auto"/>
        </w:rPr>
      </w:pPr>
    </w:p>
    <w:p>
      <w:pPr>
        <w:ind w:left="480" w:hanging="475"/>
        <w:spacing w:after="0" w:line="283" w:lineRule="auto"/>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31" w:lineRule="exact"/>
        <w:rPr>
          <w:rFonts w:ascii="Arial" w:cs="Arial" w:eastAsia="Arial" w:hAnsi="Arial"/>
          <w:sz w:val="14"/>
          <w:szCs w:val="14"/>
          <w:color w:val="auto"/>
        </w:rPr>
      </w:pPr>
    </w:p>
    <w:p>
      <w:pPr>
        <w:ind w:left="480" w:hanging="475"/>
        <w:spacing w:after="0"/>
        <w:tabs>
          <w:tab w:leader="none" w:pos="48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inadequate quantity or quality of a product candidate or other materials necessary to conduct clinical trials, for example delays in the manufacturing of sufficient supply of finished drug product;</w:t>
      </w:r>
    </w:p>
    <w:p>
      <w:pPr>
        <w:spacing w:after="0" w:line="202" w:lineRule="exact"/>
        <w:rPr>
          <w:rFonts w:ascii="Arial" w:cs="Arial" w:eastAsia="Arial" w:hAnsi="Arial"/>
          <w:sz w:val="12"/>
          <w:szCs w:val="12"/>
          <w:color w:val="auto"/>
        </w:rPr>
      </w:pPr>
    </w:p>
    <w:p>
      <w:pPr>
        <w:ind w:left="480" w:hanging="475"/>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difficulties obtaining Institutional Review Board (</w:t>
      </w:r>
      <w:r>
        <w:rPr>
          <w:rFonts w:ascii="Arial" w:cs="Arial" w:eastAsia="Arial" w:hAnsi="Arial"/>
          <w:sz w:val="14"/>
          <w:szCs w:val="14"/>
          <w:i w:val="1"/>
          <w:iCs w:val="1"/>
          <w:color w:val="auto"/>
        </w:rPr>
        <w:t>IRB</w:t>
      </w:r>
      <w:r>
        <w:rPr>
          <w:rFonts w:ascii="Arial" w:cs="Arial" w:eastAsia="Arial" w:hAnsi="Arial"/>
          <w:sz w:val="14"/>
          <w:szCs w:val="14"/>
          <w:color w:val="auto"/>
        </w:rPr>
        <w:t>) approval to conduct a clinical trial at a prospective site or sites;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challenges in recruiting and enrolling patients to participate in clinical trials, including the proximity of patients to trial sites;</w:t>
      </w:r>
    </w:p>
    <w:p>
      <w:pPr>
        <w:spacing w:after="0" w:line="179" w:lineRule="exact"/>
        <w:rPr>
          <w:rFonts w:ascii="Arial" w:cs="Arial" w:eastAsia="Arial" w:hAnsi="Arial"/>
          <w:sz w:val="14"/>
          <w:szCs w:val="14"/>
          <w:color w:val="auto"/>
        </w:rPr>
      </w:pPr>
    </w:p>
    <w:p>
      <w:pPr>
        <w:ind w:left="480" w:hanging="475"/>
        <w:spacing w:after="0" w:line="283" w:lineRule="auto"/>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31" w:lineRule="exact"/>
        <w:rPr>
          <w:rFonts w:ascii="Arial" w:cs="Arial" w:eastAsia="Arial" w:hAnsi="Arial"/>
          <w:sz w:val="14"/>
          <w:szCs w:val="14"/>
          <w:color w:val="auto"/>
        </w:rPr>
      </w:pPr>
    </w:p>
    <w:p>
      <w:pPr>
        <w:ind w:left="480" w:hanging="475"/>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severe or unexpected drug-related side effects experienced by patients in a clinical trial;</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delays in validating any endpoints utilized in a clinical trial;</w:t>
      </w:r>
    </w:p>
    <w:p>
      <w:pPr>
        <w:spacing w:after="0" w:line="179" w:lineRule="exact"/>
        <w:rPr>
          <w:rFonts w:ascii="Arial" w:cs="Arial" w:eastAsia="Arial" w:hAnsi="Arial"/>
          <w:sz w:val="14"/>
          <w:szCs w:val="14"/>
          <w:color w:val="auto"/>
        </w:rPr>
      </w:pPr>
    </w:p>
    <w:p>
      <w:pPr>
        <w:ind w:left="480" w:hanging="475"/>
        <w:spacing w:after="0" w:line="283" w:lineRule="auto"/>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131" w:lineRule="exact"/>
        <w:rPr>
          <w:rFonts w:ascii="Arial" w:cs="Arial" w:eastAsia="Arial" w:hAnsi="Arial"/>
          <w:sz w:val="14"/>
          <w:szCs w:val="14"/>
          <w:color w:val="auto"/>
        </w:rPr>
      </w:pPr>
    </w:p>
    <w:p>
      <w:pPr>
        <w:ind w:left="480" w:hanging="475"/>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reports from pre-clinical or clinical testing of other CNS therapies that raise safety or efficacy concerns; and</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9"/>
        </w:numPr>
        <w:rPr>
          <w:rFonts w:ascii="Arial" w:cs="Arial" w:eastAsia="Arial" w:hAnsi="Arial"/>
          <w:sz w:val="13"/>
          <w:szCs w:val="13"/>
          <w:color w:val="auto"/>
        </w:rPr>
      </w:pPr>
      <w:r>
        <w:rPr>
          <w:rFonts w:ascii="Arial" w:cs="Arial" w:eastAsia="Arial" w:hAnsi="Arial"/>
          <w:sz w:val="13"/>
          <w:szCs w:val="13"/>
          <w:color w:val="auto"/>
        </w:rPr>
        <w:t>difficulties retaining patients who have enrolled in a clinical trial but may be prone to withdraw due to rigors of the clinical trials, lack of efficacy, side effects, personal issues or loss of interest.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 w:name="page14"/>
    <w:bookmarkEnd w:id="1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4"/>
          <w:szCs w:val="14"/>
          <w:i w:val="1"/>
          <w:iCs w:val="1"/>
          <w:color w:val="auto"/>
        </w:rPr>
        <w:t>DSMB</w:t>
      </w:r>
      <w:r>
        <w:rPr>
          <w:rFonts w:ascii="Arial" w:cs="Arial" w:eastAsia="Arial" w:hAnsi="Arial"/>
          <w:sz w:val="14"/>
          <w:szCs w:val="14"/>
          <w:color w:val="auto"/>
        </w:rPr>
        <w:t>), overseeing the clinical trial at issue or other regulatory authorities due to a number of factors, including, among others:</w:t>
      </w:r>
    </w:p>
    <w:p>
      <w:pPr>
        <w:spacing w:after="0" w:line="163" w:lineRule="exact"/>
        <w:rPr>
          <w:sz w:val="20"/>
          <w:szCs w:val="20"/>
          <w:color w:val="auto"/>
        </w:rPr>
      </w:pPr>
    </w:p>
    <w:p>
      <w:pPr>
        <w:ind w:left="480" w:hanging="475"/>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failure to conduct the clinical trial in accordance with regulatory requirements or our clinical protocols;</w:t>
      </w:r>
    </w:p>
    <w:p>
      <w:pPr>
        <w:spacing w:after="0" w:line="179" w:lineRule="exact"/>
        <w:rPr>
          <w:rFonts w:ascii="Arial" w:cs="Arial" w:eastAsia="Arial" w:hAnsi="Arial"/>
          <w:sz w:val="14"/>
          <w:szCs w:val="14"/>
          <w:color w:val="auto"/>
        </w:rPr>
      </w:pPr>
    </w:p>
    <w:p>
      <w:pPr>
        <w:ind w:left="480" w:hanging="475"/>
        <w:spacing w:after="0" w:line="283"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31" w:lineRule="exact"/>
        <w:rPr>
          <w:rFonts w:ascii="Arial" w:cs="Arial" w:eastAsia="Arial" w:hAnsi="Arial"/>
          <w:sz w:val="14"/>
          <w:szCs w:val="14"/>
          <w:color w:val="auto"/>
        </w:rPr>
      </w:pPr>
    </w:p>
    <w:p>
      <w:pPr>
        <w:ind w:left="480" w:hanging="475"/>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unforeseen safety issues, including any that could be identified in our ongoing non-clinical carcinogenicity studies, adverse side effects or lack of effectiveness;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government regulations or administrative actions;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problems with clinical supply materials; and</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lack of adequate funding to continue clinical trials.</w:t>
      </w:r>
    </w:p>
    <w:p>
      <w:pPr>
        <w:spacing w:after="0" w:line="180" w:lineRule="exact"/>
        <w:rPr>
          <w:sz w:val="20"/>
          <w:szCs w:val="20"/>
          <w:color w:val="auto"/>
        </w:rPr>
      </w:pPr>
    </w:p>
    <w:p>
      <w:pPr>
        <w:jc w:val="both"/>
        <w:ind w:right="80"/>
        <w:spacing w:after="0" w:line="370" w:lineRule="auto"/>
        <w:rPr>
          <w:sz w:val="20"/>
          <w:szCs w:val="20"/>
          <w:color w:val="auto"/>
        </w:rPr>
      </w:pPr>
      <w:r>
        <w:rPr>
          <w:rFonts w:ascii="Arial" w:cs="Arial" w:eastAsia="Arial" w:hAnsi="Arial"/>
          <w:sz w:val="12"/>
          <w:szCs w:val="12"/>
          <w:b w:val="1"/>
          <w:bCs w:val="1"/>
          <w:i w:val="1"/>
          <w:iCs w:val="1"/>
          <w:color w:val="auto"/>
        </w:rPr>
        <w:t>Changes in regulatory requirements, FDA guidance or unanticipated events during our preclinical studies and clinical trials of our product candidates may occur, which may result in changes to preclinical studies and clinical trial protocols or additional preclinical studies and clinical trial requirements, which could result in increased costs to us and could delay our development timeline.</w:t>
      </w:r>
    </w:p>
    <w:p>
      <w:pPr>
        <w:spacing w:after="0" w:line="107"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color w:val="auto"/>
        </w:rPr>
        <w:t>Changes in regulatory requirements, FDA guidance or unanticipated events during our preclinical studies and clinical trials may force us to amend preclinical studies and clinical trial protocols or the FDA may impose additional preclinical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pre-clinical studies may adversely impact the cost, timing, or successful completion of those pre-clinical studies. If we experience delays completing, or if we terminate, any of our pre-clinical studies or clinical trials, or if we are required to conduct additional pre-clinical studies or clinical trials, the commercial prospects for our product candidates may be harmed and our ability to generate product revenue will be delayed.</w:t>
      </w:r>
    </w:p>
    <w:p>
      <w:pPr>
        <w:spacing w:after="0" w:line="156" w:lineRule="exact"/>
        <w:rPr>
          <w:sz w:val="20"/>
          <w:szCs w:val="20"/>
          <w:color w:val="auto"/>
        </w:rPr>
      </w:pPr>
    </w:p>
    <w:p>
      <w:pPr>
        <w:ind w:right="60"/>
        <w:spacing w:after="0" w:line="370" w:lineRule="auto"/>
        <w:rPr>
          <w:sz w:val="20"/>
          <w:szCs w:val="20"/>
          <w:color w:val="auto"/>
        </w:rPr>
      </w:pPr>
      <w:r>
        <w:rPr>
          <w:rFonts w:ascii="Arial" w:cs="Arial" w:eastAsia="Arial" w:hAnsi="Arial"/>
          <w:sz w:val="12"/>
          <w:szCs w:val="12"/>
          <w:b w:val="1"/>
          <w:bCs w:val="1"/>
          <w:i w:val="1"/>
          <w:iCs w:val="1"/>
          <w:color w:val="auto"/>
        </w:rPr>
        <w:t>We rely, and expect that we will continue to rely, on third parties to conduct any clinical trials for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107"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We do not have the ability to independently conduct clinical trials. We rely on medical institutions, clinical investigators, contract laboratories and other third parties, such as CROs to conduct clinical trials on our product candidates. We enter into agreements with third-party CROs to provide monitors for and to manage data for our clinical trials. We rely heavily on these parties for execution of clinical trials for our product candidates and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47" w:lineRule="exact"/>
        <w:rPr>
          <w:sz w:val="20"/>
          <w:szCs w:val="20"/>
          <w:color w:val="auto"/>
        </w:rPr>
      </w:pPr>
    </w:p>
    <w:p>
      <w:pPr>
        <w:ind w:left="480" w:hanging="475"/>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have staffing difficulties;</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fail to comply with contractual obligations;</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experience regulatory compliance issues;</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undergo changes in priorities or become financially distressed; or</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form relationships with other entities, some of which may be our competitors.</w:t>
      </w:r>
    </w:p>
    <w:p>
      <w:pPr>
        <w:spacing w:after="0" w:line="201" w:lineRule="exact"/>
        <w:rPr>
          <w:sz w:val="20"/>
          <w:szCs w:val="20"/>
          <w:color w:val="auto"/>
        </w:rPr>
      </w:pPr>
    </w:p>
    <w:p>
      <w:pPr>
        <w:ind w:right="80"/>
        <w:spacing w:after="0" w:line="278" w:lineRule="auto"/>
        <w:rPr>
          <w:sz w:val="20"/>
          <w:szCs w:val="20"/>
          <w:color w:val="auto"/>
        </w:rPr>
      </w:pPr>
      <w:r>
        <w:rPr>
          <w:rFonts w:ascii="Arial" w:cs="Arial" w:eastAsia="Arial" w:hAnsi="Arial"/>
          <w:sz w:val="13"/>
          <w:szCs w:val="13"/>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regulatory and scientific requirements and standards, and our reliance on CROs or the NIH does not relieve us of our regulatory responsibilities. We and our CROs and the NIH are required to comply with regulations and guidelines, including current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 w:name="page15"/>
    <w:bookmarkEnd w:id="1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Although we design our clinical trials for our product candidates, we plan to have CROs, and in the case of our initial AV-101 Phase 2a study in MDD, the NIH, conduct the AV-101 Phase 2 and Phase 3 clinical trials. As a result, many important aspects of our drug development programs are outside of our direct control. In addition, the CROs or the NIH,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NIH devote to our program or our clinical products. If we are unable to rely on clinical data collected by our CROs or the NIH, we could be required to repeat, extend the duration of, or increase the size of our clinical trials and this could significantly delay commercialization and require significantly greater expenditures.</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If any of our relationships with these third-party CROs or the NIH terminate, we may not be able to enter into arrangements with alternative CROs or collaborators. If CROs or the NIH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that such CROs or the NIH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56" w:lineRule="exact"/>
        <w:rPr>
          <w:sz w:val="20"/>
          <w:szCs w:val="20"/>
          <w:color w:val="auto"/>
        </w:rPr>
      </w:pPr>
    </w:p>
    <w:p>
      <w:pPr>
        <w:ind w:right="500"/>
        <w:spacing w:after="0" w:line="283" w:lineRule="auto"/>
        <w:rPr>
          <w:sz w:val="20"/>
          <w:szCs w:val="20"/>
          <w:color w:val="auto"/>
        </w:rPr>
      </w:pPr>
      <w:r>
        <w:rPr>
          <w:rFonts w:ascii="Arial" w:cs="Arial" w:eastAsia="Arial" w:hAnsi="Arial"/>
          <w:sz w:val="14"/>
          <w:szCs w:val="14"/>
          <w:b w:val="1"/>
          <w:bCs w:val="1"/>
          <w:i w:val="1"/>
          <w:iCs w:val="1"/>
          <w:color w:val="auto"/>
        </w:rPr>
        <w:t>We rely completely on third-party suppliers to manufacture our clinical drug supplies for our product candidates, and we intend to rely on third parties to produce non-clinical, clinical and commercial supplies of any future product candidate.</w:t>
      </w:r>
    </w:p>
    <w:p>
      <w:pPr>
        <w:spacing w:after="0" w:line="153" w:lineRule="exact"/>
        <w:rPr>
          <w:sz w:val="20"/>
          <w:szCs w:val="20"/>
          <w:color w:val="auto"/>
        </w:rPr>
      </w:pPr>
    </w:p>
    <w:p>
      <w:pPr>
        <w:ind w:right="140"/>
        <w:spacing w:after="0" w:line="290" w:lineRule="auto"/>
        <w:rPr>
          <w:sz w:val="20"/>
          <w:szCs w:val="20"/>
          <w:color w:val="auto"/>
        </w:rPr>
      </w:pPr>
      <w:r>
        <w:rPr>
          <w:rFonts w:ascii="Arial" w:cs="Arial" w:eastAsia="Arial" w:hAnsi="Arial"/>
          <w:sz w:val="13"/>
          <w:szCs w:val="13"/>
          <w:color w:val="auto"/>
        </w:rPr>
        <w:t>We do not currently have, nor do we plan to acquire, the infrastructure or capability to internally manufacture our clinical drug supply of AV-101 or any other product candidates for use in the conduct of our nonclinical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151"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4"/>
          <w:szCs w:val="14"/>
          <w:color w:val="auto"/>
        </w:rPr>
        <w:t>We do not have long-term supply agreements in place with our contract manufacturers and each batch of our product candidates are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commercial quantities of AV-101 and other product candidates, if approved. Our current scale of manufacturing for AV-101 is adequate to support our currently planned needs for additional pre-clinical studies and clinical trial supplies.</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224"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 w:name="page16"/>
    <w:bookmarkEnd w:id="1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224"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We do not currently have an infrastructure for the sales, marketing and distribution of pharmaceutical products, nor do we intend to create such capabilities. Therefore, in order to market our product candidates globally,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51" w:lineRule="exact"/>
        <w:rPr>
          <w:sz w:val="20"/>
          <w:szCs w:val="20"/>
          <w:color w:val="auto"/>
        </w:rPr>
      </w:pPr>
    </w:p>
    <w:p>
      <w:pPr>
        <w:ind w:right="260"/>
        <w:spacing w:after="0" w:line="283" w:lineRule="auto"/>
        <w:rPr>
          <w:sz w:val="20"/>
          <w:szCs w:val="20"/>
          <w:color w:val="auto"/>
        </w:rPr>
      </w:pPr>
      <w:r>
        <w:rPr>
          <w:rFonts w:ascii="Arial" w:cs="Arial" w:eastAsia="Arial" w:hAnsi="Arial"/>
          <w:sz w:val="14"/>
          <w:szCs w:val="14"/>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53" w:lineRule="exact"/>
        <w:rPr>
          <w:sz w:val="20"/>
          <w:szCs w:val="20"/>
          <w:color w:val="auto"/>
        </w:rPr>
      </w:pPr>
    </w:p>
    <w:p>
      <w:pPr>
        <w:ind w:right="120"/>
        <w:spacing w:after="0" w:line="370" w:lineRule="auto"/>
        <w:rPr>
          <w:sz w:val="20"/>
          <w:szCs w:val="20"/>
          <w:color w:val="auto"/>
        </w:rPr>
      </w:pPr>
      <w:r>
        <w:rPr>
          <w:rFonts w:ascii="Arial" w:cs="Arial" w:eastAsia="Arial" w:hAnsi="Arial"/>
          <w:sz w:val="12"/>
          <w:szCs w:val="12"/>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86" w:lineRule="exact"/>
        <w:rPr>
          <w:sz w:val="20"/>
          <w:szCs w:val="20"/>
          <w:color w:val="auto"/>
        </w:rPr>
      </w:pPr>
    </w:p>
    <w:p>
      <w:pPr>
        <w:ind w:left="480" w:hanging="475"/>
        <w:spacing w:after="0" w:line="283" w:lineRule="auto"/>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efficacy of our product candidates as demonstrated in clinical trials, and, if required by any applicable regulatory authority in connection with the approval for the applicable indications, to provide patients with incremental health benefits, as compared with other available CNS therapies;</w:t>
      </w:r>
    </w:p>
    <w:p>
      <w:pPr>
        <w:spacing w:after="0" w:line="131" w:lineRule="exact"/>
        <w:rPr>
          <w:rFonts w:ascii="Arial" w:cs="Arial" w:eastAsia="Arial" w:hAnsi="Arial"/>
          <w:sz w:val="14"/>
          <w:szCs w:val="14"/>
          <w:color w:val="auto"/>
        </w:rPr>
      </w:pPr>
    </w:p>
    <w:p>
      <w:pPr>
        <w:ind w:left="480" w:hanging="475"/>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limitations or warnings contained in the labeling approved for our product candidates by the FDA or other applicable regulatory authorities;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clinical indications for which our product candidates are approved;</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availability of alternative treatments already approved or expected to be commercially launched in the near future;</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potential and perceived advantages of our product candidates over current treatment options or alternative treatments, including future alternative treatments;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willingness of the target patient population to try new therapies and of physicians to prescribe these therapies;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strength of marketing and distribution support and timing of market introduction of competitive products;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publicity concerning our products or competing products and treatments;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pricing and cost effectiveness;</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effectiveness of our sales and marketing strategies;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increase awareness of our product candidates through marketing efforts;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obtain sufficient third-party coverage or reimbursement; or</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willingness of patients to pay out-of-pocket in the absence of third-party coverage.</w:t>
      </w:r>
    </w:p>
    <w:p>
      <w:pPr>
        <w:spacing w:after="0" w:line="180"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153"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 w:name="page17"/>
    <w:bookmarkEnd w:id="1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60"/>
        <w:spacing w:after="0" w:line="333" w:lineRule="auto"/>
        <w:rPr>
          <w:sz w:val="20"/>
          <w:szCs w:val="20"/>
          <w:color w:val="auto"/>
        </w:rPr>
      </w:pPr>
      <w:r>
        <w:rPr>
          <w:rFonts w:ascii="Arial" w:cs="Arial" w:eastAsia="Arial" w:hAnsi="Arial"/>
          <w:sz w:val="12"/>
          <w:szCs w:val="12"/>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107" w:lineRule="exact"/>
        <w:rPr>
          <w:sz w:val="20"/>
          <w:szCs w:val="20"/>
          <w:color w:val="auto"/>
        </w:rPr>
      </w:pPr>
    </w:p>
    <w:p>
      <w:pPr>
        <w:ind w:left="480" w:hanging="475"/>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regulatory authorities may withdraw or limit their approval of such product candidates;</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regulatory authorities may require the addition of labeling statements, such as a “black box” warning or a contraindication;</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may be required to change the way such product candidates are distributed or administered, conduct additional clinical trials or change the labeling of the product candidates;</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may be subject to regulatory investigations and government enforcement actions;</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may decide to remove such product candidates from the marketplace;</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could be sued and held liable for injury caused to individuals exposed to or taking our product candidates; and</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reputation may suffer.</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We believe that any of these events could prevent us from achieving or maintaining market acceptance of the affected product candidates and could substantially increase the costs of commercializing our product candidates and significantly impact our ability to successfully commercialize our product candidates and generate revenues.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Even if we receive marketing approval for our product candidates, we may still face future development and regulatory difficulties.</w:t>
      </w:r>
    </w:p>
    <w:p>
      <w:pPr>
        <w:spacing w:after="0" w:line="201"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FDA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56"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47" w:lineRule="exact"/>
        <w:rPr>
          <w:sz w:val="20"/>
          <w:szCs w:val="20"/>
          <w:color w:val="auto"/>
        </w:rPr>
      </w:pPr>
    </w:p>
    <w:p>
      <w:pPr>
        <w:ind w:left="480" w:hanging="475"/>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issue warning letters or untitled letters;</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seek an injunction or impose civil or criminal penalties or monetary fines;</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suspend or withdraw marketing approval;</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suspend any ongoing clinical trials;</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refuse to approve pending applications or supplements to applications submitted by us;</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suspend or impose restrictions on operations, including costly new manufacturing requirements; or</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seize or detain products, refuse to permit the import or export of products, or require that we initiate a product recall.</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 w:name="page18"/>
    <w:bookmarkEnd w:id="1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Competing therapies could emerge adversely affecting our opportunity to generate revenue from the sale of our product candidates.</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pharmaceuticals industry is highly competitive. There are many public and private 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63"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Currently, management is unaware of any FDA-approved adjunctive therapy for treatment-resistant MDD with the same mechanism of action as AV-101. However, new antidepressant products with other mechanisms of action or products approved for other indications, including the anesthetic ketamine,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4"/>
          <w:szCs w:val="14"/>
          <w:i w:val="1"/>
          <w:iCs w:val="1"/>
          <w:color w:val="auto"/>
        </w:rPr>
        <w:t>ECT</w:t>
      </w:r>
      <w:r>
        <w:rPr>
          <w:rFonts w:ascii="Arial" w:cs="Arial" w:eastAsia="Arial" w:hAnsi="Arial"/>
          <w:sz w:val="14"/>
          <w:szCs w:val="14"/>
          <w:color w:val="auto"/>
        </w:rPr>
        <w:t>) are sometimes used before or instead of standard antidepressants to treat patients with MDD.</w:t>
      </w:r>
    </w:p>
    <w:p>
      <w:pPr>
        <w:spacing w:after="0" w:line="167"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In the field of new generation antidepressants focused on modulation of the NMDA receptor at the glycine binding co-agonist site, we believe our principal competitor is Allergan, which recently acquired from and is now developing both rapastinel (formerly GLYX-13) and NRX-1074 for treatment-resistant MDD.</w:t>
      </w:r>
    </w:p>
    <w:p>
      <w:pPr>
        <w:spacing w:after="0" w:line="153"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Allergan, Alkermes, Astra Zeneca, Eli Lilly, GlaxoSmithKline, Johnson &amp; Johnson, Lundbeck, Merck, Novartis, Otsuka, Pfizer, Roche, Sumitomo Dainippon, Teva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224"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53"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59"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 w:name="page19"/>
    <w:bookmarkEnd w:id="1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314" w:lineRule="auto"/>
        <w:rPr>
          <w:sz w:val="20"/>
          <w:szCs w:val="20"/>
          <w:color w:val="auto"/>
        </w:rPr>
      </w:pPr>
      <w:r>
        <w:rPr>
          <w:rFonts w:ascii="Arial" w:cs="Arial" w:eastAsia="Arial" w:hAnsi="Arial"/>
          <w:sz w:val="12"/>
          <w:szCs w:val="12"/>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20"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53" w:lineRule="exact"/>
        <w:rPr>
          <w:sz w:val="20"/>
          <w:szCs w:val="20"/>
          <w:color w:val="auto"/>
        </w:rPr>
      </w:pPr>
    </w:p>
    <w:p>
      <w:pPr>
        <w:ind w:right="40"/>
        <w:spacing w:after="0" w:line="333" w:lineRule="auto"/>
        <w:rPr>
          <w:sz w:val="20"/>
          <w:szCs w:val="20"/>
          <w:color w:val="auto"/>
        </w:rPr>
      </w:pPr>
      <w:r>
        <w:rPr>
          <w:rFonts w:ascii="Arial" w:cs="Arial" w:eastAsia="Arial" w:hAnsi="Arial"/>
          <w:sz w:val="12"/>
          <w:szCs w:val="12"/>
          <w:color w:val="auto"/>
        </w:rPr>
        <w:t>The success of our business depends primarily upon our ability to identify, develop and commercialize product candidates with commercial and therapeutic potential. Although AV-101 is in Phase 2 clinical development, we may fail to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28"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Because we have limited financial and management resources, we focus on a limited number of research programs and product candidates and are currently focused primarily on our AV-101 candidate, with additional limited focus on NCE drug rescue and RM candidates.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224"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47" w:lineRule="exact"/>
        <w:rPr>
          <w:sz w:val="20"/>
          <w:szCs w:val="20"/>
          <w:color w:val="auto"/>
        </w:rPr>
      </w:pPr>
    </w:p>
    <w:p>
      <w:pPr>
        <w:jc w:val="both"/>
        <w:ind w:left="520" w:right="60" w:hanging="515"/>
        <w:spacing w:after="0" w:line="268"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3" w:lineRule="exact"/>
        <w:rPr>
          <w:rFonts w:ascii="Arial" w:cs="Arial" w:eastAsia="Arial" w:hAnsi="Arial"/>
          <w:sz w:val="14"/>
          <w:szCs w:val="14"/>
          <w:color w:val="auto"/>
        </w:rPr>
      </w:pPr>
    </w:p>
    <w:p>
      <w:pPr>
        <w:ind w:left="520" w:right="120" w:hanging="515"/>
        <w:spacing w:after="0" w:line="268"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63" w:lineRule="exact"/>
        <w:rPr>
          <w:rFonts w:ascii="Arial" w:cs="Arial" w:eastAsia="Arial" w:hAnsi="Arial"/>
          <w:sz w:val="14"/>
          <w:szCs w:val="14"/>
          <w:color w:val="auto"/>
        </w:rPr>
      </w:pPr>
    </w:p>
    <w:p>
      <w:pPr>
        <w:ind w:left="520" w:right="100" w:hanging="515"/>
        <w:spacing w:after="0" w:line="268"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63" w:lineRule="exact"/>
        <w:rPr>
          <w:rFonts w:ascii="Arial" w:cs="Arial" w:eastAsia="Arial" w:hAnsi="Arial"/>
          <w:sz w:val="14"/>
          <w:szCs w:val="14"/>
          <w:color w:val="auto"/>
        </w:rPr>
      </w:pPr>
    </w:p>
    <w:p>
      <w:pPr>
        <w:ind w:left="520" w:right="360" w:hanging="515"/>
        <w:spacing w:after="0" w:line="283"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31" w:lineRule="exact"/>
        <w:rPr>
          <w:rFonts w:ascii="Arial" w:cs="Arial" w:eastAsia="Arial" w:hAnsi="Arial"/>
          <w:sz w:val="14"/>
          <w:szCs w:val="14"/>
          <w:color w:val="auto"/>
        </w:rPr>
      </w:pPr>
    </w:p>
    <w:p>
      <w:pPr>
        <w:ind w:left="520" w:right="140" w:hanging="515"/>
        <w:spacing w:after="0" w:line="268"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9" w:name="page20"/>
    <w:bookmarkEnd w:id="1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520" w:right="180" w:hanging="515"/>
        <w:spacing w:after="0" w:line="268"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63" w:lineRule="exact"/>
        <w:rPr>
          <w:rFonts w:ascii="Arial" w:cs="Arial" w:eastAsia="Arial" w:hAnsi="Arial"/>
          <w:sz w:val="14"/>
          <w:szCs w:val="14"/>
          <w:color w:val="auto"/>
        </w:rPr>
      </w:pPr>
    </w:p>
    <w:p>
      <w:pPr>
        <w:ind w:left="520" w:right="560" w:hanging="515"/>
        <w:spacing w:after="0" w:line="283"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31"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3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53"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AV-101 as an augmentation therapy for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Even if approved, reimbursement policies could limit our ability to sell our product candidates.</w:t>
      </w:r>
    </w:p>
    <w:p>
      <w:pPr>
        <w:spacing w:after="0" w:line="201"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Market acceptance and sales of our product candidates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Even if we have obtained FDA Orphan Drug designation for one or more of our product candidates, there may be limits to the regulatory exclusivity afforded by such designation.</w:t>
      </w:r>
    </w:p>
    <w:p>
      <w:pPr>
        <w:spacing w:after="0" w:line="213" w:lineRule="exact"/>
        <w:rPr>
          <w:sz w:val="20"/>
          <w:szCs w:val="20"/>
          <w:color w:val="auto"/>
        </w:rPr>
      </w:pPr>
    </w:p>
    <w:p>
      <w:pPr>
        <w:spacing w:after="0" w:line="305" w:lineRule="auto"/>
        <w:rPr>
          <w:sz w:val="20"/>
          <w:szCs w:val="20"/>
          <w:color w:val="auto"/>
        </w:rPr>
      </w:pPr>
      <w:r>
        <w:rPr>
          <w:rFonts w:ascii="Arial" w:cs="Arial" w:eastAsia="Arial" w:hAnsi="Arial"/>
          <w:sz w:val="12"/>
          <w:szCs w:val="12"/>
          <w:color w:val="auto"/>
        </w:rPr>
        <w:t>Even if we obtain Orphan Drug designation from the FDA for one or more of our product candidates, there are limitations to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exclusivity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 w:name="page21"/>
    <w:bookmarkEnd w:id="2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future growth may depend, in part, on our ability to penetrate foreign markets, where we would be subject to additional regulatory burdens and other risks and uncertainties.</w:t>
      </w:r>
    </w:p>
    <w:p>
      <w:pPr>
        <w:spacing w:after="0" w:line="213"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53" w:lineRule="exact"/>
        <w:rPr>
          <w:sz w:val="20"/>
          <w:szCs w:val="20"/>
          <w:color w:val="auto"/>
        </w:rPr>
      </w:pPr>
    </w:p>
    <w:p>
      <w:pPr>
        <w:ind w:left="480" w:hanging="475"/>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customers’ ability to obtain reimbursement for our product candidates in foreign markets;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inability to directly control commercial activities because we are relying on third parties;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burden of complying with complex and changing foreign regulatory, tax, accounting and legal requirements;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different medical practices and customs in foreign countries affecting acceptance in the marketplace;</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import or export licensing requirements;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longer accounts receivable collection times;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longer lead times for shipping;</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language barriers for technical training;</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reduced protection of intellectual property rights in some foreign countries;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existence of additional potentially relevant third party intellectual property rights;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foreign currency exchange rate fluctuations; and</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interpretation of contractual provisions governed by foreign laws in the event of a contract dispute.</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Foreign sales of our product candidates could also be adversely affected by the imposition of governmental controls, political and economic instability, trade restrictions and changes in tariffs.</w:t>
      </w:r>
    </w:p>
    <w:p>
      <w:pPr>
        <w:spacing w:after="0" w:line="30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260"/>
          </w:cols>
          <w:pgMar w:left="220" w:top="133" w:right="419" w:bottom="1440" w:gutter="0" w:footer="0" w:header="0"/>
        </w:sectPr>
      </w:pPr>
    </w:p>
    <w:bookmarkStart w:id="21" w:name="page22"/>
    <w:bookmarkEnd w:id="2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We are a development stage bioharmaceutical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42" w:lineRule="exact"/>
        <w:rPr>
          <w:sz w:val="20"/>
          <w:szCs w:val="20"/>
          <w:color w:val="auto"/>
        </w:rPr>
      </w:pPr>
    </w:p>
    <w:p>
      <w:pPr>
        <w:ind w:right="120"/>
        <w:spacing w:after="0" w:line="333" w:lineRule="auto"/>
        <w:rPr>
          <w:sz w:val="20"/>
          <w:szCs w:val="20"/>
          <w:color w:val="auto"/>
        </w:rPr>
      </w:pPr>
      <w:r>
        <w:rPr>
          <w:rFonts w:ascii="Arial" w:cs="Arial" w:eastAsia="Arial" w:hAnsi="Arial"/>
          <w:sz w:val="12"/>
          <w:szCs w:val="12"/>
          <w:color w:val="auto"/>
        </w:rPr>
        <w:t>We are a development stage biopharmaceutical company. Although our lead drug candidate is in Phase 2 development,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07" w:lineRule="exact"/>
        <w:rPr>
          <w:sz w:val="20"/>
          <w:szCs w:val="20"/>
          <w:color w:val="auto"/>
        </w:rPr>
      </w:pPr>
    </w:p>
    <w:p>
      <w:pPr>
        <w:ind w:left="520" w:hanging="515"/>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produce product candidates;</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develop and obtain required regulatory approvals for commercialization of products we produce;</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maintain, leverage and expand our intellectual property portfolio;</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establish and maintain sales, distribution and marketing capabilities, and/or enter into strategic partnering arrangements to access such capabilities;</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gain market acceptance for our products; and</w:t>
      </w:r>
    </w:p>
    <w:p>
      <w:pPr>
        <w:spacing w:after="0" w:line="179" w:lineRule="exact"/>
        <w:rPr>
          <w:rFonts w:ascii="Arial" w:cs="Arial" w:eastAsia="Arial" w:hAnsi="Arial"/>
          <w:sz w:val="14"/>
          <w:szCs w:val="14"/>
          <w:color w:val="auto"/>
        </w:rPr>
      </w:pPr>
    </w:p>
    <w:p>
      <w:pPr>
        <w:ind w:left="520" w:right="280" w:hanging="515"/>
        <w:spacing w:after="0" w:line="283"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obtain adequate capital resources and manage our spending as costs and expenses increase due to research, production, development, regulatory approval and commercialization of product candidates.</w:t>
      </w:r>
    </w:p>
    <w:p>
      <w:pPr>
        <w:spacing w:after="0" w:line="13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b w:val="1"/>
          <w:bCs w:val="1"/>
          <w:i w:val="1"/>
          <w:iCs w:val="1"/>
          <w:color w:val="auto"/>
        </w:rPr>
        <w:t>Our future success is highly dependent upon our ability to successfully develop and commercialize AV-101 and discover, as well as produce, develop and commercialize proprietary drug rescue NCEs using our stem cell technology, and we cannot provide any assurance that we will successfully develop and commercialize AV-101 or drug rescue NCEs, or that, if produced, AV-101 or any drug rescue NCE will be successfully commercialized.</w:t>
      </w:r>
    </w:p>
    <w:p>
      <w:pPr>
        <w:spacing w:after="0" w:line="142" w:lineRule="exact"/>
        <w:rPr>
          <w:sz w:val="20"/>
          <w:szCs w:val="20"/>
          <w:color w:val="auto"/>
        </w:rPr>
      </w:pPr>
    </w:p>
    <w:p>
      <w:pPr>
        <w:jc w:val="both"/>
        <w:ind w:right="40"/>
        <w:spacing w:after="0" w:line="268" w:lineRule="auto"/>
        <w:rPr>
          <w:sz w:val="20"/>
          <w:szCs w:val="20"/>
          <w:color w:val="auto"/>
        </w:rPr>
      </w:pPr>
      <w:r>
        <w:rPr>
          <w:rFonts w:ascii="Arial" w:cs="Arial" w:eastAsia="Arial" w:hAnsi="Arial"/>
          <w:sz w:val="14"/>
          <w:szCs w:val="14"/>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42" w:lineRule="exact"/>
        <w:rPr>
          <w:sz w:val="20"/>
          <w:szCs w:val="20"/>
          <w:color w:val="auto"/>
        </w:rPr>
      </w:pPr>
    </w:p>
    <w:p>
      <w:pPr>
        <w:ind w:left="520" w:hanging="515"/>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drug rescue research methodology may not be successful in identifying potential drug rescue NCEs;</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competitors may develop alternatives that render our drug rescue NCEs obsolete;</w:t>
      </w:r>
    </w:p>
    <w:p>
      <w:pPr>
        <w:spacing w:after="0" w:line="179" w:lineRule="exact"/>
        <w:rPr>
          <w:rFonts w:ascii="Arial" w:cs="Arial" w:eastAsia="Arial" w:hAnsi="Arial"/>
          <w:sz w:val="14"/>
          <w:szCs w:val="14"/>
          <w:color w:val="auto"/>
        </w:rPr>
      </w:pPr>
    </w:p>
    <w:p>
      <w:pPr>
        <w:ind w:left="520" w:right="560" w:hanging="515"/>
        <w:spacing w:after="0" w:line="283"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drug rescue NCE may, on further study, be shown to have harmful side effects or other characteristics that indicate it is unlikely to be effective or otherwise does not meet applicable regulatory criteria;</w:t>
      </w:r>
    </w:p>
    <w:p>
      <w:pPr>
        <w:spacing w:after="0" w:line="131" w:lineRule="exact"/>
        <w:rPr>
          <w:rFonts w:ascii="Arial" w:cs="Arial" w:eastAsia="Arial" w:hAnsi="Arial"/>
          <w:sz w:val="14"/>
          <w:szCs w:val="14"/>
          <w:color w:val="auto"/>
        </w:rPr>
      </w:pPr>
    </w:p>
    <w:p>
      <w:pPr>
        <w:ind w:left="520" w:hanging="515"/>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drug rescue NCE may not be capable of being produced in commercial quantities at an acceptable cost, or at all; or</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drug rescue NCE may not be accepted as safe and effective by regulatory authorities, patients, the medical community or third-party payors.</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 w:name="page23"/>
    <w:bookmarkEnd w:id="2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3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If we are unable to develop and commercialize AV-101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153" w:lineRule="exact"/>
        <w:rPr>
          <w:sz w:val="20"/>
          <w:szCs w:val="20"/>
          <w:color w:val="auto"/>
        </w:rPr>
      </w:pPr>
    </w:p>
    <w:p>
      <w:pPr>
        <w:ind w:right="800"/>
        <w:spacing w:after="0" w:line="283" w:lineRule="auto"/>
        <w:rPr>
          <w:sz w:val="20"/>
          <w:szCs w:val="20"/>
          <w:color w:val="auto"/>
        </w:rPr>
      </w:pPr>
      <w:r>
        <w:rPr>
          <w:rFonts w:ascii="Arial" w:cs="Arial" w:eastAsia="Arial" w:hAnsi="Arial"/>
          <w:sz w:val="14"/>
          <w:szCs w:val="14"/>
          <w:color w:val="auto"/>
        </w:rPr>
        <w:t xml:space="preserve">There are a number of factors, in addition to the utility of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that may impact our ability to identify and produce, develop or out-license and commercialize drug rescue NCEs, independently or with strategic partners, including:</w:t>
      </w:r>
    </w:p>
    <w:p>
      <w:pPr>
        <w:spacing w:after="0" w:line="131" w:lineRule="exact"/>
        <w:rPr>
          <w:sz w:val="20"/>
          <w:szCs w:val="20"/>
          <w:color w:val="auto"/>
        </w:rPr>
      </w:pPr>
    </w:p>
    <w:p>
      <w:pPr>
        <w:ind w:left="520" w:hanging="515"/>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ability to identify potential drug rescue candidates in the public domain, obtain sufficient quantities of them, and assess them using our bioassay systems;</w:t>
      </w:r>
    </w:p>
    <w:p>
      <w:pPr>
        <w:spacing w:after="0" w:line="179" w:lineRule="exact"/>
        <w:rPr>
          <w:rFonts w:ascii="Arial" w:cs="Arial" w:eastAsia="Arial" w:hAnsi="Arial"/>
          <w:sz w:val="14"/>
          <w:szCs w:val="14"/>
          <w:color w:val="auto"/>
        </w:rPr>
      </w:pPr>
    </w:p>
    <w:p>
      <w:pPr>
        <w:ind w:left="520" w:right="40" w:hanging="515"/>
        <w:spacing w:after="0" w:line="283"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31" w:lineRule="exact"/>
        <w:rPr>
          <w:rFonts w:ascii="Arial" w:cs="Arial" w:eastAsia="Arial" w:hAnsi="Arial"/>
          <w:sz w:val="14"/>
          <w:szCs w:val="14"/>
          <w:color w:val="auto"/>
        </w:rPr>
      </w:pPr>
    </w:p>
    <w:p>
      <w:pPr>
        <w:ind w:left="520" w:right="100" w:hanging="515"/>
        <w:spacing w:after="0" w:line="283"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and</w:t>
      </w:r>
    </w:p>
    <w:p>
      <w:pPr>
        <w:spacing w:after="0" w:line="131" w:lineRule="exact"/>
        <w:rPr>
          <w:rFonts w:ascii="Arial" w:cs="Arial" w:eastAsia="Arial" w:hAnsi="Arial"/>
          <w:sz w:val="14"/>
          <w:szCs w:val="14"/>
          <w:color w:val="auto"/>
        </w:rPr>
      </w:pPr>
    </w:p>
    <w:p>
      <w:pPr>
        <w:ind w:left="520" w:hanging="515"/>
        <w:spacing w:after="0" w:line="283"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Even if we do produce proprietary drug rescue NCEs, we can give no assurance that we will be able to develop and commercialize them as a marketable drug, on our own or in a strategic collaboration. Before we generate any revenues from AV-101 and/or additional drug rescue NCEs we or our potential strategic collaborator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7" w:lineRule="exact"/>
        <w:rPr>
          <w:sz w:val="20"/>
          <w:szCs w:val="20"/>
          <w:color w:val="auto"/>
        </w:rPr>
      </w:pPr>
    </w:p>
    <w:p>
      <w:pPr>
        <w:ind w:right="240"/>
        <w:spacing w:after="0" w:line="288" w:lineRule="auto"/>
        <w:rPr>
          <w:sz w:val="20"/>
          <w:szCs w:val="20"/>
          <w:color w:val="auto"/>
        </w:rPr>
      </w:pPr>
      <w:r>
        <w:rPr>
          <w:rFonts w:ascii="Arial" w:cs="Arial" w:eastAsia="Arial" w:hAnsi="Arial"/>
          <w:sz w:val="14"/>
          <w:szCs w:val="14"/>
          <w:b w:val="1"/>
          <w:bCs w:val="1"/>
          <w:i w:val="1"/>
          <w:iCs w:val="1"/>
          <w:color w:val="auto"/>
        </w:rPr>
        <w:t xml:space="preserve">If CardioSafe </w:t>
      </w:r>
      <w:r>
        <w:rPr>
          <w:rFonts w:ascii="Arial" w:cs="Arial" w:eastAsia="Arial" w:hAnsi="Arial"/>
          <w:sz w:val="14"/>
          <w:szCs w:val="14"/>
          <w:b w:val="1"/>
          <w:bCs w:val="1"/>
          <w:color w:val="auto"/>
        </w:rPr>
        <w:t>3D</w:t>
      </w:r>
      <w:r>
        <w:rPr>
          <w:rFonts w:ascii="Arial" w:cs="Arial" w:eastAsia="Arial" w:hAnsi="Arial"/>
          <w:sz w:val="14"/>
          <w:szCs w:val="14"/>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 xml:space="preserve">Our success is highly dependent on our ability to use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to identify and predict, accurately and efficiently, the potential toxic and nontoxic cardiac effects of drug rescue candidates and drug rescue NCEs. If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is not capable of providing physiologically relevant and clinically predictive information regarding human cardiac biology, our drug rescue business will be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r>
        <w:rPr>
          <w:rFonts w:ascii="Arial" w:cs="Arial" w:eastAsia="Arial" w:hAnsi="Arial"/>
          <w:sz w:val="14"/>
          <w:szCs w:val="14"/>
          <w:b w:val="1"/>
          <w:bCs w:val="1"/>
          <w:i w:val="1"/>
          <w:iCs w:val="1"/>
          <w:color w:val="auto"/>
        </w:rPr>
        <w:t xml:space="preserve"> may not be meaningfully more predictive of the behavior of human cells than existing methods.</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 xml:space="preserve">The success of our drug rescue business is highly dependent upon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will be more efficient or accurate at predicting the heart safety of new drug candidates than the testing models currently used. If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invest in producing drug rescue NCEs for which there proves to be no demand.</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strategic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3" w:name="page24"/>
    <w:bookmarkEnd w:id="2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203"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regenerative medicine programs involving blood, bone, cartilage, heart, and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36" w:lineRule="exact"/>
        <w:rPr>
          <w:sz w:val="20"/>
          <w:szCs w:val="20"/>
          <w:color w:val="auto"/>
        </w:rPr>
      </w:pPr>
    </w:p>
    <w:p>
      <w:pPr>
        <w:spacing w:after="0" w:line="370" w:lineRule="auto"/>
        <w:rPr>
          <w:sz w:val="20"/>
          <w:szCs w:val="20"/>
          <w:color w:val="auto"/>
        </w:rPr>
      </w:pPr>
      <w:r>
        <w:rPr>
          <w:rFonts w:ascii="Arial" w:cs="Arial" w:eastAsia="Arial" w:hAnsi="Arial"/>
          <w:sz w:val="12"/>
          <w:szCs w:val="12"/>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86"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Some of our research and development programs may involve the use of human cells derived from our controlled differentiation of human embryonic stem cells (</w:t>
      </w:r>
      <w:r>
        <w:rPr>
          <w:rFonts w:ascii="Arial" w:cs="Arial" w:eastAsia="Arial" w:hAnsi="Arial"/>
          <w:sz w:val="14"/>
          <w:szCs w:val="14"/>
          <w:i w:val="1"/>
          <w:iCs w:val="1"/>
          <w:color w:val="auto"/>
        </w:rPr>
        <w:t>hESC</w:t>
      </w:r>
      <w:r>
        <w:rPr>
          <w:rFonts w:ascii="Arial" w:cs="Arial" w:eastAsia="Arial" w:hAnsi="Arial"/>
          <w:sz w:val="14"/>
          <w:szCs w:val="14"/>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fertilization (</w:t>
      </w:r>
      <w:r>
        <w:rPr>
          <w:rFonts w:ascii="Arial" w:cs="Arial" w:eastAsia="Arial" w:hAnsi="Arial"/>
          <w:sz w:val="14"/>
          <w:szCs w:val="14"/>
          <w:i w:val="1"/>
          <w:iCs w:val="1"/>
          <w:color w:val="auto"/>
        </w:rPr>
        <w:t>IVF</w:t>
      </w:r>
      <w:r>
        <w:rPr>
          <w:rFonts w:ascii="Arial" w:cs="Arial" w:eastAsia="Arial" w:hAnsi="Arial"/>
          <w:sz w:val="14"/>
          <w:szCs w:val="14"/>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49"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foregoing potential ethical concerns do not apply to our use of induced pluripotent stem cells </w:t>
      </w:r>
      <w:r>
        <w:rPr>
          <w:rFonts w:ascii="Arial" w:cs="Arial" w:eastAsia="Arial" w:hAnsi="Arial"/>
          <w:sz w:val="14"/>
          <w:szCs w:val="14"/>
          <w:i w:val="1"/>
          <w:iCs w:val="1"/>
          <w:color w:val="auto"/>
        </w:rPr>
        <w:t>(iPSC</w:t>
      </w:r>
      <w:r>
        <w:rPr>
          <w:rFonts w:ascii="Arial" w:cs="Arial" w:eastAsia="Arial" w:hAnsi="Arial"/>
          <w:sz w:val="14"/>
          <w:szCs w:val="14"/>
          <w:color w:val="auto"/>
        </w:rPr>
        <w:t>s) because their derivation does not involve the use of embryonic tissues.</w:t>
      </w:r>
    </w:p>
    <w:p>
      <w:pPr>
        <w:spacing w:after="0" w:line="201"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31" w:lineRule="exact"/>
        <w:rPr>
          <w:sz w:val="20"/>
          <w:szCs w:val="20"/>
          <w:color w:val="auto"/>
        </w:rPr>
      </w:pPr>
    </w:p>
    <w:p>
      <w:pPr>
        <w:jc w:val="both"/>
        <w:ind w:right="20"/>
        <w:spacing w:after="0" w:line="261" w:lineRule="auto"/>
        <w:rPr>
          <w:sz w:val="20"/>
          <w:szCs w:val="20"/>
          <w:color w:val="auto"/>
        </w:rPr>
      </w:pPr>
      <w:r>
        <w:rPr>
          <w:rFonts w:ascii="Arial" w:cs="Arial" w:eastAsia="Arial" w:hAnsi="Arial"/>
          <w:sz w:val="14"/>
          <w:szCs w:val="14"/>
          <w:color w:val="auto"/>
        </w:rPr>
        <w:t xml:space="preserve">We may use both hESCs and iPSCs to produce human cells for our customized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4" w:name="page25"/>
    <w:bookmarkEnd w:id="2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31"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8"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2"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42"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42"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social and ethical concerns surrounding the use of iPSCs, biological materials and genetic information could impair our operations.</w:t>
      </w:r>
    </w:p>
    <w:p>
      <w:pPr>
        <w:spacing w:after="0" w:line="180" w:lineRule="exact"/>
        <w:rPr>
          <w:sz w:val="20"/>
          <w:szCs w:val="20"/>
          <w:color w:val="auto"/>
        </w:rPr>
      </w:pPr>
    </w:p>
    <w:p>
      <w:pPr>
        <w:spacing w:after="0" w:line="314" w:lineRule="auto"/>
        <w:rPr>
          <w:sz w:val="20"/>
          <w:szCs w:val="20"/>
          <w:color w:val="auto"/>
        </w:rPr>
      </w:pPr>
      <w:r>
        <w:rPr>
          <w:rFonts w:ascii="Arial" w:cs="Arial" w:eastAsia="Arial" w:hAnsi="Arial"/>
          <w:sz w:val="12"/>
          <w:szCs w:val="12"/>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5" w:name="page26"/>
    <w:bookmarkEnd w:id="2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1"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 xml:space="preserve">The human cells we produce from hPSCs and our customized bioassay systems using such cells, including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Financial Position and Need for Capital</w:t>
      </w:r>
    </w:p>
    <w:p>
      <w:pPr>
        <w:spacing w:after="0" w:line="205"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have incurred significant net losses in each fiscal year since our inception in 1998, including net losses of $13.9 million and $3.0 million during the fiscal years ending March 31, 2015 and 2014, respectively. As of December 31, 2015, we had an accumulated deficit of approximately $123.2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1" w:lineRule="exact"/>
        <w:rPr>
          <w:sz w:val="20"/>
          <w:szCs w:val="20"/>
          <w:color w:val="auto"/>
        </w:rPr>
      </w:pPr>
    </w:p>
    <w:p>
      <w:pPr>
        <w:ind w:right="120"/>
        <w:spacing w:after="0" w:line="290" w:lineRule="auto"/>
        <w:rPr>
          <w:sz w:val="20"/>
          <w:szCs w:val="20"/>
          <w:color w:val="auto"/>
        </w:rPr>
      </w:pPr>
      <w:r>
        <w:rPr>
          <w:rFonts w:ascii="Arial" w:cs="Arial" w:eastAsia="Arial" w:hAnsi="Arial"/>
          <w:sz w:val="13"/>
          <w:szCs w:val="13"/>
          <w:color w:val="auto"/>
        </w:rPr>
        <w:t>Our ability to become profitable depends upon our ability to generate revenues. To date, we have generated approximately $16.4 million in revenues, exclusively from the receipt of research and development grants.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strategic development and commercialization agreements with respect to AV-101 or another product candidate. Our ability to generate revenue depends on a number of factors, including, but not limited to, our ability to:</w:t>
      </w:r>
    </w:p>
    <w:p>
      <w:pPr>
        <w:spacing w:after="0" w:line="151" w:lineRule="exact"/>
        <w:rPr>
          <w:sz w:val="20"/>
          <w:szCs w:val="20"/>
          <w:color w:val="auto"/>
        </w:rPr>
      </w:pPr>
    </w:p>
    <w:p>
      <w:pPr>
        <w:ind w:left="520" w:hanging="515"/>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initiate and successfully complete clinical trials that meet their clinical endpoints;</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initiate and successfully complete all safety studies required to obtain U.S. and foreign marketing approval for our product candidates;</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commercialize our product candidates, if approved, by developing a sales force or entering into collaborations with third parties; and</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achieve market acceptance of our product candidates in the medical community and with third-party payors.</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Unless we enter into a strategic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6" w:name="page27"/>
    <w:bookmarkEnd w:id="2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independent auditors have expressed substantial doubt about our ability to continue as a going concern.</w:t>
      </w:r>
    </w:p>
    <w:p>
      <w:pPr>
        <w:spacing w:after="0" w:line="20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consolidated financial statements for the year ended March 31, 2015 have been prepared assuming we will continue to operate as a going concern. However, due to our ongoing operating losses and our accumulated deficit, in their opinion on our audited financial statements for our fiscal year ended March 31, 2015, our auditors indicated that there is substantial doubt about our ability to continue as a going concern. Because we continue to experience net operating losses, our ability to continue as a going concern is subject to our ability to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3"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 or other operations.</w:t>
      </w:r>
    </w:p>
    <w:p>
      <w:pPr>
        <w:spacing w:after="0" w:line="153"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for drug rescue applications, and we will continue to expend substantial resources for the foreseeable future developing and commercializing AV-101, and, potentially, developing drug rescue NCEs and RM therapies.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156" w:lineRule="exact"/>
        <w:rPr>
          <w:sz w:val="20"/>
          <w:szCs w:val="20"/>
          <w:color w:val="auto"/>
        </w:rPr>
      </w:pPr>
    </w:p>
    <w:p>
      <w:pPr>
        <w:ind w:right="300"/>
        <w:spacing w:after="0" w:line="300" w:lineRule="auto"/>
        <w:rPr>
          <w:sz w:val="20"/>
          <w:szCs w:val="20"/>
          <w:color w:val="auto"/>
        </w:rPr>
      </w:pPr>
      <w:r>
        <w:rPr>
          <w:rFonts w:ascii="Arial" w:cs="Arial" w:eastAsia="Arial" w:hAnsi="Arial"/>
          <w:sz w:val="12"/>
          <w:szCs w:val="12"/>
          <w:color w:val="auto"/>
        </w:rPr>
        <w:t xml:space="preserve">At December 31, 2015, our existing cash and cash equivalents were not sufficient to fund our current operations for the next 12 months. As described in Note 8, </w:t>
      </w:r>
      <w:r>
        <w:rPr>
          <w:rFonts w:ascii="Arial" w:cs="Arial" w:eastAsia="Arial" w:hAnsi="Arial"/>
          <w:sz w:val="12"/>
          <w:szCs w:val="12"/>
          <w:i w:val="1"/>
          <w:iCs w:val="1"/>
          <w:color w:val="auto"/>
        </w:rPr>
        <w:t>Capital Stock</w:t>
      </w:r>
      <w:r>
        <w:rPr>
          <w:rFonts w:ascii="Arial" w:cs="Arial" w:eastAsia="Arial" w:hAnsi="Arial"/>
          <w:sz w:val="12"/>
          <w:szCs w:val="12"/>
          <w:color w:val="auto"/>
        </w:rPr>
        <w:t>, to the accompanying Condensed Consolidated Financial Statements for the nine months ended December 31, 2015 included elsewhere in this prospectus, on August 3, 2015, we entered into an agreement with Platinum Long Term Growth VII, LLC (</w:t>
      </w:r>
      <w:r>
        <w:rPr>
          <w:rFonts w:ascii="Arial" w:cs="Arial" w:eastAsia="Arial" w:hAnsi="Arial"/>
          <w:sz w:val="12"/>
          <w:szCs w:val="12"/>
          <w:i w:val="1"/>
          <w:iCs w:val="1"/>
          <w:color w:val="auto"/>
        </w:rPr>
        <w:t>Platinum</w:t>
      </w:r>
      <w:r>
        <w:rPr>
          <w:rFonts w:ascii="Arial" w:cs="Arial" w:eastAsia="Arial" w:hAnsi="Arial"/>
          <w:sz w:val="12"/>
          <w:szCs w:val="12"/>
          <w:color w:val="auto"/>
        </w:rPr>
        <w:t>) (</w:t>
      </w:r>
      <w:r>
        <w:rPr>
          <w:rFonts w:ascii="Arial" w:cs="Arial" w:eastAsia="Arial" w:hAnsi="Arial"/>
          <w:sz w:val="12"/>
          <w:szCs w:val="12"/>
          <w:i w:val="1"/>
          <w:iCs w:val="1"/>
          <w:color w:val="auto"/>
        </w:rPr>
        <w:t>August 2015 Agreement</w:t>
      </w:r>
      <w:r>
        <w:rPr>
          <w:rFonts w:ascii="Arial" w:cs="Arial" w:eastAsia="Arial" w:hAnsi="Arial"/>
          <w:sz w:val="12"/>
          <w:szCs w:val="12"/>
          <w:color w:val="auto"/>
        </w:rPr>
        <w:t xml:space="preserve">) pursuant to which we agreed to sell to Platinum an additional $3.0 million of our Series B Preferred and Series B Warrants (collectively, </w:t>
      </w:r>
      <w:r>
        <w:rPr>
          <w:rFonts w:ascii="Arial" w:cs="Arial" w:eastAsia="Arial" w:hAnsi="Arial"/>
          <w:sz w:val="12"/>
          <w:szCs w:val="12"/>
          <w:i w:val="1"/>
          <w:iCs w:val="1"/>
          <w:color w:val="auto"/>
        </w:rPr>
        <w:t>Series B Units</w:t>
      </w:r>
      <w:r>
        <w:rPr>
          <w:rFonts w:ascii="Arial" w:cs="Arial" w:eastAsia="Arial" w:hAnsi="Arial"/>
          <w:sz w:val="12"/>
          <w:szCs w:val="12"/>
          <w:color w:val="auto"/>
        </w:rPr>
        <w:t>). Through December 31, 2015, Platinum purchased an aggregate of $1.65 million of Series B Units under the August 2015 Agreement. Concurrently with its December</w:t>
      </w:r>
    </w:p>
    <w:p>
      <w:pPr>
        <w:spacing w:after="0" w:line="2"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2015 purchase of $1.0 million of Series B Units and at our request, Platinum agreed to cancel its right to purchase the remaining $1.35 million of the Series B Units under the August 2015 Agreement. From January 1, 2016 through March 4, 2016, we have sold to accredited investors other than Platinum $328,000 of our Series B Units in self-placed private placement transactions. In February 2015, we entered into the CRADA with the NIH, under which the NIH is fully funding and conducting the initial Phase 2a clinical efficacy and safety of AV-101 in MDD. However, we have no current source of revenue to sustain our present activities, and we do not expect to generate revenue until, and unless, we (i) out-license or sell AV-101, a drug rescue NCE, or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 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intend to complete additional financing arrangements in 2016.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Our future capital requirements depend on many factors, including:</w:t>
      </w:r>
    </w:p>
    <w:p>
      <w:pPr>
        <w:spacing w:after="0" w:line="201" w:lineRule="exact"/>
        <w:rPr>
          <w:sz w:val="20"/>
          <w:szCs w:val="20"/>
          <w:color w:val="auto"/>
        </w:rPr>
      </w:pPr>
    </w:p>
    <w:p>
      <w:pPr>
        <w:ind w:left="520" w:hanging="51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number and characteristics of the product candidates we pursue, including AV-101 and drug rescue NCEs;</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scope, progress, results and costs of researching and developing our product candidates, and conducting preclinical and clinical studies;</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timing of, and the costs involved in, obtaining regulatory approvals for our product candidates;</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cost of commercialization activities if any of our product candidates are approved for sale, including marketing, sales and distribution costs;</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cost of manufacturing our product candidates and any products we successfully commercialize;</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7" w:name="page28"/>
    <w:bookmarkEnd w:id="2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520" w:hanging="51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ability to establish and maintain strategic partnerships, licensing or other arrangements and the financial terms of such agreements;</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market acceptance of our products;</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ability to obtain government funding for our programs;</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costs involved in obtaining and enforcing patents to preserve our intellectual property;</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costs involved in defending against such claims that we infringe third-party patents or violate other intellectual property rights and the outcome of such litigation;</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timing, receipt and amount of potential future licensee fees, milestone payments, and sales of, or royalties on, our future products, if any; and</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extent to which we acquire or invest in businesses, products and technologies, although we currently have no commitments or agreements relating to any of these types of transactions.</w:t>
      </w:r>
    </w:p>
    <w:p>
      <w:pPr>
        <w:spacing w:after="0" w:line="213"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Any additional fundraising efforts will divert our management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59"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If we are unable to obtain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Raising additional capital will cause dilution to our existing stockholders, and may restrict our operations or require us to relinquish rights.</w:t>
      </w:r>
    </w:p>
    <w:p>
      <w:pPr>
        <w:spacing w:after="0" w:line="201"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We intend to seek additional capital in 2016 through this Offering, and may continue to pursue private and public equity offerings, debt financings, collaborations and strategic and licensing arrangements.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Some of our programs have been partially supported by government grants, which may not be available to us in the future.</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8" w:name="page29"/>
    <w:bookmarkEnd w:id="2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net operating losses to offset future taxable income is subject to certain limitations.</w:t>
      </w:r>
    </w:p>
    <w:p>
      <w:pPr>
        <w:spacing w:after="0" w:line="180"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 xml:space="preserve">As of March 31, 2015, we had federal and state net operating loss carryforwards of $58.7 million and $53.1 million, respectively, which begin to expire in fiscal 2016. Under Section 382 of the Internal Revenue Code of 1986, as amended (the </w:t>
      </w:r>
      <w:r>
        <w:rPr>
          <w:rFonts w:ascii="Arial" w:cs="Arial" w:eastAsia="Arial" w:hAnsi="Arial"/>
          <w:sz w:val="14"/>
          <w:szCs w:val="14"/>
          <w:i w:val="1"/>
          <w:iCs w:val="1"/>
          <w:color w:val="auto"/>
        </w:rPr>
        <w:t>Code</w:t>
      </w:r>
      <w:r>
        <w:rPr>
          <w:rFonts w:ascii="Arial" w:cs="Arial" w:eastAsia="Arial" w:hAnsi="Arial"/>
          <w:sz w:val="14"/>
          <w:szCs w:val="14"/>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Company-Related Risks</w:t>
      </w:r>
    </w:p>
    <w:p>
      <w:pPr>
        <w:spacing w:after="0" w:line="20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Our success depends in part on our continued ability to attract, retain and motivate highly qualified management and scientific and technical personnel. We are highly dependent upon our Chief Executive Officer, President and Chief Scientific Officer and Chief Financial Officer, as well as other employees, consultants and scientific collaborators. As of the date of this prospectus, we have eight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147"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42"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In addition, we rely on a diverse range of strategic consultants and advisors, including scientific and clinical development advisors, to assist us in designing and implementing our research and development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encounter difficulties in managing our growth and expanding our operations successfully.</w:t>
      </w:r>
    </w:p>
    <w:p>
      <w:pPr>
        <w:spacing w:after="0" w:line="180" w:lineRule="exact"/>
        <w:rPr>
          <w:sz w:val="20"/>
          <w:szCs w:val="20"/>
          <w:color w:val="auto"/>
        </w:rPr>
      </w:pPr>
    </w:p>
    <w:p>
      <w:pPr>
        <w:ind w:right="120"/>
        <w:spacing w:after="0" w:line="281" w:lineRule="auto"/>
        <w:rPr>
          <w:sz w:val="20"/>
          <w:szCs w:val="20"/>
          <w:color w:val="auto"/>
        </w:rPr>
      </w:pPr>
      <w:r>
        <w:rPr>
          <w:rFonts w:ascii="Arial" w:cs="Arial" w:eastAsia="Arial" w:hAnsi="Arial"/>
          <w:sz w:val="13"/>
          <w:szCs w:val="13"/>
          <w:color w:val="auto"/>
        </w:rPr>
        <w:t>As we seek to advance development of AV-101 for MDD and other CNS-related conditions, as well as drug rescue and stem cell technology-related regenerative medicine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9" w:name="page30"/>
    <w:bookmarkEnd w:id="2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our product candidates.</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If we develop AV-101, drug rescue NCEs, other product candidates, or regenerative medicine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52" w:lineRule="exact"/>
        <w:rPr>
          <w:sz w:val="20"/>
          <w:szCs w:val="20"/>
          <w:color w:val="auto"/>
        </w:rPr>
      </w:pPr>
    </w:p>
    <w:p>
      <w:pPr>
        <w:ind w:left="520" w:hanging="515"/>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decreased demand for products that we may develop;</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injury to our reputation;</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withdrawal of clinical trial participants;</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costs to defend the related litigation;</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diversion of management's time and our resources;</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product recalls, withdrawals or labeling, marketing or promotional restrictions;</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loss of revenue;</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inability to commercialize our product candidates; and</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decline in our stock price.</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 we continue to grow, we will need to hire additional qualified accounting and financial personnel with appropriate public company experience.</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As we continue to grow our organization and seek to obtain listing of our common stock on The NASDAQ Capital Market, we will need to establish and maintain more elaborate disclosure and financial controls and make changes in our corporate governance practices. We will need to hire additional accounting and financial personnel with appropriate public company experience and technical accounting knowledge, and it may be difficult to recruit and retain such personnel. Even if we are able to hire appropriate personnel, our existing operating expenses and operations will increase by the direct costs of their employment and the indirect consequences related to the diversion of management resources from product development efforts.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30" w:name="page31"/>
    <w:bookmarkEnd w:id="3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Unfavorable global economic conditions could adversely affect our business, financial condition or results of operations.</w:t>
      </w:r>
    </w:p>
    <w:p>
      <w:pPr>
        <w:spacing w:after="0" w:line="201"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Our results of operations could be adversely affected by general conditions in the global economy and in the global financial and stock markets. Global financial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68"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5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5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acquire businesses or products, or form strategic alliances, in the future, and we may not realize the benefits of such acquisitions.</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 Rights</w:t>
      </w:r>
    </w:p>
    <w:p>
      <w:pPr>
        <w:spacing w:after="0" w:line="205"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53"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63" w:lineRule="exact"/>
        <w:rPr>
          <w:sz w:val="20"/>
          <w:szCs w:val="20"/>
          <w:color w:val="auto"/>
        </w:rPr>
      </w:pPr>
    </w:p>
    <w:p>
      <w:pPr>
        <w:ind w:right="340"/>
        <w:spacing w:after="0" w:line="320" w:lineRule="auto"/>
        <w:rPr>
          <w:sz w:val="20"/>
          <w:szCs w:val="20"/>
          <w:color w:val="auto"/>
        </w:rPr>
      </w:pPr>
      <w:r>
        <w:rPr>
          <w:rFonts w:ascii="Arial" w:cs="Arial" w:eastAsia="Arial" w:hAnsi="Arial"/>
          <w:sz w:val="12"/>
          <w:szCs w:val="12"/>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 applications related to AV-101 and own and have licensed patents and patent applications related to human pluripotent stem cell technology.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1" w:name="page32"/>
    <w:bookmarkEnd w:id="3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We currently have no issued patents covering AV-101. We cannot provide any assurances that any of our multiple pending U.S. and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168"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color w:val="auto"/>
        </w:rPr>
        <w:t xml:space="preserve">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3"/>
          <w:szCs w:val="13"/>
          <w:i w:val="1"/>
          <w:iCs w:val="1"/>
          <w:color w:val="auto"/>
        </w:rPr>
        <w:t>ex parte</w:t>
      </w:r>
      <w:r>
        <w:rPr>
          <w:rFonts w:ascii="Arial" w:cs="Arial" w:eastAsia="Arial" w:hAnsi="Arial"/>
          <w:sz w:val="13"/>
          <w:szCs w:val="13"/>
          <w:color w:val="auto"/>
        </w:rPr>
        <w:t xml:space="preserve"> reexamination, or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should they issue,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5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Furthermore, though a patent, if it were to issue,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In addition, proceedings to enforce or defend our patents, if and when issued,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if and when issued,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degree of future protection for our proprietary rights is uncertain, and we cannot ensure that:</w:t>
      </w:r>
    </w:p>
    <w:p>
      <w:pPr>
        <w:spacing w:after="0" w:line="201" w:lineRule="exact"/>
        <w:rPr>
          <w:sz w:val="20"/>
          <w:szCs w:val="20"/>
          <w:color w:val="auto"/>
        </w:rPr>
      </w:pPr>
    </w:p>
    <w:p>
      <w:pPr>
        <w:ind w:left="920" w:hanging="659"/>
        <w:spacing w:after="0" w:line="283" w:lineRule="auto"/>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any of our AV-101 or other pending patent applications, if issued, will include claims having a scope sufficient to protect AV-101 or any other products or product candidates, particularly considering that the compound patent to AV-101 has expired;</w:t>
      </w:r>
    </w:p>
    <w:p>
      <w:pPr>
        <w:spacing w:after="0" w:line="152" w:lineRule="exact"/>
        <w:rPr>
          <w:rFonts w:ascii="Arial" w:cs="Arial" w:eastAsia="Arial" w:hAnsi="Arial"/>
          <w:sz w:val="14"/>
          <w:szCs w:val="14"/>
          <w:color w:val="auto"/>
        </w:rPr>
      </w:pPr>
    </w:p>
    <w:p>
      <w:pPr>
        <w:ind w:left="920" w:hanging="659"/>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any of our pending patent applications will issue as patents at all;</w:t>
      </w:r>
    </w:p>
    <w:p>
      <w:pPr>
        <w:spacing w:after="0" w:line="201" w:lineRule="exact"/>
        <w:rPr>
          <w:rFonts w:ascii="Arial" w:cs="Arial" w:eastAsia="Arial" w:hAnsi="Arial"/>
          <w:sz w:val="14"/>
          <w:szCs w:val="14"/>
          <w:color w:val="auto"/>
        </w:rPr>
      </w:pPr>
    </w:p>
    <w:p>
      <w:pPr>
        <w:ind w:left="920" w:hanging="659"/>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will be able to successfully commercialize our product candidates, if approved, before our relevant patents expire;</w:t>
      </w:r>
    </w:p>
    <w:p>
      <w:pPr>
        <w:spacing w:after="0" w:line="201" w:lineRule="exact"/>
        <w:rPr>
          <w:rFonts w:ascii="Arial" w:cs="Arial" w:eastAsia="Arial" w:hAnsi="Arial"/>
          <w:sz w:val="14"/>
          <w:szCs w:val="14"/>
          <w:color w:val="auto"/>
        </w:rPr>
      </w:pPr>
    </w:p>
    <w:p>
      <w:pPr>
        <w:ind w:left="920" w:hanging="659"/>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were the first to make the inventions covered by each of our patents and pending patent applications;</w:t>
      </w:r>
    </w:p>
    <w:p>
      <w:pPr>
        <w:spacing w:after="0" w:line="201" w:lineRule="exact"/>
        <w:rPr>
          <w:rFonts w:ascii="Arial" w:cs="Arial" w:eastAsia="Arial" w:hAnsi="Arial"/>
          <w:sz w:val="14"/>
          <w:szCs w:val="14"/>
          <w:color w:val="auto"/>
        </w:rPr>
      </w:pPr>
    </w:p>
    <w:p>
      <w:pPr>
        <w:ind w:left="920" w:hanging="659"/>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were the first to file patent applications for these inventions;</w:t>
      </w:r>
    </w:p>
    <w:p>
      <w:pPr>
        <w:spacing w:after="0" w:line="201" w:lineRule="exact"/>
        <w:rPr>
          <w:rFonts w:ascii="Arial" w:cs="Arial" w:eastAsia="Arial" w:hAnsi="Arial"/>
          <w:sz w:val="14"/>
          <w:szCs w:val="14"/>
          <w:color w:val="auto"/>
        </w:rPr>
      </w:pPr>
    </w:p>
    <w:p>
      <w:pPr>
        <w:ind w:left="920" w:hanging="659"/>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others will not develop similar or alternative technologies that do not infringe our patents;</w:t>
      </w:r>
    </w:p>
    <w:p>
      <w:pPr>
        <w:spacing w:after="0" w:line="201" w:lineRule="exact"/>
        <w:rPr>
          <w:rFonts w:ascii="Arial" w:cs="Arial" w:eastAsia="Arial" w:hAnsi="Arial"/>
          <w:sz w:val="14"/>
          <w:szCs w:val="14"/>
          <w:color w:val="auto"/>
        </w:rPr>
      </w:pPr>
    </w:p>
    <w:p>
      <w:pPr>
        <w:ind w:left="920" w:hanging="659"/>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others will not use pre-existing technology to effectively compete against us;</w:t>
      </w:r>
    </w:p>
    <w:p>
      <w:pPr>
        <w:spacing w:after="0" w:line="201" w:lineRule="exact"/>
        <w:rPr>
          <w:rFonts w:ascii="Arial" w:cs="Arial" w:eastAsia="Arial" w:hAnsi="Arial"/>
          <w:sz w:val="14"/>
          <w:szCs w:val="14"/>
          <w:color w:val="auto"/>
        </w:rPr>
      </w:pPr>
    </w:p>
    <w:p>
      <w:pPr>
        <w:ind w:left="920" w:hanging="659"/>
        <w:spacing w:after="0"/>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any of our patents, if issued, will be found to ultimately be valid and enforceable;</w:t>
      </w:r>
    </w:p>
    <w:p>
      <w:pPr>
        <w:spacing w:after="0" w:line="201" w:lineRule="exact"/>
        <w:rPr>
          <w:rFonts w:ascii="Arial" w:cs="Arial" w:eastAsia="Arial" w:hAnsi="Arial"/>
          <w:sz w:val="14"/>
          <w:szCs w:val="14"/>
          <w:color w:val="auto"/>
        </w:rPr>
      </w:pPr>
    </w:p>
    <w:p>
      <w:pPr>
        <w:ind w:left="920" w:right="100" w:hanging="659"/>
        <w:spacing w:after="0" w:line="283" w:lineRule="auto"/>
        <w:tabs>
          <w:tab w:leader="none" w:pos="9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any patents issued to us will provide a basis for an exclusive market for our commercially viable products, will provide us with any competitive advantages or will not be challenged by third parties;</w:t>
      </w:r>
    </w:p>
    <w:p>
      <w:pPr>
        <w:spacing w:after="0" w:line="152" w:lineRule="exact"/>
        <w:rPr>
          <w:rFonts w:ascii="Arial" w:cs="Arial" w:eastAsia="Arial" w:hAnsi="Arial"/>
          <w:sz w:val="14"/>
          <w:szCs w:val="14"/>
          <w:color w:val="auto"/>
        </w:rPr>
      </w:pPr>
    </w:p>
    <w:p>
      <w:pPr>
        <w:ind w:left="900" w:hanging="639"/>
        <w:spacing w:after="0"/>
        <w:tabs>
          <w:tab w:leader="none" w:pos="9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will develop additional proprietary technologies or product candidates that are separately patentable; or</w:t>
      </w:r>
    </w:p>
    <w:p>
      <w:pPr>
        <w:spacing w:after="0" w:line="201" w:lineRule="exact"/>
        <w:rPr>
          <w:rFonts w:ascii="Arial" w:cs="Arial" w:eastAsia="Arial" w:hAnsi="Arial"/>
          <w:sz w:val="14"/>
          <w:szCs w:val="14"/>
          <w:color w:val="auto"/>
        </w:rPr>
      </w:pPr>
    </w:p>
    <w:p>
      <w:pPr>
        <w:ind w:left="900" w:hanging="639"/>
        <w:spacing w:after="0"/>
        <w:tabs>
          <w:tab w:leader="none" w:pos="9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that our commercial activities or products will not infringe upon the patents or proprietary rights of others.</w:t>
      </w:r>
    </w:p>
    <w:p>
      <w:pPr>
        <w:spacing w:after="0" w:line="201"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2" w:name="page33"/>
    <w:bookmarkEnd w:id="3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53"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53"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58" w:lineRule="exact"/>
        <w:rPr>
          <w:sz w:val="20"/>
          <w:szCs w:val="20"/>
          <w:color w:val="auto"/>
        </w:rPr>
      </w:pPr>
    </w:p>
    <w:p>
      <w:pPr>
        <w:jc w:val="both"/>
        <w:ind w:right="100"/>
        <w:spacing w:after="0" w:line="290" w:lineRule="auto"/>
        <w:rPr>
          <w:sz w:val="20"/>
          <w:szCs w:val="20"/>
          <w:color w:val="auto"/>
        </w:rPr>
      </w:pPr>
      <w:r>
        <w:rPr>
          <w:rFonts w:ascii="Arial" w:cs="Arial" w:eastAsia="Arial" w:hAnsi="Arial"/>
          <w:sz w:val="13"/>
          <w:szCs w:val="13"/>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5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67" w:lineRule="exact"/>
        <w:rPr>
          <w:sz w:val="20"/>
          <w:szCs w:val="20"/>
          <w:color w:val="auto"/>
        </w:rPr>
      </w:pPr>
    </w:p>
    <w:p>
      <w:pPr>
        <w:ind w:left="520" w:hanging="515"/>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cease developing, selling or otherwise commercializing our product candidates;</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pay substantial damages for past use of the asserted intellectual property;</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obtain a license from the holder of the asserted intellectual property, which license may not be available on reasonable terms, if at all; and</w:t>
      </w:r>
    </w:p>
    <w:p>
      <w:pPr>
        <w:spacing w:after="0" w:line="201" w:lineRule="exact"/>
        <w:rPr>
          <w:rFonts w:ascii="Arial" w:cs="Arial" w:eastAsia="Arial" w:hAnsi="Arial"/>
          <w:sz w:val="14"/>
          <w:szCs w:val="14"/>
          <w:color w:val="auto"/>
        </w:rPr>
      </w:pPr>
    </w:p>
    <w:p>
      <w:pPr>
        <w:ind w:left="520" w:right="220" w:hanging="515"/>
        <w:spacing w:after="0" w:line="283"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Any of these risks coming to fruition could have a material adverse effect on our business, results of operations, financial condition and prospects.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claims challenging the inventorship or ownership of our patents and other intellectual property.</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47"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3" w:name="page34"/>
    <w:bookmarkEnd w:id="3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80"/>
        <w:spacing w:after="0" w:line="283"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3" w:lineRule="exact"/>
        <w:rPr>
          <w:sz w:val="20"/>
          <w:szCs w:val="20"/>
          <w:color w:val="auto"/>
        </w:rPr>
      </w:pPr>
    </w:p>
    <w:p>
      <w:pPr>
        <w:jc w:val="both"/>
        <w:ind w:right="200"/>
        <w:spacing w:after="0" w:line="268" w:lineRule="auto"/>
        <w:rPr>
          <w:sz w:val="20"/>
          <w:szCs w:val="20"/>
          <w:color w:val="auto"/>
        </w:rPr>
      </w:pPr>
      <w:r>
        <w:rPr>
          <w:rFonts w:ascii="Arial" w:cs="Arial" w:eastAsia="Arial" w:hAnsi="Arial"/>
          <w:sz w:val="14"/>
          <w:szCs w:val="14"/>
          <w:color w:val="auto"/>
        </w:rPr>
        <w:t>The U.S. Patent and Trademark Office (</w:t>
      </w:r>
      <w:r>
        <w:rPr>
          <w:rFonts w:ascii="Arial" w:cs="Arial" w:eastAsia="Arial" w:hAnsi="Arial"/>
          <w:sz w:val="14"/>
          <w:szCs w:val="14"/>
          <w:i w:val="1"/>
          <w:iCs w:val="1"/>
          <w:color w:val="auto"/>
        </w:rPr>
        <w:t>USPTO</w:t>
      </w:r>
      <w:r>
        <w:rPr>
          <w:rFonts w:ascii="Arial" w:cs="Arial" w:eastAsia="Arial" w:hAnsi="Arial"/>
          <w:sz w:val="14"/>
          <w:szCs w:val="14"/>
          <w:color w:val="auto"/>
        </w:rPr>
        <w:t>)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licensors, which could be expensive, time-consuming and unsuccessful.</w:t>
      </w:r>
    </w:p>
    <w:p>
      <w:pPr>
        <w:spacing w:after="0" w:line="201"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51"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68"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Issued patents covering our product candidates could be found invalid or unenforceable if challenged in court.</w:t>
      </w:r>
    </w:p>
    <w:p>
      <w:pPr>
        <w:spacing w:after="0" w:line="201" w:lineRule="exact"/>
        <w:rPr>
          <w:sz w:val="20"/>
          <w:szCs w:val="20"/>
          <w:color w:val="auto"/>
        </w:rPr>
      </w:pPr>
    </w:p>
    <w:p>
      <w:pPr>
        <w:ind w:right="100"/>
        <w:spacing w:after="0" w:line="305" w:lineRule="auto"/>
        <w:rPr>
          <w:sz w:val="20"/>
          <w:szCs w:val="20"/>
          <w:color w:val="auto"/>
        </w:rPr>
      </w:pPr>
      <w:r>
        <w:rPr>
          <w:rFonts w:ascii="Arial" w:cs="Arial" w:eastAsia="Arial" w:hAnsi="Arial"/>
          <w:sz w:val="12"/>
          <w:szCs w:val="12"/>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25" w:lineRule="exact"/>
        <w:rPr>
          <w:sz w:val="20"/>
          <w:szCs w:val="20"/>
          <w:color w:val="auto"/>
        </w:rPr>
      </w:pPr>
    </w:p>
    <w:p>
      <w:pPr>
        <w:ind w:right="480"/>
        <w:spacing w:after="0" w:line="283" w:lineRule="auto"/>
        <w:rPr>
          <w:sz w:val="20"/>
          <w:szCs w:val="20"/>
          <w:color w:val="auto"/>
        </w:rPr>
      </w:pPr>
      <w:r>
        <w:rPr>
          <w:rFonts w:ascii="Arial" w:cs="Arial" w:eastAsia="Arial" w:hAnsi="Arial"/>
          <w:sz w:val="14"/>
          <w:szCs w:val="14"/>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3"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34" w:name="page35"/>
    <w:bookmarkEnd w:id="3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60"/>
        <w:spacing w:after="0" w:line="263" w:lineRule="auto"/>
        <w:rPr>
          <w:sz w:val="20"/>
          <w:szCs w:val="20"/>
          <w:color w:val="auto"/>
        </w:rPr>
      </w:pPr>
      <w:r>
        <w:rPr>
          <w:rFonts w:ascii="Arial" w:cs="Arial" w:eastAsia="Arial" w:hAnsi="Arial"/>
          <w:sz w:val="14"/>
          <w:szCs w:val="14"/>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6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3"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46"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“Business—Intellectual Property” herein for a description of our license agreements, which includes a description of the termination provisions of these agreements.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5" w:name="page36"/>
    <w:bookmarkEnd w:id="3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50" w:lineRule="exact"/>
        <w:rPr>
          <w:sz w:val="20"/>
          <w:szCs w:val="20"/>
          <w:color w:val="auto"/>
        </w:rPr>
      </w:pPr>
    </w:p>
    <w:p>
      <w:pPr>
        <w:ind w:right="540"/>
        <w:spacing w:after="0" w:line="283" w:lineRule="auto"/>
        <w:rPr>
          <w:sz w:val="20"/>
          <w:szCs w:val="20"/>
          <w:color w:val="auto"/>
        </w:rPr>
      </w:pPr>
      <w:r>
        <w:rPr>
          <w:rFonts w:ascii="Arial" w:cs="Arial" w:eastAsia="Arial" w:hAnsi="Arial"/>
          <w:sz w:val="14"/>
          <w:szCs w:val="14"/>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53" w:lineRule="exact"/>
        <w:rPr>
          <w:sz w:val="20"/>
          <w:szCs w:val="20"/>
          <w:color w:val="auto"/>
        </w:rPr>
      </w:pPr>
    </w:p>
    <w:p>
      <w:pPr>
        <w:ind w:left="520" w:hanging="515"/>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whether and the extent to which our technology and processes infringe on intellectual property of the licensor that is not subject to the licensing agreement;</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right to sublicense patent and other rights to third parties under collaborative development relationships;</w:t>
      </w:r>
    </w:p>
    <w:p>
      <w:pPr>
        <w:spacing w:after="0" w:line="201" w:lineRule="exact"/>
        <w:rPr>
          <w:rFonts w:ascii="Arial" w:cs="Arial" w:eastAsia="Arial" w:hAnsi="Arial"/>
          <w:sz w:val="14"/>
          <w:szCs w:val="14"/>
          <w:color w:val="auto"/>
        </w:rPr>
      </w:pPr>
    </w:p>
    <w:p>
      <w:pPr>
        <w:ind w:left="520" w:right="240" w:hanging="515"/>
        <w:spacing w:after="0" w:line="283"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diligence obligations with respect to the use of the licensed technology in relation to our development and commercialization of our product candidates, and what activities satisfy those diligence obligations; and</w:t>
      </w:r>
    </w:p>
    <w:p>
      <w:pPr>
        <w:spacing w:after="0" w:line="152" w:lineRule="exact"/>
        <w:rPr>
          <w:rFonts w:ascii="Arial" w:cs="Arial" w:eastAsia="Arial" w:hAnsi="Arial"/>
          <w:sz w:val="14"/>
          <w:szCs w:val="14"/>
          <w:color w:val="auto"/>
        </w:rPr>
      </w:pPr>
    </w:p>
    <w:p>
      <w:pPr>
        <w:ind w:left="520" w:hanging="515"/>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ownership of inventions and know-how resulting from the joint creation or use of intellectual property by our licensors and us and our partners.</w:t>
      </w:r>
    </w:p>
    <w:p>
      <w:pPr>
        <w:spacing w:after="0" w:line="201"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3"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have entered into several licenses to support our various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73" w:lineRule="exact"/>
        <w:rPr>
          <w:sz w:val="20"/>
          <w:szCs w:val="20"/>
          <w:color w:val="auto"/>
        </w:rPr>
      </w:pPr>
    </w:p>
    <w:p>
      <w:pPr>
        <w:ind w:right="640"/>
        <w:spacing w:after="0" w:line="283" w:lineRule="auto"/>
        <w:rPr>
          <w:sz w:val="20"/>
          <w:szCs w:val="20"/>
          <w:color w:val="auto"/>
        </w:rPr>
      </w:pPr>
      <w:r>
        <w:rPr>
          <w:rFonts w:ascii="Arial" w:cs="Arial" w:eastAsia="Arial" w:hAnsi="Arial"/>
          <w:sz w:val="14"/>
          <w:szCs w:val="14"/>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63"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3"/>
          <w:szCs w:val="13"/>
          <w:i w:val="1"/>
          <w:iCs w:val="1"/>
          <w:color w:val="auto"/>
        </w:rPr>
        <w:t>Bayh-Dole</w:t>
      </w:r>
      <w:r>
        <w:rPr>
          <w:rFonts w:ascii="Arial" w:cs="Arial" w:eastAsia="Arial" w:hAnsi="Arial"/>
          <w:sz w:val="13"/>
          <w:szCs w:val="13"/>
          <w:color w:val="auto"/>
        </w:rPr>
        <w:t xml:space="preserve"> </w:t>
      </w:r>
      <w:r>
        <w:rPr>
          <w:rFonts w:ascii="Arial" w:cs="Arial" w:eastAsia="Arial" w:hAnsi="Arial"/>
          <w:sz w:val="13"/>
          <w:szCs w:val="13"/>
          <w:i w:val="1"/>
          <w:iCs w:val="1"/>
          <w:color w:val="auto"/>
        </w:rPr>
        <w:t>Act</w:t>
      </w:r>
      <w:r>
        <w:rPr>
          <w:rFonts w:ascii="Arial" w:cs="Arial" w:eastAsia="Arial" w:hAnsi="Arial"/>
          <w:sz w:val="13"/>
          <w:szCs w:val="13"/>
          <w:color w:val="auto"/>
        </w:rPr>
        <w:t>). These U.S. government rights in certain inventions developed under a government-funded program include a non-exclusive, non-transferable, irrevocable worldwide license to use inventions for</w:t>
      </w:r>
      <w:r>
        <w:rPr>
          <w:rFonts w:ascii="Arial" w:cs="Arial" w:eastAsia="Arial" w:hAnsi="Arial"/>
          <w:sz w:val="13"/>
          <w:szCs w:val="13"/>
          <w:i w:val="1"/>
          <w:iCs w:val="1"/>
          <w:color w:val="auto"/>
        </w:rPr>
        <w:t xml:space="preserve"> </w:t>
      </w:r>
      <w:r>
        <w:rPr>
          <w:rFonts w:ascii="Arial" w:cs="Arial" w:eastAsia="Arial" w:hAnsi="Arial"/>
          <w:sz w:val="13"/>
          <w:szCs w:val="13"/>
          <w:color w:val="auto"/>
        </w:rPr>
        <w:t>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36" w:name="page37"/>
    <w:bookmarkEnd w:id="3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53" w:lineRule="exact"/>
        <w:rPr>
          <w:sz w:val="20"/>
          <w:szCs w:val="20"/>
          <w:color w:val="auto"/>
        </w:rPr>
      </w:pPr>
    </w:p>
    <w:p>
      <w:pPr>
        <w:ind w:right="440"/>
        <w:spacing w:after="0" w:line="283" w:lineRule="auto"/>
        <w:rPr>
          <w:sz w:val="20"/>
          <w:szCs w:val="20"/>
          <w:color w:val="auto"/>
        </w:rPr>
      </w:pPr>
      <w:r>
        <w:rPr>
          <w:rFonts w:ascii="Arial" w:cs="Arial" w:eastAsia="Arial" w:hAnsi="Arial"/>
          <w:sz w:val="14"/>
          <w:szCs w:val="14"/>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53" w:lineRule="exact"/>
        <w:rPr>
          <w:sz w:val="20"/>
          <w:szCs w:val="20"/>
          <w:color w:val="auto"/>
        </w:rPr>
      </w:pPr>
    </w:p>
    <w:p>
      <w:pPr>
        <w:ind w:right="80"/>
        <w:spacing w:after="0" w:line="281" w:lineRule="auto"/>
        <w:rPr>
          <w:sz w:val="20"/>
          <w:szCs w:val="20"/>
          <w:color w:val="auto"/>
        </w:rPr>
      </w:pPr>
      <w:r>
        <w:rPr>
          <w:rFonts w:ascii="Arial" w:cs="Arial" w:eastAsia="Arial" w:hAnsi="Arial"/>
          <w:sz w:val="13"/>
          <w:szCs w:val="13"/>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U.S. patent law could diminish the value of patents in general, thereby impairing our ability to protect our products.</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35"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Ariosa Diagnostics, Inc. v. Sequenom, Inc., the Court of Appeals for the Federal Circuit held that methods for detecting fetal genetic defects were not patent eligible subject matter.</w:t>
      </w:r>
    </w:p>
    <w:p>
      <w:pPr>
        <w:spacing w:after="0" w:line="16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damages resulting from claims that we or our employees have wrongfully used or disclosed alleged trade secrets of their former employers.</w:t>
      </w:r>
    </w:p>
    <w:p>
      <w:pPr>
        <w:spacing w:after="0" w:line="20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53" w:lineRule="exact"/>
        <w:rPr>
          <w:sz w:val="20"/>
          <w:szCs w:val="20"/>
          <w:color w:val="auto"/>
        </w:rPr>
      </w:pPr>
    </w:p>
    <w:p>
      <w:pPr>
        <w:ind w:right="60"/>
        <w:spacing w:after="0" w:line="311" w:lineRule="auto"/>
        <w:rPr>
          <w:sz w:val="20"/>
          <w:szCs w:val="20"/>
          <w:color w:val="auto"/>
        </w:rPr>
      </w:pPr>
      <w:r>
        <w:rPr>
          <w:rFonts w:ascii="Arial" w:cs="Arial" w:eastAsia="Arial" w:hAnsi="Arial"/>
          <w:sz w:val="12"/>
          <w:szCs w:val="12"/>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37" w:name="page38"/>
    <w:bookmarkEnd w:id="3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Numerous factors may limit any potential competitive advantage provided by our intellectual property rights.</w:t>
      </w:r>
    </w:p>
    <w:p>
      <w:pPr>
        <w:spacing w:after="0" w:line="201" w:lineRule="exact"/>
        <w:rPr>
          <w:sz w:val="20"/>
          <w:szCs w:val="20"/>
          <w:color w:val="auto"/>
        </w:rPr>
      </w:pPr>
    </w:p>
    <w:p>
      <w:pPr>
        <w:ind w:right="80"/>
        <w:spacing w:after="0" w:line="298" w:lineRule="auto"/>
        <w:rPr>
          <w:sz w:val="20"/>
          <w:szCs w:val="20"/>
          <w:color w:val="auto"/>
        </w:rPr>
      </w:pPr>
      <w:r>
        <w:rPr>
          <w:rFonts w:ascii="Arial" w:cs="Arial" w:eastAsia="Arial" w:hAnsi="Arial"/>
          <w:sz w:val="13"/>
          <w:szCs w:val="13"/>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46" w:lineRule="exact"/>
        <w:rPr>
          <w:sz w:val="20"/>
          <w:szCs w:val="20"/>
          <w:color w:val="auto"/>
        </w:rPr>
      </w:pPr>
    </w:p>
    <w:p>
      <w:pPr>
        <w:ind w:left="480" w:hanging="475"/>
        <w:spacing w:after="0" w:line="283" w:lineRule="auto"/>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31" w:lineRule="exact"/>
        <w:rPr>
          <w:rFonts w:ascii="Arial" w:cs="Arial" w:eastAsia="Arial" w:hAnsi="Arial"/>
          <w:sz w:val="14"/>
          <w:szCs w:val="14"/>
          <w:color w:val="auto"/>
        </w:rPr>
      </w:pPr>
    </w:p>
    <w:p>
      <w:pPr>
        <w:ind w:left="480" w:hanging="47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might not have been the first to make the inventions covered by a pending patent application that we own;</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might not have been the first to file patent applications covering an invention;</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without infringing our intellectual property rights;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pending patent applications that we own or license may not lead to issued patents;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patents, if issued, that we own or license may not provide us with any competitive advantages, or may be held invalid or unenforceable, as a result of legal challenges by our competitors;</w:t>
      </w:r>
    </w:p>
    <w:p>
      <w:pPr>
        <w:spacing w:after="0" w:line="191" w:lineRule="exact"/>
        <w:rPr>
          <w:rFonts w:ascii="Arial" w:cs="Arial" w:eastAsia="Arial" w:hAnsi="Arial"/>
          <w:sz w:val="13"/>
          <w:szCs w:val="13"/>
          <w:color w:val="auto"/>
        </w:rPr>
      </w:pPr>
    </w:p>
    <w:p>
      <w:pPr>
        <w:ind w:left="480" w:hanging="47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third parties may compete with us in jurisdictions where we do not pursue and obtain patent protection;</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may not be able to obtain and/or maintain necessary or useful licenses on reasonable terms or at all; and</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patents of others may have an adverse effect on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Should any of these events occur, they could significantly harm our business and results of operations.</w:t>
      </w:r>
    </w:p>
    <w:p>
      <w:pPr>
        <w:spacing w:after="0" w:line="180"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NCEs we may produce or develop in connection with any such third-party licenses.</w:t>
      </w:r>
    </w:p>
    <w:p>
      <w:pPr>
        <w:spacing w:after="0" w:line="142" w:lineRule="exact"/>
        <w:rPr>
          <w:sz w:val="20"/>
          <w:szCs w:val="20"/>
          <w:color w:val="auto"/>
        </w:rPr>
      </w:pPr>
    </w:p>
    <w:p>
      <w:pPr>
        <w:jc w:val="both"/>
        <w:ind w:right="80"/>
        <w:spacing w:after="0" w:line="290" w:lineRule="auto"/>
        <w:rPr>
          <w:sz w:val="20"/>
          <w:szCs w:val="20"/>
          <w:color w:val="auto"/>
        </w:rPr>
      </w:pPr>
      <w:r>
        <w:rPr>
          <w:rFonts w:ascii="Arial" w:cs="Arial" w:eastAsia="Arial" w:hAnsi="Arial"/>
          <w:sz w:val="13"/>
          <w:szCs w:val="13"/>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38" w:name="page39"/>
    <w:bookmarkEnd w:id="3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184"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53"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Since we became a publicly traded company in May 2011, there has been a limited public market for shares of our common stock on the OTCQB. We do not yet meet the initial listing standards of the New York Stock Exchange, the NASDAQ Capital Market, or other similar national securities exchanges. Although we have applied for listing on the NASDAQ Capital Market and intend to uplist concurrently upon completion of this Offering, no assurances can be given that we will be successful. Until our common stock is listed on that market or a broader exchange, we anticipate that it will remain quoted on the OTCQB. In that venue,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cannot predict the extent to which investor interest in our Company will lead to the development of a more active trading market on the OTCQB, whether we will meet the initial listing standards of the New York Stock Exchange, the NASDAQ Capital Market, or other similar national securities exchanges, or how liquid that market might become. If an active trading market does not develop, you may have difficulty selling any of the shares of our common stock that you buy.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volatility may affect our stock price and the value of your investment.</w:t>
      </w:r>
    </w:p>
    <w:p>
      <w:pPr>
        <w:spacing w:after="0" w:line="201"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131" w:lineRule="exact"/>
        <w:rPr>
          <w:sz w:val="20"/>
          <w:szCs w:val="20"/>
          <w:color w:val="auto"/>
        </w:rPr>
      </w:pPr>
    </w:p>
    <w:p>
      <w:pPr>
        <w:ind w:left="480" w:hanging="47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plans for, progress of or results from non-clinical studies and clinical trials of our product candidates;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failure of the FDA to approve our product candidates;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announcements of new products, technologies, commercial relationships, acquisitions or other events by us or our competitors;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success or failure of other CNS therapies;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regulatory or legal developments in the United States and other countries;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failure of our product candidates, if approved, to achieve commercial success;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fluctuations in stock market prices and trading volumes of similar companies;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general market conditions and overall fluctuations in U.S. equity markets;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variations in our quarterly operating results;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our financial guidance or securities analysts’ estimates of our financial performance;</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accounting principles;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raise additional capital and the terms on which we can raise it;</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sales of large blocks of our common stock, including sales by our executive officers, directors and significant stockholders;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additions or departures of key personnel;</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discussion of us or our stock price by the press and by online investor communities; and</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other risks and uncertainties described in these risk factors.</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39" w:name="page40"/>
    <w:bookmarkEnd w:id="3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and issuances of our common stock may cause our stock price to decline.</w:t>
      </w:r>
    </w:p>
    <w:p>
      <w:pPr>
        <w:spacing w:after="0" w:line="201"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Sales or issuances of a substantial number of shares of our common stock in the public market, or the perception that these sales or issuances are occurring or might occur, could significantly reduce the market price of our common stock and impair our ability to raise adequate capital through the sale of additional equity securities.</w:t>
      </w:r>
    </w:p>
    <w:p>
      <w:pPr>
        <w:spacing w:after="0" w:line="153" w:lineRule="exact"/>
        <w:rPr>
          <w:sz w:val="20"/>
          <w:szCs w:val="20"/>
          <w:color w:val="auto"/>
        </w:rPr>
      </w:pPr>
    </w:p>
    <w:p>
      <w:pPr>
        <w:ind w:right="40"/>
        <w:spacing w:after="0" w:line="314" w:lineRule="auto"/>
        <w:rPr>
          <w:sz w:val="20"/>
          <w:szCs w:val="20"/>
          <w:color w:val="auto"/>
        </w:rPr>
      </w:pPr>
      <w:r>
        <w:rPr>
          <w:rFonts w:ascii="Arial" w:cs="Arial" w:eastAsia="Arial" w:hAnsi="Arial"/>
          <w:sz w:val="12"/>
          <w:szCs w:val="12"/>
          <w:color w:val="auto"/>
        </w:rPr>
        <w:t>The stock market in general, and biotechnology-based companies like ours in particular, has frequently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20"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3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prospectus, there has been a highly limited public market for shares of our common stock on the OTCQB.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224"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Certain of our current institutional stockholders, including Platinum and its affiliate, own a substantial portion of our outstanding capital stock, including our common stock, all of our Series A Preferred, a substantial portion of our Series B Preferred, and all of our Series C Preferred, all of which preferred stock is convertible into a substantial number of shares of common stock. Accordingly, Platinum and other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59"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53" w:lineRule="exact"/>
        <w:rPr>
          <w:sz w:val="20"/>
          <w:szCs w:val="20"/>
          <w:color w:val="auto"/>
        </w:rPr>
      </w:pPr>
    </w:p>
    <w:p>
      <w:pPr>
        <w:ind w:right="260"/>
        <w:spacing w:after="0" w:line="268" w:lineRule="auto"/>
        <w:rPr>
          <w:sz w:val="20"/>
          <w:szCs w:val="20"/>
          <w:color w:val="auto"/>
        </w:rPr>
      </w:pPr>
      <w:r>
        <w:rPr>
          <w:rFonts w:ascii="Arial" w:cs="Arial" w:eastAsia="Arial" w:hAnsi="Arial"/>
          <w:sz w:val="14"/>
          <w:szCs w:val="14"/>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may be additional issuances of shares of preferred stock in the future.</w:t>
      </w:r>
    </w:p>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 xml:space="preserve">Following approval by our stockholders in October 2011, our Articles of Incorporation (the </w:t>
      </w:r>
      <w:r>
        <w:rPr>
          <w:rFonts w:ascii="Arial" w:cs="Arial" w:eastAsia="Arial" w:hAnsi="Arial"/>
          <w:sz w:val="14"/>
          <w:szCs w:val="14"/>
          <w:i w:val="1"/>
          <w:iCs w:val="1"/>
          <w:color w:val="auto"/>
        </w:rPr>
        <w:t>Articles</w:t>
      </w:r>
      <w:r>
        <w:rPr>
          <w:rFonts w:ascii="Arial" w:cs="Arial" w:eastAsia="Arial" w:hAnsi="Arial"/>
          <w:sz w:val="14"/>
          <w:szCs w:val="14"/>
          <w:color w:val="auto"/>
        </w:rPr>
        <w:t>) permit us to issue up to 10.0 million shares of preferred stock. Our Board of Directors has authorized the issuance of (i) 500,000 shares of Series A Preferred, all of which shares are currently issued and outstanding; (ii) 4.0 million shares of Series B 10% Convertible Preferred stock, of which approximately 3.6 million shares are issued and outstanding as of March 4, 2016; and (iii) 3.0 million shares of Series C Convertible Preferred Stock, of which approximately 2.3 million shares are issued and outstanding as of March 4, 2016.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40" w:name="page41"/>
    <w:bookmarkEnd w:id="4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83" w:lineRule="auto"/>
        <w:rPr>
          <w:sz w:val="20"/>
          <w:szCs w:val="20"/>
          <w:color w:val="auto"/>
        </w:rPr>
      </w:pPr>
      <w:r>
        <w:rPr>
          <w:rFonts w:ascii="Arial" w:cs="Arial" w:eastAsia="Arial" w:hAnsi="Arial"/>
          <w:sz w:val="14"/>
          <w:szCs w:val="14"/>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53"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costs to ensure compliance with corporate governance, federal securities law and accounting requirements.</w:t>
      </w:r>
    </w:p>
    <w:p>
      <w:pPr>
        <w:spacing w:after="0" w:line="20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Since becoming a public company by means of a reverse merger in 2011, we have been subject to the reporting requirements of the Securities Exchange Act of 1934, as amended (</w:t>
      </w:r>
      <w:r>
        <w:rPr>
          <w:rFonts w:ascii="Arial" w:cs="Arial" w:eastAsia="Arial" w:hAnsi="Arial"/>
          <w:sz w:val="14"/>
          <w:szCs w:val="14"/>
          <w:i w:val="1"/>
          <w:iCs w:val="1"/>
          <w:color w:val="auto"/>
        </w:rPr>
        <w:t>Exchange Act</w:t>
      </w:r>
      <w:r>
        <w:rPr>
          <w:rFonts w:ascii="Arial" w:cs="Arial" w:eastAsia="Arial" w:hAnsi="Arial"/>
          <w:sz w:val="14"/>
          <w:szCs w:val="14"/>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7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5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common stock may be considered a “penny stock”, and thereby be subject to additional sale and trading regulations that may make it more difficult to sell.</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Our common stock may be considered to be a “penny stock” if it does not qualify for one of the exemptions from the definition of “penny stock” under Section 3a51-1 of the Exchange Act. Our common stock may be a “penny stock” if it meets one or more of the following conditions: (i) the stock trades at a price less than $5 per share; (ii) it is not traded on a “recognized” national exchange; or (iii) is issued by a company that has been in business less than three years with net tangible assets less than $5 million.</w:t>
      </w:r>
    </w:p>
    <w:p>
      <w:pPr>
        <w:spacing w:after="0" w:line="163" w:lineRule="exact"/>
        <w:rPr>
          <w:sz w:val="20"/>
          <w:szCs w:val="20"/>
          <w:color w:val="auto"/>
        </w:rPr>
      </w:pPr>
    </w:p>
    <w:p>
      <w:pPr>
        <w:jc w:val="both"/>
        <w:ind w:right="40"/>
        <w:spacing w:after="0" w:line="302" w:lineRule="auto"/>
        <w:rPr>
          <w:sz w:val="20"/>
          <w:szCs w:val="20"/>
          <w:color w:val="auto"/>
        </w:rPr>
      </w:pPr>
      <w:r>
        <w:rPr>
          <w:rFonts w:ascii="Arial" w:cs="Arial" w:eastAsia="Arial" w:hAnsi="Arial"/>
          <w:sz w:val="12"/>
          <w:szCs w:val="12"/>
          <w:color w:val="auto"/>
        </w:rPr>
        <w:t>The principal result or effect of being designated a “penny stock” is that securities broker-dealers participating in sales of our common stock will be subject to the “penny stock” regulations set forth in Rules 15g-2 through 15g-9 promulgated under the Exchange Act. For example, Rule 15g-2 requires broker-dealers dealing in penny stocks to provide potential investors with a document disclosing the risks of penny stocks and to obtain a manually signed and dated written receipt of the document at least two business days before effecting any transaction in a penny stock for the investor’s account.</w:t>
      </w:r>
    </w:p>
    <w:p>
      <w:pPr>
        <w:ind w:right="40"/>
        <w:spacing w:after="0" w:line="280" w:lineRule="auto"/>
        <w:rPr>
          <w:sz w:val="20"/>
          <w:szCs w:val="20"/>
          <w:color w:val="auto"/>
        </w:rPr>
      </w:pPr>
      <w:r>
        <w:rPr>
          <w:rFonts w:ascii="Arial" w:cs="Arial" w:eastAsia="Arial" w:hAnsi="Arial"/>
          <w:sz w:val="13"/>
          <w:szCs w:val="13"/>
          <w:color w:val="auto"/>
        </w:rPr>
        <w:t>Moreover, Rule 15g-9 requires broker-dealers in penny stocks to approve the account of any investor for transactions in such stocks before selling any penny stock to that investor. This procedure requires the broker-dealer to: (i) obtain from the investor information concerning his or her financial situation, investment experience and investment objectives; (ii) reasonably determine, based on that information, that transactions in penny stocks are suitable for the investor and that the investor has sufficient knowledge and experience as to be reasonably capable of evaluating the risks of penny stock transactions; (iii) provide the investor with a written statement setting forth the basis on which the broker-dealer made the determination in (ii) above; and (iv) receive a signed and dated copy of such statement from the investor, confirming that it accurately reflects the investor’s financial situation, investment experience and investment objectives. Compliance with these requirements may make it more difficult and time consuming for holders of our common stock to resell their shares to third parties or to otherwise dispose of them in the market or otherwise.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41" w:name="page42"/>
    <w:bookmarkEnd w:id="4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FINRA sales practice requirements may also limit your ability to buy and sell our common stock, which could depress the price of our shares.</w:t>
      </w:r>
    </w:p>
    <w:p>
      <w:pPr>
        <w:spacing w:after="0" w:line="201" w:lineRule="exact"/>
        <w:rPr>
          <w:sz w:val="20"/>
          <w:szCs w:val="20"/>
          <w:color w:val="auto"/>
        </w:rPr>
      </w:pPr>
    </w:p>
    <w:p>
      <w:pPr>
        <w:ind w:right="220"/>
        <w:spacing w:after="0" w:line="285" w:lineRule="auto"/>
        <w:rPr>
          <w:sz w:val="20"/>
          <w:szCs w:val="20"/>
          <w:color w:val="auto"/>
        </w:rPr>
      </w:pPr>
      <w:r>
        <w:rPr>
          <w:rFonts w:ascii="Arial" w:cs="Arial" w:eastAsia="Arial" w:hAnsi="Arial"/>
          <w:sz w:val="13"/>
          <w:szCs w:val="13"/>
          <w:color w:val="auto"/>
        </w:rPr>
        <w:t>Financial Industry Regulatory Authority, Inc. (</w:t>
      </w:r>
      <w:r>
        <w:rPr>
          <w:rFonts w:ascii="Arial" w:cs="Arial" w:eastAsia="Arial" w:hAnsi="Arial"/>
          <w:sz w:val="13"/>
          <w:szCs w:val="13"/>
          <w:i w:val="1"/>
          <w:iCs w:val="1"/>
          <w:color w:val="auto"/>
        </w:rPr>
        <w:t>FINRA</w:t>
      </w:r>
      <w:r>
        <w:rPr>
          <w:rFonts w:ascii="Arial" w:cs="Arial" w:eastAsia="Arial" w:hAnsi="Arial"/>
          <w:sz w:val="13"/>
          <w:szCs w:val="13"/>
          <w:color w:val="auto"/>
        </w:rPr>
        <w:t>) rules require broker-dealers to have reasonable grounds for believing that an investment is suitable for a customer before recommending that investment to the customer. Prior to recommending speculative low-priced securities to their non-institutional customers, broker-dealers must make reasonable efforts to obtain information about the customer’s financial status, tax status and investment objectives, among other things. Under interpretations of these rules, FINRA believes that there is a high probability such speculative low-priced securities will not be suitable for at least some customers. Thus, FINRA requirements make it more difficult for broker-dealers to recommend that their customers buy our common stock, which may limit your ability to buy and sell our shares, have an adverse effect on the market for our shares, and thereby depress our share price.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Purchasers in this Offering will experience immediate and substantial dilution in the book value of their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If we successfully sell all securities registered by this Offering, new investors will own approximately [____]% of the outstanding shares. In addition, we have issued options, warrants or other</w:t>
      </w:r>
    </w:p>
    <w:p>
      <w:pPr>
        <w:spacing w:after="0" w:line="3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derivative securities to acquire common stock at prices below the public offering price. To the extent outstanding options, warrants or other derivative securities are ultimately exercised or converted, or if we issue restricted stock to our employees under our equity incentive plans, there will be further dilution to investors who purchase shares in this Offering. In addition, if we issue additional equity securities or derivative securities, investors purchasing shares in this Offering will experience additional dilution. For a further description of the dilution that you will experience immediately after this Offering, see “</w:t>
      </w:r>
      <w:r>
        <w:rPr>
          <w:rFonts w:ascii="Arial" w:cs="Arial" w:eastAsia="Arial" w:hAnsi="Arial"/>
          <w:sz w:val="14"/>
          <w:szCs w:val="14"/>
          <w:i w:val="1"/>
          <w:iCs w:val="1"/>
          <w:color w:val="auto"/>
        </w:rPr>
        <w:t>Dilution</w:t>
      </w:r>
      <w:r>
        <w:rPr>
          <w:rFonts w:ascii="Arial" w:cs="Arial" w:eastAsia="Arial" w:hAnsi="Arial"/>
          <w:sz w:val="14"/>
          <w:szCs w:val="14"/>
          <w:color w:val="auto"/>
        </w:rPr>
        <w:t>.”</w:t>
      </w:r>
    </w:p>
    <w:p>
      <w:pPr>
        <w:spacing w:after="0" w:line="171"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b w:val="1"/>
          <w:bCs w:val="1"/>
          <w:i w:val="1"/>
          <w:iCs w:val="1"/>
          <w:color w:val="auto"/>
        </w:rPr>
        <w:t>We may allocate the net proceeds from this Offering in ways that differ from our estimates based on our current plans and assumptions discussed in the section titled "Use of Proceeds" and with which you may not agree.</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allocation of net proceeds of the Offering set forth in the “</w:t>
      </w:r>
      <w:r>
        <w:rPr>
          <w:rFonts w:ascii="Arial" w:cs="Arial" w:eastAsia="Arial" w:hAnsi="Arial"/>
          <w:sz w:val="14"/>
          <w:szCs w:val="14"/>
          <w:i w:val="1"/>
          <w:iCs w:val="1"/>
          <w:color w:val="auto"/>
        </w:rPr>
        <w:t>Use of Proceeds</w:t>
      </w:r>
      <w:r>
        <w:rPr>
          <w:rFonts w:ascii="Arial" w:cs="Arial" w:eastAsia="Arial" w:hAnsi="Arial"/>
          <w:sz w:val="14"/>
          <w:szCs w:val="14"/>
          <w:color w:val="auto"/>
        </w:rPr>
        <w:t>” section of this prospectus represents our estimates based upon our current plans and assumptions regarding industry and general economic conditions, our future revenues and expenditures. The amounts and timing of our actual expenditures will depend on numerous factors, including market conditions, cash generated by our operations, business developments and related rate of growth. We may find it necessary or advisable to use portions of the proceeds from this Offering for other purposes. Circumstances that may give rise to a change in the use of proceeds and the alternate purposes for which the proceeds may be used are discussed in the section in this prospectus entitled “</w:t>
      </w:r>
      <w:r>
        <w:rPr>
          <w:rFonts w:ascii="Arial" w:cs="Arial" w:eastAsia="Arial" w:hAnsi="Arial"/>
          <w:sz w:val="14"/>
          <w:szCs w:val="14"/>
          <w:i w:val="1"/>
          <w:iCs w:val="1"/>
          <w:color w:val="auto"/>
        </w:rPr>
        <w:t>Use of Proceeds</w:t>
      </w:r>
      <w:r>
        <w:rPr>
          <w:rFonts w:ascii="Arial" w:cs="Arial" w:eastAsia="Arial" w:hAnsi="Arial"/>
          <w:sz w:val="14"/>
          <w:szCs w:val="14"/>
          <w:color w:val="auto"/>
        </w:rPr>
        <w:t>”. You may not have an opportunity to evaluate the economic, financial or other information on which we base our decisions on how to use our proceeds. As a result, you and other stockholders may not agree with our decisions. See “</w:t>
      </w:r>
      <w:r>
        <w:rPr>
          <w:rFonts w:ascii="Arial" w:cs="Arial" w:eastAsia="Arial" w:hAnsi="Arial"/>
          <w:sz w:val="14"/>
          <w:szCs w:val="14"/>
          <w:i w:val="1"/>
          <w:iCs w:val="1"/>
          <w:color w:val="auto"/>
        </w:rPr>
        <w:t>Use of Proceeds</w:t>
      </w:r>
      <w:r>
        <w:rPr>
          <w:rFonts w:ascii="Arial" w:cs="Arial" w:eastAsia="Arial" w:hAnsi="Arial"/>
          <w:sz w:val="14"/>
          <w:szCs w:val="14"/>
          <w:color w:val="auto"/>
        </w:rPr>
        <w:t>” for additional information.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2" w:name="page43"/>
    <w:bookmarkEnd w:id="4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USE OF PROCEEDS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We estimate that the net proceeds to us from this Offering will be approximately $[____] million, or approximately $[____] million if the underwriters exercise their option to purchase additional shares</w:t>
      </w:r>
    </w:p>
    <w:p>
      <w:pPr>
        <w:spacing w:after="0" w:line="31" w:lineRule="exact"/>
        <w:rPr>
          <w:sz w:val="20"/>
          <w:szCs w:val="20"/>
          <w:color w:val="auto"/>
        </w:rPr>
      </w:pPr>
    </w:p>
    <w:p>
      <w:pPr>
        <w:spacing w:after="0"/>
        <w:tabs>
          <w:tab w:leader="none" w:pos="7700" w:val="left"/>
        </w:tabs>
        <w:rPr>
          <w:sz w:val="20"/>
          <w:szCs w:val="20"/>
          <w:color w:val="auto"/>
        </w:rPr>
      </w:pPr>
      <w:r>
        <w:rPr>
          <w:rFonts w:ascii="Arial" w:cs="Arial" w:eastAsia="Arial" w:hAnsi="Arial"/>
          <w:sz w:val="14"/>
          <w:szCs w:val="14"/>
          <w:color w:val="auto"/>
        </w:rPr>
        <w:t>from us in full, assuming an offering price of $[____] per share (the last reported sale price of our common stock on the OTCQB on [</w:t>
      </w:r>
      <w:r>
        <w:rPr>
          <w:sz w:val="20"/>
          <w:szCs w:val="20"/>
          <w:color w:val="auto"/>
        </w:rPr>
        <w:tab/>
      </w:r>
      <w:r>
        <w:rPr>
          <w:rFonts w:ascii="Arial" w:cs="Arial" w:eastAsia="Arial" w:hAnsi="Arial"/>
          <w:sz w:val="12"/>
          <w:szCs w:val="12"/>
          <w:color w:val="auto"/>
        </w:rPr>
        <w:t>], 2016), after deducting underwriting discounts and commissions</w:t>
      </w:r>
    </w:p>
    <w:p>
      <w:pPr>
        <w:spacing w:after="0" w:line="9"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and estimated offering expenses payable by us. Each $1.00 increase (decrease) in the assumed public offering price of $[___] per share (the last reported sale price of our common stock on the OTCQB on [ ], 2016), would increase (decrease) the net proceeds to us from this Offering by approximately $[___] million, or approximately $ [___] million if the underwriters exercise their over-allotment option in full, assuming the number of shares offered by us, as set forth on the cover page of this prospectus, remain the same and after deducting estimated underwriting discounts and commissions and estimated offering expenses payable by us.</w:t>
      </w:r>
    </w:p>
    <w:p>
      <w:pPr>
        <w:spacing w:after="0" w:line="171" w:lineRule="exact"/>
        <w:rPr>
          <w:sz w:val="20"/>
          <w:szCs w:val="20"/>
          <w:color w:val="auto"/>
        </w:rPr>
      </w:pPr>
    </w:p>
    <w:p>
      <w:pPr>
        <w:ind w:right="320"/>
        <w:spacing w:after="0" w:line="283" w:lineRule="auto"/>
        <w:rPr>
          <w:sz w:val="20"/>
          <w:szCs w:val="20"/>
          <w:color w:val="auto"/>
        </w:rPr>
      </w:pPr>
      <w:r>
        <w:rPr>
          <w:rFonts w:ascii="Arial" w:cs="Arial" w:eastAsia="Arial" w:hAnsi="Arial"/>
          <w:sz w:val="14"/>
          <w:szCs w:val="14"/>
          <w:color w:val="auto"/>
        </w:rPr>
        <w:t>We expect to use the net proceeds from this Offering primarily for clinical development of AV-101, including funding the anticipated Phase 2b study of AV-101, and, to a lesser extent, research and nonclinical development related to our stem cell technology platform, capital expenditures, and other general corporate purposes.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40" w:type="dxa"/>
            <w:vAlign w:val="bottom"/>
            <w:shd w:val="clear" w:color="auto" w:fill="CCEEFF"/>
          </w:tcPr>
          <w:p>
            <w:pPr>
              <w:spacing w:after="0"/>
              <w:rPr>
                <w:sz w:val="20"/>
                <w:szCs w:val="20"/>
                <w:color w:val="auto"/>
              </w:rPr>
            </w:pPr>
            <w:r>
              <w:rPr>
                <w:rFonts w:ascii="Arial" w:cs="Arial" w:eastAsia="Arial" w:hAnsi="Arial"/>
                <w:sz w:val="14"/>
                <w:szCs w:val="14"/>
                <w:color w:val="auto"/>
              </w:rPr>
              <w:t>Assumed gross proceeds</w:t>
            </w:r>
          </w:p>
        </w:tc>
        <w:tc>
          <w:tcPr>
            <w:tcW w:w="3220" w:type="dxa"/>
            <w:vAlign w:val="bottom"/>
            <w:shd w:val="clear" w:color="auto" w:fill="CCEEFF"/>
          </w:tcPr>
          <w:p>
            <w:pPr>
              <w:jc w:val="right"/>
              <w:ind w:right="1109"/>
              <w:spacing w:after="0"/>
              <w:rPr>
                <w:sz w:val="20"/>
                <w:szCs w:val="20"/>
                <w:color w:val="auto"/>
              </w:rPr>
            </w:pPr>
            <w:r>
              <w:rPr>
                <w:rFonts w:ascii="Arial" w:cs="Arial" w:eastAsia="Arial" w:hAnsi="Arial"/>
                <w:sz w:val="14"/>
                <w:szCs w:val="14"/>
                <w:color w:val="auto"/>
              </w:rPr>
              <w:t>$</w:t>
            </w:r>
          </w:p>
        </w:tc>
      </w:tr>
      <w:tr>
        <w:trPr>
          <w:trHeight w:val="170"/>
        </w:trPr>
        <w:tc>
          <w:tcPr>
            <w:tcW w:w="8240" w:type="dxa"/>
            <w:vAlign w:val="bottom"/>
          </w:tcPr>
          <w:p>
            <w:pPr>
              <w:spacing w:after="0"/>
              <w:rPr>
                <w:sz w:val="20"/>
                <w:szCs w:val="20"/>
                <w:color w:val="auto"/>
              </w:rPr>
            </w:pPr>
            <w:r>
              <w:rPr>
                <w:rFonts w:ascii="Arial" w:cs="Arial" w:eastAsia="Arial" w:hAnsi="Arial"/>
                <w:sz w:val="14"/>
                <w:szCs w:val="14"/>
                <w:color w:val="auto"/>
              </w:rPr>
              <w:t>Underwriting discounts and commisions</w:t>
            </w:r>
          </w:p>
        </w:tc>
        <w:tc>
          <w:tcPr>
            <w:tcW w:w="3220" w:type="dxa"/>
            <w:vAlign w:val="bottom"/>
          </w:tcPr>
          <w:p>
            <w:pPr>
              <w:jc w:val="right"/>
              <w:ind w:right="1109"/>
              <w:spacing w:after="0"/>
              <w:rPr>
                <w:sz w:val="20"/>
                <w:szCs w:val="20"/>
                <w:color w:val="auto"/>
              </w:rPr>
            </w:pPr>
            <w:r>
              <w:rPr>
                <w:rFonts w:ascii="Arial" w:cs="Arial" w:eastAsia="Arial" w:hAnsi="Arial"/>
                <w:sz w:val="14"/>
                <w:szCs w:val="14"/>
                <w:color w:val="auto"/>
              </w:rPr>
              <w:t>$</w:t>
            </w:r>
          </w:p>
        </w:tc>
      </w:tr>
      <w:tr>
        <w:trPr>
          <w:trHeight w:val="170"/>
        </w:trPr>
        <w:tc>
          <w:tcPr>
            <w:tcW w:w="8240" w:type="dxa"/>
            <w:vAlign w:val="bottom"/>
            <w:shd w:val="clear" w:color="auto" w:fill="CCEEFF"/>
          </w:tcPr>
          <w:p>
            <w:pPr>
              <w:spacing w:after="0"/>
              <w:rPr>
                <w:sz w:val="20"/>
                <w:szCs w:val="20"/>
                <w:color w:val="auto"/>
              </w:rPr>
            </w:pPr>
            <w:r>
              <w:rPr>
                <w:rFonts w:ascii="Arial" w:cs="Arial" w:eastAsia="Arial" w:hAnsi="Arial"/>
                <w:sz w:val="14"/>
                <w:szCs w:val="14"/>
                <w:color w:val="auto"/>
              </w:rPr>
              <w:t>Net proceeds</w:t>
            </w:r>
          </w:p>
        </w:tc>
        <w:tc>
          <w:tcPr>
            <w:tcW w:w="3220" w:type="dxa"/>
            <w:vAlign w:val="bottom"/>
            <w:shd w:val="clear" w:color="auto" w:fill="CCEEFF"/>
          </w:tcPr>
          <w:p>
            <w:pPr>
              <w:jc w:val="right"/>
              <w:ind w:right="1109"/>
              <w:spacing w:after="0"/>
              <w:rPr>
                <w:sz w:val="20"/>
                <w:szCs w:val="20"/>
                <w:color w:val="auto"/>
              </w:rPr>
            </w:pPr>
            <w:r>
              <w:rPr>
                <w:rFonts w:ascii="Arial" w:cs="Arial" w:eastAsia="Arial" w:hAnsi="Arial"/>
                <w:sz w:val="14"/>
                <w:szCs w:val="14"/>
                <w:color w:val="auto"/>
              </w:rPr>
              <w:t>$</w:t>
            </w:r>
          </w:p>
        </w:tc>
      </w:tr>
      <w:tr>
        <w:trPr>
          <w:trHeight w:val="170"/>
        </w:trPr>
        <w:tc>
          <w:tcPr>
            <w:tcW w:w="824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3220" w:type="dxa"/>
            <w:vAlign w:val="bottom"/>
          </w:tcPr>
          <w:p>
            <w:pPr>
              <w:jc w:val="right"/>
              <w:ind w:right="1109"/>
              <w:spacing w:after="0"/>
              <w:rPr>
                <w:sz w:val="20"/>
                <w:szCs w:val="20"/>
                <w:color w:val="auto"/>
              </w:rPr>
            </w:pPr>
            <w:r>
              <w:rPr>
                <w:rFonts w:ascii="Arial" w:cs="Arial" w:eastAsia="Arial" w:hAnsi="Arial"/>
                <w:sz w:val="14"/>
                <w:szCs w:val="14"/>
                <w:color w:val="auto"/>
              </w:rPr>
              <w:t>$</w:t>
            </w:r>
          </w:p>
        </w:tc>
      </w:tr>
      <w:tr>
        <w:trPr>
          <w:trHeight w:val="170"/>
        </w:trPr>
        <w:tc>
          <w:tcPr>
            <w:tcW w:w="8240" w:type="dxa"/>
            <w:vAlign w:val="bottom"/>
            <w:shd w:val="clear" w:color="auto" w:fill="CCEEFF"/>
          </w:tcPr>
          <w:p>
            <w:pPr>
              <w:spacing w:after="0"/>
              <w:rPr>
                <w:sz w:val="20"/>
                <w:szCs w:val="20"/>
                <w:color w:val="auto"/>
              </w:rPr>
            </w:pPr>
            <w:r>
              <w:rPr>
                <w:rFonts w:ascii="Arial" w:cs="Arial" w:eastAsia="Arial" w:hAnsi="Arial"/>
                <w:sz w:val="14"/>
                <w:szCs w:val="14"/>
                <w:color w:val="auto"/>
              </w:rPr>
              <w:t>New property, plant and equipment</w:t>
            </w:r>
          </w:p>
        </w:tc>
        <w:tc>
          <w:tcPr>
            <w:tcW w:w="3220" w:type="dxa"/>
            <w:vAlign w:val="bottom"/>
            <w:shd w:val="clear" w:color="auto" w:fill="CCEEFF"/>
          </w:tcPr>
          <w:p>
            <w:pPr>
              <w:jc w:val="right"/>
              <w:ind w:right="1109"/>
              <w:spacing w:after="0"/>
              <w:rPr>
                <w:sz w:val="20"/>
                <w:szCs w:val="20"/>
                <w:color w:val="auto"/>
              </w:rPr>
            </w:pPr>
            <w:r>
              <w:rPr>
                <w:rFonts w:ascii="Arial" w:cs="Arial" w:eastAsia="Arial" w:hAnsi="Arial"/>
                <w:sz w:val="14"/>
                <w:szCs w:val="14"/>
                <w:color w:val="auto"/>
              </w:rPr>
              <w:t>$</w:t>
            </w:r>
          </w:p>
        </w:tc>
      </w:tr>
      <w:tr>
        <w:trPr>
          <w:trHeight w:val="180"/>
        </w:trPr>
        <w:tc>
          <w:tcPr>
            <w:tcW w:w="8240" w:type="dxa"/>
            <w:vAlign w:val="bottom"/>
          </w:tcPr>
          <w:p>
            <w:pPr>
              <w:spacing w:after="0"/>
              <w:rPr>
                <w:sz w:val="20"/>
                <w:szCs w:val="20"/>
                <w:color w:val="auto"/>
              </w:rPr>
            </w:pPr>
            <w:r>
              <w:rPr>
                <w:rFonts w:ascii="Arial" w:cs="Arial" w:eastAsia="Arial" w:hAnsi="Arial"/>
                <w:sz w:val="14"/>
                <w:szCs w:val="14"/>
                <w:color w:val="auto"/>
              </w:rPr>
              <w:t>Working capital and other general and administrative purposes, including payment of certain accounts payable</w:t>
            </w:r>
          </w:p>
        </w:tc>
        <w:tc>
          <w:tcPr>
            <w:tcW w:w="3220" w:type="dxa"/>
            <w:vAlign w:val="bottom"/>
          </w:tcPr>
          <w:p>
            <w:pPr>
              <w:jc w:val="right"/>
              <w:ind w:right="1109"/>
              <w:spacing w:after="0"/>
              <w:rPr>
                <w:sz w:val="20"/>
                <w:szCs w:val="20"/>
                <w:color w:val="auto"/>
              </w:rPr>
            </w:pPr>
            <w:r>
              <w:rPr>
                <w:rFonts w:ascii="Arial" w:cs="Arial" w:eastAsia="Arial" w:hAnsi="Arial"/>
                <w:sz w:val="14"/>
                <w:szCs w:val="14"/>
                <w:color w:val="auto"/>
              </w:rPr>
              <w:t>$</w:t>
            </w:r>
          </w:p>
        </w:tc>
      </w:tr>
    </w:tbl>
    <w:p>
      <w:pPr>
        <w:spacing w:after="0" w:line="150"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We expect proceeds from this Offering to provide funding for our operations for at least 12 months. Pending other uses, we intend to invest our proceeds from the Offering in short-term investments or hold them as cash. We cannot predict whether the proceeds invested will yield a favorable return. Our management will have broad discretion in the use of the net proceeds from the Offering, and investors will be relying on the judgment of our management regarding the application of the net proceeds.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3" w:name="page44"/>
    <w:bookmarkEnd w:id="4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MARKET FOR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Currently, our common stock is quoted for trading on the OTCQB under the symbol “VSTA.”</w:t>
      </w:r>
    </w:p>
    <w:p>
      <w:pPr>
        <w:spacing w:after="0" w:line="201"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We have applied for listing of our common stock on the NASDAQ Capital Market under the symbol “VTGN.” Although we believe we will satisfy NASDAQ listing requirements, no assurance can be given that such listing will be achieved in a timely manner or at all.</w:t>
      </w:r>
    </w:p>
    <w:p>
      <w:pPr>
        <w:spacing w:after="0" w:line="153"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Shown below is the range of high and low sales prices for our common stock for the periods indicated as reported by the OTCQB. The market quotations reflect inter-dealer prices, without retail mark-up, markdown or commissions and may not necessarily represent actual transactions.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r>
      <w:tr>
        <w:trPr>
          <w:trHeight w:val="172"/>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March 31, 2016</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ending June 30, 2015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16.50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Second quarter ending September 30, 2015</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14.00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Third quarter ending December 31, 2015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9.84</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w:t>
            </w:r>
          </w:p>
        </w:tc>
      </w:tr>
      <w:tr>
        <w:trPr>
          <w:trHeight w:val="180"/>
        </w:trPr>
        <w:tc>
          <w:tcPr>
            <w:tcW w:w="8720" w:type="dxa"/>
            <w:vAlign w:val="bottom"/>
          </w:tcPr>
          <w:p>
            <w:pPr>
              <w:spacing w:after="0"/>
              <w:rPr>
                <w:sz w:val="20"/>
                <w:szCs w:val="20"/>
                <w:color w:val="auto"/>
              </w:rPr>
            </w:pPr>
            <w:r>
              <w:rPr>
                <w:rFonts w:ascii="Arial" w:cs="Arial" w:eastAsia="Arial" w:hAnsi="Arial"/>
                <w:sz w:val="14"/>
                <w:szCs w:val="14"/>
                <w:color w:val="auto"/>
              </w:rPr>
              <w:t>Fourth quarter, through March 11, 2016</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9.95</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6.50</w:t>
            </w:r>
          </w:p>
        </w:tc>
      </w:tr>
      <w:tr>
        <w:trPr>
          <w:trHeight w:val="332"/>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March 31, 2015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ending June 30, 2014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14.80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Second quarter ending September 30, 2014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15.00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7.99</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Third quarter ending December 31, 2014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80"/>
        </w:trPr>
        <w:tc>
          <w:tcPr>
            <w:tcW w:w="8720" w:type="dxa"/>
            <w:vAlign w:val="bottom"/>
          </w:tcPr>
          <w:p>
            <w:pPr>
              <w:spacing w:after="0"/>
              <w:rPr>
                <w:sz w:val="20"/>
                <w:szCs w:val="20"/>
                <w:color w:val="auto"/>
              </w:rPr>
            </w:pPr>
            <w:r>
              <w:rPr>
                <w:rFonts w:ascii="Arial" w:cs="Arial" w:eastAsia="Arial" w:hAnsi="Arial"/>
                <w:sz w:val="14"/>
                <w:szCs w:val="14"/>
                <w:color w:val="auto"/>
              </w:rPr>
              <w:t>Fourth quarter ending March 31, 2014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12.00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3.16</w:t>
            </w:r>
          </w:p>
        </w:tc>
      </w:tr>
      <w:tr>
        <w:trPr>
          <w:trHeight w:val="332"/>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March 31, 2014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First quarter ending June 30, 2013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18.00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Second quarter ending September 30, 2013</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17.80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11.00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Third quarter ending December 31, 2013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12.20</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5.20</w:t>
            </w:r>
          </w:p>
        </w:tc>
      </w:tr>
      <w:tr>
        <w:trPr>
          <w:trHeight w:val="180"/>
        </w:trPr>
        <w:tc>
          <w:tcPr>
            <w:tcW w:w="8720" w:type="dxa"/>
            <w:vAlign w:val="bottom"/>
          </w:tcPr>
          <w:p>
            <w:pPr>
              <w:spacing w:after="0"/>
              <w:rPr>
                <w:sz w:val="20"/>
                <w:szCs w:val="20"/>
                <w:color w:val="auto"/>
              </w:rPr>
            </w:pPr>
            <w:r>
              <w:rPr>
                <w:rFonts w:ascii="Arial" w:cs="Arial" w:eastAsia="Arial" w:hAnsi="Arial"/>
                <w:sz w:val="14"/>
                <w:szCs w:val="14"/>
                <w:color w:val="auto"/>
              </w:rPr>
              <w:t>Fourth quarter ending March 31, 2014</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10.00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5.60</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On March 11, 2016, the closing price of our common stock on the OTCQB was $8.00 per share.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4" w:name="page45"/>
    <w:bookmarkEnd w:id="4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DIVIDEND POLICY</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available funds for use in the operation and expansion of our business, and do not anticipate paying any cash dividends in the foreseeable future. Any future determination related to dividend policy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45" w:name="page46"/>
    <w:bookmarkEnd w:id="4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DILUTION</w:t>
      </w:r>
    </w:p>
    <w:p>
      <w:pPr>
        <w:spacing w:after="0" w:line="184"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If you invest in our common stock, you will experience dilution immediately to the extent of the difference between the public offering price per share of our common stock you pay in this Offering, and the pro forma net tangible book value per share of our common stock immediately after this Offering. As of December 31, 2015, our historical net tangible book value (deficit) was approximately ($1.6) million, or ($0.87) per share of common stock. As of December 31, 2015, our pro forma net tangible book value (deficit) was approximately $[ ] million, or $[___] per share of common stock. Pro forma net tangible book value per share (deficit) is determined by dividing our total tangible assets less total liabilities, by the number of outstanding shares of our common stock, assuming we issue the maximum amount of securities registered herein.</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Dilution in pro forma net tangible book value (deficit) per share represents the difference between the amount per share paid by buyers of shares of our common stock in this Offering and the pro forma net tangible book value (deficit) per share of our common stock immediately following this Offering. After giving effect to the issuance of [ ] shares of common stock at an assumed offering price of $[___] per share (the last reported sale price of our common stock on the OTCQB on [ ], 2016), and after deducting underwriting discounts and commissions and estimated offering expenses payable by us, our pro forma as adjusted net tangible book value (deficit) as of December 31, 2015, would have been approximately $[___] million, or $[___] per share of common stock. This data represents an immediate increase in pro forma net tangible book value of $[___] per share to existing stockholders and an immediate dilution of $[___] per share to new investors purchasing shares at the offering price.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80" w:type="dxa"/>
            <w:vAlign w:val="bottom"/>
          </w:tcPr>
          <w:p>
            <w:pPr>
              <w:spacing w:after="0"/>
              <w:rPr>
                <w:sz w:val="20"/>
                <w:szCs w:val="20"/>
                <w:color w:val="auto"/>
              </w:rPr>
            </w:pPr>
            <w:r>
              <w:rPr>
                <w:rFonts w:ascii="Arial" w:cs="Arial" w:eastAsia="Arial" w:hAnsi="Arial"/>
                <w:sz w:val="14"/>
                <w:szCs w:val="14"/>
                <w:color w:val="auto"/>
              </w:rPr>
              <w:t>The following table illustrates the per share dilution to investors in this Offering:</w:t>
            </w: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1"/>
        </w:trPr>
        <w:tc>
          <w:tcPr>
            <w:tcW w:w="7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Assumed public offering price per share</w:t>
            </w:r>
          </w:p>
        </w:tc>
        <w:tc>
          <w:tcPr>
            <w:tcW w:w="220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7880" w:type="dxa"/>
            <w:vAlign w:val="bottom"/>
          </w:tcPr>
          <w:p>
            <w:pPr>
              <w:spacing w:after="0"/>
              <w:rPr>
                <w:sz w:val="20"/>
                <w:szCs w:val="20"/>
                <w:color w:val="auto"/>
              </w:rPr>
            </w:pPr>
            <w:r>
              <w:rPr>
                <w:rFonts w:ascii="Arial" w:cs="Arial" w:eastAsia="Arial" w:hAnsi="Arial"/>
                <w:sz w:val="14"/>
                <w:szCs w:val="14"/>
                <w:color w:val="auto"/>
              </w:rPr>
              <w:t>Historical net tangible book value (deficit) per share as of December 31, 2015</w:t>
            </w:r>
          </w:p>
        </w:tc>
        <w:tc>
          <w:tcPr>
            <w:tcW w:w="2200" w:type="dxa"/>
            <w:vAlign w:val="bottom"/>
            <w:gridSpan w:val="2"/>
          </w:tcPr>
          <w:p>
            <w:pPr>
              <w:jc w:val="right"/>
              <w:ind w:right="98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Increase in pro forma net tangible book value per share attributable to investors in this Offering</w:t>
            </w:r>
          </w:p>
        </w:tc>
        <w:tc>
          <w:tcPr>
            <w:tcW w:w="10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r>
      <w:tr>
        <w:trPr>
          <w:trHeight w:val="172"/>
        </w:trPr>
        <w:tc>
          <w:tcPr>
            <w:tcW w:w="7880" w:type="dxa"/>
            <w:vAlign w:val="bottom"/>
          </w:tcPr>
          <w:p>
            <w:pPr>
              <w:spacing w:after="0"/>
              <w:rPr>
                <w:sz w:val="20"/>
                <w:szCs w:val="20"/>
                <w:color w:val="auto"/>
              </w:rPr>
            </w:pPr>
            <w:r>
              <w:rPr>
                <w:rFonts w:ascii="Arial" w:cs="Arial" w:eastAsia="Arial" w:hAnsi="Arial"/>
                <w:sz w:val="14"/>
                <w:szCs w:val="14"/>
                <w:color w:val="auto"/>
              </w:rPr>
              <w:t>Pro forma net tangible book value (deficit) per share as of December 31, 2015, as adjusted to give effect to this Offering</w:t>
            </w:r>
          </w:p>
        </w:tc>
        <w:tc>
          <w:tcPr>
            <w:tcW w:w="1060" w:type="dxa"/>
            <w:vAlign w:val="bottom"/>
          </w:tcPr>
          <w:p>
            <w:pPr>
              <w:spacing w:after="0"/>
              <w:rPr>
                <w:sz w:val="14"/>
                <w:szCs w:val="14"/>
                <w:color w:val="auto"/>
              </w:rPr>
            </w:pPr>
          </w:p>
        </w:tc>
        <w:tc>
          <w:tcPr>
            <w:tcW w:w="1140" w:type="dxa"/>
            <w:vAlign w:val="bottom"/>
            <w:tcBorders>
              <w:bottom w:val="single" w:sz="8" w:color="auto"/>
            </w:tcBorders>
          </w:tcPr>
          <w:p>
            <w:pPr>
              <w:jc w:val="right"/>
              <w:ind w:right="989"/>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7880" w:type="dxa"/>
            <w:vAlign w:val="bottom"/>
            <w:shd w:val="clear" w:color="auto" w:fill="CCEEFF"/>
          </w:tcPr>
          <w:p>
            <w:pPr>
              <w:spacing w:after="0"/>
              <w:rPr>
                <w:sz w:val="20"/>
                <w:szCs w:val="20"/>
                <w:color w:val="auto"/>
              </w:rPr>
            </w:pPr>
            <w:r>
              <w:rPr>
                <w:rFonts w:ascii="Arial" w:cs="Arial" w:eastAsia="Arial" w:hAnsi="Arial"/>
                <w:sz w:val="14"/>
                <w:szCs w:val="14"/>
                <w:color w:val="auto"/>
              </w:rPr>
              <w:t>Less: Pro forma as adjusted dilution per share to investors in this Offering</w:t>
            </w:r>
          </w:p>
        </w:tc>
        <w:tc>
          <w:tcPr>
            <w:tcW w:w="2200" w:type="dxa"/>
            <w:vAlign w:val="bottom"/>
            <w:gridSpan w:val="2"/>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Each $1.00 increase (decrease) in the assumed public offering price of $[____] per share (the last reported sale price of our common stock on the OTCQB on [ ], 2016), would increase (decrease) our as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adjusted net tangible book value after this Offering by approximately $[____] million, or approximately $[____] per share, and the dilution per share to new investors by approximately $[____] per</w:t>
      </w:r>
    </w:p>
    <w:p>
      <w:pPr>
        <w:spacing w:after="0" w:line="21"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share, assuming that the number of shares offered by us, as set forth on the cover page of this prospectus, remain the same and after deducting the estimated underwriting discounts and commissions and estimated offering expenses payable by us. We may also increase or decrease the number of shares we are offering. An increase of 1,000,000 shares in the number of shares offered by us would increase our as adjusted net tangible book value after this Offering by approximately $[____] million, or $[____] per share, and decrease the dilution per share to new investors by $[____] per share, assuming</w:t>
      </w:r>
    </w:p>
    <w:p>
      <w:pPr>
        <w:spacing w:after="0" w:line="1"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that the assumed public offering price remains the same, and after deducting the estimated underwriting discounts and commissions and estimated offering expenses payable by us. Similarly, a decrease of 1,000,000 shares in the number of shares offered by us would decrease our as adjusted net tangible book value after this Offering by approximately $[____] million, or $[____] per share, and increase</w:t>
      </w:r>
    </w:p>
    <w:p>
      <w:pPr>
        <w:spacing w:after="0"/>
        <w:rPr>
          <w:sz w:val="20"/>
          <w:szCs w:val="20"/>
          <w:color w:val="auto"/>
        </w:rPr>
      </w:pPr>
      <w:r>
        <w:rPr>
          <w:rFonts w:ascii="Arial" w:cs="Arial" w:eastAsia="Arial" w:hAnsi="Arial"/>
          <w:sz w:val="13"/>
          <w:szCs w:val="13"/>
          <w:color w:val="auto"/>
        </w:rPr>
        <w:t>the dilution per share to new investors by $[____] per share, assuming that the assumed public offering price remains the same, and after deducting the estimated underwriting discounts and</w:t>
      </w:r>
    </w:p>
    <w:p>
      <w:pPr>
        <w:spacing w:after="0" w:line="2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commissions and estimated offering expenses payable by us. The information discussed above is illustrative only and will adjust based on the actual public offering price and other terms of this Offering determined at pricing.</w:t>
      </w:r>
    </w:p>
    <w:p>
      <w:pPr>
        <w:spacing w:after="0" w:line="164"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If the underwriters’ option to purchase additional shares is exercised in full, the pro forma as adjusted net tangible book value per share of our common stock, as adjusted to give effect to this Offering, would be $[____] per share, and the dilution in pro forma net tangible book value per share to new investors in this Offering would be $[____] per share.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outstanding share information set forth above is as of December 31, 2015 and excludes, as of that date:</w:t>
      </w:r>
    </w:p>
    <w:p>
      <w:pPr>
        <w:spacing w:after="0" w:line="201" w:lineRule="exact"/>
        <w:rPr>
          <w:sz w:val="20"/>
          <w:szCs w:val="20"/>
          <w:color w:val="auto"/>
        </w:rPr>
      </w:pPr>
    </w:p>
    <w:p>
      <w:pPr>
        <w:ind w:left="460" w:hanging="455"/>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296,738 shares of common stock issuable upon the exercise of outstanding options under our 1999 Stock Incentive Plan and 2008 Stock Incentive Plan;</w:t>
      </w:r>
    </w:p>
    <w:p>
      <w:pPr>
        <w:spacing w:after="0" w:line="201" w:lineRule="exact"/>
        <w:rPr>
          <w:rFonts w:ascii="Arial" w:cs="Arial" w:eastAsia="Arial" w:hAnsi="Arial"/>
          <w:sz w:val="14"/>
          <w:szCs w:val="14"/>
          <w:color w:val="auto"/>
        </w:rPr>
      </w:pPr>
    </w:p>
    <w:p>
      <w:pPr>
        <w:ind w:left="460" w:hanging="455"/>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710,850 shares of common stock reserved for issuance in connection with future grants under our stock 2008 Stock Incentive Plan;</w:t>
      </w:r>
    </w:p>
    <w:p>
      <w:pPr>
        <w:spacing w:after="0" w:line="201" w:lineRule="exact"/>
        <w:rPr>
          <w:rFonts w:ascii="Arial" w:cs="Arial" w:eastAsia="Arial" w:hAnsi="Arial"/>
          <w:sz w:val="14"/>
          <w:szCs w:val="14"/>
          <w:color w:val="auto"/>
        </w:rPr>
      </w:pPr>
    </w:p>
    <w:p>
      <w:pPr>
        <w:ind w:left="460" w:hanging="455"/>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4,971,497 shares of common stock reserved for issuance upon exercise of outstanding warrants, which have exercise prices ranging from $7.00 per share to $30.00 per share;</w:t>
      </w:r>
    </w:p>
    <w:p>
      <w:pPr>
        <w:spacing w:after="0" w:line="201" w:lineRule="exact"/>
        <w:rPr>
          <w:rFonts w:ascii="Arial" w:cs="Arial" w:eastAsia="Arial" w:hAnsi="Arial"/>
          <w:sz w:val="14"/>
          <w:szCs w:val="14"/>
          <w:color w:val="auto"/>
        </w:rPr>
      </w:pPr>
    </w:p>
    <w:p>
      <w:pPr>
        <w:ind w:left="460" w:hanging="455"/>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750,000 shares of common stock reserved for issuance upon conversion of our Series A Preferred; and</w:t>
      </w:r>
    </w:p>
    <w:p>
      <w:pPr>
        <w:spacing w:after="0" w:line="201" w:lineRule="exact"/>
        <w:rPr>
          <w:rFonts w:ascii="Arial" w:cs="Arial" w:eastAsia="Arial" w:hAnsi="Arial"/>
          <w:sz w:val="14"/>
          <w:szCs w:val="14"/>
          <w:color w:val="auto"/>
        </w:rPr>
      </w:pPr>
    </w:p>
    <w:p>
      <w:pPr>
        <w:ind w:left="460" w:hanging="455"/>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3,588,863 shares of common stock reserved for issuance upon conversion of our Series B Preferred.</w:t>
      </w:r>
    </w:p>
    <w:p>
      <w:pPr>
        <w:spacing w:after="0" w:line="201"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color w:val="auto"/>
        </w:rPr>
        <w:t>The outstanding share information set forth above does not include shares of common stock reserved for issuance upon exchange of our Series C Preferred, as the Series C Preferred was created and issued subsequent to December 31, 2015.</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6" w:name="page47"/>
    <w:bookmarkEnd w:id="4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CAPITALIZATION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capitalization as of December 31, 2015 that is derived from our unaudited financial information included elsewhere in this prospectus:</w:t>
      </w:r>
    </w:p>
    <w:p>
      <w:pPr>
        <w:spacing w:after="0" w:line="180" w:lineRule="exact"/>
        <w:rPr>
          <w:sz w:val="20"/>
          <w:szCs w:val="20"/>
          <w:color w:val="auto"/>
        </w:rPr>
      </w:pPr>
    </w:p>
    <w:p>
      <w:pPr>
        <w:ind w:left="520" w:hanging="515"/>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on an actual basis; and</w:t>
      </w:r>
    </w:p>
    <w:p>
      <w:pPr>
        <w:spacing w:after="0" w:line="201" w:lineRule="exact"/>
        <w:rPr>
          <w:rFonts w:ascii="Arial" w:cs="Arial" w:eastAsia="Arial" w:hAnsi="Arial"/>
          <w:sz w:val="14"/>
          <w:szCs w:val="14"/>
          <w:color w:val="auto"/>
        </w:rPr>
      </w:pPr>
    </w:p>
    <w:p>
      <w:pPr>
        <w:ind w:left="480" w:right="40" w:hanging="475"/>
        <w:spacing w:after="0" w:line="323" w:lineRule="auto"/>
        <w:tabs>
          <w:tab w:leader="none" w:pos="4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on a pro forma basis, giving effect to the sale and issuance by us of [_________] shares of common stock in this Offering, at an offering price of $[______] per share (the last reported sale price of our common stock on the OTCQB on [ ], 2016), and after deducting underwriting discounts and commissions and estimated offering expenses payable by us.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2015 (amounts in dollars, and in thousands)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1,158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Long-term debt, excluding current portion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 (deficit):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160"/>
              <w:spacing w:after="0"/>
              <w:rPr>
                <w:sz w:val="20"/>
                <w:szCs w:val="20"/>
                <w:color w:val="auto"/>
              </w:rPr>
            </w:pPr>
            <w:r>
              <w:rPr>
                <w:rFonts w:ascii="Arial" w:cs="Arial" w:eastAsia="Arial" w:hAnsi="Arial"/>
                <w:sz w:val="14"/>
                <w:szCs w:val="14"/>
                <w:color w:val="auto"/>
              </w:rPr>
              <w:t>Preferred stock, $0.001 par value, 10,000,000 shares authorized: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Series A Preferred, 500,000 shares authorized and outstanding, actual and pro forma</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8720" w:type="dxa"/>
            <w:vAlign w:val="bottom"/>
          </w:tcPr>
          <w:p>
            <w:pPr>
              <w:ind w:left="320"/>
              <w:spacing w:after="0" w:line="160" w:lineRule="exact"/>
              <w:rPr>
                <w:sz w:val="20"/>
                <w:szCs w:val="20"/>
                <w:color w:val="auto"/>
              </w:rPr>
            </w:pPr>
            <w:r>
              <w:rPr>
                <w:rFonts w:ascii="Arial" w:cs="Arial" w:eastAsia="Arial" w:hAnsi="Arial"/>
                <w:sz w:val="14"/>
                <w:szCs w:val="14"/>
                <w:color w:val="auto"/>
                <w:w w:val="91"/>
              </w:rPr>
              <w:t>Series B Preferred, 4,000,000 shares authorized and 3,588,863 shares outstanding, actual; 4,000,000 authorized and [______] shares outstanding,</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8720" w:type="dxa"/>
            <w:vAlign w:val="bottom"/>
          </w:tcPr>
          <w:p>
            <w:pPr>
              <w:ind w:left="480"/>
              <w:spacing w:after="0"/>
              <w:rPr>
                <w:sz w:val="20"/>
                <w:szCs w:val="20"/>
                <w:color w:val="auto"/>
              </w:rPr>
            </w:pPr>
            <w:r>
              <w:rPr>
                <w:rFonts w:ascii="Arial" w:cs="Arial" w:eastAsia="Arial" w:hAnsi="Arial"/>
                <w:sz w:val="14"/>
                <w:szCs w:val="14"/>
                <w:color w:val="auto"/>
              </w:rPr>
              <w:t>pro forma</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Common stock, $0.001 par value, 10,000,000 shares authorized; 1,965,170 shares issued, actual; [______] shares issued, pro forma</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125,605</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Treasury stock, at cost, 135,665 shares, actual; [______] shares, pro forma</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(3,968)</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______</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Accumulated deficit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(123,242)</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Total stockholders’ deficit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(1,598)</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0"/>
        </w:trPr>
        <w:tc>
          <w:tcPr>
            <w:tcW w:w="8720" w:type="dxa"/>
            <w:vAlign w:val="bottom"/>
          </w:tcPr>
          <w:p>
            <w:pPr>
              <w:ind w:left="100"/>
              <w:spacing w:after="0"/>
              <w:rPr>
                <w:sz w:val="20"/>
                <w:szCs w:val="20"/>
                <w:color w:val="auto"/>
              </w:rPr>
            </w:pPr>
            <w:r>
              <w:rPr>
                <w:rFonts w:ascii="Arial" w:cs="Arial" w:eastAsia="Arial" w:hAnsi="Arial"/>
                <w:sz w:val="14"/>
                <w:szCs w:val="14"/>
                <w:color w:val="auto"/>
              </w:rPr>
              <w:t>Total capitalization</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(440)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Common stock outstanding in the table above excludes the following shares as of December 31, 2015:</w:t>
      </w:r>
    </w:p>
    <w:p>
      <w:pPr>
        <w:spacing w:after="0" w:line="201" w:lineRule="exact"/>
        <w:rPr>
          <w:sz w:val="20"/>
          <w:szCs w:val="20"/>
          <w:color w:val="auto"/>
        </w:rPr>
      </w:pPr>
    </w:p>
    <w:p>
      <w:pPr>
        <w:ind w:left="440" w:hanging="435"/>
        <w:spacing w:after="0"/>
        <w:tabs>
          <w:tab w:leader="none" w:pos="4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296,738 shares of common stock issuable upon the exercise of outstanding options under our 1999 Stock Incentive Plan and 2008 Stock Incentive Plan;</w:t>
      </w:r>
    </w:p>
    <w:p>
      <w:pPr>
        <w:spacing w:after="0" w:line="201" w:lineRule="exact"/>
        <w:rPr>
          <w:rFonts w:ascii="Arial" w:cs="Arial" w:eastAsia="Arial" w:hAnsi="Arial"/>
          <w:sz w:val="14"/>
          <w:szCs w:val="14"/>
          <w:color w:val="auto"/>
        </w:rPr>
      </w:pPr>
    </w:p>
    <w:p>
      <w:pPr>
        <w:ind w:left="440" w:hanging="435"/>
        <w:spacing w:after="0"/>
        <w:tabs>
          <w:tab w:leader="none" w:pos="4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710,850 shares of common stock reserved for issuance in connection with future grants under our stock 2008 Stock Incentive Plan; and</w:t>
      </w:r>
    </w:p>
    <w:p>
      <w:pPr>
        <w:spacing w:after="0" w:line="201" w:lineRule="exact"/>
        <w:rPr>
          <w:rFonts w:ascii="Arial" w:cs="Arial" w:eastAsia="Arial" w:hAnsi="Arial"/>
          <w:sz w:val="14"/>
          <w:szCs w:val="14"/>
          <w:color w:val="auto"/>
        </w:rPr>
      </w:pPr>
    </w:p>
    <w:p>
      <w:pPr>
        <w:ind w:left="440" w:hanging="435"/>
        <w:spacing w:after="0"/>
        <w:tabs>
          <w:tab w:leader="none" w:pos="4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4,971,497 shares of common stock reserved for issuance upon exercise of outstanding warrants, which have exercise prices ranging from $7.00 per share to $30.00 per share.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7" w:name="page48"/>
    <w:bookmarkEnd w:id="4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SELECTED CONSOLIDATED FINANCIAL DATA</w:t>
      </w:r>
    </w:p>
    <w:p>
      <w:pPr>
        <w:spacing w:after="0" w:line="205"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The following selected consolidated financial data of VistaGen Therapeutics, Inc. should be read in conjunction with, and are qualified by reference to, the section titled “</w:t>
      </w:r>
      <w:r>
        <w:rPr>
          <w:rFonts w:ascii="Arial" w:cs="Arial" w:eastAsia="Arial" w:hAnsi="Arial"/>
          <w:sz w:val="13"/>
          <w:szCs w:val="13"/>
          <w:i w:val="1"/>
          <w:iCs w:val="1"/>
          <w:color w:val="auto"/>
        </w:rPr>
        <w:t>Management’s Discussion and</w:t>
      </w:r>
      <w:r>
        <w:rPr>
          <w:rFonts w:ascii="Arial" w:cs="Arial" w:eastAsia="Arial" w:hAnsi="Arial"/>
          <w:sz w:val="13"/>
          <w:szCs w:val="13"/>
          <w:color w:val="auto"/>
        </w:rPr>
        <w:t xml:space="preserve"> </w:t>
      </w:r>
      <w:r>
        <w:rPr>
          <w:rFonts w:ascii="Arial" w:cs="Arial" w:eastAsia="Arial" w:hAnsi="Arial"/>
          <w:sz w:val="13"/>
          <w:szCs w:val="13"/>
          <w:i w:val="1"/>
          <w:iCs w:val="1"/>
          <w:color w:val="auto"/>
        </w:rPr>
        <w:t>Analysis of Financial Condition and Results of Operations</w:t>
      </w:r>
      <w:r>
        <w:rPr>
          <w:rFonts w:ascii="Arial" w:cs="Arial" w:eastAsia="Arial" w:hAnsi="Arial"/>
          <w:sz w:val="13"/>
          <w:szCs w:val="13"/>
          <w:color w:val="auto"/>
        </w:rPr>
        <w:t>” and the consolidated financial statements and notes thereto included elsewhere in this prospectus. The consolidated statement of operations</w:t>
      </w:r>
      <w:r>
        <w:rPr>
          <w:rFonts w:ascii="Arial" w:cs="Arial" w:eastAsia="Arial" w:hAnsi="Arial"/>
          <w:sz w:val="13"/>
          <w:szCs w:val="13"/>
          <w:i w:val="1"/>
          <w:iCs w:val="1"/>
          <w:color w:val="auto"/>
        </w:rPr>
        <w:t xml:space="preserve"> </w:t>
      </w:r>
      <w:r>
        <w:rPr>
          <w:rFonts w:ascii="Arial" w:cs="Arial" w:eastAsia="Arial" w:hAnsi="Arial"/>
          <w:sz w:val="13"/>
          <w:szCs w:val="13"/>
          <w:color w:val="auto"/>
        </w:rPr>
        <w:t>data for the years ended March 31, 2015 and 2014, and the consolidated balance sheet data as of March 31, 2015 and 2014 are derived from, and qualified by reference to, our audited consolidated financial statements included elsewhere in this prospectus and should be read in conjunction with those consolidated financial statements and notes thereto. The consolidated statement of operations data for the nine month periods ended December 31, 2015 and 2014 and the consolidated balance sheet data as of December 31, 2015 are derived from our unaudited consolidated financial statements included elsewhere in this prospectus which, in our opinion, have been prepared on the same basis as the audited consolidated financial statements and reflect only adjustments, consisting only of normal recurring adjustments, necessary for a fair presentation of our results of operations and financial position. Our results for the nine months ended December 31, 2015 are not necessarily indicative of results to be expected for the full year or any other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Fiscal Year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Nine-Months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72"/>
        </w:trPr>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center"/>
              <w:ind w:right="32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60" w:type="dxa"/>
            <w:vAlign w:val="bottom"/>
          </w:tcPr>
          <w:p>
            <w:pPr>
              <w:spacing w:after="0" w:line="160" w:lineRule="exact"/>
              <w:rPr>
                <w:sz w:val="20"/>
                <w:szCs w:val="20"/>
                <w:color w:val="auto"/>
              </w:rPr>
            </w:pPr>
            <w:r>
              <w:rPr>
                <w:rFonts w:ascii="Arial" w:cs="Arial" w:eastAsia="Arial" w:hAnsi="Arial"/>
                <w:sz w:val="14"/>
                <w:szCs w:val="14"/>
                <w:b w:val="1"/>
                <w:bCs w:val="1"/>
                <w:color w:val="auto"/>
              </w:rPr>
              <w:t>Consolidated Statement of Operations Data:</w:t>
            </w: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spacing w:after="0" w:line="160" w:lineRule="exact"/>
              <w:rPr>
                <w:sz w:val="20"/>
                <w:szCs w:val="20"/>
                <w:color w:val="auto"/>
              </w:rPr>
            </w:pPr>
            <w:r>
              <w:rPr>
                <w:rFonts w:ascii="Arial" w:cs="Arial" w:eastAsia="Arial" w:hAnsi="Arial"/>
                <w:sz w:val="14"/>
                <w:szCs w:val="14"/>
                <w:b w:val="1"/>
                <w:bCs w:val="1"/>
                <w:color w:val="auto"/>
                <w:w w:val="87"/>
              </w:rPr>
              <w:t>(in thousands, except</w:t>
            </w:r>
          </w:p>
        </w:tc>
        <w:tc>
          <w:tcPr>
            <w:tcW w:w="100" w:type="dxa"/>
            <w:vAlign w:val="bottom"/>
          </w:tcPr>
          <w:p>
            <w:pPr>
              <w:spacing w:after="0"/>
              <w:rPr>
                <w:sz w:val="13"/>
                <w:szCs w:val="13"/>
                <w:color w:val="auto"/>
              </w:rPr>
            </w:pPr>
          </w:p>
        </w:tc>
        <w:tc>
          <w:tcPr>
            <w:tcW w:w="1280" w:type="dxa"/>
            <w:vAlign w:val="bottom"/>
            <w:gridSpan w:val="3"/>
          </w:tcPr>
          <w:p>
            <w:pPr>
              <w:jc w:val="right"/>
              <w:ind w:right="29"/>
              <w:spacing w:after="0" w:line="160" w:lineRule="exact"/>
              <w:rPr>
                <w:sz w:val="20"/>
                <w:szCs w:val="20"/>
                <w:color w:val="auto"/>
              </w:rPr>
            </w:pPr>
            <w:r>
              <w:rPr>
                <w:rFonts w:ascii="Arial" w:cs="Arial" w:eastAsia="Arial" w:hAnsi="Arial"/>
                <w:sz w:val="14"/>
                <w:szCs w:val="14"/>
                <w:b w:val="1"/>
                <w:bCs w:val="1"/>
                <w:color w:val="auto"/>
                <w:w w:val="89"/>
              </w:rPr>
              <w:t>per share amounts)</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860" w:type="dxa"/>
            <w:vAlign w:val="bottom"/>
          </w:tcPr>
          <w:p>
            <w:pPr>
              <w:spacing w:after="0"/>
              <w:rPr>
                <w:sz w:val="20"/>
                <w:szCs w:val="20"/>
                <w:color w:val="auto"/>
              </w:rPr>
            </w:pPr>
            <w:r>
              <w:rPr>
                <w:rFonts w:ascii="Arial" w:cs="Arial" w:eastAsia="Arial" w:hAnsi="Arial"/>
                <w:sz w:val="14"/>
                <w:szCs w:val="14"/>
                <w:color w:val="auto"/>
              </w:rPr>
              <w:t>Operating expenses:</w:t>
            </w: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Research and development</w:t>
            </w:r>
          </w:p>
        </w:tc>
        <w:tc>
          <w:tcPr>
            <w:tcW w:w="160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2,433</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2,835</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70"/>
        </w:trPr>
        <w:tc>
          <w:tcPr>
            <w:tcW w:w="486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6,515</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5,029</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9,350</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21"/>
        </w:trPr>
        <w:tc>
          <w:tcPr>
            <w:tcW w:w="48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Loss from operations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(6,777)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(5,029)</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(9,350)</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60" w:type="dxa"/>
            <w:vAlign w:val="bottom"/>
          </w:tcPr>
          <w:p>
            <w:pPr>
              <w:ind w:left="200"/>
              <w:spacing w:after="0"/>
              <w:rPr>
                <w:sz w:val="20"/>
                <w:szCs w:val="20"/>
                <w:color w:val="auto"/>
              </w:rPr>
            </w:pPr>
            <w:r>
              <w:rPr>
                <w:rFonts w:ascii="Arial" w:cs="Arial" w:eastAsia="Arial" w:hAnsi="Arial"/>
                <w:sz w:val="14"/>
                <w:szCs w:val="14"/>
                <w:color w:val="auto"/>
              </w:rPr>
              <w:t>Interest expense, net</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(4,549)</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(1,503)</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(770)</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 in warrant liabilities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3,567</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(1,895)</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70"/>
        </w:trPr>
        <w:tc>
          <w:tcPr>
            <w:tcW w:w="4860" w:type="dxa"/>
            <w:vAlign w:val="bottom"/>
          </w:tcPr>
          <w:p>
            <w:pPr>
              <w:ind w:left="200"/>
              <w:spacing w:after="0"/>
              <w:rPr>
                <w:sz w:val="20"/>
                <w:szCs w:val="20"/>
                <w:color w:val="auto"/>
              </w:rPr>
            </w:pPr>
            <w:r>
              <w:rPr>
                <w:rFonts w:ascii="Arial" w:cs="Arial" w:eastAsia="Arial" w:hAnsi="Arial"/>
                <w:sz w:val="14"/>
                <w:szCs w:val="14"/>
                <w:color w:val="auto"/>
              </w:rPr>
              <w:t>Loss on early extinguishment of debt</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(2,388)</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(26,700)</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(2,371)</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expense</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1"/>
        </w:trPr>
        <w:tc>
          <w:tcPr>
            <w:tcW w:w="48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(13,884)</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(2,965)</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(38,717)</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(7,662)</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48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Net loss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(13,886)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(2,968)</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(38,719)</w:t>
            </w:r>
          </w:p>
        </w:tc>
        <w:tc>
          <w:tcPr>
            <w:tcW w:w="4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Accrued dividend on Series B Preferred Stock</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(1,459)</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860" w:type="dxa"/>
            <w:vAlign w:val="bottom"/>
          </w:tcPr>
          <w:p>
            <w:pPr>
              <w:ind w:left="160"/>
              <w:spacing w:after="0"/>
              <w:rPr>
                <w:sz w:val="20"/>
                <w:szCs w:val="20"/>
                <w:color w:val="auto"/>
              </w:rPr>
            </w:pPr>
            <w:r>
              <w:rPr>
                <w:rFonts w:ascii="Arial" w:cs="Arial" w:eastAsia="Arial" w:hAnsi="Arial"/>
                <w:sz w:val="14"/>
                <w:szCs w:val="14"/>
                <w:color w:val="auto"/>
              </w:rPr>
              <w:t>Deemed dividend on Series B Preferred Units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(1,812)</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common stockholders</w:t>
            </w: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(13,886)</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(2,968)</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(41,990)</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w:t>
            </w:r>
          </w:p>
        </w:tc>
        <w:tc>
          <w:tcPr>
            <w:tcW w:w="0" w:type="dxa"/>
            <w:vAlign w:val="bottom"/>
          </w:tcPr>
          <w:p>
            <w:pPr>
              <w:spacing w:after="0"/>
              <w:rPr>
                <w:sz w:val="1"/>
                <w:szCs w:val="1"/>
                <w:color w:val="auto"/>
              </w:rPr>
            </w:pPr>
          </w:p>
        </w:tc>
      </w:tr>
      <w:tr>
        <w:trPr>
          <w:trHeight w:val="153"/>
        </w:trPr>
        <w:tc>
          <w:tcPr>
            <w:tcW w:w="486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16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(10.53)</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(25.45)</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53"/>
        </w:trPr>
        <w:tc>
          <w:tcPr>
            <w:tcW w:w="486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16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(10.61)</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269"/>
              <w:spacing w:after="0"/>
              <w:rPr>
                <w:sz w:val="20"/>
                <w:szCs w:val="20"/>
                <w:color w:val="auto"/>
              </w:rPr>
            </w:pPr>
            <w:r>
              <w:rPr>
                <w:rFonts w:ascii="Arial" w:cs="Arial" w:eastAsia="Arial" w:hAnsi="Arial"/>
                <w:sz w:val="14"/>
                <w:szCs w:val="14"/>
                <w:color w:val="auto"/>
              </w:rPr>
              <w:t>(25.45 )$</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53"/>
        </w:trPr>
        <w:tc>
          <w:tcPr>
            <w:tcW w:w="486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used in computing:</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1,318,797</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1,098,742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1,650,160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1,270,495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Diluted net loss attributable to common stockholders per common share</w:t>
            </w:r>
          </w:p>
        </w:tc>
        <w:tc>
          <w:tcPr>
            <w:tcW w:w="1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1,318,797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1,099,216</w:t>
            </w:r>
          </w:p>
        </w:tc>
        <w:tc>
          <w:tcPr>
            <w:tcW w:w="1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1,650,160</w:t>
            </w: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1,288,674</w:t>
            </w:r>
          </w:p>
        </w:tc>
        <w:tc>
          <w:tcPr>
            <w:tcW w:w="0" w:type="dxa"/>
            <w:vAlign w:val="bottom"/>
          </w:tcPr>
          <w:p>
            <w:pPr>
              <w:spacing w:after="0"/>
              <w:rPr>
                <w:sz w:val="1"/>
                <w:szCs w:val="1"/>
                <w:color w:val="auto"/>
              </w:rPr>
            </w:pPr>
          </w:p>
        </w:tc>
      </w:tr>
      <w:tr>
        <w:trPr>
          <w:trHeight w:val="330"/>
        </w:trPr>
        <w:tc>
          <w:tcPr>
            <w:tcW w:w="486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97"/>
              </w:rPr>
              <w:t>As of December</w:t>
            </w: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6"/>
              </w:rPr>
              <w:t>As of March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center"/>
              <w:ind w:right="349"/>
              <w:spacing w:after="0"/>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2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86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70</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Total assets</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9"/>
              <w:spacing w:after="0"/>
              <w:rPr>
                <w:sz w:val="20"/>
                <w:szCs w:val="20"/>
                <w:color w:val="auto"/>
              </w:rPr>
            </w:pPr>
            <w:r>
              <w:rPr>
                <w:rFonts w:ascii="Arial" w:cs="Arial" w:eastAsia="Arial" w:hAnsi="Arial"/>
                <w:sz w:val="14"/>
                <w:szCs w:val="14"/>
                <w:color w:val="auto"/>
              </w:rPr>
              <w:t>270</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264</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spacing w:after="0"/>
              <w:rPr>
                <w:sz w:val="20"/>
                <w:szCs w:val="20"/>
                <w:color w:val="auto"/>
              </w:rPr>
            </w:pPr>
            <w:r>
              <w:rPr>
                <w:rFonts w:ascii="Arial" w:cs="Arial" w:eastAsia="Arial" w:hAnsi="Arial"/>
                <w:sz w:val="14"/>
                <w:szCs w:val="14"/>
                <w:color w:val="auto"/>
              </w:rPr>
              <w:t>Current portion of notes payable</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13,930</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2,129</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70"/>
        </w:trPr>
        <w:tc>
          <w:tcPr>
            <w:tcW w:w="4860" w:type="dxa"/>
            <w:vAlign w:val="bottom"/>
          </w:tcPr>
          <w:p>
            <w:pPr>
              <w:spacing w:after="0"/>
              <w:rPr>
                <w:sz w:val="20"/>
                <w:szCs w:val="20"/>
                <w:color w:val="auto"/>
              </w:rPr>
            </w:pPr>
            <w:r>
              <w:rPr>
                <w:rFonts w:ascii="Arial" w:cs="Arial" w:eastAsia="Arial" w:hAnsi="Arial"/>
                <w:sz w:val="14"/>
                <w:szCs w:val="14"/>
                <w:color w:val="auto"/>
              </w:rPr>
              <w:t>Working capital</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9"/>
              <w:spacing w:after="0"/>
              <w:rPr>
                <w:sz w:val="20"/>
                <w:szCs w:val="20"/>
                <w:color w:val="auto"/>
              </w:rPr>
            </w:pPr>
            <w:r>
              <w:rPr>
                <w:rFonts w:ascii="Arial" w:cs="Arial" w:eastAsia="Arial" w:hAnsi="Arial"/>
                <w:sz w:val="14"/>
                <w:szCs w:val="14"/>
                <w:color w:val="auto"/>
              </w:rPr>
              <w:t>(17,282)</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(5,165)</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and preferred stock additional paid-in capital</w:t>
            </w:r>
          </w:p>
        </w:tc>
        <w:tc>
          <w:tcPr>
            <w:tcW w:w="1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67,948</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62,003</w:t>
            </w:r>
          </w:p>
        </w:tc>
        <w:tc>
          <w:tcPr>
            <w:tcW w:w="42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125,611</w:t>
            </w:r>
          </w:p>
        </w:tc>
        <w:tc>
          <w:tcPr>
            <w:tcW w:w="0" w:type="dxa"/>
            <w:vAlign w:val="bottom"/>
          </w:tcPr>
          <w:p>
            <w:pPr>
              <w:spacing w:after="0"/>
              <w:rPr>
                <w:sz w:val="1"/>
                <w:szCs w:val="1"/>
                <w:color w:val="auto"/>
              </w:rPr>
            </w:pPr>
          </w:p>
        </w:tc>
      </w:tr>
      <w:tr>
        <w:trPr>
          <w:trHeight w:val="180"/>
        </w:trPr>
        <w:tc>
          <w:tcPr>
            <w:tcW w:w="4860" w:type="dxa"/>
            <w:vAlign w:val="bottom"/>
          </w:tcPr>
          <w:p>
            <w:pPr>
              <w:spacing w:after="0"/>
              <w:rPr>
                <w:sz w:val="20"/>
                <w:szCs w:val="20"/>
                <w:color w:val="auto"/>
              </w:rPr>
            </w:pPr>
            <w:r>
              <w:rPr>
                <w:rFonts w:ascii="Arial" w:cs="Arial" w:eastAsia="Arial" w:hAnsi="Arial"/>
                <w:sz w:val="14"/>
                <w:szCs w:val="14"/>
                <w:color w:val="auto"/>
              </w:rPr>
              <w:t>Total stockholders’ deficit</w:t>
            </w: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9"/>
              <w:spacing w:after="0"/>
              <w:rPr>
                <w:sz w:val="20"/>
                <w:szCs w:val="20"/>
                <w:color w:val="auto"/>
              </w:rPr>
            </w:pPr>
            <w:r>
              <w:rPr>
                <w:rFonts w:ascii="Arial" w:cs="Arial" w:eastAsia="Arial" w:hAnsi="Arial"/>
                <w:sz w:val="14"/>
                <w:szCs w:val="14"/>
                <w:color w:val="auto"/>
              </w:rPr>
              <w:t>(20,543)</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(12,780)</w:t>
            </w:r>
          </w:p>
        </w:tc>
        <w:tc>
          <w:tcPr>
            <w:tcW w:w="4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468"/>
        </w:trPr>
        <w:tc>
          <w:tcPr>
            <w:tcW w:w="4860" w:type="dxa"/>
            <w:vAlign w:val="bottom"/>
          </w:tcPr>
          <w:p>
            <w:pPr>
              <w:spacing w:after="0"/>
              <w:rPr>
                <w:sz w:val="24"/>
                <w:szCs w:val="24"/>
                <w:color w:val="auto"/>
              </w:rPr>
            </w:pP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86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8" w:name="page49"/>
    <w:bookmarkEnd w:id="4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184" w:lineRule="exact"/>
        <w:rPr>
          <w:sz w:val="20"/>
          <w:szCs w:val="20"/>
          <w:color w:val="auto"/>
        </w:rPr>
      </w:pPr>
    </w:p>
    <w:p>
      <w:pPr>
        <w:jc w:val="both"/>
        <w:ind w:right="20"/>
        <w:spacing w:after="0" w:line="298" w:lineRule="auto"/>
        <w:rPr>
          <w:sz w:val="20"/>
          <w:szCs w:val="20"/>
          <w:color w:val="auto"/>
        </w:rPr>
      </w:pPr>
      <w:r>
        <w:rPr>
          <w:rFonts w:ascii="Arial" w:cs="Arial" w:eastAsia="Arial" w:hAnsi="Arial"/>
          <w:sz w:val="13"/>
          <w:szCs w:val="13"/>
          <w:i w:val="1"/>
          <w:iCs w:val="1"/>
          <w:color w:val="auto"/>
        </w:rPr>
        <w:t>You should read the following discussion of our financial condition and results of operations in conjunction with the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84" w:lineRule="exact"/>
        <w:rPr>
          <w:sz w:val="20"/>
          <w:szCs w:val="20"/>
          <w:color w:val="auto"/>
        </w:rPr>
      </w:pPr>
    </w:p>
    <w:p>
      <w:pPr>
        <w:jc w:val="both"/>
        <w:ind w:right="240"/>
        <w:spacing w:after="0" w:line="268" w:lineRule="auto"/>
        <w:rPr>
          <w:sz w:val="20"/>
          <w:szCs w:val="20"/>
          <w:color w:val="auto"/>
        </w:rPr>
      </w:pPr>
      <w:r>
        <w:rPr>
          <w:rFonts w:ascii="Arial" w:cs="Arial" w:eastAsia="Arial" w:hAnsi="Arial"/>
          <w:sz w:val="14"/>
          <w:szCs w:val="14"/>
          <w:color w:val="auto"/>
        </w:rPr>
        <w:t>We are a clinical-stage biopharmaceutical company dedicated to developing and commercializing innovative product candidates for patients with diseases and disorders involving the CNS. Our lead product candidate, AV-101, is a next generation, orally available prodrug candidate in Phase 2 development, initially for the adjunctive treatment of MDD in patients with an inadequate response to standard antidepressants.</w:t>
      </w:r>
    </w:p>
    <w:p>
      <w:pPr>
        <w:spacing w:after="0" w:line="163"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AV-101’s mechanism of action, as an NMDAR antagonist binding selectively at the GlyB co-agonist site of the NMDAR, is fundamentally differentiated from all antidepressants, as well as all atypical antipsychotics used adjunctively with standard antidepressants, currently approved by the FDA.</w:t>
      </w:r>
    </w:p>
    <w:p>
      <w:pPr>
        <w:spacing w:after="0" w:line="153"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Our ongoing Phase 2a clinical study of AV-101 in subjects with treatment-resistant MDD is being conducted and funded by the NIMH under our February 2015 CRADA with the NIMH. This NIMH-sponsored Phase 2a study was initiated in October 2015 and is ongoing.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effects of I.V. ketamine on depression. These NIMH studies have demonstrated robust antidepressant effects in patients with treatment-resistant MDD within hours of a single low dose of I.V. ketamine and stimulated research and development around a new generation of antidepressants with potential to deliver ketamine-like fast-onset benefits without its side effects.</w:t>
      </w:r>
    </w:p>
    <w:p>
      <w:pPr>
        <w:spacing w:after="0" w:line="156" w:lineRule="exact"/>
        <w:rPr>
          <w:sz w:val="20"/>
          <w:szCs w:val="20"/>
          <w:color w:val="auto"/>
        </w:rPr>
      </w:pPr>
    </w:p>
    <w:p>
      <w:pPr>
        <w:ind w:right="220"/>
        <w:spacing w:after="0" w:line="263" w:lineRule="auto"/>
        <w:rPr>
          <w:sz w:val="20"/>
          <w:szCs w:val="20"/>
          <w:color w:val="auto"/>
        </w:rPr>
      </w:pPr>
      <w:r>
        <w:rPr>
          <w:rFonts w:ascii="Arial" w:cs="Arial" w:eastAsia="Arial" w:hAnsi="Arial"/>
          <w:sz w:val="14"/>
          <w:szCs w:val="14"/>
          <w:color w:val="auto"/>
        </w:rPr>
        <w:t>Currently, we are preparing to launch our Phase 2b clinical study of AV-101 for the adjunctive treatment of MDD in patients with an inadequate response to standard antidepressants. We anticipate commencement of this potentially pivotal, multi-center, multi-dose, double blind, placebo-controlled Phase 2b efficacy and safety study in the fourth quarter of 2016. Dr. Maurizio Fava, Professor of Psychiatry at Harvard Medical School and Director, Division of Clinical Research, MGH Research Institute and Executive Director, MGH Clinical Trials Network and Institute, will be the Principal Investigator of our Phase 2b study.</w:t>
      </w:r>
    </w:p>
    <w:p>
      <w:pPr>
        <w:spacing w:after="0" w:line="167"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We also believe AV-101 has broad therapeutic utility with multiple near term CNS pipeline expansion opportunities, including chronic neuropathic pain, epilepsy, Huntington’s disease and Parkinson’s disease.</w:t>
      </w:r>
    </w:p>
    <w:p>
      <w:pPr>
        <w:spacing w:after="0" w:line="153"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color w:val="auto"/>
        </w:rPr>
        <w:t>In addition to clinical development of AV-101, we are also focused on potential commercial applications of our hPSC technology platform, including drug rescue to develop proprietary NCEs for our internal drug candidate pipeline, and, through potential strategic collaborations, RM using blood, cartilage, heart and liver cells derived from our hPSC technology.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Merger</w:t>
      </w:r>
    </w:p>
    <w:p>
      <w:pPr>
        <w:spacing w:after="0" w:line="205"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VistaGen Therapeutics, Inc., a California corporation incorporated on May 26, 1998 (</w:t>
      </w:r>
      <w:r>
        <w:rPr>
          <w:rFonts w:ascii="Arial" w:cs="Arial" w:eastAsia="Arial" w:hAnsi="Arial"/>
          <w:sz w:val="14"/>
          <w:szCs w:val="14"/>
          <w:i w:val="1"/>
          <w:iCs w:val="1"/>
          <w:color w:val="auto"/>
        </w:rPr>
        <w:t>VistaGen California</w:t>
      </w:r>
      <w:r>
        <w:rPr>
          <w:rFonts w:ascii="Arial" w:cs="Arial" w:eastAsia="Arial" w:hAnsi="Arial"/>
          <w:sz w:val="14"/>
          <w:szCs w:val="14"/>
          <w:color w:val="auto"/>
        </w:rPr>
        <w:t>), is our wholly owned subsidiary. Excaliber Enterprises, Ltd. (</w:t>
      </w:r>
      <w:r>
        <w:rPr>
          <w:rFonts w:ascii="Arial" w:cs="Arial" w:eastAsia="Arial" w:hAnsi="Arial"/>
          <w:sz w:val="14"/>
          <w:szCs w:val="14"/>
          <w:i w:val="1"/>
          <w:iCs w:val="1"/>
          <w:color w:val="auto"/>
        </w:rPr>
        <w:t>Excaliber</w:t>
      </w:r>
      <w:r>
        <w:rPr>
          <w:rFonts w:ascii="Arial" w:cs="Arial" w:eastAsia="Arial" w:hAnsi="Arial"/>
          <w:sz w:val="14"/>
          <w:szCs w:val="14"/>
          <w:color w:val="auto"/>
        </w:rPr>
        <w:t xml:space="preserve">), a publicly held company (formerly OTCBB: EXCA) was incorporated under the laws of the State of Nevada on October 6, 2005. Pursuant to a strategic merger transaction on May 11, 2011, Excaliber acquired all outstanding shares of VistaGen California in exchange for 341,823 shares of our common stock and assumed all of VistaGen California’s pre-Merger obligations (the </w:t>
      </w:r>
      <w:r>
        <w:rPr>
          <w:rFonts w:ascii="Arial" w:cs="Arial" w:eastAsia="Arial" w:hAnsi="Arial"/>
          <w:sz w:val="14"/>
          <w:szCs w:val="14"/>
          <w:i w:val="1"/>
          <w:iCs w:val="1"/>
          <w:color w:val="auto"/>
        </w:rPr>
        <w:t>Merger</w:t>
      </w:r>
      <w:r>
        <w:rPr>
          <w:rFonts w:ascii="Arial" w:cs="Arial" w:eastAsia="Arial" w:hAnsi="Arial"/>
          <w:sz w:val="14"/>
          <w:szCs w:val="14"/>
          <w:color w:val="auto"/>
        </w:rPr>
        <w:t>). Shortly after the Merger, Excaliber’s name was changed to “VistaGen Therapeutics, Inc.” (a Nevada corporation).</w:t>
      </w:r>
    </w:p>
    <w:p>
      <w:pPr>
        <w:spacing w:after="0" w:line="146"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VistaGen California,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and effected for a post-Merger two-for-one (2:1) stock split, have been reflected as outstanding for all periods presented in the Consolidated Financial Statements for the years ended March 31, 2015 and 2014 of the Company included elsewhere in this prospectus. Additionally, the Consolidated Balance Sheets reflect the $0.001 par value of Excaliber’s common stock.</w:t>
      </w:r>
    </w:p>
    <w:p>
      <w:pPr>
        <w:spacing w:after="0" w:line="16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Consolidated Financial Statements for the years ended March 31, 2015 and 2014 included elsewhere in this prospectus represent the activity of VistaGen California from May 26, 1998, and the consolidated activity of VistaGen California and Excaliber (now VistaGen Therapeutics, Inc., a Nevada corporation), from May 11, 2011 (the date of the Merger). The Consolidated Financial Statements for the years ended March 31, 2015 and 2014 also include the accounts of VistaGen California’s two inactive wholly-owned subsidiaries, Artemis Neuroscience, Inc., a Maryland corporation (</w:t>
      </w:r>
      <w:r>
        <w:rPr>
          <w:rFonts w:ascii="Arial" w:cs="Arial" w:eastAsia="Arial" w:hAnsi="Arial"/>
          <w:sz w:val="14"/>
          <w:szCs w:val="14"/>
          <w:i w:val="1"/>
          <w:iCs w:val="1"/>
          <w:color w:val="auto"/>
        </w:rPr>
        <w:t>Artemis</w:t>
      </w:r>
      <w:r>
        <w:rPr>
          <w:rFonts w:ascii="Arial" w:cs="Arial" w:eastAsia="Arial" w:hAnsi="Arial"/>
          <w:sz w:val="14"/>
          <w:szCs w:val="14"/>
          <w:color w:val="auto"/>
        </w:rPr>
        <w:t>), and VistaStem Canada, Inc., a corporation organized under the laws of Ontario, Canada (</w:t>
      </w:r>
      <w:r>
        <w:rPr>
          <w:rFonts w:ascii="Arial" w:cs="Arial" w:eastAsia="Arial" w:hAnsi="Arial"/>
          <w:sz w:val="14"/>
          <w:szCs w:val="14"/>
          <w:i w:val="1"/>
          <w:iCs w:val="1"/>
          <w:color w:val="auto"/>
        </w:rPr>
        <w:t>VistaStem Canada</w:t>
      </w:r>
      <w:r>
        <w:rPr>
          <w:rFonts w:ascii="Arial" w:cs="Arial" w:eastAsia="Arial" w:hAnsi="Arial"/>
          <w:sz w:val="14"/>
          <w:szCs w:val="14"/>
          <w:color w:val="auto"/>
        </w:rPr>
        <w: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49" w:name="page50"/>
    <w:bookmarkEnd w:id="4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Operations Overview</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Loss</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not yet achieved revenue-generating status from any of our product candidates. Since inception, we have devoted substantially all of our time and efforts developing AV-101 from early preclinical studies to our ongoing Phase 2a clinical study in MDD, as well as stem cell research and bioassay development, small molecule drug development, and creating, protecting and patenting intellectual property, with the corollary initiatives of recruiting personnel and raising working capital. As of December 31, 2015, we had an accumulated deficit of approximately $123.2 million. Our net loss for the nine month period ended December 31, 2015 was $38.7 million, including a non-cash loss of approximately $26.7 million attributable to converting over $17.2 million of our indebtedness into equity securities between May 2015 and August 2015. Our net loss for the nine-month period ended December 31, 2014 was $7.7 million. We expect losses to continue for the foreseeable future, primarily related to our further development of AV-101 for MDD and additional CNS indications.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of Fiscal Year 2015 and Nine-Months Ended December 31, 2015</w:t>
      </w:r>
    </w:p>
    <w:p>
      <w:pPr>
        <w:spacing w:after="0" w:line="201" w:lineRule="exact"/>
        <w:rPr>
          <w:sz w:val="20"/>
          <w:szCs w:val="20"/>
          <w:color w:val="auto"/>
        </w:rPr>
      </w:pPr>
    </w:p>
    <w:p>
      <w:pPr>
        <w:spacing w:after="0" w:line="370" w:lineRule="auto"/>
        <w:rPr>
          <w:sz w:val="20"/>
          <w:szCs w:val="20"/>
          <w:color w:val="auto"/>
        </w:rPr>
      </w:pPr>
      <w:r>
        <w:rPr>
          <w:rFonts w:ascii="Arial" w:cs="Arial" w:eastAsia="Arial" w:hAnsi="Arial"/>
          <w:sz w:val="12"/>
          <w:szCs w:val="12"/>
          <w:color w:val="auto"/>
        </w:rPr>
        <w:t>Although our financial resources have been limited, we have continued to advance development of AV-101 for MDD and other CNS indications and explore NCE drug rescue and regenerative medicine opportunities related to our stem cell technology platform. Pursuant to our February 2015 CRADA with the NIH, the NIH is funding and conducting our Phase 2 clinical study of AV-101 in MDD.</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Throughout fiscal 2014 and 2015 and the nine months ended December 31, 2015, through self-placed private placement transactions and other corporate finance initiatives, our executive management has been focused on raising sufficient operating capital to continue to advance development of AV-101, as well as other research and development objectives, while meeting our continuing operational needs. Among our most significant accomplishments during the nine months ended December 31, 2015 have been the following: (i) entering into our CRADA with the NIMH; (ii) launching, under the CRADA, our NIH-funded Phase 2a clinical study of AV-101 in subjects with treatment-resistant MDD, with Dr. Carlos Zarate, Jr., Chief of the Section on the Neurobiology and Treatment of Mood Disorders and Chief of the Experimental Therapeutics and Pathophysiology Branch at the NIMH, as Principal Investigator; (iii) bolstering our Clinical and Scientific Advisory Board with the additions of both Dr. Maurizio Fava, Professor of Psychiatry at Harvard Medical School and Director of the Division of Clinical Research of the Massachusetts General Hospital Research Institute, and Dr. Gerard Sanacora, Associate Professor at Yale School of Medicine and Director of the Yale Depression Research Program; (iv) publishing AV-101 preclinical data in the October 2015 issue of the peer-reviewed, Journal of Pharmacology and Experimental Therapeutics, in an article entitled “The prodrug 4-chlorokynurenine causes ketamine-like antidepressant effects, but not side effects, by NMDA/glycineB-site inhibition;” (v) successfully negotiating, extinguishing and converting (in self-placed private placement transactions) approximately $17.2 million (substantially all) of our outstanding indebtedness into our equity securities; and (vi) completing self-placed private placement transactions with accredited investors thereby providing additional operating capital through the sale of our equity securities.</w:t>
      </w:r>
    </w:p>
    <w:p>
      <w:pPr>
        <w:spacing w:after="0" w:line="177" w:lineRule="exact"/>
        <w:rPr>
          <w:sz w:val="20"/>
          <w:szCs w:val="20"/>
          <w:color w:val="auto"/>
        </w:rPr>
      </w:pPr>
    </w:p>
    <w:p>
      <w:pPr>
        <w:spacing w:after="0" w:line="299" w:lineRule="auto"/>
        <w:rPr>
          <w:sz w:val="20"/>
          <w:szCs w:val="20"/>
          <w:color w:val="auto"/>
        </w:rPr>
      </w:pPr>
      <w:r>
        <w:rPr>
          <w:rFonts w:ascii="Arial" w:cs="Arial" w:eastAsia="Arial" w:hAnsi="Arial"/>
          <w:sz w:val="12"/>
          <w:szCs w:val="12"/>
          <w:color w:val="auto"/>
        </w:rPr>
        <w:t>To meet our working capital needs, in April and May 2015, we completed self-placed private placement transactions involving securities purchase agreements with accredited investors pursuant to which we sold to such accredited investors 2014 Private Placement Units, for aggregate cash proceeds of $280,000, consisting of (i) 10% convertible notes in the aggregate face amount of $280,000 due between April 30, 2015 and May 15, 2015; (ii) an aggregate of 33,000 restricted shares of our common stock; and (iii) warrants exercisable through December 31, 2016 to purchase an aggregate of 24,250 restricted shares of our common stock at an exercise price of $10.00 per share. Between May 2015 and December 31, 2015, we entered into self-placed private placement transactions involving securities purchase agreements with accredited investors, pursuant to which we sold Series B Preferred Units, for aggregate cash proceeds of approximately $4.3 million, consisting of an aggregate of</w:t>
      </w:r>
    </w:p>
    <w:p>
      <w:pPr>
        <w:spacing w:after="0" w:line="2" w:lineRule="exact"/>
        <w:rPr>
          <w:sz w:val="20"/>
          <w:szCs w:val="20"/>
          <w:color w:val="auto"/>
        </w:rPr>
      </w:pPr>
    </w:p>
    <w:p>
      <w:pPr>
        <w:ind w:firstLine="5"/>
        <w:spacing w:after="0" w:line="307" w:lineRule="auto"/>
        <w:tabs>
          <w:tab w:leader="none" w:pos="169" w:val="left"/>
        </w:tabs>
        <w:numPr>
          <w:ilvl w:val="0"/>
          <w:numId w:val="33"/>
        </w:numPr>
        <w:rPr>
          <w:rFonts w:ascii="Arial" w:cs="Arial" w:eastAsia="Arial" w:hAnsi="Arial"/>
          <w:sz w:val="13"/>
          <w:szCs w:val="13"/>
          <w:color w:val="auto"/>
        </w:rPr>
      </w:pPr>
      <w:r>
        <w:rPr>
          <w:rFonts w:ascii="Arial" w:cs="Arial" w:eastAsia="Arial" w:hAnsi="Arial"/>
          <w:sz w:val="13"/>
          <w:szCs w:val="13"/>
          <w:color w:val="auto"/>
        </w:rPr>
        <w:t>628,264 shares of our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and (ii) five-year warrants to purchase an aggregate of 628,264 shares of our common stock. In connection with the foregoing self-placed private placement transactions, from April 1, 2015 and December 31, 2015, we received aggregate cash proceeds of approximately $4.6 million.</w:t>
      </w:r>
    </w:p>
    <w:p>
      <w:pPr>
        <w:spacing w:after="0" w:line="140" w:lineRule="exact"/>
        <w:rPr>
          <w:sz w:val="20"/>
          <w:szCs w:val="20"/>
          <w:color w:val="auto"/>
        </w:rPr>
      </w:pPr>
    </w:p>
    <w:p>
      <w:pPr>
        <w:ind w:right="180"/>
        <w:spacing w:after="0" w:line="370" w:lineRule="auto"/>
        <w:rPr>
          <w:sz w:val="20"/>
          <w:szCs w:val="20"/>
          <w:color w:val="auto"/>
        </w:rPr>
      </w:pPr>
      <w:r>
        <w:rPr>
          <w:rFonts w:ascii="Arial" w:cs="Arial" w:eastAsia="Arial" w:hAnsi="Arial"/>
          <w:sz w:val="12"/>
          <w:szCs w:val="12"/>
          <w:color w:val="auto"/>
        </w:rPr>
        <w:t>As a matter of course, we seek to minimize cash commitments and expenditures for both internal and external research and development and general and administrative services to the greatest extent possible. The conversion of such a substantial portion of our outstanding indebtedness during the nine months ended December 31, 2015 materially reduced our cash requirements for debt service.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0" w:name="page51"/>
    <w:bookmarkEnd w:id="5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80"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We reported no revenue for the fiscal years ended March 31, 2015 or 2014, or for the nine months ended December 31, 2015. We have successfully completed our Phase 1 clinical development of AV-101, our orally available, next generation prodrug candidate in clinical development for the treatment of MDD, with additional potential as a new therapy for neuropathic pain, epilepsy, Parkinson’s disease and Huntington’s disease. Additionally, as indicated previously, we have entered into a CRADA with the NIH providing for an NIH-sponsored Phase 2 clinical study of AV-101 in MDD beginning in Fall 2015. We presently have no revenue generating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180"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color w:val="auto"/>
        </w:rPr>
        <w:t>Research and development expense consists of both internal and external expenses incurred in drug development activities, costs associated with the development of AV-101, sponsored stem cell research and costs related to the licensing, application and prosecution of our intellectual property. These expenses primarily consist of the following:</w:t>
      </w:r>
    </w:p>
    <w:p>
      <w:pPr>
        <w:spacing w:after="0" w:line="153" w:lineRule="exact"/>
        <w:rPr>
          <w:sz w:val="20"/>
          <w:szCs w:val="20"/>
          <w:color w:val="auto"/>
        </w:rPr>
      </w:pPr>
    </w:p>
    <w:p>
      <w:pPr>
        <w:ind w:left="480" w:hanging="475"/>
        <w:spacing w:after="0"/>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salaries and benefits, including stock-based compensation costs, travel and related expense for personnel associated with internal research and development activities;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fees to contract research organizations and other professional service providers for services related to the conduct and analysis of clinical trials and other drug development activities;</w:t>
      </w:r>
    </w:p>
    <w:p>
      <w:pPr>
        <w:spacing w:after="0" w:line="191" w:lineRule="exact"/>
        <w:rPr>
          <w:rFonts w:ascii="Arial" w:cs="Arial" w:eastAsia="Arial" w:hAnsi="Arial"/>
          <w:sz w:val="13"/>
          <w:szCs w:val="13"/>
          <w:color w:val="auto"/>
        </w:rPr>
      </w:pPr>
    </w:p>
    <w:p>
      <w:pPr>
        <w:ind w:left="480" w:hanging="475"/>
        <w:spacing w:after="0"/>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fees to third parties for access to licensed technology and costs associated with securing and maintaining patents related to our internally generated inventions:</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laboratory supplies and materials;</w:t>
      </w:r>
    </w:p>
    <w:p>
      <w:pPr>
        <w:spacing w:after="0" w:line="201" w:lineRule="exact"/>
        <w:rPr>
          <w:rFonts w:ascii="Arial" w:cs="Arial" w:eastAsia="Arial" w:hAnsi="Arial"/>
          <w:sz w:val="14"/>
          <w:szCs w:val="14"/>
          <w:color w:val="auto"/>
        </w:rPr>
      </w:pPr>
    </w:p>
    <w:p>
      <w:pPr>
        <w:ind w:left="480" w:hanging="475"/>
        <w:spacing w:after="0"/>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leasing and depreciation of laboratory equipment; and</w:t>
      </w:r>
    </w:p>
    <w:p>
      <w:pPr>
        <w:spacing w:after="0" w:line="179" w:lineRule="exact"/>
        <w:rPr>
          <w:rFonts w:ascii="Arial" w:cs="Arial" w:eastAsia="Arial" w:hAnsi="Arial"/>
          <w:sz w:val="14"/>
          <w:szCs w:val="14"/>
          <w:color w:val="auto"/>
        </w:rPr>
      </w:pPr>
    </w:p>
    <w:p>
      <w:pPr>
        <w:ind w:left="480" w:hanging="475"/>
        <w:spacing w:after="0"/>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allocated costs of facilities and infrastructure.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w:t>
      </w:r>
    </w:p>
    <w:p>
      <w:pPr>
        <w:spacing w:after="0" w:line="180" w:lineRule="exact"/>
        <w:rPr>
          <w:sz w:val="20"/>
          <w:szCs w:val="20"/>
          <w:color w:val="auto"/>
        </w:rPr>
      </w:pPr>
    </w:p>
    <w:p>
      <w:pPr>
        <w:jc w:val="both"/>
        <w:ind w:right="320"/>
        <w:spacing w:after="0" w:line="268" w:lineRule="auto"/>
        <w:rPr>
          <w:sz w:val="20"/>
          <w:szCs w:val="20"/>
          <w:color w:val="auto"/>
        </w:rPr>
      </w:pPr>
      <w:r>
        <w:rPr>
          <w:rFonts w:ascii="Arial" w:cs="Arial" w:eastAsia="Arial" w:hAnsi="Arial"/>
          <w:sz w:val="14"/>
          <w:szCs w:val="14"/>
          <w:color w:val="auto"/>
        </w:rPr>
        <w:t>General and administrative expense consists primarily of salaries and benefits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Expenses, Net</w:t>
      </w:r>
    </w:p>
    <w:p>
      <w:pPr>
        <w:spacing w:after="0" w:line="201" w:lineRule="exact"/>
        <w:rPr>
          <w:sz w:val="20"/>
          <w:szCs w:val="20"/>
          <w:color w:val="auto"/>
        </w:rPr>
      </w:pPr>
    </w:p>
    <w:p>
      <w:pPr>
        <w:spacing w:after="0" w:line="308" w:lineRule="auto"/>
        <w:rPr>
          <w:sz w:val="20"/>
          <w:szCs w:val="20"/>
          <w:color w:val="auto"/>
        </w:rPr>
      </w:pPr>
      <w:r>
        <w:rPr>
          <w:rFonts w:ascii="Arial" w:cs="Arial" w:eastAsia="Arial" w:hAnsi="Arial"/>
          <w:sz w:val="12"/>
          <w:szCs w:val="12"/>
          <w:color w:val="auto"/>
        </w:rPr>
        <w:t>In both fiscal 2015 and 2014, we incurred interest expense, including significant amounts of non-cash discount amortization attributable to certain notes, on the outstanding balances of our Senior Secured Convertible Promissory Notes issued to Platinum between October 2012 and July 2013, on subordinated convertible promissory notes issued between March 2013 and March 2015 as components of our Unit Private Placements and on unsecured promissory notes issued to various contract research organizations, technology licensors and other professional service providers since fiscal 2011. In fiscal 2015 and 2014, we recorded non-cash expense and income, respectively, related to changes in the fair values of the warrants issued or issuable to Platinum in connection with the various Senior Secured Convertible Promissory Notes we issued to Platinum between October 2012 and July 2013. In fiscal 2015, we incurred non-cash losses on extinguishment of debt resulting from settlements or modifications of indebtedness to Platinum, to various holders of promissory notes issued in connection with our 2013 Unit Private Placement and scheduled to mature on July 30, 2014, and to a technology licensor and a professional service provider. Additionally, in fiscal 2015 we incurred non-cash expense related to the settlement of a note receivable we accepted in fiscal 2012.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We consider certain accounting policies related to revenue recognition,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4"/>
          <w:szCs w:val="14"/>
          <w:i w:val="1"/>
          <w:iCs w:val="1"/>
          <w:color w:val="auto"/>
        </w:rPr>
        <w:t>GAAP</w:t>
      </w:r>
      <w:r>
        <w:rPr>
          <w:rFonts w:ascii="Arial" w:cs="Arial" w:eastAsia="Arial" w:hAnsi="Arial"/>
          <w:sz w:val="14"/>
          <w:szCs w:val="14"/>
          <w:color w:val="auto"/>
        </w:rPr>
        <w:t>) requires us to make estimates and assumptions that affect the amounts reported in the financial statements and accompanying notes to the Consolidated Financial Statements for the years ended March 31, 2015 and 2014. These estimates include useful lives for property and equipment and related depreciation calculations, and assumptions for valuing options, warrants and other stock-based compensation. Our actual results could differ from these estimates.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1" w:name="page52"/>
    <w:bookmarkEnd w:id="5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 xml:space="preserve">Although we do not currently have any such arrangements, we have historically generated revenue principally from collaborative research and development arrangements, technology access fees and government grants. We recognize revenue under the provisions of the SEC issued Staff Accounting Bulletin 104, Topic 13, </w:t>
      </w:r>
      <w:r>
        <w:rPr>
          <w:rFonts w:ascii="Arial" w:cs="Arial" w:eastAsia="Arial" w:hAnsi="Arial"/>
          <w:sz w:val="14"/>
          <w:szCs w:val="14"/>
          <w:i w:val="1"/>
          <w:iCs w:val="1"/>
          <w:color w:val="auto"/>
        </w:rPr>
        <w:t>Revenue Recognition Revised and Updated</w:t>
      </w:r>
      <w:r>
        <w:rPr>
          <w:rFonts w:ascii="Arial" w:cs="Arial" w:eastAsia="Arial" w:hAnsi="Arial"/>
          <w:sz w:val="14"/>
          <w:szCs w:val="14"/>
          <w:color w:val="auto"/>
        </w:rPr>
        <w:t xml:space="preserve"> (</w:t>
      </w:r>
      <w:r>
        <w:rPr>
          <w:rFonts w:ascii="Arial" w:cs="Arial" w:eastAsia="Arial" w:hAnsi="Arial"/>
          <w:sz w:val="14"/>
          <w:szCs w:val="14"/>
          <w:i w:val="1"/>
          <w:iCs w:val="1"/>
          <w:color w:val="auto"/>
        </w:rPr>
        <w:t>SAB 104</w:t>
      </w:r>
      <w:r>
        <w:rPr>
          <w:rFonts w:ascii="Arial" w:cs="Arial" w:eastAsia="Arial" w:hAnsi="Arial"/>
          <w:sz w:val="14"/>
          <w:szCs w:val="14"/>
          <w:color w:val="auto"/>
        </w:rPr>
        <w:t>) and Accounting Standards Codification (</w:t>
      </w:r>
      <w:r>
        <w:rPr>
          <w:rFonts w:ascii="Arial" w:cs="Arial" w:eastAsia="Arial" w:hAnsi="Arial"/>
          <w:sz w:val="14"/>
          <w:szCs w:val="14"/>
          <w:i w:val="1"/>
          <w:iCs w:val="1"/>
          <w:color w:val="auto"/>
        </w:rPr>
        <w:t>ASC</w:t>
      </w:r>
      <w:r>
        <w:rPr>
          <w:rFonts w:ascii="Arial" w:cs="Arial" w:eastAsia="Arial" w:hAnsi="Arial"/>
          <w:sz w:val="14"/>
          <w:szCs w:val="14"/>
          <w:color w:val="auto"/>
        </w:rPr>
        <w:t xml:space="preserve">) 605-25, </w:t>
      </w:r>
      <w:r>
        <w:rPr>
          <w:rFonts w:ascii="Arial" w:cs="Arial" w:eastAsia="Arial" w:hAnsi="Arial"/>
          <w:sz w:val="14"/>
          <w:szCs w:val="14"/>
          <w:i w:val="1"/>
          <w:iCs w:val="1"/>
          <w:color w:val="auto"/>
        </w:rPr>
        <w:t>Revenue Arrangements-Multiple Element Arrangements</w:t>
      </w:r>
      <w:r>
        <w:rPr>
          <w:rFonts w:ascii="Arial" w:cs="Arial" w:eastAsia="Arial" w:hAnsi="Arial"/>
          <w:sz w:val="14"/>
          <w:szCs w:val="14"/>
          <w:color w:val="auto"/>
        </w:rPr>
        <w:t xml:space="preserve"> (</w:t>
      </w:r>
      <w:r>
        <w:rPr>
          <w:rFonts w:ascii="Arial" w:cs="Arial" w:eastAsia="Arial" w:hAnsi="Arial"/>
          <w:sz w:val="14"/>
          <w:szCs w:val="14"/>
          <w:i w:val="1"/>
          <w:iCs w:val="1"/>
          <w:color w:val="auto"/>
        </w:rPr>
        <w:t>ASC 605-25</w:t>
      </w:r>
      <w:r>
        <w:rPr>
          <w:rFonts w:ascii="Arial" w:cs="Arial" w:eastAsia="Arial" w:hAnsi="Arial"/>
          <w:sz w:val="14"/>
          <w:szCs w:val="14"/>
          <w:color w:val="auto"/>
        </w:rPr>
        <w:t>). Revenue for arrangements not having multiple deliverables, as outlined in ASC 605-25, is recognized once costs are incurred and collectability is reasonably assured.</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w:t>
      </w:r>
      <w:r>
        <w:rPr>
          <w:rFonts w:ascii="Arial" w:cs="Arial" w:eastAsia="Arial" w:hAnsi="Arial"/>
          <w:sz w:val="14"/>
          <w:szCs w:val="14"/>
          <w:i w:val="1"/>
          <w:iCs w:val="1"/>
          <w:color w:val="auto"/>
        </w:rPr>
        <w:t>VSOE</w:t>
      </w:r>
      <w:r>
        <w:rPr>
          <w:rFonts w:ascii="Arial" w:cs="Arial" w:eastAsia="Arial" w:hAnsi="Arial"/>
          <w:sz w:val="14"/>
          <w:szCs w:val="14"/>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46" w:lineRule="exact"/>
        <w:rPr>
          <w:sz w:val="20"/>
          <w:szCs w:val="20"/>
          <w:color w:val="auto"/>
        </w:rPr>
      </w:pPr>
    </w:p>
    <w:p>
      <w:pPr>
        <w:ind w:right="100"/>
        <w:spacing w:after="0" w:line="370"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07" w:lineRule="exact"/>
        <w:rPr>
          <w:sz w:val="20"/>
          <w:szCs w:val="20"/>
          <w:color w:val="auto"/>
        </w:rPr>
      </w:pPr>
    </w:p>
    <w:p>
      <w:pPr>
        <w:ind w:left="480" w:right="180" w:hanging="475"/>
        <w:spacing w:after="0" w:line="280" w:lineRule="auto"/>
        <w:tabs>
          <w:tab w:leader="none" w:pos="4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59" w:lineRule="exact"/>
        <w:rPr>
          <w:rFonts w:ascii="Arial" w:cs="Arial" w:eastAsia="Arial" w:hAnsi="Arial"/>
          <w:sz w:val="13"/>
          <w:szCs w:val="13"/>
          <w:color w:val="auto"/>
        </w:rPr>
      </w:pPr>
    </w:p>
    <w:p>
      <w:pPr>
        <w:ind w:left="480" w:right="120" w:hanging="475"/>
        <w:spacing w:after="0" w:line="298" w:lineRule="auto"/>
        <w:tabs>
          <w:tab w:leader="none" w:pos="4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45" w:lineRule="exact"/>
        <w:rPr>
          <w:rFonts w:ascii="Arial" w:cs="Arial" w:eastAsia="Arial" w:hAnsi="Arial"/>
          <w:sz w:val="13"/>
          <w:szCs w:val="13"/>
          <w:color w:val="auto"/>
        </w:rPr>
      </w:pPr>
    </w:p>
    <w:p>
      <w:pPr>
        <w:ind w:left="480" w:right="40" w:hanging="475"/>
        <w:spacing w:after="0" w:line="283" w:lineRule="auto"/>
        <w:tabs>
          <w:tab w:leader="none" w:pos="4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Impairment of Long-Lived Assets</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In accordance with ASC 360-10</w:t>
      </w:r>
      <w:r>
        <w:rPr>
          <w:rFonts w:ascii="Arial" w:cs="Arial" w:eastAsia="Arial" w:hAnsi="Arial"/>
          <w:sz w:val="14"/>
          <w:szCs w:val="14"/>
          <w:i w:val="1"/>
          <w:iCs w:val="1"/>
          <w:color w:val="auto"/>
        </w:rPr>
        <w:t>, Property, Plant &amp; Equipment -Overall</w:t>
      </w:r>
      <w:r>
        <w:rPr>
          <w:rFonts w:ascii="Arial" w:cs="Arial" w:eastAsia="Arial" w:hAnsi="Arial"/>
          <w:sz w:val="14"/>
          <w:szCs w:val="14"/>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52" w:name="page53"/>
    <w:bookmarkEnd w:id="5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Expenses</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MDD, sponsored stem cell research and development costs, and costs related to the application and prosecution of patents related to our stem cell technology platform and AV-101. All such costs are charged to expense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67" w:lineRule="exact"/>
        <w:rPr>
          <w:sz w:val="20"/>
          <w:szCs w:val="20"/>
          <w:color w:val="auto"/>
        </w:rPr>
      </w:pPr>
    </w:p>
    <w:p>
      <w:pPr>
        <w:ind w:right="60"/>
        <w:spacing w:after="0" w:line="285" w:lineRule="auto"/>
        <w:rPr>
          <w:sz w:val="20"/>
          <w:szCs w:val="20"/>
          <w:color w:val="auto"/>
        </w:rPr>
      </w:pPr>
      <w:r>
        <w:rPr>
          <w:rFonts w:ascii="Arial" w:cs="Arial" w:eastAsia="Arial" w:hAnsi="Arial"/>
          <w:sz w:val="13"/>
          <w:szCs w:val="13"/>
          <w:color w:val="auto"/>
        </w:rPr>
        <w:t>We use the Black-Scholes option-pricing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Warrant Liability</w:t>
      </w:r>
    </w:p>
    <w:p>
      <w:pPr>
        <w:spacing w:after="0" w:line="201"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We have issued to Platinum Long Term Growth VII, LLC, our largest investor (</w:t>
      </w:r>
      <w:r>
        <w:rPr>
          <w:rFonts w:ascii="Arial" w:cs="Arial" w:eastAsia="Arial" w:hAnsi="Arial"/>
          <w:sz w:val="14"/>
          <w:szCs w:val="14"/>
          <w:i w:val="1"/>
          <w:iCs w:val="1"/>
          <w:color w:val="auto"/>
        </w:rPr>
        <w:t>Platinum</w:t>
      </w:r>
      <w:r>
        <w:rPr>
          <w:rFonts w:ascii="Arial" w:cs="Arial" w:eastAsia="Arial" w:hAnsi="Arial"/>
          <w:sz w:val="14"/>
          <w:szCs w:val="14"/>
          <w:color w:val="auto"/>
        </w:rPr>
        <w:t xml:space="preserve">),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4"/>
          <w:szCs w:val="14"/>
          <w:i w:val="1"/>
          <w:iCs w:val="1"/>
          <w:color w:val="auto"/>
        </w:rPr>
        <w:t>Platinum Warrants</w:t>
      </w:r>
      <w:r>
        <w:rPr>
          <w:rFonts w:ascii="Arial" w:cs="Arial" w:eastAsia="Arial" w:hAnsi="Arial"/>
          <w:sz w:val="14"/>
          <w:szCs w:val="14"/>
          <w:color w:val="auto"/>
        </w:rPr>
        <w:t>). The Platinum Warrants contain an exercise price adjustment feature that will reduce the exercise price of the warrants in the event we subsequently issue equity instruments at a price lower than the exercise price of the Platinum Warrants. We account for the Platinum Warrants as non-cash liabilities and estimate their fair value at the end of each financial reporting period and 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income or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w:t>
      </w:r>
    </w:p>
    <w:p>
      <w:pPr>
        <w:spacing w:after="0" w:line="173"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 xml:space="preserve">Notwithstanding the foregoing, and as described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to the Consolidated Financial Statements for the fiscal years ended March 31, 2015 and 2014 included in this prospectus, on May 12, 2015, we entered into an agreement with Platinum pursuant to which Platinum agreed to amend the Platinum Warrants to (A) fix the exercise price thereof at $7.00 per share, (B) eliminate the exercise price reset features and (C) fix the number of shares of our common stock issuable thereunder. This agreement and the related amendments to the Platinum Warrants resulted in the elimination of the warrant liability with respect to the Platinum Warrants during the quarter ending June 30, 2015.</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See Note 3 to the Consolidated Financial Statements included in in this prospectus for information on recent accounting pronouncements.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49"/>
        </w:trPr>
        <w:tc>
          <w:tcPr>
            <w:tcW w:w="884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2"/>
        </w:trPr>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Results of Operations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2"/>
        </w:trPr>
        <w:tc>
          <w:tcPr>
            <w:tcW w:w="8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Comparison of Years Ended March 31, 2015 and 2014</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1"/>
        </w:trPr>
        <w:tc>
          <w:tcPr>
            <w:tcW w:w="8840" w:type="dxa"/>
            <w:vAlign w:val="bottom"/>
            <w:gridSpan w:val="2"/>
          </w:tcPr>
          <w:p>
            <w:pPr>
              <w:spacing w:after="0"/>
              <w:rPr>
                <w:sz w:val="20"/>
                <w:szCs w:val="20"/>
                <w:color w:val="auto"/>
              </w:rPr>
            </w:pPr>
            <w:r>
              <w:rPr>
                <w:rFonts w:ascii="Arial" w:cs="Arial" w:eastAsia="Arial" w:hAnsi="Arial"/>
                <w:sz w:val="14"/>
                <w:szCs w:val="14"/>
                <w:color w:val="auto"/>
              </w:rPr>
              <w:t>The following table summarizes the results of our operations for the fiscal years ended March 31, 2015 and 2014 (amounts in $000):</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9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Fiscal Years Ended March 31,</w:t>
            </w:r>
          </w:p>
        </w:tc>
      </w:tr>
      <w:tr>
        <w:trPr>
          <w:trHeight w:val="172"/>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2,433</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2,481</w:t>
            </w:r>
          </w:p>
        </w:tc>
      </w:tr>
      <w:tr>
        <w:trPr>
          <w:trHeight w:val="170"/>
        </w:trPr>
        <w:tc>
          <w:tcPr>
            <w:tcW w:w="8840" w:type="dxa"/>
            <w:vAlign w:val="bottom"/>
            <w:gridSpan w:val="2"/>
          </w:tcPr>
          <w:p>
            <w:pPr>
              <w:ind w:left="36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4,344</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2,548</w:t>
            </w:r>
          </w:p>
        </w:tc>
      </w:tr>
      <w:tr>
        <w:trPr>
          <w:trHeight w:val="21"/>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operating expenses</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6,777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5,029</w:t>
            </w:r>
          </w:p>
        </w:tc>
      </w:tr>
      <w:tr>
        <w:trPr>
          <w:trHeight w:val="21"/>
        </w:trPr>
        <w:tc>
          <w:tcPr>
            <w:tcW w:w="900" w:type="dxa"/>
            <w:vAlign w:val="bottom"/>
            <w:shd w:val="clear" w:color="auto" w:fill="CCEEFF"/>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Loss from operations</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(6,777)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(5,029)</w:t>
            </w: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gridSpan w:val="2"/>
          </w:tcPr>
          <w:p>
            <w:pPr>
              <w:ind w:left="360"/>
              <w:spacing w:after="0"/>
              <w:rPr>
                <w:sz w:val="20"/>
                <w:szCs w:val="20"/>
                <w:color w:val="auto"/>
              </w:rPr>
            </w:pPr>
            <w:r>
              <w:rPr>
                <w:rFonts w:ascii="Arial" w:cs="Arial" w:eastAsia="Arial" w:hAnsi="Arial"/>
                <w:sz w:val="14"/>
                <w:szCs w:val="14"/>
                <w:color w:val="auto"/>
              </w:rPr>
              <w:t>Interest expense, net</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(4,549)</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(1,503)</w:t>
            </w:r>
          </w:p>
        </w:tc>
      </w:tr>
      <w:tr>
        <w:trPr>
          <w:trHeight w:val="170"/>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Change in warrant liabilities</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3,567</w:t>
            </w:r>
          </w:p>
        </w:tc>
      </w:tr>
      <w:tr>
        <w:trPr>
          <w:trHeight w:val="170"/>
        </w:trPr>
        <w:tc>
          <w:tcPr>
            <w:tcW w:w="8840" w:type="dxa"/>
            <w:vAlign w:val="bottom"/>
            <w:gridSpan w:val="2"/>
          </w:tcPr>
          <w:p>
            <w:pPr>
              <w:ind w:left="360"/>
              <w:spacing w:after="0"/>
              <w:rPr>
                <w:sz w:val="20"/>
                <w:szCs w:val="20"/>
                <w:color w:val="auto"/>
              </w:rPr>
            </w:pPr>
            <w:r>
              <w:rPr>
                <w:rFonts w:ascii="Arial" w:cs="Arial" w:eastAsia="Arial" w:hAnsi="Arial"/>
                <w:sz w:val="14"/>
                <w:szCs w:val="14"/>
                <w:color w:val="auto"/>
              </w:rPr>
              <w:t>Loss on extinguishment of debt</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(2,388)</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Other expense</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900" w:type="dxa"/>
            <w:vAlign w:val="bottom"/>
            <w:shd w:val="clear" w:color="auto" w:fill="CCEEFF"/>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Loss before income taxes</w:t>
            </w: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(13,884)</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(2,965)</w:t>
            </w: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taxes</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r>
      <w:tr>
        <w:trPr>
          <w:trHeight w:val="21"/>
        </w:trPr>
        <w:tc>
          <w:tcPr>
            <w:tcW w:w="900" w:type="dxa"/>
            <w:vAlign w:val="bottom"/>
            <w:shd w:val="clear" w:color="auto" w:fill="CCEEFF"/>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(13,886)</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(2,968)</w:t>
            </w: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80" w:lineRule="exact"/>
        <w:rPr>
          <w:sz w:val="20"/>
          <w:szCs w:val="20"/>
          <w:color w:val="auto"/>
        </w:rPr>
      </w:pPr>
    </w:p>
    <w:p>
      <w:pPr>
        <w:jc w:val="both"/>
        <w:ind w:right="40"/>
        <w:spacing w:after="0" w:line="283" w:lineRule="auto"/>
        <w:rPr>
          <w:sz w:val="20"/>
          <w:szCs w:val="20"/>
          <w:color w:val="auto"/>
        </w:rPr>
      </w:pPr>
      <w:r>
        <w:rPr>
          <w:rFonts w:ascii="Arial" w:cs="Arial" w:eastAsia="Arial" w:hAnsi="Arial"/>
          <w:sz w:val="14"/>
          <w:szCs w:val="14"/>
          <w:color w:val="auto"/>
        </w:rPr>
        <w:t>We reported no revenue for the fiscal years ended March 31, 2015 or 2014. We have successfully completed our Phase 1 development of AV-101. Additionally, as indicated previously, we have entered into a CRADA with the NIH providing for an NIH-sponsored Phase 2 clinical study of AV-101 in MDD, which study began in October 2015.</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201"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Research and development expense decreased by 2% in fiscal 2015 compared to fiscal 2014. The following table compares the primary components of research and development expense between the periods (in $000):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Arial" w:cs="Arial" w:eastAsia="Arial" w:hAnsi="Arial"/>
                <w:sz w:val="14"/>
                <w:szCs w:val="14"/>
                <w:b w:val="1"/>
                <w:bCs w:val="1"/>
                <w:color w:val="auto"/>
              </w:rPr>
              <w:t>Fiscal Years Ended March 31,</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4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889</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849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UHN research under SRCA</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Consulting services</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109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Technology licenses and royalties</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Project-related third-party research and supplies:</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AV-101</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All other including CardioSafe and LiverSafe</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54</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shd w:val="clear" w:color="auto" w:fill="CCEEFF"/>
          </w:tcPr>
          <w:p>
            <w:pPr>
              <w:spacing w:after="0"/>
              <w:rPr>
                <w:sz w:val="14"/>
                <w:szCs w:val="14"/>
                <w:color w:val="auto"/>
              </w:rPr>
            </w:pP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1"/>
        </w:trPr>
        <w:tc>
          <w:tcPr>
            <w:tcW w:w="4200" w:type="dxa"/>
            <w:vAlign w:val="bottom"/>
            <w:shd w:val="clear" w:color="auto" w:fill="CCEEFF"/>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Rent</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220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20"/>
                <w:szCs w:val="20"/>
                <w:color w:val="auto"/>
              </w:rPr>
            </w:pPr>
            <w:r>
              <w:rPr>
                <w:rFonts w:ascii="Arial" w:cs="Arial" w:eastAsia="Arial" w:hAnsi="Arial"/>
                <w:sz w:val="14"/>
                <w:szCs w:val="14"/>
                <w:color w:val="auto"/>
              </w:rPr>
              <w:t>Depreciation</w:t>
            </w:r>
          </w:p>
        </w:tc>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2"/>
        </w:trPr>
        <w:tc>
          <w:tcPr>
            <w:tcW w:w="4200" w:type="dxa"/>
            <w:vAlign w:val="bottom"/>
          </w:tcPr>
          <w:p>
            <w:pPr>
              <w:spacing w:after="0"/>
              <w:rPr>
                <w:sz w:val="20"/>
                <w:szCs w:val="20"/>
                <w:color w:val="auto"/>
              </w:rPr>
            </w:pPr>
            <w:r>
              <w:rPr>
                <w:rFonts w:ascii="Arial" w:cs="Arial" w:eastAsia="Arial" w:hAnsi="Arial"/>
                <w:sz w:val="14"/>
                <w:szCs w:val="14"/>
                <w:color w:val="auto"/>
              </w:rPr>
              <w:t>All other</w:t>
            </w: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0"/>
        </w:trPr>
        <w:tc>
          <w:tcPr>
            <w:tcW w:w="4200" w:type="dxa"/>
            <w:vAlign w:val="bottom"/>
            <w:shd w:val="clear" w:color="auto" w:fill="CCEEFF"/>
          </w:tcPr>
          <w:p>
            <w:pPr>
              <w:spacing w:after="0"/>
              <w:rPr>
                <w:sz w:val="14"/>
                <w:szCs w:val="14"/>
                <w:color w:val="auto"/>
              </w:rPr>
            </w:pPr>
          </w:p>
        </w:tc>
        <w:tc>
          <w:tcPr>
            <w:tcW w:w="46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0" w:type="dxa"/>
            <w:vAlign w:val="bottom"/>
          </w:tcPr>
          <w:p>
            <w:pPr>
              <w:spacing w:after="0"/>
              <w:rPr>
                <w:sz w:val="20"/>
                <w:szCs w:val="20"/>
                <w:color w:val="auto"/>
              </w:rPr>
            </w:pPr>
            <w:r>
              <w:rPr>
                <w:rFonts w:ascii="Arial" w:cs="Arial" w:eastAsia="Arial" w:hAnsi="Arial"/>
                <w:sz w:val="14"/>
                <w:szCs w:val="14"/>
                <w:color w:val="auto"/>
              </w:rPr>
              <w:t>Total Research and Development Expense</w:t>
            </w:r>
          </w:p>
        </w:tc>
        <w:tc>
          <w:tcPr>
            <w:tcW w:w="4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2,433</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2,481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640" w:type="dxa"/>
            <w:vAlign w:val="bottom"/>
            <w:vMerge w:val="restart"/>
          </w:tcPr>
          <w:p>
            <w:pPr>
              <w:jc w:val="right"/>
              <w:ind w:right="2909"/>
              <w:spacing w:after="0"/>
              <w:rPr>
                <w:sz w:val="20"/>
                <w:szCs w:val="20"/>
                <w:color w:val="auto"/>
              </w:rPr>
            </w:pPr>
            <w:r>
              <w:rPr>
                <w:rFonts w:ascii="Arial" w:cs="Arial" w:eastAsia="Arial" w:hAnsi="Arial"/>
                <w:sz w:val="14"/>
                <w:szCs w:val="14"/>
                <w:color w:val="auto"/>
              </w:rPr>
              <w:t>-49-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0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200" w:type="dxa"/>
            <w:vAlign w:val="bottom"/>
            <w:tcBorders>
              <w:bottom w:val="single" w:sz="8" w:color="808080"/>
            </w:tcBorders>
          </w:tcPr>
          <w:p>
            <w:pPr>
              <w:spacing w:after="0"/>
              <w:rPr>
                <w:sz w:val="7"/>
                <w:szCs w:val="7"/>
                <w:color w:val="auto"/>
              </w:rPr>
            </w:pPr>
          </w:p>
        </w:tc>
        <w:tc>
          <w:tcPr>
            <w:tcW w:w="46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54" w:name="page55"/>
    <w:bookmarkEnd w:id="5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40"/>
        <w:spacing w:after="0" w:line="311" w:lineRule="auto"/>
        <w:rPr>
          <w:sz w:val="20"/>
          <w:szCs w:val="20"/>
          <w:color w:val="auto"/>
        </w:rPr>
      </w:pPr>
      <w:r>
        <w:rPr>
          <w:rFonts w:ascii="Arial" w:cs="Arial" w:eastAsia="Arial" w:hAnsi="Arial"/>
          <w:sz w:val="12"/>
          <w:szCs w:val="12"/>
          <w:color w:val="auto"/>
        </w:rPr>
        <w:t>To conserve cash resources, during fiscal 2015 and 2014, Ralph Snodgrass, PhD, our Chief Scientific Officer (</w:t>
      </w:r>
      <w:r>
        <w:rPr>
          <w:rFonts w:ascii="Arial" w:cs="Arial" w:eastAsia="Arial" w:hAnsi="Arial"/>
          <w:sz w:val="12"/>
          <w:szCs w:val="12"/>
          <w:i w:val="1"/>
          <w:iCs w:val="1"/>
          <w:color w:val="auto"/>
        </w:rPr>
        <w:t>CSO</w:t>
      </w:r>
      <w:r>
        <w:rPr>
          <w:rFonts w:ascii="Arial" w:cs="Arial" w:eastAsia="Arial" w:hAnsi="Arial"/>
          <w:sz w:val="12"/>
          <w:szCs w:val="12"/>
          <w:color w:val="auto"/>
        </w:rPr>
        <w:t>), accepted a voluntary cash pay reduction to substantially less than his contractual pay rate. For fiscal 2015, the CSO’s actual cash pay represented approximately 52% of his contractual pay rate. In fiscal 2014, the CSO voluntarily agreed to accept a cash pay rate of approximately 82% of his contractual rate, not all of which amount was paid. In fiscal 2015, we have accrued the difference between the CSO’s contractual pay rate and his actual cash pay, $147,700, for future payment. In fiscal 2014, we accrued the difference between the CSO’s reduced pay rate and his actual cash pay, $100,400, for future payment. Aside from a minimal partial repayment received by the CSO during August 2015, a majority of such accrued amounts for both fiscal 2014 and fiscal 2015 remains unpaid. Pay rates for other scientific personnel remained constant between years. One member of our scientific staff voluntarily resigned at the end of September 2014 and another member has voluntarily reduced her work hours and pay since September 2014.</w:t>
      </w:r>
    </w:p>
    <w:p>
      <w:pPr>
        <w:spacing w:after="0" w:line="141" w:lineRule="exact"/>
        <w:rPr>
          <w:sz w:val="20"/>
          <w:szCs w:val="20"/>
          <w:color w:val="auto"/>
        </w:rPr>
      </w:pPr>
    </w:p>
    <w:p>
      <w:pPr>
        <w:ind w:right="80"/>
        <w:spacing w:after="0" w:line="300" w:lineRule="auto"/>
        <w:rPr>
          <w:sz w:val="20"/>
          <w:szCs w:val="20"/>
          <w:color w:val="auto"/>
        </w:rPr>
      </w:pPr>
      <w:r>
        <w:rPr>
          <w:rFonts w:ascii="Arial" w:cs="Arial" w:eastAsia="Arial" w:hAnsi="Arial"/>
          <w:sz w:val="12"/>
          <w:szCs w:val="12"/>
          <w:color w:val="auto"/>
        </w:rPr>
        <w:t>In January 2015, we granted five-year fully exercisable warrants to purchase an aggregate of 115,000 restricted shares of our common stock at an exercise price of $8.00 per share to our CSO and other scientific consultants and service providers, recognizing approximately $528,000 in stock-based compensation expense. Stock based compensation expense for fiscal 2015 and fiscal 2014 also reflects approximately $176,000 and $297,000, respectively, related to the ratable four-year amortization of option grants made to scientific staff and consultants in October 2013 and March 2014 and earlier. The ratable amortization of stock compensation expense related to certain options granted in October 2012 with a two-year vesting period ceased when the options became fully vested in October</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2014. An additional component of stock compensation expense is the amortization attributable to grants of warrants made to our CSO in March 2014 and March 2013, amounting to $145,000 in fiscal 2015 and $156,000 in fiscal 2014. The warrants are being amortized over a two-year vesting period, but are subject to certain vesting acceleration events. No further expense will be recognized with respect to the warrants granted in March 2013.</w:t>
      </w:r>
    </w:p>
    <w:p>
      <w:pPr>
        <w:spacing w:after="0" w:line="169" w:lineRule="exact"/>
        <w:rPr>
          <w:sz w:val="20"/>
          <w:szCs w:val="20"/>
          <w:color w:val="auto"/>
        </w:rPr>
      </w:pPr>
    </w:p>
    <w:p>
      <w:pPr>
        <w:ind w:right="220"/>
        <w:spacing w:after="0" w:line="268" w:lineRule="auto"/>
        <w:rPr>
          <w:sz w:val="20"/>
          <w:szCs w:val="20"/>
          <w:color w:val="auto"/>
        </w:rPr>
      </w:pPr>
      <w:r>
        <w:rPr>
          <w:rFonts w:ascii="Arial" w:cs="Arial" w:eastAsia="Arial" w:hAnsi="Arial"/>
          <w:sz w:val="14"/>
          <w:szCs w:val="14"/>
          <w:color w:val="auto"/>
        </w:rPr>
        <w:t>Our most recent sponsored research project budget under the collaboration agreement with Dr. Gordon Keller’s laboratory at UHN ended on September 30, 2013, and we have incurred no sponsored research expense under the agreement since that date. We are engaged in discussions with Dr. Keller and UHN regarding the scope of subsequent sponsored research projects and budget under the agreement, but have not yet finalized such project definitions and budgets.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reflects fees paid or accrued for scientific services rendered to us by third parties, primarily by members of our scientific advisory board.</w:t>
      </w:r>
    </w:p>
    <w:p>
      <w:pPr>
        <w:spacing w:after="0" w:line="201"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Stem cell technology license expense reflects both recurring annual fees as well as costs for patent prosecution and protection that we are required to fund under the terms of certain of our license agreements. We recognize the latter costs as they are invoiced to us by the licensors and they do not occur ratably throughout the year or between years. Certain of our technology licensors invoiced us for significant legal fees for patent protection and prosecution during fiscal 2014.</w:t>
      </w:r>
    </w:p>
    <w:p>
      <w:pPr>
        <w:spacing w:after="0" w:line="163" w:lineRule="exact"/>
        <w:rPr>
          <w:sz w:val="20"/>
          <w:szCs w:val="20"/>
          <w:color w:val="auto"/>
        </w:rPr>
      </w:pPr>
    </w:p>
    <w:p>
      <w:pPr>
        <w:ind w:right="300"/>
        <w:spacing w:after="0" w:line="283" w:lineRule="auto"/>
        <w:rPr>
          <w:sz w:val="20"/>
          <w:szCs w:val="20"/>
          <w:color w:val="auto"/>
        </w:rPr>
      </w:pPr>
      <w:r>
        <w:rPr>
          <w:rFonts w:ascii="Arial" w:cs="Arial" w:eastAsia="Arial" w:hAnsi="Arial"/>
          <w:sz w:val="14"/>
          <w:szCs w:val="14"/>
          <w:color w:val="auto"/>
        </w:rPr>
        <w:t>AV-101 expenses in both fiscal years 2015 and 2014 primarily reflect the costs associated with monitoring for and responding to potential feedback related to the Phase 1 clinical trial and preparing other reports required under the terms of our prior NIH grant, primarily through our contract research collaborator, Cato Research Ltd.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increase in rent expense versus FY 2014 reflects the full-year impact of rental costs related to our relocation to our current facilities in late-July 2013.</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w:t>
      </w:r>
    </w:p>
    <w:p>
      <w:pPr>
        <w:spacing w:after="0" w:line="201"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General and administrative expense increased by 70% in fiscal 2015 compared to fiscal 2014. The following table compares the primary components of general and administrative expense between the periods (in $000):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16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color w:val="auto"/>
              </w:rPr>
              <w:t>Fiscal Years Ended March 31,</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2014</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5500" w:type="dxa"/>
            <w:vAlign w:val="bottom"/>
            <w:gridSpan w:val="2"/>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714</w:t>
            </w:r>
          </w:p>
        </w:tc>
        <w:tc>
          <w:tcPr>
            <w:tcW w:w="780" w:type="dxa"/>
            <w:vAlign w:val="bottom"/>
            <w:shd w:val="clear" w:color="auto" w:fill="CCEEFF"/>
          </w:tcPr>
          <w:p>
            <w:pPr>
              <w:jc w:val="right"/>
              <w:ind w:right="663"/>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1,611</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Consulting Services</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112</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Legal, accounting and other professional fees</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1,197</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Investor relations</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132</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Insurance</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136</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Travel and entertainment</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Rent and utilities</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155</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Warrant modification expense</w:t>
            </w:r>
          </w:p>
        </w:tc>
        <w:tc>
          <w:tcPr>
            <w:tcW w:w="47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w:t>
            </w:r>
          </w:p>
        </w:tc>
        <w:tc>
          <w:tcPr>
            <w:tcW w:w="7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72"/>
        </w:trPr>
        <w:tc>
          <w:tcPr>
            <w:tcW w:w="4100" w:type="dxa"/>
            <w:vAlign w:val="bottom"/>
          </w:tcPr>
          <w:p>
            <w:pPr>
              <w:spacing w:after="0"/>
              <w:rPr>
                <w:sz w:val="20"/>
                <w:szCs w:val="20"/>
                <w:color w:val="auto"/>
              </w:rPr>
            </w:pPr>
            <w:r>
              <w:rPr>
                <w:rFonts w:ascii="Arial" w:cs="Arial" w:eastAsia="Arial" w:hAnsi="Arial"/>
                <w:sz w:val="14"/>
                <w:szCs w:val="14"/>
                <w:color w:val="auto"/>
              </w:rPr>
              <w:t>All other expenses</w:t>
            </w:r>
          </w:p>
        </w:tc>
        <w:tc>
          <w:tcPr>
            <w:tcW w:w="4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118</w:t>
            </w:r>
          </w:p>
        </w:tc>
        <w:tc>
          <w:tcPr>
            <w:tcW w:w="7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70"/>
        </w:trPr>
        <w:tc>
          <w:tcPr>
            <w:tcW w:w="4100" w:type="dxa"/>
            <w:vAlign w:val="bottom"/>
            <w:shd w:val="clear" w:color="auto" w:fill="CCEEFF"/>
          </w:tcPr>
          <w:p>
            <w:pPr>
              <w:spacing w:after="0"/>
              <w:rPr>
                <w:sz w:val="14"/>
                <w:szCs w:val="14"/>
                <w:color w:val="auto"/>
              </w:rPr>
            </w:pPr>
          </w:p>
        </w:tc>
        <w:tc>
          <w:tcPr>
            <w:tcW w:w="474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00" w:type="dxa"/>
            <w:vAlign w:val="bottom"/>
          </w:tcPr>
          <w:p>
            <w:pPr>
              <w:spacing w:after="0"/>
              <w:rPr>
                <w:sz w:val="20"/>
                <w:szCs w:val="20"/>
                <w:color w:val="auto"/>
              </w:rPr>
            </w:pPr>
            <w:r>
              <w:rPr>
                <w:rFonts w:ascii="Arial" w:cs="Arial" w:eastAsia="Arial" w:hAnsi="Arial"/>
                <w:sz w:val="14"/>
                <w:szCs w:val="14"/>
                <w:color w:val="auto"/>
              </w:rPr>
              <w:t>Total General and Administrative Expense</w:t>
            </w:r>
          </w:p>
        </w:tc>
        <w:tc>
          <w:tcPr>
            <w:tcW w:w="5500" w:type="dxa"/>
            <w:vAlign w:val="bottom"/>
            <w:gridSpan w:val="2"/>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4,344</w:t>
            </w:r>
          </w:p>
        </w:tc>
        <w:tc>
          <w:tcPr>
            <w:tcW w:w="780" w:type="dxa"/>
            <w:vAlign w:val="bottom"/>
          </w:tcPr>
          <w:p>
            <w:pPr>
              <w:jc w:val="right"/>
              <w:ind w:right="663"/>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2,548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740" w:type="dxa"/>
            <w:vAlign w:val="bottom"/>
            <w:vMerge w:val="restart"/>
          </w:tcPr>
          <w:p>
            <w:pPr>
              <w:jc w:val="right"/>
              <w:ind w:right="2909"/>
              <w:spacing w:after="0"/>
              <w:rPr>
                <w:sz w:val="20"/>
                <w:szCs w:val="20"/>
                <w:color w:val="auto"/>
              </w:rPr>
            </w:pPr>
            <w:r>
              <w:rPr>
                <w:rFonts w:ascii="Arial" w:cs="Arial" w:eastAsia="Arial" w:hAnsi="Arial"/>
                <w:sz w:val="14"/>
                <w:szCs w:val="14"/>
                <w:color w:val="auto"/>
              </w:rPr>
              <w:t>-50-</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1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100" w:type="dxa"/>
            <w:vAlign w:val="bottom"/>
            <w:tcBorders>
              <w:bottom w:val="single" w:sz="8" w:color="808080"/>
            </w:tcBorders>
          </w:tcPr>
          <w:p>
            <w:pPr>
              <w:spacing w:after="0"/>
              <w:rPr>
                <w:sz w:val="7"/>
                <w:szCs w:val="7"/>
                <w:color w:val="auto"/>
              </w:rPr>
            </w:pPr>
          </w:p>
        </w:tc>
        <w:tc>
          <w:tcPr>
            <w:tcW w:w="47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5" w:name="page56"/>
    <w:bookmarkEnd w:id="5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To conserve cash resources, during fiscal 2015 and 2014, both Shawn Singh, our Chief Executive Officer (</w:t>
      </w:r>
      <w:r>
        <w:rPr>
          <w:rFonts w:ascii="Arial" w:cs="Arial" w:eastAsia="Arial" w:hAnsi="Arial"/>
          <w:sz w:val="13"/>
          <w:szCs w:val="13"/>
          <w:i w:val="1"/>
          <w:iCs w:val="1"/>
          <w:color w:val="auto"/>
        </w:rPr>
        <w:t>CEO</w:t>
      </w:r>
      <w:r>
        <w:rPr>
          <w:rFonts w:ascii="Arial" w:cs="Arial" w:eastAsia="Arial" w:hAnsi="Arial"/>
          <w:sz w:val="13"/>
          <w:szCs w:val="13"/>
          <w:color w:val="auto"/>
        </w:rPr>
        <w:t>), and Jerrold Dotson, our Chief Financial Officer (</w:t>
      </w:r>
      <w:r>
        <w:rPr>
          <w:rFonts w:ascii="Arial" w:cs="Arial" w:eastAsia="Arial" w:hAnsi="Arial"/>
          <w:sz w:val="13"/>
          <w:szCs w:val="13"/>
          <w:i w:val="1"/>
          <w:iCs w:val="1"/>
          <w:color w:val="auto"/>
        </w:rPr>
        <w:t>CFO</w:t>
      </w:r>
      <w:r>
        <w:rPr>
          <w:rFonts w:ascii="Arial" w:cs="Arial" w:eastAsia="Arial" w:hAnsi="Arial"/>
          <w:sz w:val="13"/>
          <w:szCs w:val="13"/>
          <w:color w:val="auto"/>
        </w:rPr>
        <w:t>), accepted voluntary cash pay reductions to substantially less than their contractual pay rates. For fiscal 2015, the CEO’s and CFO’s actual cash pay represented approximately 24% and 62%, respectively, of contractual rates. In fiscal 2014, the CEO and CFO voluntarily agreed to accept cash pay rates of approximately 72% and 80%, respectively, of their contractual rates, not all of which amounts were paid. In fiscal 2015, we accrued the difference between the CEO’s and CFO’s contractual pay rate and his actual cash pay, $264,700 and $96,100, respectively, for future payment. In fiscal 2014, we accrued the difference between the CEO’s and CFO’s reduced pay rates and his actual cash pay, $125,000 and $56,700, respectively, for future payment. Aside from a minimal partial repayment received by each executive during August 2015, a majority of such accrued amounts for both fiscal 2014 and fiscal 2015 remain unpaid and owing. Offsetting the impact of the accrual to contractual pay rates for the CEO and CFO for fiscal 2015 is the annual impact of the voluntary resignations of two administrative employees in August and November 2013 who have not been replaced. Pay rates for other administrative employees remained stable between the periods presented.</w:t>
      </w:r>
    </w:p>
    <w:p>
      <w:pPr>
        <w:spacing w:after="0" w:line="138"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In January 2015, we granted five-year fully exercisable warrants to purchase an aggregate of 271,715 restricted shares of our common stock at an exercise price of $8.00 per share to our CEO and CFO, independent members of our Board of Directors and other consultants and service providers, recognizing approximately $1,229,000 in stock-based compensation expense. Stock based compensation expense for fiscal 2015 and fiscal 2014 also reflects approximately $99,000 and $385,000, respectively, related to the ratable four-year amortization of option grants made to employees and consultants in October 2013 and March 2014 and earlier. The ratable amortization of stock compensation expense related to certain options granted in October 2012 with a two-year vesting period ceased when the options became fully vested in October 2014. An additional component of stock compensation expense is the amortization attributable to grants of warrants made to our CEO, CFO and independent members of our Board of Directors in March 2014 and March 2013, amounting to $283,000 in fiscal 2015 and $299,000 in fiscal 2014. The warrants are being amortized over a two-year vesting period, but are subject to certain vesting acceleration events. No further expense will be recognized with respect to the warrants granted in March 2013.</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primarily reflects fees paid or accrued for the services of the independent members of our Board of Directors.</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increase in legal, accounting and other professional fees results primarily from the impact of (i) two consulting agreements for strategic advisory and business development services pursuant to which we issued an aggregate of 55,000 restricted shares of our common stock valued at $469,000 at the date of issuance and paid $100,000 as cash compensation for such professional services during fiscal 2015; (ii) direct legal fees aggregating $150,000 related to services provided with respect to our prospective public offering of our equity securities and a proposed private offering of our equity securities; (iii) the expensing of approximately $102,000 of investment banker, banker’s counsel, accounting and other fees and costs related to the cancellation of our prospective public offering; (iv) legal and other costs related to the 1:20 reverse split of our common stock in August 2014 and legal and filing fees for our private placement Unit financing offerings; and (v) costs related to temporary employee fees for part-time administrative services.</w:t>
      </w:r>
    </w:p>
    <w:p>
      <w:pPr>
        <w:spacing w:after="0" w:line="171"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Outsourced investor relations service expenses are essentially flat between periods; we have conducted no special awareness or other initiatives during either fiscal 2015 or 2014. Travel expenses related to meetings with potential investors in our attempted registered public offering account for the increase compared to fiscal 2014.</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fiscal 2015 increase in rent and utilities expense reflects the full-year impact of increased costs related to our relocation to expanded facilities in late-July 2013.</w:t>
      </w:r>
    </w:p>
    <w:p>
      <w:pPr>
        <w:spacing w:after="0" w:line="201" w:lineRule="exact"/>
        <w:rPr>
          <w:sz w:val="20"/>
          <w:szCs w:val="20"/>
          <w:color w:val="auto"/>
        </w:rPr>
      </w:pPr>
    </w:p>
    <w:p>
      <w:pPr>
        <w:ind w:right="280"/>
        <w:spacing w:after="0" w:line="263" w:lineRule="auto"/>
        <w:rPr>
          <w:sz w:val="20"/>
          <w:szCs w:val="20"/>
          <w:color w:val="auto"/>
        </w:rPr>
      </w:pPr>
      <w:r>
        <w:rPr>
          <w:rFonts w:ascii="Arial" w:cs="Arial" w:eastAsia="Arial" w:hAnsi="Arial"/>
          <w:sz w:val="14"/>
          <w:szCs w:val="14"/>
          <w:color w:val="auto"/>
        </w:rPr>
        <w:t>Warrant modification expense in fiscal 2015 reflects the extension by one year of the term of outstanding warrants otherwise scheduled to expire during calendar 2015, as approved by our Board of Directors in January 2015. Warrant modification expense in fiscal 2014 reflects the impact of October 2013 and December 2013 reductions in the exercise price of certain outstanding warrants, generally from $35.00 per share or $30.00 per share, to $10.00 per share, and in limited cases, the extension of the term of certain outstanding warrants, and from which we used the proceeds of the warrant exercises as a source of short-term working capital.</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fiscal 2015 decrease in other expenses is attributable to one-time relocation costs incurred in fiscal 2014 in connection with our relocation to expanded facilities in late-July 2013.</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56" w:name="page57"/>
    <w:bookmarkEnd w:id="5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Expenses, Net</w:t>
      </w:r>
    </w:p>
    <w:p>
      <w:pPr>
        <w:spacing w:after="0" w:line="201"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In both fiscal 2015 and 2014, other expenses, net includes interest expense, including non-cash discount amortization, on our outstanding promissory notes, as well as the non-cash impact of changes in the fair value of the warrant liabilities related to warrants issued or issuable to Platinum between October 2012 and July 2013. In fiscal 2015, other expenses, net also includes the non-cash loss on extinguishment of debt resulting from the modification of indebtedness to Platinum, holders of convertible promissory notes originally scheduled to mature on July 30, 2014, and to a technology licensor and a professional service provider. Additionally, in fiscal 2015 we incurred non-cash expense related to the settlement of a note receivable we accepted in fiscal 2012.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tcPr>
          <w:p>
            <w:pPr>
              <w:spacing w:after="0"/>
              <w:rPr>
                <w:sz w:val="20"/>
                <w:szCs w:val="20"/>
                <w:color w:val="auto"/>
              </w:rPr>
            </w:pPr>
            <w:r>
              <w:rPr>
                <w:rFonts w:ascii="Arial" w:cs="Arial" w:eastAsia="Arial" w:hAnsi="Arial"/>
                <w:sz w:val="14"/>
                <w:szCs w:val="14"/>
                <w:color w:val="auto"/>
              </w:rPr>
              <w:t>The following table compares the primary components of net interest expense between the periods (in $000):</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4"/>
        </w:trPr>
        <w:tc>
          <w:tcPr>
            <w:tcW w:w="8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5"/>
          </w:tcPr>
          <w:p>
            <w:pPr>
              <w:jc w:val="right"/>
              <w:ind w:right="520"/>
              <w:spacing w:after="0"/>
              <w:rPr>
                <w:sz w:val="20"/>
                <w:szCs w:val="20"/>
                <w:color w:val="auto"/>
              </w:rPr>
            </w:pPr>
            <w:r>
              <w:rPr>
                <w:rFonts w:ascii="Arial" w:cs="Arial" w:eastAsia="Arial" w:hAnsi="Arial"/>
                <w:sz w:val="14"/>
                <w:szCs w:val="14"/>
                <w:color w:val="auto"/>
                <w:w w:val="98"/>
              </w:rPr>
              <w:t>Fiscal Years Ended March 31,</w:t>
            </w:r>
          </w:p>
        </w:tc>
      </w:tr>
      <w:tr>
        <w:trPr>
          <w:trHeight w:val="172"/>
        </w:trPr>
        <w:tc>
          <w:tcPr>
            <w:tcW w:w="88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on promissory notes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907</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Amortization of discount on promissory notes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3,372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640</w:t>
            </w:r>
          </w:p>
        </w:tc>
      </w:tr>
      <w:tr>
        <w:trPr>
          <w:trHeight w:val="172"/>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interest expense, including on capital leases and premium financing</w:t>
            </w: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2"/>
        </w:trPr>
        <w:tc>
          <w:tcPr>
            <w:tcW w:w="8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4,617</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w:t>
            </w: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Effect of foreign currency fluctuations on notes payable</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r>
      <w:tr>
        <w:trPr>
          <w:trHeight w:val="170"/>
        </w:trPr>
        <w:tc>
          <w:tcPr>
            <w:tcW w:w="88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Interest expense, net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4,549</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1,503</w:t>
            </w:r>
          </w:p>
        </w:tc>
      </w:tr>
      <w:tr>
        <w:trPr>
          <w:trHeight w:val="20"/>
        </w:trPr>
        <w:tc>
          <w:tcPr>
            <w:tcW w:w="8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ind w:right="140"/>
        <w:spacing w:after="0" w:line="285" w:lineRule="auto"/>
        <w:rPr>
          <w:sz w:val="20"/>
          <w:szCs w:val="20"/>
          <w:color w:val="auto"/>
        </w:rPr>
      </w:pPr>
      <w:r>
        <w:rPr>
          <w:rFonts w:ascii="Arial" w:cs="Arial" w:eastAsia="Arial" w:hAnsi="Arial"/>
          <w:sz w:val="13"/>
          <w:szCs w:val="13"/>
          <w:color w:val="auto"/>
        </w:rPr>
        <w:t>The increase in interest expense between the periods is primarily attributable to the accrued interest recorded for the issuances between August 2013 and March 2015 of an aggregate of approximately $4.1 million of unsecured 10% convertible promissory notes pursuant to the 2013 Unit Private Placement and the 2014 Unit Private Placement. As a result of the significant inception-date discounts recorded in connection with the Unit Notes, approximately $2.7 million in fiscal 2015; the relatively short period between issuance and maturity over which the discount on the Unit Notes must be amortized, generally less than 12 months; and the accelerating amount of discount amortization recorded using the effective interest rate method as the notes approach maturity, discount amortization expense increased by approximately $2.7 million between the periods shown in the preceding table.</w:t>
      </w:r>
    </w:p>
    <w:p>
      <w:pPr>
        <w:spacing w:after="0" w:line="156"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Under the terms of the October 2012 Note Exchange and Purchase Agreement we entered with Platinum, we issued Senior Secured Convertible Promissory Notes and a related Exchange Warrant and Investment Warrants between October 2012 and March 2013. We issued a similar senior secured promissory note and related warrant to Platinum in July 2013. Upon Platinum’s exchange of the shares of our Series A preferred stock it holds into shares of our common stock, we will also be required to issue a Series A Exchange Warrant to Platinum. We determined that certain exercise price and share adjustment features contained in the various warrants require us to treat the warrants as liabilities. Accordingly, we recorded a non-cash warrant liability at its estimated fair value as of the date the warrant was issued or the contract executed. During fiscal 2015, we recognized a non-cash loss of $34,600 related to the net increase in the estimated fair value of these non-cash liabilities since March 31, 2014, which resulted primarily from the change in the market price of our common stock in relation to the exercise price of the warrants and an additional year elapsed in the remaining term for all but the Series A Exchange Warrant. During fiscal 2014, we recognized a non-cash gain of $3,556,900 related to the net decrease in the estimated fair value of the warrant liabilities since March 31, 2013, which resulted primarily from the decrease in the market price of our common stock in relation to the exercise price of the warrants.</w:t>
      </w:r>
    </w:p>
    <w:p>
      <w:pPr>
        <w:spacing w:after="0" w:line="138"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 xml:space="preserve">As described more fully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and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in the Consolidated Financial Statements for the Years Ended March 31, 2015 and 2014 included in this prospectus, effective May 31, 2014, we entered into agreements with substantially all holders of our 2013 Unit Notes and 2013 Unit Warrants to amend certain terms of the notes and the warrants. We treated the amendments as an extinguishment of debt for accounting purposes. Accordingly, since the fair value of the amended notes and warrants exceeded the carrying amount of the original notes, we recognized non-cash losses on the extinguishment of debt in the aggregate amount of $526,200 attributable to the amendments. We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as described more completely in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to the Consolidated Financial Statements for the fiscal years Ended March 31, 2015 and 2014 included in this prospectus. We recognized a further $16,700 non-cash loss on extinguishment of debt as a result of the shares of our unregistered common stock issued to a professional services provider in settlement of fees for prior services rendered, as also described more completely in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to the Consolidated Financial Statements for the fiscal years Ended March 31, 2015 and 2014 included in this prospectus.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7" w:name="page58"/>
    <w:bookmarkEnd w:id="5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 xml:space="preserve">As described more completely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to the Consolidated Financial Statements for the fiscal years Ended March 31, 2015 and 2014 included in this prospectus, in July 2014, we entered into an agreement with Platinum, as further amended in September 2014, pursuant to which Platinum agreed to convert into our unregistered equity securities all Senior Notes and accrued but unpaid interest thereon held by Platinum upon our consummation prior to October 31, 2014 (the </w:t>
      </w:r>
      <w:r>
        <w:rPr>
          <w:rFonts w:ascii="Arial" w:cs="Arial" w:eastAsia="Arial" w:hAnsi="Arial"/>
          <w:sz w:val="13"/>
          <w:szCs w:val="13"/>
          <w:i w:val="1"/>
          <w:iCs w:val="1"/>
          <w:color w:val="auto"/>
        </w:rPr>
        <w:t>Closing Date</w:t>
      </w:r>
      <w:r>
        <w:rPr>
          <w:rFonts w:ascii="Arial" w:cs="Arial" w:eastAsia="Arial" w:hAnsi="Arial"/>
          <w:sz w:val="13"/>
          <w:szCs w:val="13"/>
          <w:color w:val="auto"/>
        </w:rPr>
        <w:t>) of either (i) a Private Financing or a Public Offering, each as defined in the agreement.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newly created Series B Convertible Preferred Stock with an aggregate liquidation preference equal to the Outstanding Balance on the Closing Date. Prior to the agreement, the Senior Notes were convertible, at Platinum’s option, at any time prior to maturity at a conversion price of $10.00 per share. The modification of the conversion feature in the Senior Notes was treated as an extinguishment of the debt for accounting purposes. Accordingly, since the fair value of the amended Senior Notes substantially exceeded the carrying amount of the original notes, we recognized a non-cash loss on the extinguishment of debt in the aggregate amount of $1,603,400 attributable to the amendment.</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 xml:space="preserve">As described in Note 9, </w:t>
      </w:r>
      <w:r>
        <w:rPr>
          <w:rFonts w:ascii="Arial" w:cs="Arial" w:eastAsia="Arial" w:hAnsi="Arial"/>
          <w:sz w:val="14"/>
          <w:szCs w:val="14"/>
          <w:i w:val="1"/>
          <w:iCs w:val="1"/>
          <w:color w:val="auto"/>
        </w:rPr>
        <w:t>Capital Stock</w:t>
      </w:r>
      <w:r>
        <w:rPr>
          <w:rFonts w:ascii="Arial" w:cs="Arial" w:eastAsia="Arial" w:hAnsi="Arial"/>
          <w:sz w:val="14"/>
          <w:szCs w:val="14"/>
          <w:color w:val="auto"/>
        </w:rPr>
        <w:t>, to the Consolidated Financial Statements for the fiscal years Ended March 31, 2015 and 2014 included elsewhere in this Prospectus, in October 2014, we accepted a cash payment of $60,000 as settlement in full for a promissory note issued to us in May 2011 for the purchase of shares of our common stock. At the time of the payment, the principal and accrued interest due to us under the note receivable was $194,900, resulting in a recognized loss of $134,900 related to the settlement.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tcPr>
          <w:p>
            <w:pPr>
              <w:spacing w:after="0"/>
              <w:rPr>
                <w:sz w:val="20"/>
                <w:szCs w:val="20"/>
                <w:color w:val="auto"/>
              </w:rPr>
            </w:pPr>
            <w:r>
              <w:rPr>
                <w:rFonts w:ascii="Arial" w:cs="Arial" w:eastAsia="Arial" w:hAnsi="Arial"/>
                <w:sz w:val="14"/>
                <w:szCs w:val="14"/>
                <w:b w:val="1"/>
                <w:bCs w:val="1"/>
                <w:i w:val="1"/>
                <w:iCs w:val="1"/>
                <w:color w:val="auto"/>
              </w:rPr>
              <w:t>Comparison of Nine Months Ended December 31, 2015 and 2014</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1"/>
        </w:trPr>
        <w:tc>
          <w:tcPr>
            <w:tcW w:w="8840" w:type="dxa"/>
            <w:vAlign w:val="bottom"/>
          </w:tcPr>
          <w:p>
            <w:pPr>
              <w:spacing w:after="0"/>
              <w:rPr>
                <w:sz w:val="20"/>
                <w:szCs w:val="20"/>
                <w:color w:val="auto"/>
              </w:rPr>
            </w:pPr>
            <w:r>
              <w:rPr>
                <w:rFonts w:ascii="Arial" w:cs="Arial" w:eastAsia="Arial" w:hAnsi="Arial"/>
                <w:sz w:val="14"/>
                <w:szCs w:val="14"/>
                <w:color w:val="auto"/>
                <w:w w:val="99"/>
              </w:rPr>
              <w:t>The following table summarizes the results of our operations for the nine months ended December 31, 2015 and 2014 (amounts 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3"/>
        </w:trPr>
        <w:tc>
          <w:tcPr>
            <w:tcW w:w="8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Nine Months Ended December 31,</w:t>
            </w:r>
          </w:p>
        </w:tc>
      </w:tr>
      <w:tr>
        <w:trPr>
          <w:trHeight w:val="172"/>
        </w:trPr>
        <w:tc>
          <w:tcPr>
            <w:tcW w:w="88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340"/>
        </w:trPr>
        <w:tc>
          <w:tcPr>
            <w:tcW w:w="8840" w:type="dxa"/>
            <w:vAlign w:val="bottom"/>
          </w:tcPr>
          <w:p>
            <w:pPr>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8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2,835</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1,477</w:t>
            </w:r>
          </w:p>
        </w:tc>
      </w:tr>
      <w:tr>
        <w:trPr>
          <w:trHeight w:val="170"/>
        </w:trPr>
        <w:tc>
          <w:tcPr>
            <w:tcW w:w="884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6,515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2,024</w:t>
            </w:r>
          </w:p>
        </w:tc>
      </w:tr>
      <w:tr>
        <w:trPr>
          <w:trHeight w:val="21"/>
        </w:trPr>
        <w:tc>
          <w:tcPr>
            <w:tcW w:w="8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8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operating expenses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9,350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3,501</w:t>
            </w:r>
          </w:p>
        </w:tc>
      </w:tr>
      <w:tr>
        <w:trPr>
          <w:trHeight w:val="170"/>
        </w:trPr>
        <w:tc>
          <w:tcPr>
            <w:tcW w:w="88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(9,350)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(3,501)</w:t>
            </w:r>
          </w:p>
        </w:tc>
      </w:tr>
      <w:tr>
        <w:trPr>
          <w:trHeight w:val="170"/>
        </w:trPr>
        <w:tc>
          <w:tcPr>
            <w:tcW w:w="8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(net)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(2,183)</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Change in warrant liabilities</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(1,895)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528</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Loss on extinguishment of debt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(26,700)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(2,371)</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Other expense</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(135)</w:t>
            </w:r>
          </w:p>
        </w:tc>
      </w:tr>
      <w:tr>
        <w:trPr>
          <w:trHeight w:val="170"/>
        </w:trPr>
        <w:tc>
          <w:tcPr>
            <w:tcW w:w="88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(38,717)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(7,662)</w:t>
            </w:r>
          </w:p>
        </w:tc>
      </w:tr>
      <w:tr>
        <w:trPr>
          <w:trHeight w:val="172"/>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r>
      <w:tr>
        <w:trPr>
          <w:trHeight w:val="170"/>
        </w:trPr>
        <w:tc>
          <w:tcPr>
            <w:tcW w:w="88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(38,719)</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w:t>
            </w:r>
          </w:p>
        </w:tc>
      </w:tr>
      <w:tr>
        <w:trPr>
          <w:trHeight w:val="170"/>
        </w:trPr>
        <w:tc>
          <w:tcPr>
            <w:tcW w:w="8840" w:type="dxa"/>
            <w:vAlign w:val="bottom"/>
          </w:tcPr>
          <w:p>
            <w:pPr>
              <w:ind w:left="180"/>
              <w:spacing w:after="0"/>
              <w:rPr>
                <w:sz w:val="20"/>
                <w:szCs w:val="20"/>
                <w:color w:val="auto"/>
              </w:rPr>
            </w:pPr>
            <w:r>
              <w:rPr>
                <w:rFonts w:ascii="Arial" w:cs="Arial" w:eastAsia="Arial" w:hAnsi="Arial"/>
                <w:sz w:val="14"/>
                <w:szCs w:val="14"/>
                <w:color w:val="auto"/>
              </w:rPr>
              <w:t>Accrued dividend on Series B Preferred Stock</w:t>
            </w: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(1,459)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Deemed dividend on Series B Preferred Stock</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(1,812)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8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(41,990)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(7,664)</w:t>
            </w:r>
          </w:p>
        </w:tc>
      </w:tr>
      <w:tr>
        <w:trPr>
          <w:trHeight w:val="20"/>
        </w:trPr>
        <w:tc>
          <w:tcPr>
            <w:tcW w:w="8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01" w:lineRule="exact"/>
        <w:rPr>
          <w:sz w:val="20"/>
          <w:szCs w:val="20"/>
          <w:color w:val="auto"/>
        </w:rPr>
      </w:pPr>
    </w:p>
    <w:p>
      <w:pPr>
        <w:ind w:right="160"/>
        <w:spacing w:after="0" w:line="268" w:lineRule="auto"/>
        <w:rPr>
          <w:sz w:val="20"/>
          <w:szCs w:val="20"/>
          <w:color w:val="auto"/>
        </w:rPr>
      </w:pPr>
      <w:r>
        <w:rPr>
          <w:rFonts w:ascii="Arial" w:cs="Arial" w:eastAsia="Arial" w:hAnsi="Arial"/>
          <w:sz w:val="14"/>
          <w:szCs w:val="14"/>
          <w:color w:val="auto"/>
        </w:rPr>
        <w:t>We reported no revenue for the nine-month periods ended December 31, 2015 or 2014 and we presently have no revenue generating arrangements. However, as indicated previously, we have entered into a CRADA with the NIH providing for a Phase 2a clinical study of AV-101 in treatment-resistant MDD. This Phase 2a study, which began in late-2015, is being funded by the NIH and being conducted at the NIMH.</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8" w:name="page59"/>
    <w:bookmarkEnd w:id="5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Expense</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Research and development expense totaled $2.8 million for the nine months ended December 31, 2015 compared to $1.5 million for the nine months ended December 31, 2014, primarily as a result of noncash expense related to stock based compensation awards granted in September 2015 and warrant modifications made in November 2015, as well as patent- and technology license-related expenses in support of AV-101 and our stem cell technology platforms. The following table indicates the primary components of research and development expense for each of the periods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color w:val="auto"/>
              </w:rPr>
              <w:t>Nine Months Ended December 31,</w:t>
            </w:r>
          </w:p>
        </w:tc>
      </w:tr>
      <w:tr>
        <w:trPr>
          <w:trHeight w:val="172"/>
        </w:trPr>
        <w:tc>
          <w:tcPr>
            <w:tcW w:w="88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680</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265</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Consulting and other professional services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Technology licenses and royalties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177</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Project-related research and supplies: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ind w:left="320"/>
              <w:spacing w:after="0"/>
              <w:rPr>
                <w:sz w:val="20"/>
                <w:szCs w:val="20"/>
                <w:color w:val="auto"/>
              </w:rPr>
            </w:pPr>
            <w:r>
              <w:rPr>
                <w:rFonts w:ascii="Arial" w:cs="Arial" w:eastAsia="Arial" w:hAnsi="Arial"/>
                <w:sz w:val="14"/>
                <w:szCs w:val="14"/>
                <w:color w:val="auto"/>
              </w:rPr>
              <w:t>AV-101</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23</w:t>
            </w:r>
          </w:p>
        </w:tc>
      </w:tr>
      <w:tr>
        <w:trPr>
          <w:trHeight w:val="172"/>
        </w:trPr>
        <w:tc>
          <w:tcPr>
            <w:tcW w:w="8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Stem cell and all other</w:t>
            </w: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2"/>
        </w:trPr>
        <w:tc>
          <w:tcPr>
            <w:tcW w:w="8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Rent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33</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Warrant modification expense</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All other</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Total Research and Development Expense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2,835</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1,477</w:t>
            </w:r>
          </w:p>
        </w:tc>
      </w:tr>
      <w:tr>
        <w:trPr>
          <w:trHeight w:val="20"/>
        </w:trPr>
        <w:tc>
          <w:tcPr>
            <w:tcW w:w="8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The decrease in salaries and benefits is primarily the result of the voluntary resignation of one member of our scientific staff at the end of September 2014 and the voluntary reduction of work hours and pay by another member of our scientific staff during the period October 2014 through September 2015.</w:t>
      </w:r>
    </w:p>
    <w:p>
      <w:pPr>
        <w:spacing w:after="0" w:line="153"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 xml:space="preserve">The increase in stock based compensation expense for 2015 reflects the $852,200 fair value, determined using the Black-Scholes Option Pricing Model and the assumptions indicated in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to the accompanying Condensed Consolidated Financial Statements for the nine months ended December 31, 2015 included elsewhere in this prospectus of</w:t>
      </w:r>
      <w:r>
        <w:rPr>
          <w:rFonts w:ascii="Arial" w:cs="Arial" w:eastAsia="Arial" w:hAnsi="Arial"/>
          <w:sz w:val="14"/>
          <w:szCs w:val="14"/>
          <w:i w:val="1"/>
          <w:iCs w:val="1"/>
          <w:color w:val="auto"/>
        </w:rPr>
        <w:t xml:space="preserve"> </w:t>
      </w:r>
      <w:r>
        <w:rPr>
          <w:rFonts w:ascii="Arial" w:cs="Arial" w:eastAsia="Arial" w:hAnsi="Arial"/>
          <w:sz w:val="14"/>
          <w:szCs w:val="14"/>
          <w:color w:val="auto"/>
        </w:rPr>
        <w:t>the September 2015 grant of immediately vested and expensed warrants to purchase 150,000 shares of our common stock granted to our CSO. Stock based compensation expense additionally reflects the ratable amortization of option grants made to scientific staff and consultants, most recently in September 2015, March 2014 and October 2013, as well as the ratable amortization of a warrant grant made to our CSO in March 2014. Our stock options are generally amortized over a two-year or four-year vesting period, and warrants granted to the CSO in March 2014 are being amortized over a three-year vesting period. Essentially all of the option grants made prior to October 2013 and a warrant grant made to our CSO in March 2013 became fully-vested and fully-expensed prior to the quarter ended December 31, 2015.</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reflects fees paid or accrued for scientific services rendered to us by third parties, primarily by members of our scientific and clinical advisory board.</w:t>
      </w:r>
    </w:p>
    <w:p>
      <w:pPr>
        <w:spacing w:after="0" w:line="201"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Technology license expense reflects both recurring annual fees as well as costs for patent prosecution and protection that we are required to fund under the terms of certain of our stem cell technology license agreements, as well as those we elected to make for commercial purposes. We recognize these costs as they are invoiced to us by the licensors and they do not occur ratably throughout the year or between years. Additionally, in 2015, this expense includes significant costs we have incurred to advance, in the U.S. and numerous foreign counties, a number of pending patent applications with respect to AV-101 and our stem cell technology platform.</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59" w:name="page60"/>
    <w:bookmarkEnd w:id="5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20"/>
        <w:spacing w:after="0" w:line="290" w:lineRule="auto"/>
        <w:rPr>
          <w:sz w:val="20"/>
          <w:szCs w:val="20"/>
          <w:color w:val="auto"/>
        </w:rPr>
      </w:pPr>
      <w:r>
        <w:rPr>
          <w:rFonts w:ascii="Arial" w:cs="Arial" w:eastAsia="Arial" w:hAnsi="Arial"/>
          <w:sz w:val="13"/>
          <w:szCs w:val="13"/>
          <w:color w:val="auto"/>
        </w:rPr>
        <w:t>AV-101 expenses in both periods presented reflect the costs associated with monitoring for and responding to potential feedback related to the Phase 1 clinical trial and preparing other reports required under the terms of our prior NIH grant, primarily through our contract research collaborator, Cato Research Ltd. An additional level of expense has been incurred during the nine months ended December 31, 2015 to explore and develop more efficient and cost-effective production methods for AV-101 as well as for updating documentation to facilitate the Phase 2 clinical trial of AV-101 in treatment resistant MDD that is being funded and conducted by the NIH. Stem cell and other project related expenses in both periods were nominal.</w:t>
      </w:r>
    </w:p>
    <w:p>
      <w:pPr>
        <w:spacing w:after="0" w:line="151" w:lineRule="exact"/>
        <w:rPr>
          <w:sz w:val="20"/>
          <w:szCs w:val="20"/>
          <w:color w:val="auto"/>
        </w:rPr>
      </w:pPr>
    </w:p>
    <w:p>
      <w:pPr>
        <w:ind w:right="180"/>
        <w:spacing w:after="0" w:line="323" w:lineRule="auto"/>
        <w:rPr>
          <w:sz w:val="20"/>
          <w:szCs w:val="20"/>
          <w:color w:val="auto"/>
        </w:rPr>
      </w:pPr>
      <w:r>
        <w:rPr>
          <w:rFonts w:ascii="Arial" w:cs="Arial" w:eastAsia="Arial" w:hAnsi="Arial"/>
          <w:sz w:val="13"/>
          <w:szCs w:val="13"/>
          <w:color w:val="auto"/>
        </w:rPr>
        <w:t>Warrant modification expense reflects an increase in the fair value attributable to the November 2015 modification of outstanding warrants to purchase an aggregate of 315,000 shares of our common stock previously granted to our CSO and a key scientific advisor to reduce the exercise prices thereof from a range of $9.25 to $12.80 per share to $7.00 per share.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Expense</w:t>
      </w:r>
    </w:p>
    <w:p>
      <w:pPr>
        <w:spacing w:after="0" w:line="20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General and administrative expense was $6.5 million for the nine months ended December 31, 2015 compared to $2.0 million reported for the nine months ended December 31, 2014, primarily as a result of noncash expense of approximately $2.9 million related to stock based compensation awards granted in September 2015 and warrant modifications made in November 2015, as well as increased professional services fees. The following table indicates the primary components of general and administrative expenses for each of the periods (amounts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20" w:type="dxa"/>
            <w:vAlign w:val="bottom"/>
            <w:gridSpan w:val="6"/>
          </w:tcPr>
          <w:p>
            <w:pPr>
              <w:ind w:left="260"/>
              <w:spacing w:after="0"/>
              <w:rPr>
                <w:sz w:val="20"/>
                <w:szCs w:val="20"/>
                <w:color w:val="auto"/>
              </w:rPr>
            </w:pPr>
            <w:r>
              <w:rPr>
                <w:rFonts w:ascii="Arial" w:cs="Arial" w:eastAsia="Arial" w:hAnsi="Arial"/>
                <w:sz w:val="14"/>
                <w:szCs w:val="14"/>
                <w:color w:val="auto"/>
              </w:rPr>
              <w:t>Nine Months Ended December 31,</w:t>
            </w:r>
          </w:p>
        </w:tc>
        <w:tc>
          <w:tcPr>
            <w:tcW w:w="0" w:type="dxa"/>
            <w:vAlign w:val="bottom"/>
          </w:tcPr>
          <w:p>
            <w:pPr>
              <w:spacing w:after="0"/>
              <w:rPr>
                <w:sz w:val="1"/>
                <w:szCs w:val="1"/>
                <w:color w:val="auto"/>
              </w:rPr>
            </w:pPr>
          </w:p>
        </w:tc>
      </w:tr>
      <w:tr>
        <w:trPr>
          <w:trHeight w:val="172"/>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Salaries and benefits</w:t>
            </w:r>
          </w:p>
        </w:tc>
        <w:tc>
          <w:tcPr>
            <w:tcW w:w="1860" w:type="dxa"/>
            <w:vAlign w:val="bottom"/>
            <w:gridSpan w:val="2"/>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520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2,889</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Consulting Services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Legal, accounting and other professional fees</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2,113</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Investor relations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Insurance</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105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Travel expenses</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Rent and utilities</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116</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20"/>
                <w:szCs w:val="20"/>
                <w:color w:val="auto"/>
              </w:rPr>
            </w:pPr>
            <w:r>
              <w:rPr>
                <w:rFonts w:ascii="Arial" w:cs="Arial" w:eastAsia="Arial" w:hAnsi="Arial"/>
                <w:sz w:val="14"/>
                <w:szCs w:val="14"/>
                <w:color w:val="auto"/>
              </w:rPr>
              <w:t>Warrant modification expense</w:t>
            </w:r>
          </w:p>
        </w:tc>
        <w:tc>
          <w:tcPr>
            <w:tcW w:w="1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480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7740" w:type="dxa"/>
            <w:vAlign w:val="bottom"/>
          </w:tcPr>
          <w:p>
            <w:pPr>
              <w:spacing w:after="0"/>
              <w:rPr>
                <w:sz w:val="20"/>
                <w:szCs w:val="20"/>
                <w:color w:val="auto"/>
              </w:rPr>
            </w:pPr>
            <w:r>
              <w:rPr>
                <w:rFonts w:ascii="Arial" w:cs="Arial" w:eastAsia="Arial" w:hAnsi="Arial"/>
                <w:sz w:val="14"/>
                <w:szCs w:val="14"/>
                <w:color w:val="auto"/>
              </w:rPr>
              <w:t>All other expenses</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87</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70"/>
        </w:trPr>
        <w:tc>
          <w:tcPr>
            <w:tcW w:w="77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40" w:type="dxa"/>
            <w:vAlign w:val="bottom"/>
          </w:tcPr>
          <w:p>
            <w:pPr>
              <w:spacing w:after="0"/>
              <w:rPr>
                <w:sz w:val="20"/>
                <w:szCs w:val="20"/>
                <w:color w:val="auto"/>
              </w:rPr>
            </w:pPr>
            <w:r>
              <w:rPr>
                <w:rFonts w:ascii="Arial" w:cs="Arial" w:eastAsia="Arial" w:hAnsi="Arial"/>
                <w:sz w:val="14"/>
                <w:szCs w:val="14"/>
                <w:color w:val="auto"/>
              </w:rPr>
              <w:t>Total General and Administrative Expense</w:t>
            </w:r>
          </w:p>
        </w:tc>
        <w:tc>
          <w:tcPr>
            <w:tcW w:w="1860" w:type="dxa"/>
            <w:vAlign w:val="bottom"/>
            <w:gridSpan w:val="2"/>
          </w:tcPr>
          <w:p>
            <w:pPr>
              <w:jc w:val="right"/>
              <w:ind w:right="62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6,515</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4"/>
                <w:szCs w:val="14"/>
                <w:color w:val="auto"/>
              </w:rPr>
              <w:t>Administrative employee headcount and pay rates have remained essentially consistent between the periods reported.</w:t>
            </w:r>
          </w:p>
        </w:tc>
        <w:tc>
          <w:tcPr>
            <w:tcW w:w="1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7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 xml:space="preserve">The increase in stock based compensation expense for 2015 reflects the $2,840,700 fair value, determined using the Black-Scholes Option Pricing Model and the assumptions indicated in Note 2,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to the accompanying Condensed Consolidated Financial Statements for the nine months ended December 31, 2015 included elsewhere in this prospectus of</w:t>
      </w:r>
      <w:r>
        <w:rPr>
          <w:rFonts w:ascii="Arial" w:cs="Arial" w:eastAsia="Arial" w:hAnsi="Arial"/>
          <w:sz w:val="13"/>
          <w:szCs w:val="13"/>
          <w:i w:val="1"/>
          <w:iCs w:val="1"/>
          <w:color w:val="auto"/>
        </w:rPr>
        <w:t xml:space="preserve"> </w:t>
      </w:r>
      <w:r>
        <w:rPr>
          <w:rFonts w:ascii="Arial" w:cs="Arial" w:eastAsia="Arial" w:hAnsi="Arial"/>
          <w:sz w:val="13"/>
          <w:szCs w:val="13"/>
          <w:color w:val="auto"/>
        </w:rPr>
        <w:t>the September 2015 grant of immediately vested and expensed warrants to purchase an aggregate of 500,000 shares of our common stock granted to our officers, independent members of our Board of Directors and certain administrative consultants. Stock based compensation expense additionally reflects the ratable amortization of option grants made to administrative staff and consultants, most recently in September 2015, March 2014 and October 2013, as well as the ratable amortization of a warrant grant made to certain officers and independent members of our Board of Directors in March 2014. Our stock options are generally amortized over a two-year or four-year vesting period, and warrants granted to officers and directors in March 2014 are being amortized over a three-year vesting period. Essentially all of the option grants made prior to October 2013 and warrant grants made to our officers and independent members of our Board of Directors in March 2013 became fully-vested and fully-expensed prior to the quarter ended December 31, 2015.</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0" w:name="page61"/>
    <w:bookmarkEnd w:id="6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Consulting services primarily include fees accrued for the services of independent members of our Board of Directors.</w:t>
      </w:r>
    </w:p>
    <w:p>
      <w:pPr>
        <w:spacing w:after="0" w:line="201"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 xml:space="preserve">The increase in legal, accounting and other professional service fees results primarily from (i) the $675,000 noncash expense recognized pursuant to the June 30, 2015 grant of an aggregate of 90,000 shares of our Series B Preferred having an aggregate value of $1,350,000 as compensation for financial advisory and corporate development service contracts with two independent contractors for services to be performed through June 30, 2016; (ii) the grant of an aggregate of 50,000 shares of our common stock having an aggregate fair value of $500,000 pursuant to two corporate development contracts initiated during the quarter ended June 30, 2015; (iii) the grant of 25,000 shares of our Series B Preferred having a fair value of $250,000 to legal counsel as compensation for services in connection with our debt restructuring and other corporate finance matters, and (iv) $138,000 of noncash expense attributable to the fair value of 15,750 shares of our unregistered common stock and a five-year warrant to purchase 7,500 unregistered shares of our common stock granted in connection with investment banking services. As described in Note 8, </w:t>
      </w:r>
      <w:r>
        <w:rPr>
          <w:rFonts w:ascii="Arial" w:cs="Arial" w:eastAsia="Arial" w:hAnsi="Arial"/>
          <w:sz w:val="13"/>
          <w:szCs w:val="13"/>
          <w:i w:val="1"/>
          <w:iCs w:val="1"/>
          <w:color w:val="auto"/>
        </w:rPr>
        <w:t>Capital Stock</w:t>
      </w:r>
      <w:r>
        <w:rPr>
          <w:rFonts w:ascii="Arial" w:cs="Arial" w:eastAsia="Arial" w:hAnsi="Arial"/>
          <w:sz w:val="13"/>
          <w:szCs w:val="13"/>
          <w:color w:val="auto"/>
        </w:rPr>
        <w:t>, to the accompanying Condensed Consolidated Financial Statements for the nine months ended December 31, 2016 included elsewhere in this prospectus, the $1,350,000 fair value of the 90,000 shares of Series B Preferred was recorded as a prepaid expense at the date of the grant and is being expensed ratably over the twelve months ending June 30, 2016. Legal expense for 2015 also includes one-time cash fees associated with the conversion of our promissory notes and other debt into our Series B Preferred. Professional services expense in 2015 reflects a $100,000 reduction in expense related to a contract for strategic advisory and business development services compared to 2014. In both years, accounting service fees include expense related to the annual audit of the prior year financial statements and current quarterly financial statement review services.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decrease in outsourced investor relations service reflects a reduction in investor relations initiatives during the latter portion of calendar 2015.</w:t>
      </w:r>
    </w:p>
    <w:p>
      <w:pPr>
        <w:spacing w:after="0" w:line="201" w:lineRule="exact"/>
        <w:rPr>
          <w:sz w:val="20"/>
          <w:szCs w:val="20"/>
          <w:color w:val="auto"/>
        </w:rPr>
      </w:pPr>
    </w:p>
    <w:p>
      <w:pPr>
        <w:ind w:right="500"/>
        <w:spacing w:after="0" w:line="283" w:lineRule="auto"/>
        <w:rPr>
          <w:sz w:val="20"/>
          <w:szCs w:val="20"/>
          <w:color w:val="auto"/>
        </w:rPr>
      </w:pPr>
      <w:r>
        <w:rPr>
          <w:rFonts w:ascii="Arial" w:cs="Arial" w:eastAsia="Arial" w:hAnsi="Arial"/>
          <w:sz w:val="14"/>
          <w:szCs w:val="14"/>
          <w:color w:val="auto"/>
        </w:rPr>
        <w:t>In both periods, travel expense reflects costs associated with meetings with accredited investors in connection with the self-placed private placements of our securities, and in 2015, with various creditors in connection with extinguishment of a substantial portion of our indebtedness.</w:t>
      </w:r>
    </w:p>
    <w:p>
      <w:pPr>
        <w:spacing w:after="0" w:line="153" w:lineRule="exact"/>
        <w:rPr>
          <w:sz w:val="20"/>
          <w:szCs w:val="20"/>
          <w:color w:val="auto"/>
        </w:rPr>
      </w:pPr>
    </w:p>
    <w:p>
      <w:pPr>
        <w:jc w:val="both"/>
        <w:ind w:right="80"/>
        <w:spacing w:after="0" w:line="263" w:lineRule="auto"/>
        <w:rPr>
          <w:sz w:val="20"/>
          <w:szCs w:val="20"/>
          <w:color w:val="auto"/>
        </w:rPr>
      </w:pPr>
      <w:r>
        <w:rPr>
          <w:rFonts w:ascii="Arial" w:cs="Arial" w:eastAsia="Arial" w:hAnsi="Arial"/>
          <w:sz w:val="14"/>
          <w:szCs w:val="14"/>
          <w:color w:val="auto"/>
        </w:rPr>
        <w:t>Noncash warrant modification expense in 2015 includes (i) a $122,000 increase in the fair value attributable to the June 2015 strategic modification of outstanding warrants to purchase an aggregate of 54,576 shares of our common stock to reduce the exercise prices thereof, generally from $30.00 per share to $10.00 per share; and (ii) a $358,000 increase in the fair value attributable to the November 2015 modification of outstanding warrants to purchase an aggregate of 808,553 shares of our common stock previously granted to our CEO, CFO, and independent members of our Board of Directors to reduce the exercise prices thereof from a range of $9.25 to $12.80 per share to $7.00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and Other Expenses, Net</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Interest expense, net totaled $769,800 for the nine months ended December 31, 2015 compared to the $2,182,900 reported for the nine months ended December 31, 2014, reflecting the extinguishment of substantially all of our promissory notes and related discounts upon conversion into our Series B Preferred between May 2015 and August 2015. The following table summarizes the primary components of interest expense for each of the periods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5"/>
          </w:tcPr>
          <w:p>
            <w:pPr>
              <w:jc w:val="right"/>
              <w:ind w:right="380"/>
              <w:spacing w:after="0"/>
              <w:rPr>
                <w:sz w:val="20"/>
                <w:szCs w:val="20"/>
                <w:color w:val="auto"/>
              </w:rPr>
            </w:pPr>
            <w:r>
              <w:rPr>
                <w:rFonts w:ascii="Arial" w:cs="Arial" w:eastAsia="Arial" w:hAnsi="Arial"/>
                <w:sz w:val="14"/>
                <w:szCs w:val="14"/>
                <w:color w:val="auto"/>
                <w:w w:val="95"/>
              </w:rPr>
              <w:t>Nine Months Ended December 31,</w:t>
            </w:r>
          </w:p>
        </w:tc>
      </w:tr>
      <w:tr>
        <w:trPr>
          <w:trHeight w:val="172"/>
        </w:trPr>
        <w:tc>
          <w:tcPr>
            <w:tcW w:w="88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on promissory notes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909</w:t>
            </w: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Amortization of discount on promissory notes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1,295</w:t>
            </w: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Other interest expense, including on capital leases and premium financing</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w:t>
            </w:r>
          </w:p>
        </w:tc>
      </w:tr>
      <w:tr>
        <w:trPr>
          <w:trHeight w:val="172"/>
        </w:trPr>
        <w:tc>
          <w:tcPr>
            <w:tcW w:w="8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2,210</w:t>
            </w: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Effect of foreign currency fluctuations on notes payable</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r>
      <w:tr>
        <w:trPr>
          <w:trHeight w:val="172"/>
        </w:trPr>
        <w:tc>
          <w:tcPr>
            <w:tcW w:w="8840" w:type="dxa"/>
            <w:vAlign w:val="bottom"/>
          </w:tcPr>
          <w:p>
            <w:pPr>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(5)</w:t>
            </w:r>
          </w:p>
        </w:tc>
      </w:tr>
      <w:tr>
        <w:trPr>
          <w:trHeight w:val="170"/>
        </w:trPr>
        <w:tc>
          <w:tcPr>
            <w:tcW w:w="88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tcPr>
          <w:p>
            <w:pPr>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770</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2,183</w:t>
            </w:r>
          </w:p>
        </w:tc>
      </w:tr>
      <w:tr>
        <w:trPr>
          <w:trHeight w:val="20"/>
        </w:trPr>
        <w:tc>
          <w:tcPr>
            <w:tcW w:w="8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160"/>
        <w:spacing w:after="0" w:line="263" w:lineRule="auto"/>
        <w:rPr>
          <w:sz w:val="20"/>
          <w:szCs w:val="20"/>
          <w:color w:val="auto"/>
        </w:rPr>
      </w:pPr>
      <w:r>
        <w:rPr>
          <w:rFonts w:ascii="Arial" w:cs="Arial" w:eastAsia="Arial" w:hAnsi="Arial"/>
          <w:sz w:val="14"/>
          <w:szCs w:val="14"/>
          <w:color w:val="auto"/>
        </w:rPr>
        <w:t>The substantial overall decrease in interest expense on promissory notes and the related amortization of discounts on such notes between the periods primarily reflects (i) accrued interest and discount amortization recorded for the issuances between July 2014 and May 2015 of an aggregate of approximately $1.8 million of 10% convertible promissory notes (</w:t>
      </w:r>
      <w:r>
        <w:rPr>
          <w:rFonts w:ascii="Arial" w:cs="Arial" w:eastAsia="Arial" w:hAnsi="Arial"/>
          <w:sz w:val="14"/>
          <w:szCs w:val="14"/>
          <w:i w:val="1"/>
          <w:iCs w:val="1"/>
          <w:color w:val="auto"/>
        </w:rPr>
        <w:t>2014 Unit Notes</w:t>
      </w:r>
      <w:r>
        <w:rPr>
          <w:rFonts w:ascii="Arial" w:cs="Arial" w:eastAsia="Arial" w:hAnsi="Arial"/>
          <w:sz w:val="14"/>
          <w:szCs w:val="14"/>
          <w:color w:val="auto"/>
        </w:rPr>
        <w:t>); and (ii) the offsetting cessation of interest accrual and discount amortization upon the conversion of all outstanding Senior Secured Convertible Notes, 2014 Unit Notes and other outstanding promissory notes aggregating approximately $13.3 million into shares of our Series B Preferred between May 2015 and August 2015.</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1" w:name="page62"/>
    <w:bookmarkEnd w:id="6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 xml:space="preserve">Under the terms of our October 2012 Note Exchange and Purchase Agreement with Platinum, we issued certain Senior Secured Convertible Promissory Notes and a related Exchange Warrant and Investment Warrants between October 2012 and July 2013. Upon Platinum’s exchange of the shares of our Series A Preferred Stock held by Platinum into shares of our common stock, we will also be required to issue a Series A Exchange Warrant to Platinum. We determined that the various warrants included certain exercise price adjustment features requiring us to treat the warrants as liabilities. Accordingly, we recorded a noncash warrant liability at its estimated fair value as of the date of warrant issuance or contract execution. As described in Note 8,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and Note 4, </w:t>
      </w:r>
      <w:r>
        <w:rPr>
          <w:rFonts w:ascii="Arial" w:cs="Arial" w:eastAsia="Arial" w:hAnsi="Arial"/>
          <w:sz w:val="13"/>
          <w:szCs w:val="13"/>
          <w:i w:val="1"/>
          <w:iCs w:val="1"/>
          <w:color w:val="auto"/>
        </w:rPr>
        <w:t>Fair Value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Measurements, </w:t>
      </w:r>
      <w:r>
        <w:rPr>
          <w:rFonts w:ascii="Arial" w:cs="Arial" w:eastAsia="Arial" w:hAnsi="Arial"/>
          <w:sz w:val="13"/>
          <w:szCs w:val="13"/>
          <w:color w:val="auto"/>
        </w:rPr>
        <w:t>to the Condensed Consolidated Financial Statements for the nine months ended December 31, 2015 included elsewhere in this prospectus on May 12, 2015, we entered into an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with Platinum pursuant to which we amended the various warrants to fix the exercise price thereof and eliminate the anti-dilution reset features that had previously required the warrants to be treated as liabilities and carried at fair value. Accordingly, during the quarter ended June 30, 2015, we adjusted these warrants to their fair value, estimated to be $4,903,200, reflecting an increase of $1,894,700 since March 31, 2015, resulting primarily from the increase in the market price of our common stock in relation to the exercise price of the warrants, and then subsequently eliminated the entire warrant liability with respect to these warrants. (Refer to Note 10, </w:t>
      </w:r>
      <w:r>
        <w:rPr>
          <w:rFonts w:ascii="Arial" w:cs="Arial" w:eastAsia="Arial" w:hAnsi="Arial"/>
          <w:sz w:val="13"/>
          <w:szCs w:val="13"/>
          <w:i w:val="1"/>
          <w:iCs w:val="1"/>
          <w:color w:val="auto"/>
        </w:rPr>
        <w:t>Subsequent Events</w:t>
      </w:r>
      <w:r>
        <w:rPr>
          <w:rFonts w:ascii="Arial" w:cs="Arial" w:eastAsia="Arial" w:hAnsi="Arial"/>
          <w:sz w:val="13"/>
          <w:szCs w:val="13"/>
          <w:color w:val="auto"/>
        </w:rPr>
        <w:t>, to the Condensed Consolidated Financial Statements for the nine months ended December 31, 2015 included elsewhere in this prospectus regarding the subsequent exchange of these warrants for shares of our Series C Preferred stock.) During the nine months ended December 31, 2014, we recognized noncash gains of $528,300 related to the net decrease in the estimated fair value of the warrant liabilities since March 31, 2014, which resulted primarily from the decrease in the market price of our common stock in relation to the exercise price of the warrants.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As described more completely in Note 7,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and Note 8, </w:t>
      </w:r>
      <w:r>
        <w:rPr>
          <w:rFonts w:ascii="Arial" w:cs="Arial" w:eastAsia="Arial" w:hAnsi="Arial"/>
          <w:sz w:val="12"/>
          <w:szCs w:val="12"/>
          <w:i w:val="1"/>
          <w:iCs w:val="1"/>
          <w:color w:val="auto"/>
        </w:rPr>
        <w:t>Capital Stock</w:t>
      </w:r>
      <w:r>
        <w:rPr>
          <w:rFonts w:ascii="Arial" w:cs="Arial" w:eastAsia="Arial" w:hAnsi="Arial"/>
          <w:sz w:val="12"/>
          <w:szCs w:val="12"/>
          <w:color w:val="auto"/>
        </w:rPr>
        <w:t>, to the accompanying Condensed Consolidated Financial Statements for the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nine months ended December 31, 2015 included elsewhere in this prospectus, between May 12, 2015 and December 31, 2015, we have extinguished the outstanding balances of approximately $17.2</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million of promissory notes, including our Senior Secured Notes, our 2014 Unit Notes and other debt and certain adjustments thereto that were either already due and payable or would have otherwise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matured prior to March 31, 2016 by converting such balances into shares of our Series B Preferred. We treated the conversion of the indebtedness into Series B Preferred as extinguishments of debt for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accounting purposes. Since the fair value of the Series B Preferred we negotiated in settlement of the promissory notes and other indebtedness exceeded the carrying value of the debts, we incurred</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noncash losses on each of the extinguishments. Additionally, under the terms of the Platinum Agreement, we issued to Platinum 400,000 shares of Series B Preferred having an aggregate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$4.0 million and Series B Warrants to purchase 1.2 million shares of our common stock having an aggregate of fair value of $8,270,900. We recognized this aggregate fair value as an additional noncash</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component of loss on extinguishment of debt. Many of the 2014 Unit Notes that were converted into Series B Preferred contained a beneficial conversion feature at the time they were originally issued.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We have accounted for the repurchase of the beneficial conversion feature at the time the 2014 Unit Notes were extinguished and converted, an aggregate of $2,237,100, as a reduction to the loss 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extinguishment of debt. We recorded an aggregate net noncash loss of $26.7 million attributable to the extinguishment of the indebtedness converted into Series B Preferred.</w:t>
      </w:r>
    </w:p>
    <w:p>
      <w:pPr>
        <w:spacing w:after="0" w:line="191"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During the quarter ended June 30, 2014, we entered into agreements with substantially all holders of our 2013 Unit Notes and 2013 Unit Warrants to amend certain terms of the notes and the warrants to essentially conform them to the 2014 Unit Notes and 2014 Unit Warrants. We treated the amendments as an extinguishment of debt for accounting purposes and recognized noncash losses on the extinguishment of debt in the aggregate amount of $526,200 attributable to the amendments. We also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during the quarter ended June 30, 2014. In July 2014, we entered into an agreement with Platinum, as further amended in September 2014, pursuant to which Platinum agreed to convert into our unregistered equity securities all then outstanding Senior Secured Notes and related accrued interest held by Platinum upon our consummation prior to October 31, 2014 of either (i) a Private Financing or a Public Offering, each as defined in the agreement. Prior to the agreement, the Senior Secured Notes were convertible, at Platinum’s option, at any time prior to maturity at a conversion price of $10.00 per share. The modification of the conversion feature in the Senior Secured Notes was treated as an extinguishment of the debt for accounting purposes and we recognized a non-cash loss on the extinguishment of debt in the aggregate amount of $1,603,400 attributable to the amendment in the quarter ended September 30, 2014.</w:t>
      </w:r>
    </w:p>
    <w:p>
      <w:pPr>
        <w:spacing w:after="0" w:line="161" w:lineRule="exact"/>
        <w:rPr>
          <w:sz w:val="20"/>
          <w:szCs w:val="20"/>
          <w:color w:val="auto"/>
        </w:rPr>
      </w:pPr>
    </w:p>
    <w:p>
      <w:pPr>
        <w:ind w:right="360"/>
        <w:spacing w:after="0" w:line="298" w:lineRule="auto"/>
        <w:rPr>
          <w:sz w:val="20"/>
          <w:szCs w:val="20"/>
          <w:color w:val="auto"/>
        </w:rPr>
      </w:pPr>
      <w:r>
        <w:rPr>
          <w:rFonts w:ascii="Arial" w:cs="Arial" w:eastAsia="Arial" w:hAnsi="Arial"/>
          <w:sz w:val="13"/>
          <w:szCs w:val="13"/>
          <w:color w:val="auto"/>
        </w:rPr>
        <w:t>In October 2014, we accepted a cash payment of $60,000 as settlement in full for a promissory note issued to us in May 2011 for the purchase of shares of our common stock. At the time of the payment, the principal and accrued interest due to us on the note receivable was $194,900, resulting in a noncash loss of $134,900 related to the settlement recognized in Other Expense in the nine months ended December 31, 2014. Other expense in the nine months ended December 31, 2015 reflects the noncash loss on the disposition of a piece of failed lab equipment.</w:t>
      </w:r>
    </w:p>
    <w:p>
      <w:pPr>
        <w:spacing w:after="0" w:line="146" w:lineRule="exact"/>
        <w:rPr>
          <w:sz w:val="20"/>
          <w:szCs w:val="20"/>
          <w:color w:val="auto"/>
        </w:rPr>
      </w:pPr>
    </w:p>
    <w:p>
      <w:pPr>
        <w:ind w:right="60"/>
        <w:spacing w:after="0" w:line="308" w:lineRule="auto"/>
        <w:rPr>
          <w:sz w:val="20"/>
          <w:szCs w:val="20"/>
          <w:color w:val="auto"/>
        </w:rPr>
      </w:pPr>
      <w:r>
        <w:rPr>
          <w:rFonts w:ascii="Arial" w:cs="Arial" w:eastAsia="Arial" w:hAnsi="Arial"/>
          <w:sz w:val="12"/>
          <w:szCs w:val="12"/>
          <w:color w:val="auto"/>
        </w:rPr>
        <w:t>We allocated the proceeds from the self-placed private placement sales of Series B Preferred Units between May 2015 and December 31, 2015 to the Series B Preferred and the Series B Warrants based on their relative fair values on the dates of the sales. The difference, for accounting purposes, between the relative fair value per share of the Series B Preferred, approximately $4.12 per share, and its Conversion Price (or stated value) of $7.00 per share represents a deemed dividend to the purchasers of the Series B Preferred Units. Accordingly, we have recognized a deemed dividend in the aggregate amount of $1,811,800 in arriving at net loss attributable to common stockholders for the nine months ended December 31, 2015 in the accompanying Condensed Consolidated Statement of Operations and Comprehensive Loss for the nine months ended December 31, 2015 included elsewhere in this prospectus. Further, we have recognized $1,459,300 representing the 10% cumulative dividend payable on our Series B Preferred as an additional deduction in arriving at net loss attributable to common stockholders for the nine months ended December 31, 2015 in the accompanying Condensed Consolidated Statement of Operations and Comprehensive Loss for the nine months ended December 31, 2015 included elsewhere in this prospectus.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2" w:name="page63"/>
    <w:bookmarkEnd w:id="6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4"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Since our inception in May 1998 through December 31, 2015, we have financed our operations through (1) the issuance and sale of our common stock, preferred stock, warrants for common stock, and promissory notes for aggregate cash proceeds of approximately $33.9 million; (2) issuance of common stock and preferred stock with an approximate value at issuance of $28.9 million as consideration for, among other things, technology licenses and patent prosecution, sponsored research, contract research, drug development, drug manufacturing, regulatory services, and legal, investor relations, corporate development and financial advisory services; and (3) receipt of aggregate non-dilutive cash proceeds of approximately $16.4 million from government research and development grant awards and strategic collaboration transactions.</w:t>
      </w:r>
    </w:p>
    <w:p>
      <w:pPr>
        <w:spacing w:after="0" w:line="168"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 xml:space="preserve">As described more completely in Note 7,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and Note 8, </w:t>
      </w:r>
      <w:r>
        <w:rPr>
          <w:rFonts w:ascii="Arial" w:cs="Arial" w:eastAsia="Arial" w:hAnsi="Arial"/>
          <w:sz w:val="13"/>
          <w:szCs w:val="13"/>
          <w:i w:val="1"/>
          <w:iCs w:val="1"/>
          <w:color w:val="auto"/>
        </w:rPr>
        <w:t>Capital Stock</w:t>
      </w:r>
      <w:r>
        <w:rPr>
          <w:rFonts w:ascii="Arial" w:cs="Arial" w:eastAsia="Arial" w:hAnsi="Arial"/>
          <w:sz w:val="13"/>
          <w:szCs w:val="13"/>
          <w:color w:val="auto"/>
        </w:rPr>
        <w:t>, to the accompanying Condensed Consolidated Financial Statements for the nine months ended December 31, 2015 included elsewhere in this prospectus, between March 31, 2015 and December 31, 2015, we created our Series B 10% Convertible Preferred Stock (</w:t>
      </w:r>
      <w:r>
        <w:rPr>
          <w:rFonts w:ascii="Arial" w:cs="Arial" w:eastAsia="Arial" w:hAnsi="Arial"/>
          <w:sz w:val="13"/>
          <w:szCs w:val="13"/>
          <w:i w:val="1"/>
          <w:iCs w:val="1"/>
          <w:color w:val="auto"/>
        </w:rPr>
        <w:t>Series B</w:t>
      </w:r>
      <w:r>
        <w:rPr>
          <w:rFonts w:ascii="Arial" w:cs="Arial" w:eastAsia="Arial" w:hAnsi="Arial"/>
          <w:sz w:val="13"/>
          <w:szCs w:val="13"/>
          <w:color w:val="auto"/>
        </w:rPr>
        <w:t xml:space="preserve"> </w:t>
      </w:r>
      <w:r>
        <w:rPr>
          <w:rFonts w:ascii="Arial" w:cs="Arial" w:eastAsia="Arial" w:hAnsi="Arial"/>
          <w:sz w:val="13"/>
          <w:szCs w:val="13"/>
          <w:i w:val="1"/>
          <w:iCs w:val="1"/>
          <w:color w:val="auto"/>
        </w:rPr>
        <w:t>Preferred</w:t>
      </w:r>
      <w:r>
        <w:rPr>
          <w:rFonts w:ascii="Arial" w:cs="Arial" w:eastAsia="Arial" w:hAnsi="Arial"/>
          <w:sz w:val="13"/>
          <w:szCs w:val="13"/>
          <w:color w:val="auto"/>
        </w:rPr>
        <w:t>) and eliminated the outstanding balances of approximately $17.2 million of promissory notes, other indebtedness and certain adjustments thereto that was either already due and payable or</w:t>
      </w:r>
      <w:r>
        <w:rPr>
          <w:rFonts w:ascii="Arial" w:cs="Arial" w:eastAsia="Arial" w:hAnsi="Arial"/>
          <w:sz w:val="13"/>
          <w:szCs w:val="13"/>
          <w:i w:val="1"/>
          <w:iCs w:val="1"/>
          <w:color w:val="auto"/>
        </w:rPr>
        <w:t xml:space="preserve"> </w:t>
      </w:r>
      <w:r>
        <w:rPr>
          <w:rFonts w:ascii="Arial" w:cs="Arial" w:eastAsia="Arial" w:hAnsi="Arial"/>
          <w:sz w:val="13"/>
          <w:szCs w:val="13"/>
          <w:color w:val="auto"/>
        </w:rPr>
        <w:t>would have otherwise matured prior to March 31, 2016, through conversion into our Series B Preferred and, with respect to a portion of the indebtedness converted, warrants to purchase common stock. More specifically, through December 31, 2015, we have extinguished and converted (i) all of the Senior Secured Convertible Promissory Notes originally issued to Platinum, (ii) all of the 2014 Unit Notes outstanding at March 31, 2015 and those issued subsequently, and (iii) substantially all other outstanding promissory notes and accounts payable, including those issued to Cato Research Ltd., Cato Holding Company, Morrison &amp; Foerster (Note A and Note B), University Health Network, McCarthy Tetrault, Desjardins Securities, Burr Pilger &amp; Mayer, National Jewish Health, MicroConstants and several others, into an aggregate of 2,618,917 shares of our Series B Preferred. Additionally, through December 31, 2015, in our self-placed private placement of Series B Units, we have sold additional Series B Preferred Units consisting of an aggregate of 628,264 unregistered shares of Series B Preferred and five year warrants to purchase 628,264 shares of our common stock, and we have received cash proceeds of $4,397,800.</w:t>
      </w:r>
    </w:p>
    <w:p>
      <w:pPr>
        <w:spacing w:after="0" w:line="136"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At December 31, 2015, we did not have sufficient cash and cash equivalents to enable us to fund our planned operations over the next twelve months, including expected cash expenditures of approximately $6.0 million. In August 2015, we entered into an agreement with Platinum (</w:t>
      </w:r>
      <w:r>
        <w:rPr>
          <w:rFonts w:ascii="Arial" w:cs="Arial" w:eastAsia="Arial" w:hAnsi="Arial"/>
          <w:sz w:val="13"/>
          <w:szCs w:val="13"/>
          <w:i w:val="1"/>
          <w:iCs w:val="1"/>
          <w:color w:val="auto"/>
        </w:rPr>
        <w:t>August 2015 Agreement</w:t>
      </w:r>
      <w:r>
        <w:rPr>
          <w:rFonts w:ascii="Arial" w:cs="Arial" w:eastAsia="Arial" w:hAnsi="Arial"/>
          <w:sz w:val="13"/>
          <w:szCs w:val="13"/>
          <w:color w:val="auto"/>
        </w:rPr>
        <w:t xml:space="preserve">) pursuant to which we agreed to sell to Platinum an additional $3.0 million of our Series B Preferred and Series B Warrants (collectively, </w:t>
      </w:r>
      <w:r>
        <w:rPr>
          <w:rFonts w:ascii="Arial" w:cs="Arial" w:eastAsia="Arial" w:hAnsi="Arial"/>
          <w:sz w:val="13"/>
          <w:szCs w:val="13"/>
          <w:i w:val="1"/>
          <w:iCs w:val="1"/>
          <w:color w:val="auto"/>
        </w:rPr>
        <w:t>Series B Units</w:t>
      </w:r>
      <w:r>
        <w:rPr>
          <w:rFonts w:ascii="Arial" w:cs="Arial" w:eastAsia="Arial" w:hAnsi="Arial"/>
          <w:sz w:val="13"/>
          <w:szCs w:val="13"/>
          <w:color w:val="auto"/>
        </w:rPr>
        <w:t xml:space="preserve">). Through December 31, 2015, Platinum purchased an additional $1.65 million of Series B Units under the August 2015 Agreement. Concurrently with its December 2015 purchase of $1.0 million of Series B Units and at our request, Platinum agreed to cancel its right to purchase the remaining $1.35 million of the Series B Units under the August 2015 Agreement. As more particularly disclosed in Note 10, </w:t>
      </w:r>
      <w:r>
        <w:rPr>
          <w:rFonts w:ascii="Arial" w:cs="Arial" w:eastAsia="Arial" w:hAnsi="Arial"/>
          <w:sz w:val="13"/>
          <w:szCs w:val="13"/>
          <w:i w:val="1"/>
          <w:iCs w:val="1"/>
          <w:color w:val="auto"/>
        </w:rPr>
        <w:t>Subsequent Events</w:t>
      </w:r>
      <w:r>
        <w:rPr>
          <w:rFonts w:ascii="Arial" w:cs="Arial" w:eastAsia="Arial" w:hAnsi="Arial"/>
          <w:sz w:val="13"/>
          <w:szCs w:val="13"/>
          <w:color w:val="auto"/>
        </w:rPr>
        <w:t>, to the accompanying Condensed Consolidated Financial Statements for the nine months ended December 31, 2015 included elsewhere in this prospectus, from January 1, 2016 through February 12, 2016, we have sold to certain accredited investors other than Platinum $128,000 of our Series B Units in self-placed private placement transactions. We intend to raise additional capital through conversions, exchanges, issuances, and/or sales of our securities, which may include both debt and equity securities. We may also seek research and development collaborations that could generate revenue, as well as government grant awards. Further, strategic collaborations, such as our February 2015 CRADA with the NIMH providing NIMH funding of our Phase 2a study of AV-101 in MDD, may provide resources to support a portion of our future cash needs and working capital requirements. Although we may seek additional collaborations that could generate revenue, as well as new government grant awards, no assurance can be provided that any such collaborations or awards will occur in the future. 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the size of our staff and staff salaries and benefits, as well as costs relating to regulatory consulting, contract research and development, investor relations and corporate development, legal, accounting, public company compliance and other professional services and working capital costs.</w:t>
      </w:r>
    </w:p>
    <w:p>
      <w:pPr>
        <w:spacing w:after="0" w:line="146"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49"/>
        </w:trPr>
        <w:tc>
          <w:tcPr>
            <w:tcW w:w="746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7460" w:type="dxa"/>
            <w:vAlign w:val="bottom"/>
            <w:gridSpan w:val="2"/>
          </w:tcPr>
          <w:p>
            <w:pPr>
              <w:spacing w:after="0"/>
              <w:rPr>
                <w:sz w:val="20"/>
                <w:szCs w:val="20"/>
                <w:color w:val="auto"/>
              </w:rPr>
            </w:pPr>
            <w:r>
              <w:rPr>
                <w:rFonts w:ascii="Arial" w:cs="Arial" w:eastAsia="Arial" w:hAnsi="Arial"/>
                <w:sz w:val="14"/>
                <w:szCs w:val="14"/>
                <w:color w:val="auto"/>
              </w:rPr>
              <w:t>The following table summarizes changes in cash and cash equivalents for the periods stated (in thousands):</w:t>
            </w: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9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Nine Months Ended December 31,</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used in operating activities</w:t>
            </w:r>
          </w:p>
        </w:tc>
        <w:tc>
          <w:tcPr>
            <w:tcW w:w="212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(3,499)</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70"/>
        </w:trPr>
        <w:tc>
          <w:tcPr>
            <w:tcW w:w="746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financing activities</w:t>
            </w:r>
          </w:p>
        </w:tc>
        <w:tc>
          <w:tcPr>
            <w:tcW w:w="1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4,592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656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increase in cash and cash equivalents</w:t>
            </w:r>
          </w:p>
        </w:tc>
        <w:tc>
          <w:tcPr>
            <w:tcW w:w="1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1,088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2"/>
        </w:trPr>
        <w:tc>
          <w:tcPr>
            <w:tcW w:w="7460" w:type="dxa"/>
            <w:vAlign w:val="bottom"/>
            <w:gridSpan w:val="2"/>
          </w:tcPr>
          <w:p>
            <w:pPr>
              <w:spacing w:after="0"/>
              <w:rPr>
                <w:sz w:val="20"/>
                <w:szCs w:val="20"/>
                <w:color w:val="auto"/>
              </w:rPr>
            </w:pPr>
            <w:r>
              <w:rPr>
                <w:rFonts w:ascii="Arial" w:cs="Arial" w:eastAsia="Arial" w:hAnsi="Arial"/>
                <w:sz w:val="14"/>
                <w:szCs w:val="14"/>
                <w:color w:val="auto"/>
              </w:rPr>
              <w:t>Cash and cash equivalents at beginning of period</w:t>
            </w: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70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65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60" w:type="dxa"/>
            <w:vAlign w:val="bottom"/>
            <w:gridSpan w:val="2"/>
          </w:tcPr>
          <w:p>
            <w:pPr>
              <w:spacing w:after="0"/>
              <w:rPr>
                <w:sz w:val="20"/>
                <w:szCs w:val="20"/>
                <w:color w:val="auto"/>
              </w:rPr>
            </w:pPr>
            <w:r>
              <w:rPr>
                <w:rFonts w:ascii="Arial" w:cs="Arial" w:eastAsia="Arial" w:hAnsi="Arial"/>
                <w:sz w:val="14"/>
                <w:szCs w:val="14"/>
                <w:color w:val="auto"/>
              </w:rPr>
              <w:t>Cash and cash equivalents at end of period</w:t>
            </w:r>
          </w:p>
        </w:tc>
        <w:tc>
          <w:tcPr>
            <w:tcW w:w="2120" w:type="dxa"/>
            <w:vAlign w:val="bottom"/>
            <w:gridSpan w:val="2"/>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1,158</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Off-Balance Sheet Arrangements</w:t>
            </w:r>
          </w:p>
        </w:tc>
        <w:tc>
          <w:tcPr>
            <w:tcW w:w="1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46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380"/>
        <w:spacing w:after="0" w:line="268" w:lineRule="auto"/>
        <w:rPr>
          <w:sz w:val="20"/>
          <w:szCs w:val="20"/>
          <w:color w:val="auto"/>
        </w:rPr>
      </w:pPr>
      <w:r>
        <w:rPr>
          <w:rFonts w:ascii="Arial" w:cs="Arial" w:eastAsia="Arial" w:hAnsi="Arial"/>
          <w:sz w:val="14"/>
          <w:szCs w:val="14"/>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VistaGen California has two inactive, wholly owned subsidiaries, Artemis Neuroscience, Inc., a Maryland corporation, and VistaStem Canada, Inc., an Ontario corporation.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64" w:name="page65"/>
    <w:bookmarkEnd w:id="6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BUSINESS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We are a clinical-stage biopharmaceutical company dedicated to developing and commercializing innovative product candidates for patients with diseases and disorders involving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Our lead product candidate, AV-101, is a next generation, orally available prodrug candidate in Phase 2 development, initially for the adjunctive treatment of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in patients with an inadequate response to standard antidepressants.</w:t>
      </w:r>
    </w:p>
    <w:p>
      <w:pPr>
        <w:spacing w:after="0" w:line="163" w:lineRule="exact"/>
        <w:rPr>
          <w:sz w:val="20"/>
          <w:szCs w:val="20"/>
          <w:color w:val="auto"/>
        </w:rPr>
      </w:pPr>
    </w:p>
    <w:p>
      <w:pPr>
        <w:ind w:right="360"/>
        <w:spacing w:after="0" w:line="370" w:lineRule="auto"/>
        <w:rPr>
          <w:sz w:val="20"/>
          <w:szCs w:val="20"/>
          <w:color w:val="auto"/>
        </w:rPr>
      </w:pPr>
      <w:r>
        <w:rPr>
          <w:rFonts w:ascii="Arial" w:cs="Arial" w:eastAsia="Arial" w:hAnsi="Arial"/>
          <w:sz w:val="12"/>
          <w:szCs w:val="12"/>
          <w:color w:val="auto"/>
        </w:rPr>
        <w:t>AV-101’s mechanism of action, as an N-methyl D aspartate receptor (</w:t>
      </w:r>
      <w:r>
        <w:rPr>
          <w:rFonts w:ascii="Arial" w:cs="Arial" w:eastAsia="Arial" w:hAnsi="Arial"/>
          <w:sz w:val="12"/>
          <w:szCs w:val="12"/>
          <w:i w:val="1"/>
          <w:iCs w:val="1"/>
          <w:color w:val="auto"/>
        </w:rPr>
        <w:t>NMDAR</w:t>
      </w:r>
      <w:r>
        <w:rPr>
          <w:rFonts w:ascii="Arial" w:cs="Arial" w:eastAsia="Arial" w:hAnsi="Arial"/>
          <w:sz w:val="12"/>
          <w:szCs w:val="12"/>
          <w:color w:val="auto"/>
        </w:rPr>
        <w:t>) antagonist binding selectively at the glycine binding (</w:t>
      </w:r>
      <w:r>
        <w:rPr>
          <w:rFonts w:ascii="Arial" w:cs="Arial" w:eastAsia="Arial" w:hAnsi="Arial"/>
          <w:sz w:val="12"/>
          <w:szCs w:val="12"/>
          <w:i w:val="1"/>
          <w:iCs w:val="1"/>
          <w:color w:val="auto"/>
        </w:rPr>
        <w:t>GlyB</w:t>
      </w:r>
      <w:r>
        <w:rPr>
          <w:rFonts w:ascii="Arial" w:cs="Arial" w:eastAsia="Arial" w:hAnsi="Arial"/>
          <w:sz w:val="12"/>
          <w:szCs w:val="12"/>
          <w:color w:val="auto"/>
        </w:rPr>
        <w:t>) co-agonist site of the NMDAR, is fundamentally differentiated from all antidepressants, as well as all atypical antipsychotics used adjunctively with standard antidepressants, currently approved by the U.S. Food and Drug Administration (</w:t>
      </w:r>
      <w:r>
        <w:rPr>
          <w:rFonts w:ascii="Arial" w:cs="Arial" w:eastAsia="Arial" w:hAnsi="Arial"/>
          <w:sz w:val="12"/>
          <w:szCs w:val="12"/>
          <w:i w:val="1"/>
          <w:iCs w:val="1"/>
          <w:color w:val="auto"/>
        </w:rPr>
        <w:t>FDA</w:t>
      </w:r>
      <w:r>
        <w:rPr>
          <w:rFonts w:ascii="Arial" w:cs="Arial" w:eastAsia="Arial" w:hAnsi="Arial"/>
          <w:sz w:val="12"/>
          <w:szCs w:val="12"/>
          <w:color w:val="auto"/>
        </w:rPr>
        <w:t>).</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Our ongoing Phase 2a clinical study of AV-101 in subjects with treatment-resistant MDD is being conducted and funded by the U.S. National Institutes of Mental Health (</w:t>
      </w:r>
      <w:r>
        <w:rPr>
          <w:rFonts w:ascii="Arial" w:cs="Arial" w:eastAsia="Arial" w:hAnsi="Arial"/>
          <w:sz w:val="14"/>
          <w:szCs w:val="14"/>
          <w:i w:val="1"/>
          <w:iCs w:val="1"/>
          <w:color w:val="auto"/>
        </w:rPr>
        <w:t>NIMH</w:t>
      </w:r>
      <w:r>
        <w:rPr>
          <w:rFonts w:ascii="Arial" w:cs="Arial" w:eastAsia="Arial" w:hAnsi="Arial"/>
          <w:sz w:val="14"/>
          <w:szCs w:val="14"/>
          <w:color w:val="auto"/>
        </w:rPr>
        <w:t>) under our February 2015 Cooperative Research and Development Agreement (</w:t>
      </w:r>
      <w:r>
        <w:rPr>
          <w:rFonts w:ascii="Arial" w:cs="Arial" w:eastAsia="Arial" w:hAnsi="Arial"/>
          <w:sz w:val="14"/>
          <w:szCs w:val="14"/>
          <w:i w:val="1"/>
          <w:iCs w:val="1"/>
          <w:color w:val="auto"/>
        </w:rPr>
        <w:t>CRADA</w:t>
      </w:r>
      <w:r>
        <w:rPr>
          <w:rFonts w:ascii="Arial" w:cs="Arial" w:eastAsia="Arial" w:hAnsi="Arial"/>
          <w:sz w:val="14"/>
          <w:szCs w:val="14"/>
          <w:color w:val="auto"/>
        </w:rPr>
        <w:t>) with the NIMH. This NIMH-sponsored Phase 2a study was initiated in October 2015 and is ongoing. The Principal Investigator of the study is Dr. Carlos Zarate, Jr., Chief of the NIMH’s Experimental Therapeutics &amp; Pathophysiology Branch and its Section on Neurobiology and Treatment of Mood and Anxiety Disorders. Previous NIMH studies, including studies conducted by Dr. Zarate, have focused on the effects of intravenous (</w:t>
      </w:r>
      <w:r>
        <w:rPr>
          <w:rFonts w:ascii="Arial" w:cs="Arial" w:eastAsia="Arial" w:hAnsi="Arial"/>
          <w:sz w:val="14"/>
          <w:szCs w:val="14"/>
          <w:i w:val="1"/>
          <w:iCs w:val="1"/>
          <w:color w:val="auto"/>
        </w:rPr>
        <w:t>I.V.</w:t>
      </w:r>
      <w:r>
        <w:rPr>
          <w:rFonts w:ascii="Arial" w:cs="Arial" w:eastAsia="Arial" w:hAnsi="Arial"/>
          <w:sz w:val="14"/>
          <w:szCs w:val="14"/>
          <w:color w:val="auto"/>
        </w:rPr>
        <w:t>) ketamine on depression. These NIMH studies, as well as clinical research by others, have demonstrated robust antidepressant effects in patients with treatment-resistant MDD within hours of a single low dose of I.V. ketamine and stimulated research and development around a new generation of antidepressants with potential to deliver ketamine-like fast-onset benefits without its side effects.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Currently, we are preparing to launch our Phase 2b clinical study of AV-101 for the adjunctive treatment of MDD in patients with an inadequate response to standard antidepressants. We anticipate commencement of this potentially pivotal, multi-center, multi-dose, double blind, placebo-controlled Phase 2b efficacy and safety study in the fourth quarter of 2016. Dr. Maurizio Fava, Professor of Psychiatry at Harvard Medical School and Director, Division of Clinical Research, Massachusetts General Hospital (</w:t>
      </w:r>
      <w:r>
        <w:rPr>
          <w:rFonts w:ascii="Arial" w:cs="Arial" w:eastAsia="Arial" w:hAnsi="Arial"/>
          <w:sz w:val="14"/>
          <w:szCs w:val="14"/>
          <w:i w:val="1"/>
          <w:iCs w:val="1"/>
          <w:color w:val="auto"/>
        </w:rPr>
        <w:t>MGH</w:t>
      </w:r>
      <w:r>
        <w:rPr>
          <w:rFonts w:ascii="Arial" w:cs="Arial" w:eastAsia="Arial" w:hAnsi="Arial"/>
          <w:sz w:val="14"/>
          <w:szCs w:val="14"/>
          <w:color w:val="auto"/>
        </w:rPr>
        <w:t>) Research Institute and Executive Director, MGH Clinical Trials Network and Institute, will be the principal investigator of our Phase 2b study.</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We also believe AV-101 has broad therapeutic utility with multiple near term CNS pipeline expansion opportunities, including chronic neuropathic pain, epilepsy, Huntington’s disease and Parkinson’s disease.</w:t>
      </w:r>
    </w:p>
    <w:p>
      <w:pPr>
        <w:spacing w:after="0" w:line="153"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auto"/>
        </w:rPr>
        <w:t>In addition to clinical development of AV-101, we are also focused on potential commercial applications of our human pluripotent stem cell (</w:t>
      </w:r>
      <w:r>
        <w:rPr>
          <w:rFonts w:ascii="Arial" w:cs="Arial" w:eastAsia="Arial" w:hAnsi="Arial"/>
          <w:sz w:val="14"/>
          <w:szCs w:val="14"/>
          <w:i w:val="1"/>
          <w:iCs w:val="1"/>
          <w:color w:val="auto"/>
        </w:rPr>
        <w:t>hPSC</w:t>
      </w:r>
      <w:r>
        <w:rPr>
          <w:rFonts w:ascii="Arial" w:cs="Arial" w:eastAsia="Arial" w:hAnsi="Arial"/>
          <w:sz w:val="14"/>
          <w:szCs w:val="14"/>
          <w:color w:val="auto"/>
        </w:rPr>
        <w:t>) technology platform, including drug rescue to develop proprietary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for our internal drug candidate pipeline, and, through potential strategic collaborations, regenerative medicine (</w:t>
      </w:r>
      <w:r>
        <w:rPr>
          <w:rFonts w:ascii="Arial" w:cs="Arial" w:eastAsia="Arial" w:hAnsi="Arial"/>
          <w:sz w:val="14"/>
          <w:szCs w:val="14"/>
          <w:i w:val="1"/>
          <w:iCs w:val="1"/>
          <w:color w:val="auto"/>
        </w:rPr>
        <w:t>RM</w:t>
      </w:r>
      <w:r>
        <w:rPr>
          <w:rFonts w:ascii="Arial" w:cs="Arial" w:eastAsia="Arial" w:hAnsi="Arial"/>
          <w:sz w:val="14"/>
          <w:szCs w:val="14"/>
          <w:color w:val="auto"/>
        </w:rPr>
        <w:t>) using blood, cartilage, heart and liver cells derived from our hPSC technology.</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and Major Depressive Disorder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Background</w:t>
      </w:r>
    </w:p>
    <w:p>
      <w:pPr>
        <w:spacing w:after="0" w:line="201" w:lineRule="exact"/>
        <w:rPr>
          <w:sz w:val="20"/>
          <w:szCs w:val="20"/>
          <w:color w:val="auto"/>
        </w:rPr>
      </w:pPr>
    </w:p>
    <w:p>
      <w:pPr>
        <w:jc w:val="both"/>
        <w:ind w:right="20"/>
        <w:spacing w:after="0" w:line="298" w:lineRule="auto"/>
        <w:rPr>
          <w:sz w:val="20"/>
          <w:szCs w:val="20"/>
          <w:color w:val="auto"/>
        </w:rPr>
      </w:pPr>
      <w:r>
        <w:rPr>
          <w:rFonts w:ascii="Arial" w:cs="Arial" w:eastAsia="Arial" w:hAnsi="Arial"/>
          <w:sz w:val="13"/>
          <w:szCs w:val="13"/>
          <w:color w:val="auto"/>
        </w:rPr>
        <w:t>The World Health Organization (</w:t>
      </w:r>
      <w:r>
        <w:rPr>
          <w:rFonts w:ascii="Arial" w:cs="Arial" w:eastAsia="Arial" w:hAnsi="Arial"/>
          <w:sz w:val="13"/>
          <w:szCs w:val="13"/>
          <w:i w:val="1"/>
          <w:iCs w:val="1"/>
          <w:color w:val="auto"/>
        </w:rPr>
        <w:t>WHO</w:t>
      </w:r>
      <w:r>
        <w:rPr>
          <w:rFonts w:ascii="Arial" w:cs="Arial" w:eastAsia="Arial" w:hAnsi="Arial"/>
          <w:sz w:val="13"/>
          <w:szCs w:val="13"/>
          <w:color w:val="auto"/>
        </w:rPr>
        <w:t>) estimates that 350 million people worldwide are affected by depression. According to the U.S. National Institutes of Health (</w:t>
      </w:r>
      <w:r>
        <w:rPr>
          <w:rFonts w:ascii="Arial" w:cs="Arial" w:eastAsia="Arial" w:hAnsi="Arial"/>
          <w:sz w:val="13"/>
          <w:szCs w:val="13"/>
          <w:i w:val="1"/>
          <w:iCs w:val="1"/>
          <w:color w:val="auto"/>
        </w:rPr>
        <w:t>NIH</w:t>
      </w:r>
      <w:r>
        <w:rPr>
          <w:rFonts w:ascii="Arial" w:cs="Arial" w:eastAsia="Arial" w:hAnsi="Arial"/>
          <w:sz w:val="13"/>
          <w:szCs w:val="13"/>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3"/>
          <w:szCs w:val="13"/>
          <w:i w:val="1"/>
          <w:iCs w:val="1"/>
          <w:color w:val="auto"/>
        </w:rPr>
        <w:t>CDC</w:t>
      </w:r>
      <w:r>
        <w:rPr>
          <w:rFonts w:ascii="Arial" w:cs="Arial" w:eastAsia="Arial" w:hAnsi="Arial"/>
          <w:sz w:val="13"/>
          <w:szCs w:val="13"/>
          <w:color w:val="auto"/>
        </w:rPr>
        <w:t>) one in 10 Americans takes an antidepressant medication.</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Most standard blockbuster antidepressants target neurotransmitter reuptake inhibition - serotonin (</w:t>
      </w:r>
      <w:r>
        <w:rPr>
          <w:rFonts w:ascii="Arial" w:cs="Arial" w:eastAsia="Arial" w:hAnsi="Arial"/>
          <w:sz w:val="14"/>
          <w:szCs w:val="14"/>
          <w:i w:val="1"/>
          <w:iCs w:val="1"/>
          <w:color w:val="auto"/>
        </w:rPr>
        <w:t>SSRIs</w:t>
      </w:r>
      <w:r>
        <w:rPr>
          <w:rFonts w:ascii="Arial" w:cs="Arial" w:eastAsia="Arial" w:hAnsi="Arial"/>
          <w:sz w:val="14"/>
          <w:szCs w:val="14"/>
          <w:color w:val="auto"/>
        </w:rPr>
        <w:t>) or serotonin/norepinephrine (</w:t>
      </w:r>
      <w:r>
        <w:rPr>
          <w:rFonts w:ascii="Arial" w:cs="Arial" w:eastAsia="Arial" w:hAnsi="Arial"/>
          <w:sz w:val="14"/>
          <w:szCs w:val="14"/>
          <w:i w:val="1"/>
          <w:iCs w:val="1"/>
          <w:color w:val="auto"/>
        </w:rPr>
        <w:t>SNRIs</w:t>
      </w:r>
      <w:r>
        <w:rPr>
          <w:rFonts w:ascii="Arial" w:cs="Arial" w:eastAsia="Arial" w:hAnsi="Arial"/>
          <w:sz w:val="14"/>
          <w:szCs w:val="14"/>
          <w:color w:val="auto"/>
        </w:rPr>
        <w:t>). Even when effective, standard antidepressants take many weeks to achieve adequate therapeutic benefits. Nearly two out of every three drug-treated depression patients obtain no benefit from initial treatment using standard antidepressants and have significant side effects, including anxiety, metabolic syndrome, sleep disturbance, and sexual dysfunction. All standard antidepressants have a “Black Box” warning due to safety risks, including, in certain groups, worsening depression and risk of suicide. Unfortunately, even after treatment with as many as four different standard antidepressants, nearly one out of every three drug-treated depression patients do not achieve an adequate therapeutic response. These patients often transition to using atypical antipsychotics to augment their use of standard antidepressants. However, adjunctive use of atypical antipsychotics increases risk of serious side effects, including tardive dyskinesia, significant weight gain, diabetes and heart disease, while offering only a modest (10% to 20%) potential increase in therapeutic benefit.</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65" w:name="page66"/>
    <w:bookmarkEnd w:id="6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AV-101</w:t>
      </w:r>
    </w:p>
    <w:p>
      <w:pPr>
        <w:spacing w:after="0" w:line="180"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 xml:space="preserve">AV-101, our orally available prodrug candidate is in Phase 2 clinical development for the adjunctive treatment of MDD patients with an inadequate response to standard antidepressants. As published in the October 2015 issue of the peer-reviewed, </w:t>
      </w:r>
      <w:r>
        <w:rPr>
          <w:rFonts w:ascii="Arial" w:cs="Arial" w:eastAsia="Arial" w:hAnsi="Arial"/>
          <w:sz w:val="13"/>
          <w:szCs w:val="13"/>
          <w:i w:val="1"/>
          <w:iCs w:val="1"/>
          <w:color w:val="auto"/>
        </w:rPr>
        <w:t>Journal of Pharmacology and Experimental Therapeutics,</w:t>
      </w:r>
      <w:r>
        <w:rPr>
          <w:rFonts w:ascii="Arial" w:cs="Arial" w:eastAsia="Arial" w:hAnsi="Arial"/>
          <w:sz w:val="13"/>
          <w:szCs w:val="13"/>
          <w:color w:val="auto"/>
        </w:rPr>
        <w:t xml:space="preserve"> in an article entitled, </w:t>
      </w:r>
      <w:r>
        <w:rPr>
          <w:rFonts w:ascii="Arial" w:cs="Arial" w:eastAsia="Arial" w:hAnsi="Arial"/>
          <w:sz w:val="13"/>
          <w:szCs w:val="13"/>
          <w:i w:val="1"/>
          <w:iCs w:val="1"/>
          <w:color w:val="auto"/>
        </w:rPr>
        <w:t>The prodrug 4-chlorokynurenine causes ketamine-like antidepressant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effects, but not side effects, by NMDA/glycineB-site inhibition, </w:t>
      </w:r>
      <w:r>
        <w:rPr>
          <w:rFonts w:ascii="Arial" w:cs="Arial" w:eastAsia="Arial" w:hAnsi="Arial"/>
          <w:sz w:val="13"/>
          <w:szCs w:val="13"/>
          <w:color w:val="auto"/>
        </w:rPr>
        <w:t>using well-established preclinical models of depression, AV-101 was shown to induce fast-acting, dose-dependent, persistent and</w:t>
      </w:r>
      <w:r>
        <w:rPr>
          <w:rFonts w:ascii="Arial" w:cs="Arial" w:eastAsia="Arial" w:hAnsi="Arial"/>
          <w:sz w:val="13"/>
          <w:szCs w:val="13"/>
          <w:i w:val="1"/>
          <w:iCs w:val="1"/>
          <w:color w:val="auto"/>
        </w:rPr>
        <w:t xml:space="preserve"> </w:t>
      </w:r>
      <w:r>
        <w:rPr>
          <w:rFonts w:ascii="Arial" w:cs="Arial" w:eastAsia="Arial" w:hAnsi="Arial"/>
          <w:sz w:val="13"/>
          <w:szCs w:val="13"/>
          <w:color w:val="auto"/>
        </w:rPr>
        <w:t>statistically significant antidepressant-like responses, following a single treatment. These responses were equivalent to those seen with a single, sub-anesthetic control dose of the NMDAR antagonist ketamine. In the same preclinical studies, the SSRI fluoxetine did not induce rapid onset antidepressant-like responses.</w:t>
      </w:r>
    </w:p>
    <w:p>
      <w:pPr>
        <w:spacing w:after="0" w:line="156" w:lineRule="exact"/>
        <w:rPr>
          <w:sz w:val="20"/>
          <w:szCs w:val="20"/>
          <w:color w:val="auto"/>
        </w:rPr>
      </w:pPr>
    </w:p>
    <w:p>
      <w:pPr>
        <w:ind w:right="20"/>
        <w:spacing w:after="0" w:line="314" w:lineRule="auto"/>
        <w:rPr>
          <w:sz w:val="20"/>
          <w:szCs w:val="20"/>
          <w:color w:val="auto"/>
        </w:rPr>
      </w:pPr>
      <w:r>
        <w:rPr>
          <w:rFonts w:ascii="Arial" w:cs="Arial" w:eastAsia="Arial" w:hAnsi="Arial"/>
          <w:sz w:val="12"/>
          <w:szCs w:val="12"/>
          <w:color w:val="auto"/>
        </w:rPr>
        <w:t>Following the completion of our randomized, double blind, placebo-controlled Phase 1a and Phase 1b safety studies funded by the NIH, we are now collaborating with the NIMH under our February 2015 CRADA. Pursuant to the CRADA, the NIMH is sponsoring our ongoing Phase 2a efficacy and safety study of AV-101 in subjects with treatment-resistant MDD. This Phase 2a study began in late 2015, and the first patient was dosed in November 2015. The trial is expected to enroll 24 to 28 patients. The Principal Investigator of our Phase 2a study is Dr. Carlos Zarate, Jr. of the NIMH. We are preparing to launch our Phase 2b clinical study of AV-101 for the adjunctive treatment of MDD in patients with an inadequate response to standard antidepressants. We anticipate the launch of this study, which is expected to enroll approximately 315 patients, in the fourth quarter of 2016. The Principal Investigator of this Phase 2b study will be Dr. Maurizio Fava of Harvard Medical School.</w:t>
      </w:r>
    </w:p>
    <w:p>
      <w:pPr>
        <w:spacing w:after="0" w:line="141" w:lineRule="exact"/>
        <w:rPr>
          <w:sz w:val="20"/>
          <w:szCs w:val="20"/>
          <w:color w:val="auto"/>
        </w:rPr>
      </w:pPr>
    </w:p>
    <w:p>
      <w:pPr>
        <w:ind w:right="320"/>
        <w:spacing w:after="0" w:line="283" w:lineRule="auto"/>
        <w:rPr>
          <w:sz w:val="20"/>
          <w:szCs w:val="20"/>
          <w:color w:val="auto"/>
        </w:rPr>
      </w:pPr>
      <w:r>
        <w:rPr>
          <w:rFonts w:ascii="Arial" w:cs="Arial" w:eastAsia="Arial" w:hAnsi="Arial"/>
          <w:sz w:val="14"/>
          <w:szCs w:val="14"/>
          <w:color w:val="auto"/>
        </w:rPr>
        <w:t>Preclinical studies also support the hypothesis that AV-101 has the potential to treat several additional CNS disorders and neurodegenerative diseases, including chronic neuropathic pain, epilepsy, Parkinson’s disease and Huntington’s disease, where modulation of the NMDAR or active metabolites of AV-101 may achieve therapeutic benefit.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CardioSafe 3D™; NCE Drug Rescue and Regenerative Medicine</w:t>
      </w:r>
    </w:p>
    <w:p>
      <w:pPr>
        <w:spacing w:after="0" w:line="205"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i w:val="1"/>
          <w:iCs w:val="1"/>
          <w:color w:val="auto"/>
        </w:rPr>
        <w:t xml:space="preserve">CardioSafe </w:t>
      </w:r>
      <w:r>
        <w:rPr>
          <w:rFonts w:ascii="Arial" w:cs="Arial" w:eastAsia="Arial" w:hAnsi="Arial"/>
          <w:sz w:val="14"/>
          <w:szCs w:val="14"/>
          <w:color w:val="auto"/>
        </w:rPr>
        <w:t>3D™ is our customized</w:t>
      </w:r>
      <w:r>
        <w:rPr>
          <w:rFonts w:ascii="Arial" w:cs="Arial" w:eastAsia="Arial" w:hAnsi="Arial"/>
          <w:sz w:val="14"/>
          <w:szCs w:val="14"/>
          <w:i w:val="1"/>
          <w:iCs w:val="1"/>
          <w:color w:val="auto"/>
        </w:rPr>
        <w:t xml:space="preserve"> in vitro </w:t>
      </w:r>
      <w:r>
        <w:rPr>
          <w:rFonts w:ascii="Arial" w:cs="Arial" w:eastAsia="Arial" w:hAnsi="Arial"/>
          <w:sz w:val="14"/>
          <w:szCs w:val="14"/>
          <w:color w:val="auto"/>
        </w:rPr>
        <w:t>cardiac bioassay system capable of predicting potential human heart toxicity of NCEs</w:t>
      </w:r>
      <w:r>
        <w:rPr>
          <w:rFonts w:ascii="Arial" w:cs="Arial" w:eastAsia="Arial" w:hAnsi="Arial"/>
          <w:sz w:val="14"/>
          <w:szCs w:val="14"/>
          <w:i w:val="1"/>
          <w:iCs w:val="1"/>
          <w:color w:val="auto"/>
        </w:rPr>
        <w:t xml:space="preserve"> in vitro</w:t>
      </w:r>
      <w:r>
        <w:rPr>
          <w:rFonts w:ascii="Arial" w:cs="Arial" w:eastAsia="Arial" w:hAnsi="Arial"/>
          <w:sz w:val="14"/>
          <w:szCs w:val="14"/>
          <w:color w:val="auto"/>
        </w:rPr>
        <w:t>, long before they are ever tested in animal and human studies.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Our current strategic interests involving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and our stem cell technology platform include collaborative arrangements focused on both (i) drug rescue designed to leverage substantial prior investments by pharmaceutical companies and others related to screening large-scale compound libraries, and optimizing and testing for efficacy NCEs terminated before FDA approval due to heart toxicity risks and now available in the public domain and (ii) nonclinical proof of concept studies to explore potential commercial RM applications involving hPSC-derived blood, bone, cartilage, heart and liver cells.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205"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color w:val="auto"/>
        </w:rPr>
        <w:t>Our strategy is to develop, and commercialize innovative small molecule drugs that address significant unmet medical needs related to CNS diseases and disorders. We have assembled a management team and a team of scientific, clinical, and regulatory advisors, including recognized experts in the fields of depression and other CNS disorders, with significant industry and regulatory experience to lead the development and commercialization of our CNS product candidate opportunities. Key elements of our strategy are to:</w:t>
      </w:r>
    </w:p>
    <w:p>
      <w:pPr>
        <w:spacing w:after="0" w:line="159" w:lineRule="exact"/>
        <w:rPr>
          <w:sz w:val="20"/>
          <w:szCs w:val="20"/>
          <w:color w:val="auto"/>
        </w:rPr>
      </w:pPr>
    </w:p>
    <w:p>
      <w:pPr>
        <w:ind w:left="520" w:hanging="515"/>
        <w:spacing w:after="0" w:line="258"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 xml:space="preserve">Develop and commercialize our lead product candidate, AV-101, for depression, including MDD. </w:t>
      </w:r>
      <w:r>
        <w:rPr>
          <w:rFonts w:ascii="Arial" w:cs="Arial" w:eastAsia="Arial" w:hAnsi="Arial"/>
          <w:sz w:val="14"/>
          <w:szCs w:val="14"/>
          <w:color w:val="auto"/>
        </w:rPr>
        <w:t>We are pursuing MDD as our lead indication for AV-101. Under our 2015 CRADA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NIMH, we launched our ongoing NIMH-sponsored AV-101 MDD Phase 2a clinical study in collaboration with Dr. Carlos of the NIMH in October 2015. We are currently preparing to launch our multi-center Phase 2b clinical study of AV-101 for the adjunctive treatment of MDD in patients with an inadequate response to standard antidepressants. We intend to develop AV-101 internally, through a pivotal Phase 3 clinical study and submission of our New Drug Application (</w:t>
      </w:r>
      <w:r>
        <w:rPr>
          <w:rFonts w:ascii="Arial" w:cs="Arial" w:eastAsia="Arial" w:hAnsi="Arial"/>
          <w:sz w:val="14"/>
          <w:szCs w:val="14"/>
          <w:i w:val="1"/>
          <w:iCs w:val="1"/>
          <w:color w:val="auto"/>
        </w:rPr>
        <w:t>NDA</w:t>
      </w:r>
      <w:r>
        <w:rPr>
          <w:rFonts w:ascii="Arial" w:cs="Arial" w:eastAsia="Arial" w:hAnsi="Arial"/>
          <w:sz w:val="14"/>
          <w:szCs w:val="14"/>
          <w:color w:val="auto"/>
        </w:rPr>
        <w:t>). If approved by the FDA, we plan to commercialize AV-101 for this indication in the U.S. either by (A) establishing or contracting for a specialty U.S. sales force focused primarily on psychiatrists and long-term care physicians who are high prescribers of standard antidepressants and atypical antipsychotics or (B) collaborating with a pharmaceutical company with a strong commercial presence in U.S. depression and other CNS markets. Outside the U.S., we intend to commercialize AV-101 by establishing a partnering arrangement with one or more pharmaceutical companies with extensive commercial capabilities in multiple non-U.S. depression and other CNS markets.</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66" w:name="page67"/>
    <w:bookmarkEnd w:id="6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ind w:left="520" w:right="120" w:hanging="515"/>
        <w:spacing w:after="0" w:line="265"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b w:val="1"/>
          <w:bCs w:val="1"/>
          <w:color w:val="auto"/>
        </w:rPr>
        <w:t xml:space="preserve">Leverage the commercial potential of AV-101 by expanding to additional CNS-related disorders and diseases. </w:t>
      </w:r>
      <w:r>
        <w:rPr>
          <w:rFonts w:ascii="Arial" w:cs="Arial" w:eastAsia="Arial" w:hAnsi="Arial"/>
          <w:sz w:val="14"/>
          <w:szCs w:val="14"/>
          <w:color w:val="auto"/>
        </w:rPr>
        <w:t>We intend to pursue broad clinical development and commercialization of</w:t>
      </w:r>
      <w:r>
        <w:rPr>
          <w:rFonts w:ascii="Arial" w:cs="Arial" w:eastAsia="Arial" w:hAnsi="Arial"/>
          <w:sz w:val="14"/>
          <w:szCs w:val="14"/>
          <w:b w:val="1"/>
          <w:bCs w:val="1"/>
          <w:color w:val="auto"/>
        </w:rPr>
        <w:t xml:space="preserve"> </w:t>
      </w:r>
      <w:r>
        <w:rPr>
          <w:rFonts w:ascii="Arial" w:cs="Arial" w:eastAsia="Arial" w:hAnsi="Arial"/>
          <w:sz w:val="14"/>
          <w:szCs w:val="14"/>
          <w:color w:val="auto"/>
        </w:rPr>
        <w:t>AV-101 across a range of CNS-related indications that are underserved by currently available medicines and represent significant unmet medical needs. Based on AV-101 preclinical studies, and by leveraging our successful NIH-funded AV-101 Phase 1 clinical studies, we now have opportunities to expand Phase 2 development of AV-101 beyond MDD to include, among other indications, chronic neuropathic pain, epilepsy, Huntington’s disease and Parkinson’s disease.</w:t>
      </w:r>
    </w:p>
    <w:p>
      <w:pPr>
        <w:spacing w:after="0" w:line="162" w:lineRule="exact"/>
        <w:rPr>
          <w:rFonts w:ascii="Arial" w:cs="Arial" w:eastAsia="Arial" w:hAnsi="Arial"/>
          <w:sz w:val="14"/>
          <w:szCs w:val="14"/>
          <w:color w:val="auto"/>
        </w:rPr>
      </w:pPr>
    </w:p>
    <w:p>
      <w:pPr>
        <w:ind w:left="520" w:right="160" w:hanging="515"/>
        <w:spacing w:after="0" w:line="271"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b w:val="1"/>
          <w:bCs w:val="1"/>
          <w:color w:val="auto"/>
        </w:rPr>
        <w:t xml:space="preserve">Grow our internal development pipeline by pursuing drug rescue opportunities using our stem cell technology. </w:t>
      </w:r>
      <w:r>
        <w:rPr>
          <w:rFonts w:ascii="Arial" w:cs="Arial" w:eastAsia="Arial" w:hAnsi="Arial"/>
          <w:sz w:val="14"/>
          <w:szCs w:val="14"/>
          <w:color w:val="auto"/>
        </w:rPr>
        <w:t>We are using our stem cell technology and proprietary cardiac bioassay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system,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to screen and develop proprietary NCEs through drug rescue programs intended to produce proprietary NCEs for our internal drug development pipeline, without incurring many of the substantial costs and risks typically inherent in new drug discovery and nonclinical drug development.</w:t>
      </w:r>
    </w:p>
    <w:p>
      <w:pPr>
        <w:spacing w:after="0" w:line="157" w:lineRule="exact"/>
        <w:rPr>
          <w:rFonts w:ascii="Arial" w:cs="Arial" w:eastAsia="Arial" w:hAnsi="Arial"/>
          <w:sz w:val="14"/>
          <w:szCs w:val="14"/>
          <w:color w:val="auto"/>
        </w:rPr>
      </w:pPr>
    </w:p>
    <w:p>
      <w:pPr>
        <w:ind w:left="520" w:right="60" w:hanging="515"/>
        <w:spacing w:after="0" w:line="271"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b w:val="1"/>
          <w:bCs w:val="1"/>
          <w:color w:val="auto"/>
        </w:rPr>
        <w:t xml:space="preserve">Pursue in-licensing and acquisition of other product candidates for treatment of CNS-related disorders. </w:t>
      </w:r>
      <w:r>
        <w:rPr>
          <w:rFonts w:ascii="Arial" w:cs="Arial" w:eastAsia="Arial" w:hAnsi="Arial"/>
          <w:sz w:val="14"/>
          <w:szCs w:val="14"/>
          <w:color w:val="auto"/>
        </w:rPr>
        <w:t>While our resources are currently focused primarily on clinical development of</w:t>
      </w:r>
      <w:r>
        <w:rPr>
          <w:rFonts w:ascii="Arial" w:cs="Arial" w:eastAsia="Arial" w:hAnsi="Arial"/>
          <w:sz w:val="14"/>
          <w:szCs w:val="14"/>
          <w:b w:val="1"/>
          <w:bCs w:val="1"/>
          <w:color w:val="auto"/>
        </w:rPr>
        <w:t xml:space="preserve"> </w:t>
      </w:r>
      <w:r>
        <w:rPr>
          <w:rFonts w:ascii="Arial" w:cs="Arial" w:eastAsia="Arial" w:hAnsi="Arial"/>
          <w:sz w:val="14"/>
          <w:szCs w:val="14"/>
          <w:color w:val="auto"/>
        </w:rPr>
        <w:t>AV-101 for MDD, we anticipate pursuing additional CNS-related product candidates in the future. These may be developed independently or in partnerships. We believe that a diversified CNS product candidate portfolio will mitigate risks inherent in drug development and increase the likelihood of our success.</w:t>
      </w:r>
    </w:p>
    <w:p>
      <w:pPr>
        <w:spacing w:after="0" w:line="157" w:lineRule="exact"/>
        <w:rPr>
          <w:rFonts w:ascii="Arial" w:cs="Arial" w:eastAsia="Arial" w:hAnsi="Arial"/>
          <w:sz w:val="14"/>
          <w:szCs w:val="14"/>
          <w:color w:val="auto"/>
        </w:rPr>
      </w:pPr>
    </w:p>
    <w:p>
      <w:pPr>
        <w:ind w:left="520" w:right="120" w:hanging="515"/>
        <w:spacing w:after="0" w:line="271"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b w:val="1"/>
          <w:bCs w:val="1"/>
          <w:color w:val="auto"/>
        </w:rPr>
        <w:t xml:space="preserve">Grow our internal development pipeline through drug rescue using our stem cell technology platform. </w:t>
      </w:r>
      <w:r>
        <w:rPr>
          <w:rFonts w:ascii="Arial" w:cs="Arial" w:eastAsia="Arial" w:hAnsi="Arial"/>
          <w:sz w:val="14"/>
          <w:szCs w:val="14"/>
          <w:color w:val="auto"/>
        </w:rPr>
        <w:t>We have developed our cardiac bioassay system,</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CardioSafe</w:t>
      </w:r>
      <w:r>
        <w:rPr>
          <w:rFonts w:ascii="Arial" w:cs="Arial" w:eastAsia="Arial" w:hAnsi="Arial"/>
          <w:sz w:val="14"/>
          <w:szCs w:val="14"/>
          <w:b w:val="1"/>
          <w:bCs w:val="1"/>
          <w:color w:val="auto"/>
        </w:rPr>
        <w:t xml:space="preserve"> </w:t>
      </w:r>
      <w:r>
        <w:rPr>
          <w:rFonts w:ascii="Arial" w:cs="Arial" w:eastAsia="Arial" w:hAnsi="Arial"/>
          <w:sz w:val="14"/>
          <w:szCs w:val="14"/>
          <w:color w:val="auto"/>
        </w:rPr>
        <w:t>3D, for drug rescue</w:t>
      </w:r>
      <w:r>
        <w:rPr>
          <w:rFonts w:ascii="Arial" w:cs="Arial" w:eastAsia="Arial" w:hAnsi="Arial"/>
          <w:sz w:val="14"/>
          <w:szCs w:val="14"/>
          <w:b w:val="1"/>
          <w:bCs w:val="1"/>
          <w:color w:val="auto"/>
        </w:rPr>
        <w:t xml:space="preserve"> </w:t>
      </w:r>
      <w:r>
        <w:rPr>
          <w:rFonts w:ascii="Arial" w:cs="Arial" w:eastAsia="Arial" w:hAnsi="Arial"/>
          <w:sz w:val="14"/>
          <w:szCs w:val="14"/>
          <w:color w:val="auto"/>
        </w:rPr>
        <w:t>applications intended to produce proprietary NCEs for our internal drug development pipeline, without incurring many of the substantial costs and risks typically inherent in new drug discovery and nonclinical drug development.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 Opportunities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AV-101 (L-4-cholorkyurenine or 4-Cl-KYN)</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and Mechanism of Action</w:t>
      </w:r>
    </w:p>
    <w:p>
      <w:pPr>
        <w:spacing w:after="0" w:line="184" w:lineRule="exact"/>
        <w:rPr>
          <w:sz w:val="20"/>
          <w:szCs w:val="20"/>
          <w:color w:val="auto"/>
        </w:rPr>
      </w:pPr>
    </w:p>
    <w:p>
      <w:pPr>
        <w:ind w:right="720"/>
        <w:spacing w:after="0" w:line="283" w:lineRule="auto"/>
        <w:rPr>
          <w:sz w:val="20"/>
          <w:szCs w:val="20"/>
          <w:color w:val="auto"/>
        </w:rPr>
      </w:pPr>
      <w:r>
        <w:rPr>
          <w:rFonts w:ascii="Arial" w:cs="Arial" w:eastAsia="Arial" w:hAnsi="Arial"/>
          <w:sz w:val="14"/>
          <w:szCs w:val="14"/>
          <w:color w:val="auto"/>
        </w:rPr>
        <w:t xml:space="preserve">AV-101 is an orally available, clinical-stage prodrug candidate that readily gains access to the CNS after systemic administration and is rapidly converted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into its active metabolite, 7-chlorokynurenic acid (</w:t>
      </w:r>
      <w:r>
        <w:rPr>
          <w:rFonts w:ascii="Arial" w:cs="Arial" w:eastAsia="Arial" w:hAnsi="Arial"/>
          <w:sz w:val="14"/>
          <w:szCs w:val="14"/>
          <w:i w:val="1"/>
          <w:iCs w:val="1"/>
          <w:color w:val="auto"/>
        </w:rPr>
        <w:t>7-Cl-KYNA</w:t>
      </w:r>
      <w:r>
        <w:rPr>
          <w:rFonts w:ascii="Arial" w:cs="Arial" w:eastAsia="Arial" w:hAnsi="Arial"/>
          <w:sz w:val="14"/>
          <w:szCs w:val="14"/>
          <w:color w:val="auto"/>
        </w:rPr>
        <w:t>), a well-characterized, potent and highly selective antagonist of then NMDAR at the GlyB co-agonist site.</w:t>
      </w:r>
    </w:p>
    <w:p>
      <w:pPr>
        <w:spacing w:after="0" w:line="153" w:lineRule="exact"/>
        <w:rPr>
          <w:sz w:val="20"/>
          <w:szCs w:val="20"/>
          <w:color w:val="auto"/>
        </w:rPr>
      </w:pPr>
    </w:p>
    <w:p>
      <w:pPr>
        <w:ind w:right="180"/>
        <w:spacing w:after="0" w:line="370" w:lineRule="auto"/>
        <w:rPr>
          <w:sz w:val="20"/>
          <w:szCs w:val="20"/>
          <w:color w:val="auto"/>
        </w:rPr>
      </w:pPr>
      <w:r>
        <w:rPr>
          <w:rFonts w:ascii="Arial" w:cs="Arial" w:eastAsia="Arial" w:hAnsi="Arial"/>
          <w:sz w:val="12"/>
          <w:szCs w:val="12"/>
          <w:color w:val="auto"/>
        </w:rPr>
        <w:t>Current evidence suggests that AV-101’s antagonism of NMDAR signaling may provide fast-acting antidepressant effects in the treatment of MDD. In addition, as confirmed in our AV-101 Phase 1 clinical studies, targeting the GlyB site of the NMDAR does not have the adverse effects typically associated with classic NMDAR antagonists, such as ketamine, and other NMDA channel blockers.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We believe Phase 2 clinical development of AV-101 for MDD and multiple CNS-related indications is supported by strong scientific rationale, significant IND-enabling nonclinical data, recently published preclinical data comparing AV-101 to ketamine, and two successful Phase 1 clinical safety studies. To date, the NIH has awarded us $8.8 million of grant funding. Our recently launched Phase 2a clinical trial of AV-101 in treatment-resistant MDD is being funded by the NIMH, pursuant to our February 2015 CRADA with the NIMH, which is part of the NIH.</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Major Depressive Disorder</w:t>
      </w:r>
    </w:p>
    <w:p>
      <w:pPr>
        <w:spacing w:after="0" w:line="180" w:lineRule="exact"/>
        <w:rPr>
          <w:sz w:val="20"/>
          <w:szCs w:val="20"/>
          <w:color w:val="auto"/>
        </w:rPr>
      </w:pPr>
    </w:p>
    <w:p>
      <w:pPr>
        <w:ind w:right="380"/>
        <w:spacing w:after="0" w:line="323" w:lineRule="auto"/>
        <w:rPr>
          <w:sz w:val="20"/>
          <w:szCs w:val="20"/>
          <w:color w:val="auto"/>
        </w:rPr>
      </w:pPr>
      <w:r>
        <w:rPr>
          <w:rFonts w:ascii="Arial" w:cs="Arial" w:eastAsia="Arial" w:hAnsi="Arial"/>
          <w:sz w:val="13"/>
          <w:szCs w:val="13"/>
          <w:color w:val="auto"/>
        </w:rPr>
        <w:t>Depression is a serious medical illness and a global public health concern. The WHO estimates that depression is the leading cause of disability worldwide, and is a major contributor to the global burden of disease, affecting 350 million people globally. According to the CDC, approximately one in every 10 Americans aged 12 and over takes antidepressant medication.</w:t>
      </w:r>
    </w:p>
    <w:p>
      <w:pPr>
        <w:spacing w:after="0" w:line="109"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While most people will experience depressed mood at some point during their lifetime, MDD is different. MDD is the chronic, pervasive feeling of utter unhappiness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Suicide is estimated to be the cause of death in up to 15% individuals with MDD.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67" w:name="page68"/>
    <w:bookmarkEnd w:id="6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Standard Antidepressants</w:t>
      </w:r>
    </w:p>
    <w:p>
      <w:pPr>
        <w:spacing w:after="0" w:line="180"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color w:val="auto"/>
        </w:rPr>
        <w:t>For many people, depression cannot be controlled for any length of time without treatment. Standard medications available in the multi-billion dollar global antidepressant market, including commonly-prescribed SSRIs and SNRIs, have limited effectiveness, and, because of their mechanism of action, must be taken for several weeks or months before patients experience any significant therapeutic benefit. In addition, most standard antidepressants have an FDA-required “Black Box” safety warning due to a risk, in certain groups, of worsening depression and an increased risk of suicidal thoughts and behaviors during treatment, a property not expected to occur with AV-101. About two out of every three depression sufferers do not receive adequate therapeutic benefits from their initial treatment with a standard antidepressant, and the likelihood of achieving remission of depressive symptoms declines with each successive treatment attempt. Even after multiple treatment attempts, approximately one out of every three depression sufferers still fails to find an effective standard antidepressant. In addition, this trial and error process and the systemic effects of the various antidepressants involved, increases the risks of patient tolerability issues and serious side effects, including suicidal thoughts and behaviors in certain groups.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Ketamine and NIH Clinical Studies in Major Depressive Disorder</w:t>
      </w:r>
    </w:p>
    <w:p>
      <w:pPr>
        <w:spacing w:after="0" w:line="180"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Ketamine hydrochloride (</w:t>
      </w:r>
      <w:r>
        <w:rPr>
          <w:rFonts w:ascii="Arial" w:cs="Arial" w:eastAsia="Arial" w:hAnsi="Arial"/>
          <w:sz w:val="14"/>
          <w:szCs w:val="14"/>
          <w:i w:val="1"/>
          <w:iCs w:val="1"/>
          <w:color w:val="auto"/>
        </w:rPr>
        <w:t>ketamine</w:t>
      </w:r>
      <w:r>
        <w:rPr>
          <w:rFonts w:ascii="Arial" w:cs="Arial" w:eastAsia="Arial" w:hAnsi="Arial"/>
          <w:sz w:val="14"/>
          <w:szCs w:val="14"/>
          <w:color w:val="auto"/>
        </w:rPr>
        <w:t>) is an FDA-approved, rapid-acting general anesthetic. The use of ketamine (an NMDA receptor antagonist which acts as an NMDA channel blocker) to treat MDD has been studied in several clinical trials conducted by depression experts at the NIMH, part of the NIH, including Dr. Carlos Zarate, Jr., the NIMH’s Chief of Experimental Therapeutics &amp; Pathophysiology Branch and of the Section on Neurobiology and Treatment of Mood and Anxiety Disorders. In randomized, placebo-controlled, double blind clinical trials reported by Dr. Zarate and others at the NIMH, a single intravenous low dose of ketamine (0.5 mg/kg over 40 minutes) produced robust and rapid antidepressant effects in MDD patients who had not responded to standard anti-depressants. These results were in contrast to the very slow onset of SSRIs and SNRIs that usually require many weeks or months of chronic usage to achieve similar antidepressant effects. The potential for widespread therapeutic use of current FDA-approved ketamine, a Schedule III drug, for MDD is limited by its potential for abuse, dissociative and psychosis-like side effects and by practical challenges associated with the necessity of I.V. administration in a medical center. Notwithstanding these limitations, however, the discovery of ketamine’s fast-acting antidepressant effects revolutionized thinking about the current MDD treatment paradigm and increased interest in the development of a new generation of antidepressants with a fast-acting mechanism of action similar to ketamine’s. Our orally available AV-101 is among the next generation of antidepressants with potential to deliver fast-onset ketamine-like antidepressant effects, without ketamine’s side effects or required I.V. administration in a medical setting.</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AV-101 and Major Depressive Disorder</w:t>
      </w:r>
    </w:p>
    <w:p>
      <w:pPr>
        <w:spacing w:after="0" w:line="180" w:lineRule="exact"/>
        <w:rPr>
          <w:sz w:val="20"/>
          <w:szCs w:val="20"/>
          <w:color w:val="auto"/>
        </w:rPr>
      </w:pPr>
    </w:p>
    <w:p>
      <w:pPr>
        <w:ind w:right="440"/>
        <w:spacing w:after="0" w:line="323" w:lineRule="auto"/>
        <w:rPr>
          <w:sz w:val="20"/>
          <w:szCs w:val="20"/>
          <w:color w:val="auto"/>
        </w:rPr>
      </w:pPr>
      <w:r>
        <w:rPr>
          <w:rFonts w:ascii="Arial" w:cs="Arial" w:eastAsia="Arial" w:hAnsi="Arial"/>
          <w:sz w:val="13"/>
          <w:szCs w:val="13"/>
          <w:color w:val="auto"/>
        </w:rPr>
        <w:t>AV-101 is an orally available prodrug candidate that produces, in the brain, 7-Cl-KYNA, one of the most potent and selective antagonists of the GlyB site of the NMDAR, resulting in the down-regulation of NMDAR signaling. Growing evidence suggests that the glutamatergic system is central to the neurobiology and treatment of MDD and other mood disorders.</w:t>
      </w:r>
    </w:p>
    <w:p>
      <w:pPr>
        <w:spacing w:after="0" w:line="109"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AV-101’s mechanism of action is fundamentally differentiated from all standard antidepressants and all atypical antipsychotics often used to augment inadequate response with standard antidepressants, placing it among a new generation of glutamatergic antidepressants with potential to treat millions of MDD sufferers worldwide who are poorly served by SSRIs, SNRIs and other current depression therapies. AV-101 is functionally similar to ketamine in that both are NMDAR antagonists. However, AV-101 modulates (down-regulates) NMDAR channel activity and ketamine blocks it. AV-101 accomplishes this NMDAR modulation by selectively binding to the functionally required GlyB site of the NMDAR, thus down-regulating the NMDAR in a dose-dependent manner. We believe targeting the GlyB site of the NMDAR and modulating NMDAR activity rather than blocking it can bypass adverse effects that result when ketamine blocks the NMDA ion channel, without affecting the robust efficacy observed in previous clinical studies conducted by the NIH and others using ketamine to treat MDD. This NMDAR modulation by AV-101 may then result in the “glutamate surge,” and the increase in neuronal connections, that has been associated with the fast-acting antidepressant effects of ketamine.</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recently published preclinical studies, AV-101 has demonstrated the antidepressant-like activity of ketamine, including rapid onset and long duration of effect, without causing ketamine’s serious side effects. In two NIH-funded randomized, double blind, placebo-controlled Phase 1 safety studies, AV-101 was safe, well-tolerated and not associated with any severe adverse events. There were no signs of sedation, hallucinations or schizophrenia-like side effects often associated with ketamine and traditional NMDAR channel blockers.</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68" w:name="page69"/>
    <w:bookmarkEnd w:id="6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Building on over $8.8 million of prior grant award funding from the NIH for preclinical and Phase 1 clinical development of AV-101, in February 2015, we entered into our CRADA with the NIMH. Under the CRADA, we are collaborating with Dr. Carlos Zarate and the NIMH on a Phase 2a clinical study of AV-101 in subjects with treatment-resistant MDD. Pursuant to the CRADA, this study is being conducted at the NIMH by Dr. Zarate and being fully-sponsored by the NIMH. The primary objective of the NIH-funded Phase 2a study will be to evaluate the ability of AV-101 to improve overall depressive symptomatology in subjects with MDD, specifically whether subjects with MDD have a greater and more rapid decrease in depressive symptoms when treated with AV-101 than with placebo.</w:t>
      </w:r>
    </w:p>
    <w:p>
      <w:pPr>
        <w:spacing w:after="0" w:line="168"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We are currently preparing to launch our Phase 2b clinical study of AV-101 for the adjunctive treatment of MDD in patients with an inadequate response to standard antidepressants. We anticipate the launch of this potentially pivotal multi-center, multi-dose, double blind, placebo-controlled Phase 2b efficacy and safety study, which is expected to enroll approximately 315 patients, in the fourth quarter of 2016. The Principal Investigator of the study will be Dr. Maurizio Fava of Harvard Medical School. Dr. Fava was the co-Principal Investigator with Dr. A. John Rush of the largest clinical trial ever conducted in depression, STAR*D, whose findings were published in journals such the New England Journal of Medicine (</w:t>
      </w:r>
      <w:r>
        <w:rPr>
          <w:rFonts w:ascii="Arial" w:cs="Arial" w:eastAsia="Arial" w:hAnsi="Arial"/>
          <w:sz w:val="14"/>
          <w:szCs w:val="14"/>
          <w:i w:val="1"/>
          <w:iCs w:val="1"/>
          <w:color w:val="auto"/>
        </w:rPr>
        <w:t>NEJM</w:t>
      </w:r>
      <w:r>
        <w:rPr>
          <w:rFonts w:ascii="Arial" w:cs="Arial" w:eastAsia="Arial" w:hAnsi="Arial"/>
          <w:sz w:val="14"/>
          <w:szCs w:val="14"/>
          <w:color w:val="auto"/>
        </w:rPr>
        <w:t>) and the Journal of the American Medical Association (</w:t>
      </w:r>
      <w:r>
        <w:rPr>
          <w:rFonts w:ascii="Arial" w:cs="Arial" w:eastAsia="Arial" w:hAnsi="Arial"/>
          <w:sz w:val="14"/>
          <w:szCs w:val="14"/>
          <w:i w:val="1"/>
          <w:iCs w:val="1"/>
          <w:color w:val="auto"/>
        </w:rPr>
        <w:t>JAMA</w:t>
      </w:r>
      <w:r>
        <w:rPr>
          <w:rFonts w:ascii="Arial" w:cs="Arial" w:eastAsia="Arial" w:hAnsi="Arial"/>
          <w:sz w:val="14"/>
          <w:szCs w:val="14"/>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Nonclinical Studies in Chronic Neuropathic Pain, Epilepsy, Parkinson’s disease and Huntington’s disease</w:t>
      </w:r>
    </w:p>
    <w:p>
      <w:pPr>
        <w:spacing w:after="0" w:line="184"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In addition to well-established nonclinical models of depression, AV-101 nonclinical data in other CNS-related disorders support our hypothesis that it may have therapeutic and commercial potential beyond treatment of depression.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Chronic Neuropathic Pain and Acute Tissue Injury Hyperalgesia</w:t>
      </w:r>
    </w:p>
    <w:p>
      <w:pPr>
        <w:spacing w:after="0" w:line="201"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 effect of AV-101 on chronic neuropathic pain due to inflammation and nerve damage was assessed in rats by using the Chung nerve ligation model. AV-101 effects were compared to either saline, MK-801 or gabapentin controls. Similarly to what was observed in the formalin and thermal hyperalgesia test systems, AV-101 had a positive effect on chronic neuropathic pain in the Chung model, with no observed adverse behavioral effects. The efficacy observed for AV-101 in both the acute and chronic neuropathic pain model systems was dose dependent, and the drug response was not associated with any side effects within the range of doses administered.</w:t>
      </w:r>
    </w:p>
    <w:p>
      <w:pPr>
        <w:spacing w:after="0" w:line="167"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The antihyperalgesic effect of AV-101 has been evaluated in two standard tissue injury model systems: inflammatory thermal hyperalgesia and the formalin paw test. AV-101 was compared to two positive controls, the classic NMDAR antagonist MK-801 (discontinued in preclinical development by Merck due to neurotoxicity) and the anticonvulsant gabapentin. A significant drug response was defined as a response that was greater than or equal to 2 standard deviations (</w:t>
      </w:r>
      <w:r>
        <w:rPr>
          <w:rFonts w:ascii="Arial" w:cs="Arial" w:eastAsia="Arial" w:hAnsi="Arial"/>
          <w:sz w:val="14"/>
          <w:szCs w:val="14"/>
          <w:i w:val="1"/>
          <w:iCs w:val="1"/>
          <w:color w:val="auto"/>
        </w:rPr>
        <w:t>SD</w:t>
      </w:r>
      <w:r>
        <w:rPr>
          <w:rFonts w:ascii="Arial" w:cs="Arial" w:eastAsia="Arial" w:hAnsi="Arial"/>
          <w:sz w:val="14"/>
          <w:szCs w:val="14"/>
          <w:color w:val="auto"/>
        </w:rPr>
        <w:t>) from the response produced by vehicle. Animal behavior and motor function were observed and evaluated throughout the study.</w:t>
      </w:r>
    </w:p>
    <w:p>
      <w:pPr>
        <w:spacing w:after="0" w:line="146"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In the formalin hyperalgesia model, MK-801 caused significant spontaneous locomotor activity that prevented assessment of its analgesic activity. However, AV-101 displayed dose-dependent antihyperpathic effects in the absence of behavioral deficits for both Phase 1 (acute nociceptive pain) and Phase 2 (chronic and neuropathic pain) of hyperalgesia. In contrast, gabapentin did not have a significant anti-hyperalgesia response at any dose during Phase 1, but showed a significant positive response during Phase 2.</w:t>
      </w:r>
    </w:p>
    <w:p>
      <w:pPr>
        <w:spacing w:after="0" w:line="163" w:lineRule="exact"/>
        <w:rPr>
          <w:sz w:val="20"/>
          <w:szCs w:val="20"/>
          <w:color w:val="auto"/>
        </w:rPr>
      </w:pPr>
    </w:p>
    <w:p>
      <w:pPr>
        <w:ind w:right="360"/>
        <w:spacing w:after="0" w:line="290" w:lineRule="auto"/>
        <w:rPr>
          <w:sz w:val="20"/>
          <w:szCs w:val="20"/>
          <w:color w:val="auto"/>
        </w:rPr>
      </w:pPr>
      <w:r>
        <w:rPr>
          <w:rFonts w:ascii="Arial" w:cs="Arial" w:eastAsia="Arial" w:hAnsi="Arial"/>
          <w:sz w:val="13"/>
          <w:szCs w:val="13"/>
          <w:color w:val="auto"/>
        </w:rPr>
        <w:t>For the carrageenan inflammatory thermal hyperalgesia model, neither MK-801, gabapentin, nor AV-101 had an effect on acute thermal nociception, but produced a dose dependent block of the carrageenan-induced hyperalgesia that were greater than 2 SD of the vehicle: There were no behavioral changes observed at any AV-101 dose, but signs of behavioral and motor dysfunction were observed for gabapentin and MK-801 treated animals. The profile of analgesic activity observed for AV-101 in the formalin and inflammatory thermal hyperalgesia model systems supports the conclusion that AV-101 demonstrates anti-hyperalgesia activity in validated models of facilitated pain processing produced by peripheral tissue inflammation.</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69" w:name="page70"/>
    <w:bookmarkEnd w:id="6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Epilepsy</w:t>
      </w:r>
    </w:p>
    <w:p>
      <w:pPr>
        <w:spacing w:after="0" w:line="201" w:lineRule="exact"/>
        <w:rPr>
          <w:sz w:val="20"/>
          <w:szCs w:val="20"/>
          <w:color w:val="auto"/>
        </w:rPr>
      </w:pPr>
    </w:p>
    <w:p>
      <w:pPr>
        <w:jc w:val="both"/>
        <w:ind w:right="120"/>
        <w:spacing w:after="0" w:line="298" w:lineRule="auto"/>
        <w:rPr>
          <w:sz w:val="20"/>
          <w:szCs w:val="20"/>
          <w:color w:val="auto"/>
        </w:rPr>
      </w:pPr>
      <w:r>
        <w:rPr>
          <w:rFonts w:ascii="Arial" w:cs="Arial" w:eastAsia="Arial" w:hAnsi="Arial"/>
          <w:sz w:val="13"/>
          <w:szCs w:val="13"/>
          <w:color w:val="auto"/>
        </w:rPr>
        <w:t>AV-101 has been shown to protect against seizures and neuronal damage in animal models of epilepsy, providing preclinical support for its potential as a novel treatment of epilepsy. Epilepsy is one of the most prevalent neurological disorders, affecting almost 1% of the worldwide population. Approximately 2.5 million Americans have epilepsy. Nearly half of the people suffering from epilepsy are not effectively treated with currently available medications. In addition, the anticonvulsants used today can cause significant side effects, which frequently interfere with compliance.</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Glutamate is a neurotransmitter that is critically involved in the pathophysiology of epilepsy. Through its stimulation of the NMDAR subtype, glutamate has been implicated in the neuropathology and clinical symptoms of the disease. In support of this, NMDAR antagonists are potent anticonvulsants. However, classic NMDAR antagonists are limited by adverse effects, such as neurotoxicity, declining mental status, and the onset of psychotic symptoms following administration of the drug. The endogenous amino acid glycine modulates glutamatergic neurotransmission by stimulating the GlyB co-agonist site of the NMDA receptor. GlyB site antagonists inhibit NMDAR function and are therefore anticonvulsant and neuroprotective. Importantly, GlyB site antagonists have fewer and less severe side effects than classic NMDAR antagonists and other antiepileptic agents, making them a safer potential alternative to, and one expected to be associated with greater patient compliance than, available anticonvulsant medications.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AV-101 has two additional therapeutically important properties as a drug candidate for treatment of epilepsy:</w:t>
      </w:r>
    </w:p>
    <w:p>
      <w:pPr>
        <w:spacing w:after="0" w:line="201" w:lineRule="exact"/>
        <w:rPr>
          <w:sz w:val="20"/>
          <w:szCs w:val="20"/>
          <w:color w:val="auto"/>
        </w:rPr>
      </w:pPr>
    </w:p>
    <w:p>
      <w:pPr>
        <w:ind w:left="620" w:right="40" w:hanging="615"/>
        <w:spacing w:after="0" w:line="333" w:lineRule="auto"/>
        <w:tabs>
          <w:tab w:leader="none" w:pos="6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AV-101 is preferentially converted to 7-Cl-KYNA in brain areas related to neuronal injury. This is because astrocytes, which are responsible for the enzymatic transamination of 4-Cl-KYN prodrug to active 7-Cl-KYNA, are focally activated at sites of neuronal injury. Due to AV-101’s highly focused site of conversion, local concentrations of newly formed 7-Cl-KYNA are greatest at the site of therapeutic need. In addition to delivering the drug where it is needed, this reduces the chance of systemic and dangerous side effects with long-term use of the drug; and</w:t>
      </w:r>
    </w:p>
    <w:p>
      <w:pPr>
        <w:spacing w:after="0" w:line="128" w:lineRule="exact"/>
        <w:rPr>
          <w:rFonts w:ascii="Arial" w:cs="Arial" w:eastAsia="Arial" w:hAnsi="Arial"/>
          <w:sz w:val="12"/>
          <w:szCs w:val="12"/>
          <w:color w:val="auto"/>
        </w:rPr>
      </w:pPr>
    </w:p>
    <w:p>
      <w:pPr>
        <w:ind w:left="620" w:right="180" w:hanging="615"/>
        <w:spacing w:after="0" w:line="283" w:lineRule="auto"/>
        <w:tabs>
          <w:tab w:leader="none" w:pos="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 active metabolite of AV-101, 4-Cl-3-hydroxyanthranilic acid, inhibits the synthesis of quinolinic acid, an endogenous NMDAR agonist that causes convulsions and excitotoxic neuronal damage.</w:t>
      </w:r>
    </w:p>
    <w:p>
      <w:pPr>
        <w:spacing w:after="0" w:line="131"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AV-101’s ability to activate astrocytes for focal delivery of an anti-epileptic principle, and its dual action as a NMDAR GlyB antagonist and quinolinic acid synthesis inhibitor, make AV-101 a potential Phase 2 development candidate for treatment of epilepsy.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Parkinson’s Disease</w:t>
      </w:r>
    </w:p>
    <w:p>
      <w:pPr>
        <w:spacing w:after="0" w:line="180"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AV-101 has been shown to activate ventral tegmental area (</w:t>
      </w:r>
      <w:r>
        <w:rPr>
          <w:rFonts w:ascii="Arial" w:cs="Arial" w:eastAsia="Arial" w:hAnsi="Arial"/>
          <w:sz w:val="13"/>
          <w:szCs w:val="13"/>
          <w:i w:val="1"/>
          <w:iCs w:val="1"/>
          <w:color w:val="auto"/>
        </w:rPr>
        <w:t>VTA</w:t>
      </w:r>
      <w:r>
        <w:rPr>
          <w:rFonts w:ascii="Arial" w:cs="Arial" w:eastAsia="Arial" w:hAnsi="Arial"/>
          <w:sz w:val="13"/>
          <w:szCs w:val="13"/>
          <w:color w:val="auto"/>
        </w:rPr>
        <w:t>) dopaminergic (</w:t>
      </w:r>
      <w:r>
        <w:rPr>
          <w:rFonts w:ascii="Arial" w:cs="Arial" w:eastAsia="Arial" w:hAnsi="Arial"/>
          <w:sz w:val="13"/>
          <w:szCs w:val="13"/>
          <w:i w:val="1"/>
          <w:iCs w:val="1"/>
          <w:color w:val="auto"/>
        </w:rPr>
        <w:t>DA</w:t>
      </w:r>
      <w:r>
        <w:rPr>
          <w:rFonts w:ascii="Arial" w:cs="Arial" w:eastAsia="Arial" w:hAnsi="Arial"/>
          <w:sz w:val="13"/>
          <w:szCs w:val="13"/>
          <w:color w:val="auto"/>
        </w:rPr>
        <w:t>) neurons. Kynurenic acid (</w:t>
      </w:r>
      <w:r>
        <w:rPr>
          <w:rFonts w:ascii="Arial" w:cs="Arial" w:eastAsia="Arial" w:hAnsi="Arial"/>
          <w:sz w:val="13"/>
          <w:szCs w:val="13"/>
          <w:i w:val="1"/>
          <w:iCs w:val="1"/>
          <w:color w:val="auto"/>
        </w:rPr>
        <w:t>KYNA</w:t>
      </w:r>
      <w:r>
        <w:rPr>
          <w:rFonts w:ascii="Arial" w:cs="Arial" w:eastAsia="Arial" w:hAnsi="Arial"/>
          <w:sz w:val="13"/>
          <w:szCs w:val="13"/>
          <w:color w:val="auto"/>
        </w:rPr>
        <w:t>) is an endogenous NMDA receptor antagonist, as well as a blocker of the 7-nicotinic acid receptor. Mounting evidence suggests that this compound participates in the pathophysiology of schizophrenia. Preclinical studies have shown that elevated levels of endogenous KYNA are associated with increased firing of midbrain DA neurons. AV-101 is converted to the selective NMDAR GlyB antagonist 7-Cl-KYNA, which is 20 times more potent and selective than KYNA in binding the GlyB site. Utilizing extra cellular single unit cell recording techniques, we have shown that AV-101, which is converted to the selective NMDAR GlyB antagonist 7-Cl-KYNA, significantly increases the firing rate and percent burst firing activity of VTA DA neurons. These results have potential therapeutic implications for Parkinson’s disease.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Huntington’s Disease</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Working together with metabotropic glutamate receptors, the NMDAR ensures the establishment of long-term potentiation (</w:t>
      </w:r>
      <w:r>
        <w:rPr>
          <w:rFonts w:ascii="Arial" w:cs="Arial" w:eastAsia="Arial" w:hAnsi="Arial"/>
          <w:sz w:val="14"/>
          <w:szCs w:val="14"/>
          <w:i w:val="1"/>
          <w:iCs w:val="1"/>
          <w:color w:val="auto"/>
        </w:rPr>
        <w:t>LTP</w:t>
      </w:r>
      <w:r>
        <w:rPr>
          <w:rFonts w:ascii="Arial" w:cs="Arial" w:eastAsia="Arial" w:hAnsi="Arial"/>
          <w:sz w:val="14"/>
          <w:szCs w:val="14"/>
          <w:color w:val="auto"/>
        </w:rPr>
        <w:t>), a process believed to be responsible for the acquisition of information. These functions are mediated by calcium entry through the NMDAR-associated channel, which in turn influences a wide variety of cellular components, like cytoskeletal proteins or second- messenger synthases. However, over activation at the NMDAR triggers an excessive entry of calcium ions, initiating a series of cytoplasmic and nuclear processes that promote neuronal cell death through necrosis as well as apoptosis, and these mechanisms have been implicated in several neurodegenerative diseases.</w:t>
      </w:r>
    </w:p>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color w:val="auto"/>
        </w:rPr>
        <w:t>Huntington’s disease (</w:t>
      </w:r>
      <w:r>
        <w:rPr>
          <w:rFonts w:ascii="Arial" w:cs="Arial" w:eastAsia="Arial" w:hAnsi="Arial"/>
          <w:sz w:val="14"/>
          <w:szCs w:val="14"/>
          <w:i w:val="1"/>
          <w:iCs w:val="1"/>
          <w:color w:val="auto"/>
        </w:rPr>
        <w:t>HD</w:t>
      </w:r>
      <w:r>
        <w:rPr>
          <w:rFonts w:ascii="Arial" w:cs="Arial" w:eastAsia="Arial" w:hAnsi="Arial"/>
          <w:sz w:val="14"/>
          <w:szCs w:val="14"/>
          <w:color w:val="auto"/>
        </w:rPr>
        <w:t>), a chronic neurodegenerative disorder, is caused by an expansion in the number of glutamine repeats beyond 35 at the amino terminal end of a protein termed “huntingtin.” Such a mutation in huntingtin leads to a sequence of progressive cellular changes in the brain that result in neuronal loss and other characteristic neuropathological features of HD. These are most prominent in the neostriatum and in the cerebral cortex, but also observed in other brain areas.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0" w:name="page71"/>
    <w:bookmarkEnd w:id="7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jc w:val="both"/>
        <w:ind w:right="460"/>
        <w:spacing w:after="0" w:line="298" w:lineRule="auto"/>
        <w:rPr>
          <w:sz w:val="20"/>
          <w:szCs w:val="20"/>
          <w:color w:val="auto"/>
        </w:rPr>
      </w:pPr>
      <w:r>
        <w:rPr>
          <w:rFonts w:ascii="Arial" w:cs="Arial" w:eastAsia="Arial" w:hAnsi="Arial"/>
          <w:sz w:val="13"/>
          <w:szCs w:val="13"/>
          <w:color w:val="auto"/>
        </w:rPr>
        <w:t>The tissue levels of two neurotoxic metabolites of the kynurenine pathway of tryptophan degradation, quinolinic acid (</w:t>
      </w:r>
      <w:r>
        <w:rPr>
          <w:rFonts w:ascii="Arial" w:cs="Arial" w:eastAsia="Arial" w:hAnsi="Arial"/>
          <w:sz w:val="13"/>
          <w:szCs w:val="13"/>
          <w:i w:val="1"/>
          <w:iCs w:val="1"/>
          <w:color w:val="auto"/>
        </w:rPr>
        <w:t>QUIN</w:t>
      </w:r>
      <w:r>
        <w:rPr>
          <w:rFonts w:ascii="Arial" w:cs="Arial" w:eastAsia="Arial" w:hAnsi="Arial"/>
          <w:sz w:val="13"/>
          <w:szCs w:val="13"/>
          <w:color w:val="auto"/>
        </w:rPr>
        <w:t>) and 3-hydroxykynurenine (</w:t>
      </w:r>
      <w:r>
        <w:rPr>
          <w:rFonts w:ascii="Arial" w:cs="Arial" w:eastAsia="Arial" w:hAnsi="Arial"/>
          <w:sz w:val="13"/>
          <w:szCs w:val="13"/>
          <w:i w:val="1"/>
          <w:iCs w:val="1"/>
          <w:color w:val="auto"/>
        </w:rPr>
        <w:t>3-HK</w:t>
      </w:r>
      <w:r>
        <w:rPr>
          <w:rFonts w:ascii="Arial" w:cs="Arial" w:eastAsia="Arial" w:hAnsi="Arial"/>
          <w:sz w:val="13"/>
          <w:szCs w:val="13"/>
          <w:color w:val="auto"/>
        </w:rPr>
        <w:t>) are increased in the striatum and neocortex, but not in the cerebellum, in early stage HD. QUIN and 3-HK and especially the joint action of these two metabolites, have long been associated with the neurodegenerative and other features of the pathophysiology of HD. The neuronal death caused by QUIN and 3-HK is due to both free radical formation and NMDA receptor overstimulation (excitotoxicity).</w:t>
      </w:r>
    </w:p>
    <w:p>
      <w:pPr>
        <w:spacing w:after="0" w:line="125"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Based on the hypothesis that 3-HK and QUIN are involved in the progression of HD, early intervention aimed at affecting the kynurenine pathway in the brain may present a promising treatment strategy. We believe the ability of AV-101 to reduce the brain levels of neurotoxic OUIN and to potentially produce significant local concentrations of 7-Cl-KYNA on chronic administration, presents an exciting opportunity for Phase 2 clinical investigation of AV-101 as a potential chronic treatment of HD.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Additional AV-101 Nonclinical Information</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A comprehensive nonclinical pharmacology, pharmacokinetic (</w:t>
      </w:r>
      <w:r>
        <w:rPr>
          <w:rFonts w:ascii="Arial" w:cs="Arial" w:eastAsia="Arial" w:hAnsi="Arial"/>
          <w:sz w:val="14"/>
          <w:szCs w:val="14"/>
          <w:i w:val="1"/>
          <w:iCs w:val="1"/>
          <w:color w:val="auto"/>
        </w:rPr>
        <w:t>PK</w:t>
      </w:r>
      <w:r>
        <w:rPr>
          <w:rFonts w:ascii="Arial" w:cs="Arial" w:eastAsia="Arial" w:hAnsi="Arial"/>
          <w:sz w:val="14"/>
          <w:szCs w:val="14"/>
          <w:color w:val="auto"/>
        </w:rPr>
        <w:t>)/toxicokinetic (</w:t>
      </w:r>
      <w:r>
        <w:rPr>
          <w:rFonts w:ascii="Arial" w:cs="Arial" w:eastAsia="Arial" w:hAnsi="Arial"/>
          <w:sz w:val="14"/>
          <w:szCs w:val="14"/>
          <w:i w:val="1"/>
          <w:iCs w:val="1"/>
          <w:color w:val="auto"/>
        </w:rPr>
        <w:t>TK</w:t>
      </w:r>
      <w:r>
        <w:rPr>
          <w:rFonts w:ascii="Arial" w:cs="Arial" w:eastAsia="Arial" w:hAnsi="Arial"/>
          <w:sz w:val="14"/>
          <w:szCs w:val="14"/>
          <w:color w:val="auto"/>
        </w:rPr>
        <w:t xml:space="preserve">), and toxicology program has been conducted to support the clinical use of AV-101 in multiple CNS-related indications. The primary pharmacological activity of AV-101 has been investigated in a series of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Pharmacology (absorption, distribution, metabolism, and excretion), PK/TK, and toxicology studies have been conducted with AV-101 in rats, dogs, and monkeys. The excellent safety profile of AV-101 was confirmed by pilot tolerability, single-dose range finding, and repeated-dose toxicology studies in rats, dogs and monkeys. The genotoxic potential of AV-101 and its active metabolite, 7-Cl-KYNA, was assessed in multiple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genotoxicity studies (bacterial mutation, chromosomal aberration, mouse lymphoma TK+/-, and micronucleus tests).</w:t>
      </w:r>
    </w:p>
    <w:p>
      <w:pPr>
        <w:spacing w:after="0" w:line="147"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color w:val="auto"/>
        </w:rPr>
        <w:t>The behavioral effects of AV-101 assessed in a Good Laboratory Practice (</w:t>
      </w:r>
      <w:r>
        <w:rPr>
          <w:rFonts w:ascii="Arial" w:cs="Arial" w:eastAsia="Arial" w:hAnsi="Arial"/>
          <w:sz w:val="13"/>
          <w:szCs w:val="13"/>
          <w:i w:val="1"/>
          <w:iCs w:val="1"/>
          <w:color w:val="auto"/>
        </w:rPr>
        <w:t>GLP</w:t>
      </w:r>
      <w:r>
        <w:rPr>
          <w:rFonts w:ascii="Arial" w:cs="Arial" w:eastAsia="Arial" w:hAnsi="Arial"/>
          <w:sz w:val="13"/>
          <w:szCs w:val="13"/>
          <w:color w:val="auto"/>
        </w:rPr>
        <w:t>) Irwin test in rats show it to have no adverse effect on the CNS following single oral administration at doses up to 2,000 mg/kg. Although AV-101 inhibited the human ether à-go-go–related gene (</w:t>
      </w:r>
      <w:r>
        <w:rPr>
          <w:rFonts w:ascii="Arial" w:cs="Arial" w:eastAsia="Arial" w:hAnsi="Arial"/>
          <w:sz w:val="13"/>
          <w:szCs w:val="13"/>
          <w:i w:val="1"/>
          <w:iCs w:val="1"/>
          <w:color w:val="auto"/>
        </w:rPr>
        <w:t>hERG</w:t>
      </w:r>
      <w:r>
        <w:rPr>
          <w:rFonts w:ascii="Arial" w:cs="Arial" w:eastAsia="Arial" w:hAnsi="Arial"/>
          <w:sz w:val="13"/>
          <w:szCs w:val="13"/>
          <w:color w:val="auto"/>
        </w:rPr>
        <w:t>) current in a dose-dependent manner (median concentration that causes 50% inhibition for the inhibitory effect [IC50] of 70.5 μM), its active metabolite, 7-Cl-KYNA, showed no inhibitory effect on the hERG channel current. Electrocardiograms (</w:t>
      </w:r>
      <w:r>
        <w:rPr>
          <w:rFonts w:ascii="Arial" w:cs="Arial" w:eastAsia="Arial" w:hAnsi="Arial"/>
          <w:sz w:val="13"/>
          <w:szCs w:val="13"/>
          <w:i w:val="1"/>
          <w:iCs w:val="1"/>
          <w:color w:val="auto"/>
        </w:rPr>
        <w:t>ECGs</w:t>
      </w:r>
      <w:r>
        <w:rPr>
          <w:rFonts w:ascii="Arial" w:cs="Arial" w:eastAsia="Arial" w:hAnsi="Arial"/>
          <w:sz w:val="13"/>
          <w:szCs w:val="13"/>
          <w:color w:val="auto"/>
        </w:rPr>
        <w:t xml:space="preserve">) recorded during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dog toxicology studies showed no AV-101–related adverse cardiovascular effects. Furthermore, in a pivotal GLP dog 14-day toxicology study, no treatment-related effects on ECGs, including QT interval and QTc, at dose levels up to 120 mg/kg/d. No evidence of any treatment-related adverse effects on the respiratory system has been noted with AV-101.</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Oral administration of AV-101 to Sprague-Dawley rats and mice was shown to result in rapid absorption of AV-101 (rats: time to maximum plasma concentration [Tmax], approximately 0.25 to 0.5 hours), adequate bioavailability (rats: approximately 39% to 94%), and plasma elimination half-life (rats: t1/2 approximately 1 to 3 hours). Furthermore, in rats 7-Cl-KYNA was detected in the plasma and reached the maximum plasma concentration (</w:t>
      </w:r>
      <w:r>
        <w:rPr>
          <w:rFonts w:ascii="Arial" w:cs="Arial" w:eastAsia="Arial" w:hAnsi="Arial"/>
          <w:sz w:val="14"/>
          <w:szCs w:val="14"/>
          <w:i w:val="1"/>
          <w:iCs w:val="1"/>
          <w:color w:val="auto"/>
        </w:rPr>
        <w:t>Cmax</w:t>
      </w:r>
      <w:r>
        <w:rPr>
          <w:rFonts w:ascii="Arial" w:cs="Arial" w:eastAsia="Arial" w:hAnsi="Arial"/>
          <w:sz w:val="14"/>
          <w:szCs w:val="14"/>
          <w:color w:val="auto"/>
        </w:rPr>
        <w:t>) approximately 0.25 to 0.5 hours after oral administration, suggesting a rapid conversion of AV-101 to 7-Cl-KYNA. Pharmacokinetic analyses were conducted in many of the toxicology studies in rats, dogs, and monkeys. These analyses showed that the AV-101-related clinical signs observed in dogs (versus monkeys) were associated with a similar, and at some does a significantly higher, exposure. Furthermore, although AUC and Cmax values increased non-proportionately with dose level in dogs, AUC values only marginally increased with dose in monkeys, with little change in Cmax values.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Low levels of potential metabolites of AV-101 were detected following in vitro incubations with hepatocytes from the mouse, rat, dog, monkey, and humans, indicating little concern with liver metabolism issues. No appreciable conversion of AV-101 to D-4-Cl-KYN during these hepatocyte incubations was noted. Results from cytochrome P-450 (</w:t>
      </w:r>
      <w:r>
        <w:rPr>
          <w:rFonts w:ascii="Arial" w:cs="Arial" w:eastAsia="Arial" w:hAnsi="Arial"/>
          <w:sz w:val="14"/>
          <w:szCs w:val="14"/>
          <w:i w:val="1"/>
          <w:iCs w:val="1"/>
          <w:color w:val="auto"/>
        </w:rPr>
        <w:t>CYP</w:t>
      </w:r>
      <w:r>
        <w:rPr>
          <w:rFonts w:ascii="Arial" w:cs="Arial" w:eastAsia="Arial" w:hAnsi="Arial"/>
          <w:sz w:val="14"/>
          <w:szCs w:val="14"/>
          <w:color w:val="auto"/>
        </w:rPr>
        <w:t>) inhibition and induction studies showed that AV-101 was not a potent inhibitor or inducer of the human CYP isoforms evaluated.</w:t>
      </w:r>
    </w:p>
    <w:p>
      <w:pPr>
        <w:spacing w:after="0" w:line="163"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Single-dose studies in rats and monkeys did not show clear evidence of toxicity at maximal doses of 2,000 mg/kg. In dogs, consistent with the expected drug mechanism of action, oral administration of AV-101 resulted in CNS-related clinical signs, including decreased activity, abnormal gait/stance, ataxia, and prostration at the maximum tolerated dose.</w:t>
      </w:r>
    </w:p>
    <w:p>
      <w:pPr>
        <w:spacing w:after="0" w:line="131"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A repeated-dose (14-day) ocular toxicity study in Sprague-Dawley rats (unpigmented) and brown Norway rats (pigmented) at dose levels up to 2,000 mg/kg/d did not reveal any signs of retinal degeneration at any dose level or rat strain. A subsequent pivotal GLP 14-day repeated-dose toxicity study in Sprague-Dawley rats showed no treatment-related ocular findings after daily dosing of AV-101 for 14 consecutive days at dose levels up to 2,000 mg/kg/d.</w:t>
      </w:r>
    </w:p>
    <w:p>
      <w:pPr>
        <w:spacing w:after="0" w:line="163" w:lineRule="exact"/>
        <w:rPr>
          <w:sz w:val="20"/>
          <w:szCs w:val="20"/>
          <w:color w:val="auto"/>
        </w:rPr>
      </w:pPr>
    </w:p>
    <w:p>
      <w:pPr>
        <w:ind w:right="100"/>
        <w:spacing w:after="0" w:line="323" w:lineRule="auto"/>
        <w:rPr>
          <w:sz w:val="20"/>
          <w:szCs w:val="20"/>
          <w:color w:val="auto"/>
        </w:rPr>
      </w:pPr>
      <w:r>
        <w:rPr>
          <w:rFonts w:ascii="Arial" w:cs="Arial" w:eastAsia="Arial" w:hAnsi="Arial"/>
          <w:sz w:val="13"/>
          <w:szCs w:val="13"/>
          <w:color w:val="auto"/>
        </w:rPr>
        <w:t>A GLP 14-day repeated-dose CNS toxicity study conducted in dogs, at dose levels up to 100 mg/kg/d showed no treatment-related lesions in the brain of any animal. The pivotal GLP 14-day repeated-dose toxicity study in Beagle dogs, also showed no treatment-related CNS findings after daily dosing of AV-101 for 14 consecutive days at dose levels up to 120 mg/kg/d.</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1" w:name="page72"/>
    <w:bookmarkEnd w:id="7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80"/>
        <w:spacing w:after="0" w:line="283" w:lineRule="auto"/>
        <w:rPr>
          <w:sz w:val="20"/>
          <w:szCs w:val="20"/>
          <w:color w:val="auto"/>
        </w:rPr>
      </w:pPr>
      <w:r>
        <w:rPr>
          <w:rFonts w:ascii="Arial" w:cs="Arial" w:eastAsia="Arial" w:hAnsi="Arial"/>
          <w:sz w:val="14"/>
          <w:szCs w:val="14"/>
          <w:color w:val="auto"/>
        </w:rPr>
        <w:t>The genotoxic potential of AV-101 and 7-Cl-KYNA was assessed in multiple in vitro genotoxicity studies (bacterial reverse mutation, chromosomal aberration, mouse lymphoma TK+/-, and micronucleus tests), and the overall results confirmed that both AV-101 and 7-Cl-KYNA are not mutagenic.</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 rat Olney lesion study was conducted to assess the potential CNS toxicity. No lesions were observed in the brain after a single oral dose of AV-101 at doses up to 2,000 mg/kg.</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Nonclinical Pharmacology Studies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Primary Pharmacodynamics</w:t>
      </w:r>
    </w:p>
    <w:p>
      <w:pPr>
        <w:spacing w:after="0" w:line="180" w:lineRule="exact"/>
        <w:rPr>
          <w:sz w:val="20"/>
          <w:szCs w:val="20"/>
          <w:color w:val="auto"/>
        </w:rPr>
      </w:pPr>
    </w:p>
    <w:p>
      <w:pPr>
        <w:jc w:val="both"/>
        <w:ind w:right="240"/>
        <w:spacing w:after="0" w:line="268" w:lineRule="auto"/>
        <w:rPr>
          <w:sz w:val="20"/>
          <w:szCs w:val="20"/>
          <w:color w:val="auto"/>
        </w:rPr>
      </w:pPr>
      <w:r>
        <w:rPr>
          <w:rFonts w:ascii="Arial" w:cs="Arial" w:eastAsia="Arial" w:hAnsi="Arial"/>
          <w:sz w:val="14"/>
          <w:szCs w:val="14"/>
          <w:color w:val="auto"/>
        </w:rPr>
        <w:t>Much of the nonclinical pharmacology information of AV-101 is derived from many published research results on 4-Cl-KYN or 7-Cl-KYNA. Primary pharmacodynamic studies conducted in rodent models for neuropathic pain demonstrated AV-101’s antihyperalgesic activity in models of facilitated pain processing, its analgesic properties, its ability to provide neuroprotection from excitotoxic death, its ability to reduce seizures, and its activity in multiple preclinical models of depression.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Nonclinical Absorption, Distribution, Metabolism and Excretion Studies</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rats, area under the concentration-time curve from time of dosing extrapolated to infinity (AUC0-∞) values were proportional to dose for AV-101, but Cmax was less than proportional to dose, suggesting a saturation of absorption rate. 7-Cl-KYNA Cmax was less than proportional to dose, and generally females tended to have a higher exposure to AV-101 than males, but no sex difference was noted for 7-Cl-KYNA exposure. In the repeated-dose studies, D-4-Cl-KYN, 4-Cl-KYN, and 7-Cl-KYNA mean area under the concentration-time curves from time of dosing to the last sampling time (AUC0-t) and AUC0-∞ values were higher on Day 14 than on Day 1 in both sexes of most treatment groups, indicating that exposure increased following daily repeated dosing of AV-101. Sex differences were noted for D-4-Cl-KYN and 4-Cl-KYN, with mean AUC0-t and AUC0-∞ estimates higher in females relative to males for most treatment groups. Conversely, mean AUC0-t and AUC0-∞ values of 7-Cl-KYNA were generally higher in males relative to females.</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In dogs, AUC0-∞ values were slightly less than proportional to dose up to 100 mg/kg AV-101 and Cmax values were less than proportional to dose, suggesting a saturation of absorption. No consistent sex differences were noted for Cmax or AUC values. AUC0-∞ and Cmax values for 7-Cl-KYNA were less than proportional to dose. In the repeated-dose study, D-4-Cl-KYN, 4-Cl-KYN, and 7-Cl-KYNA showed a proportional increase in Cmax with the administered dose level of AV-101 in both sexes. There was no evidence of plasma accumulation for any of the analytes. Sex differences were noted for D-4-Cl-KYN, with slightly higher mean AUC0-t and AUC0-∞ estimates in females relative to males on Day 1 and Day 14, in all treatment groups. For 7-Cl-KYNA, mean Cmax was elevated in females relative to males at all dose levels on Days 1 and Day 14, and mean AUC0-t and AUC0-∞ estimates were also generally higher in females relative to males at all dose levels. No clear sex differences were noted for 4-Cl-KYN.</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In monkeys, AUC0-∞ values were relatively proportional to dose, but Cmax values were not proportional to dose (comparable or lower Cmax with increasing doses). The AUC0-∞ and Cmax values for 7-Cl-KYNA were less than proportional to dose, and no major sex differences were noted.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Nonclinical Toxicology Studies</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safety profile of AV-101 was determined in single-dose, range-finding, and repeated-dose toxicology studies in rats and dogs, and in a single-dose study in monkeys. A GLP CNS safety pharmacology study in rats that included a microscopic evaluation for Olney lesions was also conducted. Additionally, pivotal GLP 14-day repeated-dose toxicology studies in rats and dogs have been conducted. The genotoxic potentials of AV-101 and 7-Cl-KYNA were assessed in multiple in vitro and in vivo genotoxicity studies, including bacterial reverse mutation, chromosomal aberration, mouse lymphoma TK+/-, and micronucleus tests. Neither was determined to be mutagenic.</w:t>
      </w:r>
    </w:p>
    <w:p>
      <w:pPr>
        <w:spacing w:after="0" w:line="16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Local tolerance studies have not been conducted with AV-101. However, no lesions in the gastrointestinal tract were observed after oral administration of AV-101 in the repeated-dose toxicity studies in the rat and dog.</w:t>
      </w:r>
    </w:p>
    <w:p>
      <w:pPr>
        <w:spacing w:after="0" w:line="153" w:lineRule="exact"/>
        <w:rPr>
          <w:sz w:val="20"/>
          <w:szCs w:val="20"/>
          <w:color w:val="auto"/>
        </w:rPr>
      </w:pPr>
    </w:p>
    <w:p>
      <w:pPr>
        <w:ind w:right="220"/>
        <w:spacing w:after="0" w:line="298" w:lineRule="auto"/>
        <w:rPr>
          <w:sz w:val="20"/>
          <w:szCs w:val="20"/>
          <w:color w:val="auto"/>
        </w:rPr>
      </w:pPr>
      <w:r>
        <w:rPr>
          <w:rFonts w:ascii="Arial" w:cs="Arial" w:eastAsia="Arial" w:hAnsi="Arial"/>
          <w:sz w:val="13"/>
          <w:szCs w:val="13"/>
          <w:color w:val="auto"/>
        </w:rPr>
        <w:t>The results of the pivotal 14-day studies show the dog to be the most sensitive species. The dog NOAEL was determined to be the highest dose level (120 mg/kg/d), and therefore the maximum recommended starting dose (</w:t>
      </w:r>
      <w:r>
        <w:rPr>
          <w:rFonts w:ascii="Arial" w:cs="Arial" w:eastAsia="Arial" w:hAnsi="Arial"/>
          <w:sz w:val="13"/>
          <w:szCs w:val="13"/>
          <w:i w:val="1"/>
          <w:iCs w:val="1"/>
          <w:color w:val="auto"/>
        </w:rPr>
        <w:t>MRSD</w:t>
      </w:r>
      <w:r>
        <w:rPr>
          <w:rFonts w:ascii="Arial" w:cs="Arial" w:eastAsia="Arial" w:hAnsi="Arial"/>
          <w:sz w:val="13"/>
          <w:szCs w:val="13"/>
          <w:color w:val="auto"/>
        </w:rPr>
        <w:t xml:space="preserve">) would be 6.5 mg/kg (12 mg/kg/d </w:t>
      </w:r>
      <w:r>
        <w:rPr>
          <w:rFonts w:ascii="Arial" w:cs="Arial" w:eastAsia="Arial" w:hAnsi="Arial"/>
          <w:sz w:val="13"/>
          <w:szCs w:val="13"/>
          <w:color w:val="auto"/>
        </w:rPr>
        <w:t>Ч</w:t>
      </w:r>
      <w:r>
        <w:rPr>
          <w:rFonts w:ascii="Arial" w:cs="Arial" w:eastAsia="Arial" w:hAnsi="Arial"/>
          <w:sz w:val="13"/>
          <w:szCs w:val="13"/>
          <w:color w:val="auto"/>
        </w:rPr>
        <w:t xml:space="preserve"> 0.54 [conversion factor]) or 390 mg per subject for a 60-kg person. As a further added margin of safety for the clinical use of AV-101, the Company applied an additional safety factor to the calculated MRSD, and set the starting dose in the proposed Phase 1a clinical trial at 0.5 mg/kg (i.e., 30 mg for 60 kg subjects).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2" w:name="page73"/>
    <w:bookmarkEnd w:id="7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Phase 1 Clinical Safety Studies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The safety data from two NIH-funded AV-101 Phase 1 clinical safety studies indicate that AV-101 was safe and well tolerated in healthy subjects at all doses tested. There were no adverse effects (</w:t>
      </w:r>
      <w:r>
        <w:rPr>
          <w:rFonts w:ascii="Arial" w:cs="Arial" w:eastAsia="Arial" w:hAnsi="Arial"/>
          <w:sz w:val="14"/>
          <w:szCs w:val="14"/>
          <w:i w:val="1"/>
          <w:iCs w:val="1"/>
          <w:color w:val="auto"/>
        </w:rPr>
        <w:t>AEs</w:t>
      </w:r>
      <w:r>
        <w:rPr>
          <w:rFonts w:ascii="Arial" w:cs="Arial" w:eastAsia="Arial" w:hAnsi="Arial"/>
          <w:sz w:val="14"/>
          <w:szCs w:val="14"/>
          <w:color w:val="auto"/>
        </w:rPr>
        <w:t>) reported by subjects that received AV-101 that were graded as probably related to study drug. The type and distribution of AEs reported by subjects in the studies were considered to be typical for studies in healthy volunteers. All AEs were completely resolved, and no Serious Adverse Events (</w:t>
      </w:r>
      <w:r>
        <w:rPr>
          <w:rFonts w:ascii="Arial" w:cs="Arial" w:eastAsia="Arial" w:hAnsi="Arial"/>
          <w:sz w:val="14"/>
          <w:szCs w:val="14"/>
          <w:i w:val="1"/>
          <w:iCs w:val="1"/>
          <w:color w:val="auto"/>
        </w:rPr>
        <w:t>SAEs</w:t>
      </w:r>
      <w:r>
        <w:rPr>
          <w:rFonts w:ascii="Arial" w:cs="Arial" w:eastAsia="Arial" w:hAnsi="Arial"/>
          <w:sz w:val="14"/>
          <w:szCs w:val="14"/>
          <w:color w:val="auto"/>
        </w:rPr>
        <w:t>) were reported.</w:t>
      </w:r>
    </w:p>
    <w:p>
      <w:pPr>
        <w:spacing w:after="0" w:line="142" w:lineRule="exact"/>
        <w:rPr>
          <w:sz w:val="20"/>
          <w:szCs w:val="20"/>
          <w:color w:val="auto"/>
        </w:rPr>
      </w:pPr>
    </w:p>
    <w:p>
      <w:pPr>
        <w:ind w:right="40"/>
        <w:spacing w:after="0" w:line="370" w:lineRule="auto"/>
        <w:rPr>
          <w:sz w:val="20"/>
          <w:szCs w:val="20"/>
          <w:color w:val="auto"/>
        </w:rPr>
      </w:pPr>
      <w:r>
        <w:rPr>
          <w:rFonts w:ascii="Arial" w:cs="Arial" w:eastAsia="Arial" w:hAnsi="Arial"/>
          <w:sz w:val="12"/>
          <w:szCs w:val="12"/>
          <w:color w:val="auto"/>
        </w:rPr>
        <w:t>Although the Phase 1 safety and pharmacokinetic studies were not designed to measure or evaluate the potential antidepressant effects of AV-101, approximately 9% (5/54) of the subjects receiving AV-101 and 0% of the 30 subjects receiving placebo reported “feelings of well-being” (coded as euphoric mood), similar to the fast-acting antidepressant effects reported in the literature with ketamine.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1a Study</w:t>
      </w:r>
    </w:p>
    <w:p>
      <w:pPr>
        <w:spacing w:after="0" w:line="180" w:lineRule="exact"/>
        <w:rPr>
          <w:sz w:val="20"/>
          <w:szCs w:val="20"/>
          <w:color w:val="auto"/>
        </w:rPr>
      </w:pPr>
    </w:p>
    <w:p>
      <w:pPr>
        <w:ind w:right="60"/>
        <w:spacing w:after="0" w:line="306" w:lineRule="auto"/>
        <w:rPr>
          <w:sz w:val="20"/>
          <w:szCs w:val="20"/>
          <w:color w:val="auto"/>
        </w:rPr>
      </w:pPr>
      <w:r>
        <w:rPr>
          <w:rFonts w:ascii="Arial" w:cs="Arial" w:eastAsia="Arial" w:hAnsi="Arial"/>
          <w:sz w:val="12"/>
          <w:szCs w:val="12"/>
          <w:color w:val="auto"/>
        </w:rPr>
        <w:t>A phase 1a, randomized, double blind, placebo-controlled study to evaluate the safety and PK of single doses of AV-101 in healthy volunteers was conducted (VSG-CL-001). Seven cohorts (30, 120, 360, 720, 1,080, 1,440, and 1,800 mg) with six subjects per cohort (1:1, AV-101: placebo) were to be enrolled in the study. For the first five cohorts (30, 120, 360, 710 and 1,080 mg) only two subjects were dosed at a time as a pair (1:1, AV-101: placebo) on Day 1. The safety and tolerability of AV-101 in each pair of subjects was assessed by the investigator before proceeding to the next pair within the dose cohort of the study. If no safety concerns were found after analysis of the laboratory samples, physical assessments, and results of the neurological and ophthalmological examinations, the next two subjects in the cohort were dosed, but no sooner than 48 hours after the previous pair of subjects. The next cohort was dosed when the investigator and medical monitor agreed that it was safe to proceed based on review of the previous dose group’s preliminary safety information. In addition, PK assessments were to be reviewed for each cohort starting with the 720 mg through the 1,800 mg dose cohort. A minimum of four evaluable subjects (two AV-101 and two placebo) were required for determination of tolerability and safety of a dose level. The PK stopping criteria would be reached when the 4-C1-KYN mean AUC0-t reaches 900,486 ng·h/mL, or a mean Cmax of 81,633 ng/mL, or a PK extrapolation predicts exceeding one of these values in the next cohort.</w:t>
      </w:r>
    </w:p>
    <w:p>
      <w:pPr>
        <w:spacing w:after="0" w:line="126"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All the subjects from the 1,440 mg cohort were dosed during a single day (3 subjects receiving active drug and 3 subjects receiving placebo). The safety and tolerability of AV-101 in the 1,440 mg dose cohort was to be assessed by the investigator and medical monitor before proceeding to the 1,800 mg dose cohort. If no safety concerns were found after analysis of the laboratory samples including the PK results, physical assessments, and results of the neurological and ophthalmological examinations for the 1,440 mg cohort, the 1,800-mg cohort was to be dosed. However, the PK stopping criteria were reached at the 1,440-mg cohort, and the study was stopped and did not proceed to the planned 1,800 mg cohort.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1a Study Pharmacokinetics Summary</w:t>
      </w:r>
    </w:p>
    <w:p>
      <w:pPr>
        <w:spacing w:after="0" w:line="180"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Validated bioanalytical methods were used to measure plasma analyte concentrations. These assays had lower limits of quantification of 2 ng/mL for 7-Cl-KYNA and 5 ng/mL for 4-Cl-KYN and D-4-Cl- KYN. Pharmacokinetic parameters were calculated by using WinNonlin Pro v. 5.2. Parameters calculated included observed maximal concentration (Cmax), observed time to Cmax (Tmax), area under the concentration-time curve to the last sample collected (AUC0-t) or extrapolated to infinity (AUC0-∞), and half-life (t1/2). Concentrations of all three analytes were measurable in both plasma and urine after administration of each of the six dose levels: 30, 120, 360, 720, 1,080 and 1,440 mg.</w:t>
      </w:r>
    </w:p>
    <w:p>
      <w:pPr>
        <w:spacing w:after="0" w:line="146" w:lineRule="exact"/>
        <w:rPr>
          <w:sz w:val="20"/>
          <w:szCs w:val="20"/>
          <w:color w:val="auto"/>
        </w:rPr>
      </w:pPr>
    </w:p>
    <w:p>
      <w:pPr>
        <w:ind w:right="120"/>
        <w:spacing w:after="0" w:line="370" w:lineRule="auto"/>
        <w:rPr>
          <w:sz w:val="20"/>
          <w:szCs w:val="20"/>
          <w:color w:val="auto"/>
        </w:rPr>
      </w:pPr>
      <w:r>
        <w:rPr>
          <w:rFonts w:ascii="Arial" w:cs="Arial" w:eastAsia="Arial" w:hAnsi="Arial"/>
          <w:sz w:val="12"/>
          <w:szCs w:val="12"/>
          <w:color w:val="auto"/>
        </w:rPr>
        <w:t>Concentration-time data were obtained after dosing of the six cohorts. Three subjects received AV-101 and three received placebo in each cohort. Plasma concentrations of 4-Cl-KYN and 7-Cl-KYNA were obtained in addition to urine concentrations of these two analytes. Plasma and urine concentrations of D-4-Cl-KYN also were determined, but will be reported only for the first two cohorts.</w:t>
      </w:r>
    </w:p>
    <w:p>
      <w:pPr>
        <w:spacing w:after="0" w:line="86"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This study was conducted under dose escalation stopping criteria as determined by the FDA of 4-Cl-KYN mean Cmax and AUC limits of 81,633 ng/mL and 900,486 ng·h/mL, respectively. Although these criteria were not met for the mean data of the 1,440-mg dose, one subject had a Cmax that was slightly greater than the limit of 81,633 ng/mL. Therefore, dose escalation to the planned seventh cohort of 1,800 mg of AV-101 did not occur in this study. However, from a safety perspective, a maximum tolerable dose was not achieved. Also, maximum AUC values at the highest dose level remained substantially lower than the limit.</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Concentrations of all three analytes were measurable in both plasma and urine after administration of all dose levels, although many of the samples from the 30-mg dose group had concentrations below the limit of quantification for 7-Cl-KYNA. Plasma concentration-time profiles were consistent with rapid absorption of the oral dose and first-order elimination. The plasma concentration-time profiles were well defined for 4-Cl-KYN at all dose levels. Maximum concentrations occurred fairly rapidly, with individual values of Tmax ranging from 0.5 to 2 hours, with greater values tending to be in the higher dose groups. Individual t1/2 values were fairly consistent within cohorts, and mean values ranged from 1.80 to 3.33 hours. Mean t1/2 values also tended to increase with increasing dose. Mean Cmax and AUC0-∞ values appeared to be approximately dose proportional except for those of the highest dose group.</w:t>
      </w:r>
    </w:p>
    <w:p>
      <w:pPr>
        <w:spacing w:after="0" w:line="14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The 7-Cl-KYNA plasma concentration-time profiles were not well defined for the 30-mg dose. Most samples for the 30-mg dose cohort had concentrations below the lower limits of quantification, and t1/2 values could not be calculated; however, profiles were sufficient after the 120-mg and greater doses to calculate all parameters.</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In general, 7-Cl-KYNA maximum concentrations occurred at the same time or later than those for 4-Cl-KYN, as may be expected since 7-Cl-KYNA is a metabolite of 4-Cl-KYN. Individual values of Tmax ranged from 0.5 to 2 hours for both analytes. Individual 7-Cl-KYNA t1/2 values were fairly consistent within cohorts, and mean values ranged from 2.17 to 3.19 hours. Mean t1/2 values did not appear to be dose-related. Mean 7-Cl-KYNA Cmax values were somewhat dose proportional for the two initial dose groups, but tended to increase in a more than dose-proportional manner. Similarly, mean 7-Cl-KYNA AUC0-t values for all dose groups and AUC0-∞ values for dose groups of 120 mg or greater tended to increase in a more than dose-proportional manner. Mean plasma concentrations of 4-Cl-KYN (Figure 1) and 7-Cl-KYNA (Figure 2) are depicted for all six cohorts.</w:t>
      </w:r>
    </w:p>
    <w:p>
      <w:pPr>
        <w:spacing w:after="0" w:line="14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As with the 120-mg dose cohort, the plasma concentration-time profiles were well defined for both 4-Cl-KYN and 7-Cl-KYNA at the four higher dose levels. Interestingly, the mean concentration-time profiles suggest that maximum concentrations were lower than expected, particularly for 7-Cl-KYNA.</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3" w:name="page74"/>
    <w:bookmarkEnd w:id="7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Assessment of Dose Proportionality</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3"/>
          <w:szCs w:val="13"/>
          <w:color w:val="auto"/>
        </w:rPr>
        <w:t>For 4-Cl-KYN, mean Cmax and AUC0-∞ values appeared to be approximately dose proportional except for those of the highest dose group. These values are presented by dose in Figure 3 (Cmax) and in Figure 4 (AUC0-∞) below. Figure 3 indicates that for 4-Cl-KYN the mean Cmax values are approximately dose linear and proportional up to a dose of 1,080 mg of AV-101. After a dose of 1,440 mg, the mean Cmax values increased only 8.8% while the dose increased by 33.3%. This is evident in the deviation of the graph from linearity at the highest dose.</w:t>
      </w:r>
    </w:p>
    <w:p>
      <w:pPr>
        <w:spacing w:after="0" w:line="125"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Although the 4-Cl-KYN mean Cmax values were not linear after the 1,080-mg dose, AUC0-∞ values are approximately linear and dose proportional throughout the dose range. The nonlinearity of Cmax values at the highest dose could be a result of an outlier or simply variability in a small number of subjects (Cmax values of 44,600, 54,900, and 89,500 ng/mL were observed after the dose of 1,040-mg AV-101), it suggests that the rate or extent of absorption could be limited. The fact that AUC0-∞ values were linear throughout the dose range suggests that the extent of absorption was not a limitation, but the rate of absorption may be limited at doses above 1,080 mg.</w:t>
      </w:r>
    </w:p>
    <w:p>
      <w:pPr>
        <w:spacing w:after="0" w:line="167" w:lineRule="exact"/>
        <w:rPr>
          <w:sz w:val="20"/>
          <w:szCs w:val="20"/>
          <w:color w:val="auto"/>
        </w:rPr>
      </w:pPr>
    </w:p>
    <w:p>
      <w:pPr>
        <w:jc w:val="both"/>
        <w:ind w:right="180"/>
        <w:spacing w:after="0" w:line="323" w:lineRule="auto"/>
        <w:rPr>
          <w:sz w:val="20"/>
          <w:szCs w:val="20"/>
          <w:color w:val="auto"/>
        </w:rPr>
      </w:pPr>
      <w:r>
        <w:rPr>
          <w:rFonts w:ascii="Arial" w:cs="Arial" w:eastAsia="Arial" w:hAnsi="Arial"/>
          <w:sz w:val="13"/>
          <w:szCs w:val="13"/>
          <w:color w:val="auto"/>
        </w:rPr>
        <w:t>The lack of linearity of the 4-Cl-KYN mean Cmax values would be expected to have a similar effect on the 7-Cl-KYNA mean Cmax values. Similarly, because the extent of absorption of 4-Cl-KYN was linear throughout the dose range, exposure to 7-Cl-KYNA would be expected to also be linear. Mean values of 7-Cl-KYNA are presented by dose in Figure 5 (Cmax) and in Figure 6 (AUC0-∞).</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1a Safety Summary</w:t>
      </w:r>
    </w:p>
    <w:p>
      <w:pPr>
        <w:spacing w:after="0" w:line="180" w:lineRule="exact"/>
        <w:rPr>
          <w:sz w:val="20"/>
          <w:szCs w:val="20"/>
          <w:color w:val="auto"/>
        </w:rPr>
      </w:pPr>
    </w:p>
    <w:p>
      <w:pPr>
        <w:ind w:right="120"/>
        <w:spacing w:after="0" w:line="305" w:lineRule="auto"/>
        <w:rPr>
          <w:sz w:val="20"/>
          <w:szCs w:val="20"/>
          <w:color w:val="auto"/>
        </w:rPr>
      </w:pPr>
      <w:r>
        <w:rPr>
          <w:rFonts w:ascii="Arial" w:cs="Arial" w:eastAsia="Arial" w:hAnsi="Arial"/>
          <w:sz w:val="12"/>
          <w:szCs w:val="12"/>
          <w:color w:val="auto"/>
        </w:rPr>
        <w:t>Nine subjects experienced 10 AEs, with four of the AEs occurring in subjects in the placebo group and two of the AEs occurring for one subject receiving 30 mg AV-101. For the AEs occurring in the AV-101–treated subjects, there were no meaningful differences in the number of AEs observed at the 30-mg dose (2 AEs) when compared with that at the 120-mg dose (1 AE), 360-mg dose (1 AE),</w:t>
      </w:r>
    </w:p>
    <w:p>
      <w:pPr>
        <w:spacing w:after="0" w:line="256" w:lineRule="auto"/>
        <w:rPr>
          <w:sz w:val="20"/>
          <w:szCs w:val="20"/>
          <w:color w:val="auto"/>
        </w:rPr>
      </w:pPr>
      <w:r>
        <w:rPr>
          <w:rFonts w:ascii="Arial" w:cs="Arial" w:eastAsia="Arial" w:hAnsi="Arial"/>
          <w:sz w:val="14"/>
          <w:szCs w:val="14"/>
          <w:color w:val="auto"/>
        </w:rPr>
        <w:t>720-mg dose (0 AEs), 1,080-mg dose (0 AEs), or 1,440-mg dose (2 AEs). Eight of 10 AEs (80%) were considered mild, and two (20%, headache and gastroenteritis) were considered moderate. Four subjects on AV-101, one each in Cohorts 1 through 4 and two subjects on placebo in Cohort 5 reported AEs of headaches. Five headaches were mild with no concomitant treatment, and one was moderate with concomitant drug therapy administered. Most completely resolved the same day as onset and were considered not serious. One headache started the day after dosing and resolved approximately one week later on the same day as the concomitant drug therapy was administered. One case of contact dermatitis bilateral lower extremities was reported in Cohort 2 on placebo that was ongoing. One of the subjects with the headache also reported an AE of gastroenteritis that was unrelated to AV-101. This AE was considered moderate but did not require any drug therapy and was completely resolved within 2 days of onset. This AE was also considered not serious.</w:t>
      </w:r>
    </w:p>
    <w:p>
      <w:pPr>
        <w:spacing w:after="0" w:line="173" w:lineRule="exact"/>
        <w:rPr>
          <w:sz w:val="20"/>
          <w:szCs w:val="20"/>
          <w:color w:val="auto"/>
        </w:rPr>
      </w:pPr>
    </w:p>
    <w:p>
      <w:pPr>
        <w:ind w:right="40"/>
        <w:spacing w:after="0" w:line="298" w:lineRule="auto"/>
        <w:rPr>
          <w:sz w:val="20"/>
          <w:szCs w:val="20"/>
          <w:color w:val="auto"/>
        </w:rPr>
      </w:pPr>
      <w:r>
        <w:rPr>
          <w:rFonts w:ascii="Arial" w:cs="Arial" w:eastAsia="Arial" w:hAnsi="Arial"/>
          <w:sz w:val="13"/>
          <w:szCs w:val="13"/>
          <w:color w:val="auto"/>
        </w:rPr>
        <w:t>Even though these safety studies were not designed to quantitatively assess effects on mood, during the interviews 2 out of 3 subjects who received the highest dose (1440 mg) of AV-101, voluntarily acknowledged positive effects on mood. Similar comments were not made by any of the 18 placebo group subjects. One incident lasted approximately 15 minutes after study drug dosing, and the other event of euphoria lasted approximately 3 hours after study drug dosing. There were no other reported AEs for this cohort. The events resolved and were considered not serious.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74" w:name="page75"/>
    <w:bookmarkEnd w:id="7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1b Study</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A Phase 1b clinical study was conducted as a single-site, dose-escalating study to evaluate the safety, tolerability, and PK of multiple doses of AV-101 administered daily in healthy volunteers. The antihyperalgesic effect of AV-101 on capsaicin-induced hyperalgesia was also assessed. Subjects were sequentially enrolled into one of three cohorts (360 mg, 1,080 mg, and 1,440 mg) and were randomized to AV-101 or placebo at a 12:4 (AV-101 to placebo) ratio. Subjects were to have been dosed for 14 consecutive days. Each subject was given a paper diary and instructed to record daily dose administration, concomitant medications, and AEs during the 14-day treatment period.</w:t>
      </w:r>
    </w:p>
    <w:p>
      <w:pPr>
        <w:spacing w:after="0" w:line="167"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safety and tolerability of AV-101 were assessed by evaluating AEs and by physical examinations, vital signs, and clinical laboratory tests (chemistry and hematology assessments) that were performed on Days 1, 7 (±1 day), and 14. Blood sampling for PK was performed on Days 1, 2, 14, and 15. Additionally, ophthalmological examinations were performed at screening and Day 15. Physical examinations, including vital signs, 12-lead ECGs, neurocognitive tests, and ataxia tests were performed on Day 1 and Day 14. Before proceeding to the next higher dose, the following criteria were met:</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·Blinded safety and tolerability data were reviewed and assessed as being satisfactory by the investigator and medical monitor; and</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·PK assessments were reviewed by the blinded Cato Research PK specialist to determine if the PK stopping criteria were reached.</w:t>
      </w:r>
    </w:p>
    <w:p>
      <w:pPr>
        <w:spacing w:after="0" w:line="201" w:lineRule="exact"/>
        <w:rPr>
          <w:sz w:val="20"/>
          <w:szCs w:val="20"/>
          <w:color w:val="auto"/>
        </w:rPr>
      </w:pPr>
    </w:p>
    <w:p>
      <w:pPr>
        <w:jc w:val="both"/>
        <w:ind w:right="140"/>
        <w:spacing w:after="0" w:line="283" w:lineRule="auto"/>
        <w:rPr>
          <w:sz w:val="20"/>
          <w:szCs w:val="20"/>
          <w:color w:val="auto"/>
        </w:rPr>
      </w:pPr>
      <w:r>
        <w:rPr>
          <w:rFonts w:ascii="Arial" w:cs="Arial" w:eastAsia="Arial" w:hAnsi="Arial"/>
          <w:sz w:val="14"/>
          <w:szCs w:val="14"/>
          <w:color w:val="auto"/>
        </w:rPr>
        <w:t>The doses evaluated in this Phase 1b multi-dose study of AV-101 were based on results obtained in a previously conducted Phase 1a single-dose study of AV-101 in healthy adults. The dose-escalation design was consistent with a standard scheme, and careful monitoring occurred to ensure the safety of all subjects.</w:t>
      </w:r>
    </w:p>
    <w:p>
      <w:pPr>
        <w:spacing w:after="0" w:line="153"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color w:val="auto"/>
        </w:rPr>
        <w:t>The minimum toxic dose was defined as the dose at which the stopping criteria were reached. For this study, the minimum toxic dose was to be (1) the dose at which a drug-related SAE occurred in an AV-101–treated subject, or (2) the dose at which a severe AE that warranted stopping the study, as determined by the investigator and medical monitor, occurred in an AV-101–treated subject within a cohort. The minimum toxic dose was not reached in this study.</w:t>
      </w:r>
    </w:p>
    <w:p>
      <w:pPr>
        <w:spacing w:after="0" w:line="163"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A total of 40 AEs were reported by 24 of 37 (64.9%) subjects receiving AV-101, and 17 AEs were reported by 10 of 13 (76.9%) subject receiving placebo (Table 2).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 and no SAEs were reported.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5" w:name="page76"/>
    <w:bookmarkEnd w:id="7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majority of the reported AEs were nervous system disorders (23 subjects, 46% of subjects) and gastrointestinal disorders (7 subjects, 14.0%). The remaining AEs were classified as eye disorders (3 subjects, 6.0%); psychiatric disorders (3 subjects, 6.0%); respiratory, thoracic, and mediastinal disorders (3, 6.0%); skin and subcutaneous tissue disorders (3 subjects, 6.0%); general disorders and administration site conditions (2 subjects, 4.0%); cardiac disorders (1 subject, 2.0%); infections and infestations (1 subject, 2.0%); musculoskeletal and connective tissue disorders (1 subject, 2.0%); and renal disorders (1 subject, 2.0%).</w:t>
      </w:r>
    </w:p>
    <w:p>
      <w:pPr>
        <w:spacing w:after="0" w:line="146"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 distribution of AEs by System Organ Class was similar among the cohorts with the exception of headaches and gastrointestinal disorders. Eight of the 18 (44.4%) reported headaches were in the placebo group, 6 (33.3%) were in the 1,080-mg group, 3 (16.7%) were in the 1,440-mg group, and 1 (5.6%) was in the 360-mg group. Three (42.9%) of the 7 reported gastrointestinal disorders were in the 360-mg group, 2 (28.6%) were in the placebo group, 1 (14.3%) was in the 1,080-mg group, and 1 (14.3%) was in the 1,440-mg group.</w:t>
      </w:r>
    </w:p>
    <w:p>
      <w:pPr>
        <w:spacing w:after="0" w:line="142"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The determination of the relationship of the AE to the study drug was made when the data were unblinded. Ten of the 15 AEs (66.7%) that occurred in the 360-mg AV-101 group, 10 of the 14 AEs (71.4%) that occurred in the 1,040-mg AV-101 group, 7 of the 10 AEs (70.0%) that occurred in the 1,440-mg AV-101 group, and 13 of the 17 AEs (76.5%) that occurred in the placebo group were determined to be possibly related to study drug. One (5.9%) AE in the placebo group was probably related to study drug (rash around neck). Of the 57 reported AEs, 49 (85.9%) were of mild intensity and 8 (14.0%) were of moderate intensity. There were 2 moderate intensity AEs in the 360-mg AV-101 group; 1 was unrelated pain in the right foot, and 1 was a possibly related headache. All other moderate AEs occurred in the placebo group and included nausea or vomiting (2 AEs), headache (2 AEs), and rash around the neck (1 AE). No SAEs were reported.</w:t>
      </w:r>
    </w:p>
    <w:p>
      <w:pPr>
        <w:spacing w:after="0" w:line="135" w:lineRule="exact"/>
        <w:rPr>
          <w:sz w:val="20"/>
          <w:szCs w:val="20"/>
          <w:color w:val="auto"/>
        </w:rPr>
      </w:pPr>
    </w:p>
    <w:p>
      <w:pPr>
        <w:ind w:right="500"/>
        <w:spacing w:after="0" w:line="283" w:lineRule="auto"/>
        <w:rPr>
          <w:sz w:val="20"/>
          <w:szCs w:val="20"/>
          <w:color w:val="auto"/>
        </w:rPr>
      </w:pPr>
      <w:r>
        <w:rPr>
          <w:rFonts w:ascii="Arial" w:cs="Arial" w:eastAsia="Arial" w:hAnsi="Arial"/>
          <w:sz w:val="14"/>
          <w:szCs w:val="14"/>
          <w:color w:val="auto"/>
        </w:rPr>
        <w:t>Even though these safety studies were not designed to quantitatively assess effects on mood, during the interviews certain subjects who received 360, 1080, and 1440 mg of AV-101, voluntarily acknowledged positive effects on mood. Similar comments were not made by any of the placebo-group subjects.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1b Pharmacokinetics Summary</w:t>
      </w:r>
    </w:p>
    <w:p>
      <w:pPr>
        <w:spacing w:after="0" w:line="180"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Concentration-time data were obtained after dosing of the three cohorts. Plasma concentrations of 4-Cl-KYN (AV-101) and the metabolite, 7-Cl-KYNA, were obtained from subjects that received AV-101. PK parameters were calculated by using WinNonlin Pro Version 5.3. Parameters calculated included Cmax, Tmax, AUC0-t, AUC0-∞, and t1/2.</w:t>
      </w:r>
    </w:p>
    <w:p>
      <w:pPr>
        <w:spacing w:after="0" w:line="13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Plasma concentration-time profiles obtained for 4-Cl-KYN after administration of once-daily oral doses of 360, 1,080, or 1,440 mg AV-101 were consistent with rapid absorption of the oral dose and first-order elimination of both 4-Cl-KYN and 7-Cl-KYNA, with evidence of multicompartment kinetics, particularly for the metabolite 7-Cl-KYNA. Several subjects had plasma concentration-time profiles with a last measurable sample that appeared to be an outlier or suggested multicompartment kinetics, making it challenging to identify a terminal log-linear elimination phase. Particularly for 7-Cl-KYNA, using the last two measurable samples to calculate t1/2 resulted in unrealistic values for some subjects.</w:t>
      </w:r>
    </w:p>
    <w:p>
      <w:pPr>
        <w:spacing w:after="0" w:line="146" w:lineRule="exact"/>
        <w:rPr>
          <w:sz w:val="20"/>
          <w:szCs w:val="20"/>
          <w:color w:val="auto"/>
        </w:rPr>
      </w:pPr>
    </w:p>
    <w:p>
      <w:pPr>
        <w:jc w:val="both"/>
        <w:ind w:right="120"/>
        <w:spacing w:after="0" w:line="263" w:lineRule="auto"/>
        <w:rPr>
          <w:sz w:val="20"/>
          <w:szCs w:val="20"/>
          <w:color w:val="auto"/>
        </w:rPr>
      </w:pPr>
      <w:r>
        <w:rPr>
          <w:rFonts w:ascii="Arial" w:cs="Arial" w:eastAsia="Arial" w:hAnsi="Arial"/>
          <w:sz w:val="14"/>
          <w:szCs w:val="14"/>
          <w:color w:val="auto"/>
        </w:rPr>
        <w:t>Plasma concentration-time profiles for 4-Cl-KYN were more consistently single compartment, but several had a subtle multicompartment appearance. To be consistent in the calculation of t1/2 and to report a meaningful value, the final three samples with measurable concentrations were used to calculate t1/2 for subjects for whom those samples appeared to be log-linear. Otherwise, the last sample was essentially treated as an outlier, and the prior samples in the log-linear phase were used to calculate t1/2 (these samples had a higher coefficient of determination value than the last three samples). In addition, the AUC0-∞ values reported are calculated using the predicted last value rather than observed.</w:t>
      </w:r>
    </w:p>
    <w:p>
      <w:pPr>
        <w:spacing w:after="0" w:line="146" w:lineRule="exact"/>
        <w:rPr>
          <w:sz w:val="20"/>
          <w:szCs w:val="20"/>
          <w:color w:val="auto"/>
        </w:rPr>
      </w:pPr>
    </w:p>
    <w:p>
      <w:pPr>
        <w:jc w:val="both"/>
        <w:ind w:right="100"/>
        <w:spacing w:after="0" w:line="283" w:lineRule="auto"/>
        <w:rPr>
          <w:sz w:val="20"/>
          <w:szCs w:val="20"/>
          <w:color w:val="auto"/>
        </w:rPr>
      </w:pPr>
      <w:r>
        <w:rPr>
          <w:rFonts w:ascii="Arial" w:cs="Arial" w:eastAsia="Arial" w:hAnsi="Arial"/>
          <w:sz w:val="14"/>
          <w:szCs w:val="14"/>
          <w:color w:val="auto"/>
        </w:rPr>
        <w:t>An absolute bioavailability evaluation is not possible from the data; however, an estimate of exposure can be done by comparing the AUC at the same doses. The mean AUC0-∞values in the Phase 1b study were higher at all three doses than seen in Phase 1a study, suggesting similar or even higher bioavailability than that in the Phase 1a study, i.e. ≥ 31%.</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In conclusion, the PK of AV-101 was fully characterized across the range of doses in this study. Plasma concentration-time profiles obtained for 4-Cl-KYN (AV-101) and 7-Cl-KYNA after administration of a single and multiple, once daily oral doses of 360, 1,080, or 1,440 mg were consistent with rapid absorption of the oral dose and first-order elimination of both analytes, with evidence of multi-compartment kinetics, particularly for the metabolite 7-Cl-KYNA.</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76" w:name="page77"/>
    <w:bookmarkEnd w:id="7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Phase 1 Program - Summary</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The safety data from two NIH-funded AV-101 Phase 1 clinical safety studies indicate that AV-101 was safe and well tolerated in healthy subjects at all doses tested. There were no AEs reported by subjects that received AV-101 that were graded as probably related to study drug. The type and distribution of AEs reported by subjects in the studies were considered to be typical for studies in healthy volunteers. All of the AEs were completely resolved, and no SAEs were reported.</w:t>
      </w:r>
    </w:p>
    <w:p>
      <w:pPr>
        <w:spacing w:after="0" w:line="163" w:lineRule="exact"/>
        <w:rPr>
          <w:sz w:val="20"/>
          <w:szCs w:val="20"/>
          <w:color w:val="auto"/>
        </w:rPr>
      </w:pPr>
    </w:p>
    <w:p>
      <w:pPr>
        <w:spacing w:after="0" w:line="370" w:lineRule="auto"/>
        <w:rPr>
          <w:sz w:val="20"/>
          <w:szCs w:val="20"/>
          <w:color w:val="auto"/>
        </w:rPr>
      </w:pPr>
      <w:r>
        <w:rPr>
          <w:rFonts w:ascii="Arial" w:cs="Arial" w:eastAsia="Arial" w:hAnsi="Arial"/>
          <w:sz w:val="12"/>
          <w:szCs w:val="12"/>
          <w:color w:val="auto"/>
        </w:rPr>
        <w:t>Although the Phase 1 safety and pharmacokinetic studies were not designed to measure or evaluate the potential antidepressant effects of AV-101, approximately 9% (5/54) of the subjects receiving AV-101 and 0% of the 30 subjects receiving placebo reported “feelings of well-being” (coded as euphoric mood), similar to the fast-acting antidepressant effects reported in the literature with ketamine.</w:t>
      </w:r>
    </w:p>
    <w:p>
      <w:pPr>
        <w:spacing w:after="0" w:line="86"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The five reports of feelings of well being occurred in one subject each at 360 (7%, 1 of 15 subjects) and 1,080 mg (7%, 1 of 15 subjects), and three subjects at 1,440 mg (20%, 3 of 15 subjects) in the Phase 1a and Phase 1b clinical studies, combined. Four of the five subjects reporting feelings of well-being did not have any other adverse experiences, and one subject (1,080 mg) also reported a mild headache. These results suggest a dose response and that AV-101 at the higher doses may lead to an increased positive mood.</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77" w:name="page78"/>
    <w:bookmarkEnd w:id="7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5" w:lineRule="exact"/>
        <w:rPr>
          <w:sz w:val="20"/>
          <w:szCs w:val="20"/>
          <w:color w:val="auto"/>
        </w:rPr>
      </w:pPr>
    </w:p>
    <w:p>
      <w:pPr>
        <w:ind w:right="280"/>
        <w:spacing w:after="0" w:line="268" w:lineRule="auto"/>
        <w:rPr>
          <w:sz w:val="20"/>
          <w:szCs w:val="20"/>
          <w:color w:val="auto"/>
        </w:rPr>
      </w:pPr>
      <w:r>
        <w:rPr>
          <w:rFonts w:ascii="Arial" w:cs="Arial" w:eastAsia="Arial" w:hAnsi="Arial"/>
          <w:sz w:val="14"/>
          <w:szCs w:val="14"/>
          <w:color w:val="auto"/>
        </w:rPr>
        <w:t>Our stem cell technology platform is based on proprietary and licensed technologies for controlling the differentiation of human pluripotent stem cells (</w:t>
      </w:r>
      <w:r>
        <w:rPr>
          <w:rFonts w:ascii="Arial" w:cs="Arial" w:eastAsia="Arial" w:hAnsi="Arial"/>
          <w:sz w:val="14"/>
          <w:szCs w:val="14"/>
          <w:i w:val="1"/>
          <w:iCs w:val="1"/>
          <w:color w:val="auto"/>
        </w:rPr>
        <w:t>hPSCs</w:t>
      </w:r>
      <w:r>
        <w:rPr>
          <w:rFonts w:ascii="Arial" w:cs="Arial" w:eastAsia="Arial" w:hAnsi="Arial"/>
          <w:sz w:val="14"/>
          <w:szCs w:val="14"/>
          <w:color w:val="auto"/>
        </w:rPr>
        <w:t xml:space="preserve">) and producing the multiple types of mature, non-transformed, functional, adult human cells that we use, or plan to use, to reproduce complex human biology and disease and assess, </w:t>
      </w:r>
      <w:r>
        <w:rPr>
          <w:rFonts w:ascii="Arial" w:cs="Arial" w:eastAsia="Arial" w:hAnsi="Arial"/>
          <w:sz w:val="14"/>
          <w:szCs w:val="14"/>
          <w:i w:val="1"/>
          <w:iCs w:val="1"/>
          <w:color w:val="auto"/>
        </w:rPr>
        <w:t>in vitro</w:t>
      </w:r>
      <w:r>
        <w:rPr>
          <w:rFonts w:ascii="Arial" w:cs="Arial" w:eastAsia="Arial" w:hAnsi="Arial"/>
          <w:sz w:val="14"/>
          <w:szCs w:val="14"/>
          <w:color w:val="auto"/>
        </w:rPr>
        <w:t>, the potential therapeutic benefits and safety risks of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w:t>
      </w:r>
    </w:p>
    <w:p>
      <w:pPr>
        <w:spacing w:after="0" w:line="142" w:lineRule="exact"/>
        <w:rPr>
          <w:sz w:val="20"/>
          <w:szCs w:val="20"/>
          <w:color w:val="auto"/>
        </w:rPr>
      </w:pPr>
    </w:p>
    <w:p>
      <w:pPr>
        <w:ind w:right="100"/>
        <w:spacing w:after="0" w:line="298" w:lineRule="auto"/>
        <w:rPr>
          <w:sz w:val="20"/>
          <w:szCs w:val="20"/>
          <w:color w:val="auto"/>
        </w:rPr>
      </w:pPr>
      <w:r>
        <w:rPr>
          <w:rFonts w:ascii="Arial" w:cs="Arial" w:eastAsia="Arial" w:hAnsi="Arial"/>
          <w:sz w:val="13"/>
          <w:szCs w:val="13"/>
          <w:color w:val="auto"/>
        </w:rPr>
        <w:t xml:space="preserve">We used our hPSC-derived cardiomyocytes (human heart cells) in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our novel, customized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bioassay system for predicting potential cardiotoxicity of drug rescue NCEs. We believe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is more comprehensive and clinically predictive than the hERG assay, currently the only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cardiac safety assay required by FDA guidelines, and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offers us a new paradigm for evaluating and predicting potential heart toxicity of drug rescue NCEs early in development, long before costly, high risk human clinical trials.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Scientific Background</w:t>
      </w:r>
    </w:p>
    <w:p>
      <w:pPr>
        <w:spacing w:after="0" w:line="205"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Human pluripotent stem cells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142"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Human pluripotent stem cells are either embryonic stem cells (</w:t>
      </w:r>
      <w:r>
        <w:rPr>
          <w:rFonts w:ascii="Arial" w:cs="Arial" w:eastAsia="Arial" w:hAnsi="Arial"/>
          <w:sz w:val="14"/>
          <w:szCs w:val="14"/>
          <w:i w:val="1"/>
          <w:iCs w:val="1"/>
          <w:color w:val="auto"/>
        </w:rPr>
        <w:t>hESCs</w:t>
      </w:r>
      <w:r>
        <w:rPr>
          <w:rFonts w:ascii="Arial" w:cs="Arial" w:eastAsia="Arial" w:hAnsi="Arial"/>
          <w:sz w:val="14"/>
          <w:szCs w:val="14"/>
          <w:color w:val="auto"/>
        </w:rPr>
        <w:t>) or induced pluripotent stem cells (</w:t>
      </w:r>
      <w:r>
        <w:rPr>
          <w:rFonts w:ascii="Arial" w:cs="Arial" w:eastAsia="Arial" w:hAnsi="Arial"/>
          <w:sz w:val="14"/>
          <w:szCs w:val="14"/>
          <w:i w:val="1"/>
          <w:iCs w:val="1"/>
          <w:color w:val="auto"/>
        </w:rPr>
        <w:t>iPSCs</w:t>
      </w:r>
      <w:r>
        <w:rPr>
          <w:rFonts w:ascii="Arial" w:cs="Arial" w:eastAsia="Arial" w:hAnsi="Arial"/>
          <w:sz w:val="14"/>
          <w:szCs w:val="14"/>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multiple types of these mature cells as the foundation to design and develop novel, customized bioassay systems to test the safety and efficacy of NCEs </w:t>
      </w:r>
      <w:r>
        <w:rPr>
          <w:rFonts w:ascii="Arial" w:cs="Arial" w:eastAsia="Arial" w:hAnsi="Arial"/>
          <w:sz w:val="14"/>
          <w:szCs w:val="14"/>
          <w:i w:val="1"/>
          <w:iCs w:val="1"/>
          <w:color w:val="auto"/>
        </w:rPr>
        <w:t>in vitro</w:t>
      </w:r>
      <w:r>
        <w:rPr>
          <w:rFonts w:ascii="Arial" w:cs="Arial" w:eastAsia="Arial" w:hAnsi="Arial"/>
          <w:sz w:val="14"/>
          <w:szCs w:val="14"/>
          <w:color w:val="auto"/>
        </w:rPr>
        <w:t>. These cells also have potential for diverse regenerative medicine applications.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Human Embryonic Stem Cells</w:t>
      </w:r>
    </w:p>
    <w:p>
      <w:pPr>
        <w:spacing w:after="0" w:line="201"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color w:val="auto"/>
        </w:rPr>
        <w:t xml:space="preserve">According to the NIH, hESCs are derived from excess embryos that develop from eggs that have been fertilized 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fertilization (</w:t>
      </w:r>
      <w:r>
        <w:rPr>
          <w:rFonts w:ascii="Arial" w:cs="Arial" w:eastAsia="Arial" w:hAnsi="Arial"/>
          <w:sz w:val="14"/>
          <w:szCs w:val="14"/>
          <w:i w:val="1"/>
          <w:iCs w:val="1"/>
          <w:color w:val="auto"/>
        </w:rPr>
        <w:t>IVF</w:t>
      </w:r>
      <w:r>
        <w:rPr>
          <w:rFonts w:ascii="Arial" w:cs="Arial" w:eastAsia="Arial" w:hAnsi="Arial"/>
          <w:sz w:val="14"/>
          <w:szCs w:val="14"/>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142"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color w:val="auto"/>
        </w:rPr>
        <w:t>Human ESCs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8" w:name="page79"/>
    <w:bookmarkEnd w:id="7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Induced Pluripotent Stem Cells</w:t>
      </w: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It is also possible to obtain hPSC lines from individuals without the use of embryos. Induced PSCs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135" w:lineRule="exact"/>
        <w:rPr>
          <w:sz w:val="20"/>
          <w:szCs w:val="20"/>
          <w:color w:val="auto"/>
        </w:rPr>
      </w:pPr>
    </w:p>
    <w:p>
      <w:pPr>
        <w:ind w:right="20"/>
        <w:spacing w:after="0" w:line="323" w:lineRule="auto"/>
        <w:rPr>
          <w:sz w:val="20"/>
          <w:szCs w:val="20"/>
          <w:color w:val="auto"/>
        </w:rPr>
      </w:pPr>
      <w:r>
        <w:rPr>
          <w:rFonts w:ascii="Arial" w:cs="Arial" w:eastAsia="Arial" w:hAnsi="Arial"/>
          <w:sz w:val="13"/>
          <w:szCs w:val="13"/>
          <w:color w:val="auto"/>
        </w:rPr>
        <w:t>We believe the biology and differentiation capabilities of hESCs and iPSCs are likely to be comparable for most if not all purposes. There are, however, specific situations in which we may prefer to use one or the other type of hPSC. For example, we may prefer to use iPSCs for potential drug discovery applications based on the relative ease of generating iPSCs from:</w:t>
      </w:r>
    </w:p>
    <w:p>
      <w:pPr>
        <w:spacing w:after="0" w:line="109" w:lineRule="exact"/>
        <w:rPr>
          <w:sz w:val="20"/>
          <w:szCs w:val="20"/>
          <w:color w:val="auto"/>
        </w:rPr>
      </w:pPr>
    </w:p>
    <w:p>
      <w:pPr>
        <w:ind w:left="520" w:hanging="515"/>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individuals with specific inheritable diseases and conditions that predispose the individual to respond differently to drugs; or</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individuals with specific variations in genes that directly affect drug levels in the body or alter the manner or efficiency of their metabolism, breakdown and/or elimination of drugs.</w:t>
      </w:r>
    </w:p>
    <w:p>
      <w:pPr>
        <w:spacing w:after="0" w:line="191" w:lineRule="exact"/>
        <w:rPr>
          <w:sz w:val="20"/>
          <w:szCs w:val="20"/>
          <w:color w:val="auto"/>
        </w:rPr>
      </w:pPr>
    </w:p>
    <w:p>
      <w:pPr>
        <w:jc w:val="both"/>
        <w:ind w:right="40"/>
        <w:spacing w:after="0" w:line="268" w:lineRule="auto"/>
        <w:rPr>
          <w:sz w:val="20"/>
          <w:szCs w:val="20"/>
          <w:color w:val="auto"/>
        </w:rPr>
      </w:pPr>
      <w:r>
        <w:rPr>
          <w:rFonts w:ascii="Arial" w:cs="Arial" w:eastAsia="Arial" w:hAnsi="Arial"/>
          <w:sz w:val="14"/>
          <w:szCs w:val="14"/>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Medicinal Chemistry</w:t>
      </w:r>
    </w:p>
    <w:p>
      <w:pPr>
        <w:spacing w:after="0" w:line="205" w:lineRule="exact"/>
        <w:rPr>
          <w:sz w:val="20"/>
          <w:szCs w:val="20"/>
          <w:color w:val="auto"/>
        </w:rPr>
      </w:pPr>
    </w:p>
    <w:p>
      <w:pPr>
        <w:ind w:right="300"/>
        <w:spacing w:after="0" w:line="268" w:lineRule="auto"/>
        <w:rPr>
          <w:sz w:val="20"/>
          <w:szCs w:val="20"/>
          <w:color w:val="auto"/>
        </w:rPr>
      </w:pPr>
      <w:r>
        <w:rPr>
          <w:rFonts w:ascii="Arial" w:cs="Arial" w:eastAsia="Arial" w:hAnsi="Arial"/>
          <w:sz w:val="14"/>
          <w:szCs w:val="14"/>
          <w:color w:val="auto"/>
        </w:rPr>
        <w:t>Medicinal chemistry involves designing, synthesizing, or modifying a small molecule compound or drug suitable for clinical development. It is a highly interdisciplinary science combining organic chemistry, biochemistry, physical chemistry, computational chemistry, pharmacology, and statistics. The combination of medicinal chemistry with the proprietary and licensed hPSC technologies underlying our stem cell technology platform are core components of our drug rescue business model.</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p>
    <w:p>
      <w:pPr>
        <w:spacing w:after="0" w:line="205" w:lineRule="exact"/>
        <w:rPr>
          <w:sz w:val="20"/>
          <w:szCs w:val="20"/>
          <w:color w:val="auto"/>
        </w:rPr>
      </w:pPr>
    </w:p>
    <w:p>
      <w:pPr>
        <w:jc w:val="both"/>
        <w:ind w:right="280"/>
        <w:spacing w:after="0" w:line="268" w:lineRule="auto"/>
        <w:rPr>
          <w:sz w:val="20"/>
          <w:szCs w:val="20"/>
          <w:color w:val="auto"/>
        </w:rPr>
      </w:pPr>
      <w:r>
        <w:rPr>
          <w:rFonts w:ascii="Arial" w:cs="Arial" w:eastAsia="Arial" w:hAnsi="Arial"/>
          <w:sz w:val="14"/>
          <w:szCs w:val="14"/>
          <w:color w:val="auto"/>
        </w:rPr>
        <w:t xml:space="preserve">The limitations of current preclinical drug testing systems used by pharmaceutical companies and others contribute to the high failure rate of NCEs. Incorporating novel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assays using hPSC-derived cardiomyocytes (</w:t>
      </w:r>
      <w:r>
        <w:rPr>
          <w:rFonts w:ascii="Arial" w:cs="Arial" w:eastAsia="Arial" w:hAnsi="Arial"/>
          <w:sz w:val="14"/>
          <w:szCs w:val="14"/>
          <w:i w:val="1"/>
          <w:iCs w:val="1"/>
          <w:color w:val="auto"/>
        </w:rPr>
        <w:t>hPSC-CMs</w:t>
      </w:r>
      <w:r>
        <w:rPr>
          <w:rFonts w:ascii="Arial" w:cs="Arial" w:eastAsia="Arial" w:hAnsi="Arial"/>
          <w:sz w:val="14"/>
          <w:szCs w:val="14"/>
          <w:color w:val="auto"/>
        </w:rPr>
        <w:t>) early in preclinical development offers the potential to improve clinical predictability, decrease development costs, and avoid adverse patient effects, late-stage clinical termination, and product recall from the market.</w:t>
      </w:r>
    </w:p>
    <w:p>
      <w:pPr>
        <w:spacing w:after="0" w:line="163"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 xml:space="preserve">We produce fully functional, non-transformed hPSC-CMs at a level of purity greater than 95%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cardiac toxicity assays screening for both direct cardiomyocyte cytotoxicity and arrhythmogenesis (or development of irregular beating patterns). We believe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is sensitive, stable, reproducible and capable of generating data enabling a more accurate prediction of the </w:t>
      </w:r>
      <w:r>
        <w:rPr>
          <w:rFonts w:ascii="Arial" w:cs="Arial" w:eastAsia="Arial" w:hAnsi="Arial"/>
          <w:sz w:val="13"/>
          <w:szCs w:val="13"/>
          <w:i w:val="1"/>
          <w:iCs w:val="1"/>
          <w:color w:val="auto"/>
        </w:rPr>
        <w:t>in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vivo </w:t>
      </w:r>
      <w:r>
        <w:rPr>
          <w:rFonts w:ascii="Arial" w:cs="Arial" w:eastAsia="Arial" w:hAnsi="Arial"/>
          <w:sz w:val="13"/>
          <w:szCs w:val="13"/>
          <w:color w:val="auto"/>
        </w:rPr>
        <w:t>cardiac effects of NCEs than is possible with existing preclinical testing systems, particularly the hERG assay.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79" w:name="page80"/>
    <w:bookmarkEnd w:id="7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Limited Clinical Predictivity of the FDA-Required hERG Assay</w:t>
      </w:r>
    </w:p>
    <w:p>
      <w:pPr>
        <w:spacing w:after="0" w:line="180" w:lineRule="exact"/>
        <w:rPr>
          <w:sz w:val="20"/>
          <w:szCs w:val="20"/>
          <w:color w:val="auto"/>
        </w:rPr>
      </w:pPr>
    </w:p>
    <w:p>
      <w:pPr>
        <w:ind w:right="100"/>
        <w:spacing w:after="0" w:line="314" w:lineRule="auto"/>
        <w:rPr>
          <w:sz w:val="20"/>
          <w:szCs w:val="20"/>
          <w:color w:val="auto"/>
        </w:rPr>
      </w:pPr>
      <w:r>
        <w:rPr>
          <w:rFonts w:ascii="Arial" w:cs="Arial" w:eastAsia="Arial" w:hAnsi="Arial"/>
          <w:sz w:val="12"/>
          <w:szCs w:val="12"/>
          <w:color w:val="auto"/>
        </w:rPr>
        <w:t xml:space="preserve">The hERG assay, which uses either transformed hamster ovary cells or human kidney cells, is currently the only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required by FDA Guidelines (</w:t>
      </w:r>
      <w:r>
        <w:rPr>
          <w:rFonts w:ascii="Arial" w:cs="Arial" w:eastAsia="Arial" w:hAnsi="Arial"/>
          <w:sz w:val="12"/>
          <w:szCs w:val="12"/>
          <w:i w:val="1"/>
          <w:iCs w:val="1"/>
          <w:color w:val="auto"/>
        </w:rPr>
        <w:t>ICH57B</w:t>
      </w:r>
      <w:r>
        <w:rPr>
          <w:rFonts w:ascii="Arial" w:cs="Arial" w:eastAsia="Arial" w:hAnsi="Arial"/>
          <w:sz w:val="12"/>
          <w:szCs w:val="12"/>
          <w:color w:val="auto"/>
        </w:rPr>
        <w:t>).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 relevant cardiac biological effects associated with cardiomyocyte viability,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Broad Clinical Predictivity of CardioSafe </w:t>
      </w:r>
      <w:r>
        <w:rPr>
          <w:rFonts w:ascii="Arial" w:cs="Arial" w:eastAsia="Arial" w:hAnsi="Arial"/>
          <w:sz w:val="14"/>
          <w:szCs w:val="14"/>
          <w:b w:val="1"/>
          <w:bCs w:val="1"/>
          <w:color w:val="auto"/>
        </w:rPr>
        <w:t>3D</w:t>
      </w:r>
    </w:p>
    <w:p>
      <w:pPr>
        <w:spacing w:after="0" w:line="184"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 xml:space="preserve">As noted above, we have developed and validated two clinically relevant functional components of our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consists of a suite of five fluorescence or luminescence based high-throughput hPSC-CM assays. These five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assays measure the following important drug-induced cardiac biological effects:</w:t>
      </w:r>
    </w:p>
    <w:p>
      <w:pPr>
        <w:spacing w:after="0" w:line="125" w:lineRule="exact"/>
        <w:rPr>
          <w:sz w:val="20"/>
          <w:szCs w:val="20"/>
          <w:color w:val="auto"/>
        </w:rPr>
      </w:pPr>
    </w:p>
    <w:p>
      <w:pPr>
        <w:ind w:left="540" w:hanging="183"/>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cell viability;</w:t>
      </w:r>
    </w:p>
    <w:p>
      <w:pPr>
        <w:spacing w:after="0" w:line="19" w:lineRule="exact"/>
        <w:rPr>
          <w:rFonts w:ascii="Arial" w:cs="Arial" w:eastAsia="Arial" w:hAnsi="Arial"/>
          <w:sz w:val="14"/>
          <w:szCs w:val="14"/>
          <w:color w:val="auto"/>
        </w:rPr>
      </w:pPr>
    </w:p>
    <w:p>
      <w:pPr>
        <w:ind w:left="540" w:hanging="183"/>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apoptosis;</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mitochondrial membrane depolarization;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oxidative stress; and</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energy metabolism disruption.</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These five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biological assays were correlated to reported clinical results using reference compounds known to be cardiotoxic in humans versus compounds known to be safe in humans.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These reference compounds were representative of eight different drug classes, including:</w:t>
      </w:r>
    </w:p>
    <w:p>
      <w:pPr>
        <w:spacing w:after="0" w:line="191" w:lineRule="exact"/>
        <w:rPr>
          <w:sz w:val="20"/>
          <w:szCs w:val="20"/>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ion channel blockers: amiodarone, nifedipine;</w:t>
      </w:r>
    </w:p>
    <w:p>
      <w:pPr>
        <w:spacing w:after="0" w:line="1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hERG trafficking blockers: pentamidine, amoxapine;</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α-1 adrenoreceptors: doxazosin;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protein and DNA synthesis inhibitors: emetine;</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DNA intercalating agents: doxorubicin;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antibiotics: ampicillin, cefazolin;</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NSAID: aspirin; and</w:t>
      </w:r>
    </w:p>
    <w:p>
      <w:pPr>
        <w:spacing w:after="0" w:line="9" w:lineRule="exact"/>
        <w:rPr>
          <w:rFonts w:ascii="Arial" w:cs="Arial" w:eastAsia="Arial" w:hAnsi="Arial"/>
          <w:sz w:val="14"/>
          <w:szCs w:val="14"/>
          <w:color w:val="auto"/>
        </w:rPr>
      </w:pPr>
    </w:p>
    <w:p>
      <w:pPr>
        <w:ind w:left="540" w:hanging="183"/>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kinase inhibitors: staurosporine.</w:t>
      </w:r>
    </w:p>
    <w:p>
      <w:pPr>
        <w:spacing w:after="0" w:line="19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 xml:space="preserve">This suite of five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cytotoxicity assays provided measurement of cardiac drug effects with high sensitivity that are consistent with the expected cardiac responses to each of these compounds. Based on our results, we believe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provides valuable and far more comprehensive bioanalytical tools for both assessing the effects of pharmaceutical compounds on cardiac cytotoxicity than the hERG assay and can elucidate for us and our medicinal chemistry partner specific mechanisms of cardiac toxicity, thereby laying what we believe is a novel and advantageous foundation for our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drug rescue programs.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0" w:name="page81"/>
    <w:bookmarkEnd w:id="8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 xml:space="preserve">The other component of our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assay system is a sensitive and reliable medium throughput multi-electrode array (</w:t>
      </w:r>
      <w:r>
        <w:rPr>
          <w:rFonts w:ascii="Arial" w:cs="Arial" w:eastAsia="Arial" w:hAnsi="Arial"/>
          <w:sz w:val="14"/>
          <w:szCs w:val="14"/>
          <w:i w:val="1"/>
          <w:iCs w:val="1"/>
          <w:color w:val="auto"/>
        </w:rPr>
        <w:t>MEA</w:t>
      </w:r>
      <w:r>
        <w:rPr>
          <w:rFonts w:ascii="Arial" w:cs="Arial" w:eastAsia="Arial" w:hAnsi="Arial"/>
          <w:sz w:val="14"/>
          <w:szCs w:val="14"/>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Arial" w:cs="Arial" w:eastAsia="Arial" w:hAnsi="Arial"/>
          <w:sz w:val="14"/>
          <w:szCs w:val="14"/>
          <w:i w:val="1"/>
          <w:iCs w:val="1"/>
          <w:color w:val="auto"/>
        </w:rPr>
        <w:t xml:space="preserve">CardioSafe </w:t>
      </w:r>
      <w:r>
        <w:rPr>
          <w:rFonts w:ascii="Arial" w:cs="Arial" w:eastAsia="Arial" w:hAnsi="Arial"/>
          <w:sz w:val="14"/>
          <w:szCs w:val="14"/>
          <w:color w:val="auto"/>
        </w:rPr>
        <w:t>3D, and has been validated with reported clinical results involving twelve drugs, each with known toxic or non-toxic cardiac effects in humans. The twelve clinical correlation study</w:t>
      </w:r>
      <w:r>
        <w:rPr>
          <w:rFonts w:ascii="Arial" w:cs="Arial" w:eastAsia="Arial" w:hAnsi="Arial"/>
          <w:sz w:val="14"/>
          <w:szCs w:val="14"/>
          <w:i w:val="1"/>
          <w:iCs w:val="1"/>
          <w:color w:val="auto"/>
        </w:rPr>
        <w:t xml:space="preserve"> </w:t>
      </w:r>
      <w:r>
        <w:rPr>
          <w:rFonts w:ascii="Arial" w:cs="Arial" w:eastAsia="Arial" w:hAnsi="Arial"/>
          <w:sz w:val="14"/>
          <w:szCs w:val="14"/>
          <w:color w:val="auto"/>
        </w:rPr>
        <w:t>compounds are as follows:</w:t>
      </w:r>
    </w:p>
    <w:p>
      <w:pPr>
        <w:spacing w:after="0" w:line="168" w:lineRule="exact"/>
        <w:rPr>
          <w:sz w:val="20"/>
          <w:szCs w:val="20"/>
          <w:color w:val="auto"/>
        </w:rPr>
      </w:pPr>
    </w:p>
    <w:p>
      <w:pPr>
        <w:ind w:left="580" w:hanging="575"/>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One FDA-approved drug (aspirin) without cardiac liability to serve as a negative control;</w:t>
      </w:r>
    </w:p>
    <w:p>
      <w:pPr>
        <w:spacing w:after="0" w:line="19" w:lineRule="exact"/>
        <w:rPr>
          <w:rFonts w:ascii="Arial" w:cs="Arial" w:eastAsia="Arial" w:hAnsi="Arial"/>
          <w:sz w:val="14"/>
          <w:szCs w:val="14"/>
          <w:color w:val="auto"/>
        </w:rPr>
      </w:pPr>
    </w:p>
    <w:p>
      <w:pPr>
        <w:ind w:left="580" w:hanging="575"/>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Five FDA-approved drugs (astemizole, sotalol, cisapride, terfenadine and sertindole) that were withdrawn from the market due to heart toxicity concerns;</w:t>
      </w:r>
    </w:p>
    <w:p>
      <w:pPr>
        <w:spacing w:after="0" w:line="9" w:lineRule="exact"/>
        <w:rPr>
          <w:rFonts w:ascii="Arial" w:cs="Arial" w:eastAsia="Arial" w:hAnsi="Arial"/>
          <w:sz w:val="14"/>
          <w:szCs w:val="14"/>
          <w:color w:val="auto"/>
        </w:rPr>
      </w:pPr>
    </w:p>
    <w:p>
      <w:pPr>
        <w:ind w:left="580" w:right="20" w:hanging="575"/>
        <w:spacing w:after="0" w:line="253" w:lineRule="auto"/>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Five FDA-approved drugs (fexofenadine, nifedipine, verapamil, lidocaine and propranolol) that have certain measurable non-toxic cardiac effects consistent with clinical experience with such compounds. Note: fexofenadine is a non-cardiotoxic drug variant of terfenadine; and</w:t>
      </w:r>
    </w:p>
    <w:p>
      <w:pPr>
        <w:spacing w:after="0" w:line="1" w:lineRule="exact"/>
        <w:rPr>
          <w:rFonts w:ascii="Arial" w:cs="Arial" w:eastAsia="Arial" w:hAnsi="Arial"/>
          <w:sz w:val="14"/>
          <w:szCs w:val="14"/>
          <w:color w:val="auto"/>
        </w:rPr>
      </w:pPr>
    </w:p>
    <w:p>
      <w:pPr>
        <w:ind w:left="580" w:hanging="575"/>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One research compound (E-4031) failed in Phase 1 human clinical study before being discontinued due to inducing heart arrhythmias.</w:t>
      </w:r>
    </w:p>
    <w:p>
      <w:pPr>
        <w:spacing w:after="0" w:line="170" w:lineRule="exact"/>
        <w:rPr>
          <w:sz w:val="20"/>
          <w:szCs w:val="20"/>
          <w:color w:val="auto"/>
        </w:rPr>
      </w:pPr>
    </w:p>
    <w:p>
      <w:pPr>
        <w:ind w:right="100"/>
        <w:spacing w:after="0" w:line="283" w:lineRule="auto"/>
        <w:rPr>
          <w:sz w:val="20"/>
          <w:szCs w:val="20"/>
          <w:color w:val="auto"/>
        </w:rPr>
      </w:pPr>
      <w:r>
        <w:rPr>
          <w:rFonts w:ascii="Arial" w:cs="Arial" w:eastAsia="Arial" w:hAnsi="Arial"/>
          <w:sz w:val="13"/>
          <w:szCs w:val="13"/>
          <w:color w:val="auto"/>
        </w:rPr>
        <w:t xml:space="preserve">We have validated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is capable of assessing important electrophysiological activity of drugs or new drug candidates, including spike amplitude, beat period and field potential duration. Our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MEA assay, which we refer to as </w:t>
      </w:r>
      <w:r>
        <w:rPr>
          <w:rFonts w:ascii="Arial" w:cs="Arial" w:eastAsia="Arial" w:hAnsi="Arial"/>
          <w:sz w:val="13"/>
          <w:szCs w:val="13"/>
          <w:i w:val="1"/>
          <w:iCs w:val="1"/>
          <w:color w:val="auto"/>
        </w:rPr>
        <w:t>ECG in a test tube</w:t>
      </w:r>
      <w:r>
        <w:rPr>
          <w:rFonts w:ascii="Arial" w:cs="Arial" w:eastAsia="Arial" w:hAnsi="Arial"/>
          <w:sz w:val="13"/>
          <w:szCs w:val="13"/>
          <w:color w:val="auto"/>
        </w:rPr>
        <w:t xml:space="preserve">™, was reproducible and consistent with the known human cardiac effects of all twelve compounds studied, based on the mechanisms of action and dosage of the compounds. For instance, by using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we were able to distinguish between the arrhythmogenic cardiac effects of terfenadine (Seldane™), withdrawn by the FDA due to cardiotoxicity, and the cardiac effects of the closely structurally-related compound, fexofenadine (Allegra™), a safe variant of terfenadine, which remains on the market. We believe our correlation data demonstrate that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3Dprovides valuable and more comprehensive bioanalytical tools for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cardiac safety screening than the hERG assay. We believe </w:t>
      </w:r>
      <w:r>
        <w:rPr>
          <w:rFonts w:ascii="Arial" w:cs="Arial" w:eastAsia="Arial" w:hAnsi="Arial"/>
          <w:sz w:val="13"/>
          <w:szCs w:val="13"/>
          <w:i w:val="1"/>
          <w:iCs w:val="1"/>
          <w:color w:val="auto"/>
        </w:rPr>
        <w:t xml:space="preserve">CardioSafe </w:t>
      </w:r>
      <w:r>
        <w:rPr>
          <w:rFonts w:ascii="Arial" w:cs="Arial" w:eastAsia="Arial" w:hAnsi="Arial"/>
          <w:sz w:val="13"/>
          <w:szCs w:val="13"/>
          <w:color w:val="auto"/>
        </w:rPr>
        <w:t>3D will contribute to our efficient and rapid identification of novel, potentially safer proprietary NCEs in our drug rescue programs.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r>
        <w:rPr>
          <w:rFonts w:ascii="Arial" w:cs="Arial" w:eastAsia="Arial" w:hAnsi="Arial"/>
          <w:sz w:val="14"/>
          <w:szCs w:val="14"/>
          <w:b w:val="1"/>
          <w:bCs w:val="1"/>
          <w:i w:val="1"/>
          <w:iCs w:val="1"/>
          <w:color w:val="auto"/>
        </w:rPr>
        <w:t xml:space="preserve"> Going Far Beyond the hERG Assay</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table below reflects the broad cardiotoxicity screening capabilities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which we believe go far beyond what is possible to assess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using the FDA-required hERG assay: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Detects cardiac effects mediated by:</w:t>
            </w:r>
          </w:p>
        </w:tc>
        <w:tc>
          <w:tcPr>
            <w:tcW w:w="2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hERG assay</w:t>
            </w:r>
          </w:p>
        </w:tc>
        <w:tc>
          <w:tcPr>
            <w:tcW w:w="46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i w:val="1"/>
                <w:iCs w:val="1"/>
                <w:color w:val="auto"/>
              </w:rPr>
              <w:t xml:space="preserve">CardioSafe </w:t>
            </w:r>
            <w:r>
              <w:rPr>
                <w:rFonts w:ascii="Arial" w:cs="Arial" w:eastAsia="Arial" w:hAnsi="Arial"/>
                <w:sz w:val="14"/>
                <w:szCs w:val="14"/>
                <w:b w:val="1"/>
                <w:bCs w:val="1"/>
                <w:color w:val="auto"/>
              </w:rPr>
              <w:t>3D™</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hERG potassium ion channels</w:t>
            </w:r>
          </w:p>
        </w:tc>
        <w:tc>
          <w:tcPr>
            <w:tcW w:w="21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ü</w:t>
            </w: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Other potassium ion channels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Calcium ion channels</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Sodium ion channels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Interactions between ion channels</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Channel regulatory proteins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Cell viability</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Apoptosis</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Mitochondria</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tcPr>
          <w:p>
            <w:pPr>
              <w:spacing w:after="0"/>
              <w:rPr>
                <w:sz w:val="20"/>
                <w:szCs w:val="20"/>
                <w:color w:val="auto"/>
              </w:rPr>
            </w:pPr>
            <w:r>
              <w:rPr>
                <w:rFonts w:ascii="Arial" w:cs="Arial" w:eastAsia="Arial" w:hAnsi="Arial"/>
                <w:sz w:val="14"/>
                <w:szCs w:val="14"/>
                <w:color w:val="auto"/>
              </w:rPr>
              <w:t>Energy</w:t>
            </w:r>
          </w:p>
        </w:tc>
        <w:tc>
          <w:tcPr>
            <w:tcW w:w="2120" w:type="dxa"/>
            <w:vAlign w:val="bottom"/>
          </w:tcPr>
          <w:p>
            <w:pPr>
              <w:spacing w:after="0"/>
              <w:rPr>
                <w:sz w:val="14"/>
                <w:szCs w:val="14"/>
                <w:color w:val="auto"/>
              </w:rPr>
            </w:pPr>
          </w:p>
        </w:tc>
        <w:tc>
          <w:tcPr>
            <w:tcW w:w="4620" w:type="dxa"/>
            <w:vAlign w:val="bottom"/>
          </w:tcPr>
          <w:p>
            <w:pPr>
              <w:ind w:left="1040"/>
              <w:spacing w:after="0"/>
              <w:rPr>
                <w:sz w:val="20"/>
                <w:szCs w:val="20"/>
                <w:color w:val="auto"/>
              </w:rPr>
            </w:pPr>
            <w:r>
              <w:rPr>
                <w:rFonts w:ascii="Arial" w:cs="Arial" w:eastAsia="Arial" w:hAnsi="Arial"/>
                <w:sz w:val="14"/>
                <w:szCs w:val="14"/>
                <w:color w:val="auto"/>
              </w:rPr>
              <w:t>ü</w:t>
            </w:r>
          </w:p>
        </w:tc>
      </w:tr>
      <w:tr>
        <w:trPr>
          <w:trHeight w:val="170"/>
        </w:trPr>
        <w:tc>
          <w:tcPr>
            <w:tcW w:w="4720" w:type="dxa"/>
            <w:vAlign w:val="bottom"/>
            <w:shd w:val="clear" w:color="auto" w:fill="CCEEFF"/>
          </w:tcPr>
          <w:p>
            <w:pPr>
              <w:spacing w:after="0"/>
              <w:rPr>
                <w:sz w:val="20"/>
                <w:szCs w:val="20"/>
                <w:color w:val="auto"/>
              </w:rPr>
            </w:pPr>
            <w:r>
              <w:rPr>
                <w:rFonts w:ascii="Arial" w:cs="Arial" w:eastAsia="Arial" w:hAnsi="Arial"/>
                <w:sz w:val="14"/>
                <w:szCs w:val="14"/>
                <w:color w:val="auto"/>
              </w:rPr>
              <w:t>Oxidative Stress</w:t>
            </w:r>
          </w:p>
        </w:tc>
        <w:tc>
          <w:tcPr>
            <w:tcW w:w="2120" w:type="dxa"/>
            <w:vAlign w:val="bottom"/>
            <w:shd w:val="clear" w:color="auto" w:fill="CCEEFF"/>
          </w:tcPr>
          <w:p>
            <w:pPr>
              <w:spacing w:after="0"/>
              <w:rPr>
                <w:sz w:val="14"/>
                <w:szCs w:val="14"/>
                <w:color w:val="auto"/>
              </w:rPr>
            </w:pPr>
          </w:p>
        </w:tc>
        <w:tc>
          <w:tcPr>
            <w:tcW w:w="462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ü</w:t>
            </w:r>
          </w:p>
        </w:tc>
      </w:tr>
      <w:tr>
        <w:trPr>
          <w:trHeight w:val="340"/>
        </w:trPr>
        <w:tc>
          <w:tcPr>
            <w:tcW w:w="4720" w:type="dxa"/>
            <w:vAlign w:val="bottom"/>
          </w:tcPr>
          <w:p>
            <w:pPr>
              <w:spacing w:after="0"/>
              <w:rPr>
                <w:sz w:val="20"/>
                <w:szCs w:val="20"/>
                <w:color w:val="auto"/>
              </w:rPr>
            </w:pPr>
            <w:r>
              <w:rPr>
                <w:rFonts w:ascii="Arial" w:cs="Arial" w:eastAsia="Arial" w:hAnsi="Arial"/>
                <w:sz w:val="14"/>
                <w:szCs w:val="14"/>
                <w:b w:val="1"/>
                <w:bCs w:val="1"/>
                <w:color w:val="auto"/>
                <w:w w:val="96"/>
              </w:rPr>
              <w:t>Using Stem Cell Technology to Produce and Develop Drug Rescue NCEs</w:t>
            </w:r>
          </w:p>
        </w:tc>
        <w:tc>
          <w:tcPr>
            <w:tcW w:w="212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 xml:space="preserve">Our drug rescue activities are focused on producing for our internal pipeline proprietary, safer variants of still-promising NCEs previously discovered, optimized and tested for efficacy by pharmaceutical companies and others but terminated before FDA approval due to unexpected heart toxicity or liver toxicity. Our current drug rescue strategy involves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to assess the toxicity that caused certain NCEs available in the public to be terminated, and use that biological insight to produce and develop a new, potentially safer, and proprietary NCEs for our pipeline. We believe the pre-existing public domain knowledge base supporting the therapeutic and commercial potential of NCEs we target for our drug rescue programs will provide us with a valuable head start as we launch each of our drug rescue programs. Leveraging the substantial prior investments by global pharmaceutical companies and others in discovery, optimization and efficacy validation of the NCEs we identify in the public domain is an essential component of our drug rescue strategy.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1" w:name="page82"/>
    <w:bookmarkEnd w:id="8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 xml:space="preserve">By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to enhance our understanding of the cardiac liability profile of NCEs, biological insight not previously available when the NCEs were originally discovered, optimized for efficacy and developed, we believe we can demonstrate preclinical proof-of-concept (</w:t>
      </w:r>
      <w:r>
        <w:rPr>
          <w:rFonts w:ascii="Arial" w:cs="Arial" w:eastAsia="Arial" w:hAnsi="Arial"/>
          <w:sz w:val="14"/>
          <w:szCs w:val="14"/>
          <w:i w:val="1"/>
          <w:iCs w:val="1"/>
          <w:color w:val="auto"/>
        </w:rPr>
        <w:t>POC</w:t>
      </w:r>
      <w:r>
        <w:rPr>
          <w:rFonts w:ascii="Arial" w:cs="Arial" w:eastAsia="Arial" w:hAnsi="Arial"/>
          <w:sz w:val="14"/>
          <w:szCs w:val="14"/>
          <w:color w:val="auto"/>
        </w:rPr>
        <w:t xml:space="preserve">) as to the efficacy and safety of new, safer drug rescue NCEs in standard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models, as well as in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earlier in development and with substantially less investment in discovery and preclinical development than was required of pharmaceutical companies and others prior to their decision to terminate the original NCE.</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 xml:space="preserve">Our goal in each drug rescue program will be to produce a proprietary drug rescue NCE and establish its preclinical POC, using standard preclinical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efficacy and safety models, as well as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In this context, POC means that the lead drug rescue NCE, as compared to the original, previously-terminated NCE</w:t>
      </w:r>
      <w:r>
        <w:rPr>
          <w:rFonts w:ascii="Arial" w:cs="Arial" w:eastAsia="Arial" w:hAnsi="Arial"/>
          <w:sz w:val="14"/>
          <w:szCs w:val="14"/>
          <w:i w:val="1"/>
          <w:iCs w:val="1"/>
          <w:color w:val="auto"/>
        </w:rPr>
        <w:t>,</w:t>
      </w:r>
      <w:r>
        <w:rPr>
          <w:rFonts w:ascii="Arial" w:cs="Arial" w:eastAsia="Arial" w:hAnsi="Arial"/>
          <w:sz w:val="14"/>
          <w:szCs w:val="14"/>
          <w:color w:val="auto"/>
        </w:rPr>
        <w:t xml:space="preserve"> demonstrates both (i) equal or superior efficacy in the same, or a similar,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preclinical efficacy models used by the initial developer of the previously-terminated NCE before it was terminated for safety reasons, and (ii) significant reduction of concentration dependent cardiotoxicity in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Development and Commercialization of Drug Rescue NCEs</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 xml:space="preserve">Once we optimize a patentable drug rescue NCE, we intend to develop it internally to establish preclinical POC in established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and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efficacy and safety models, as well as in </w:t>
      </w:r>
      <w:r>
        <w:rPr>
          <w:rFonts w:ascii="Arial" w:cs="Arial" w:eastAsia="Arial" w:hAnsi="Arial"/>
          <w:sz w:val="13"/>
          <w:szCs w:val="13"/>
          <w:i w:val="1"/>
          <w:iCs w:val="1"/>
          <w:color w:val="auto"/>
        </w:rPr>
        <w:t>CardioSafe</w:t>
      </w:r>
      <w:r>
        <w:rPr>
          <w:rFonts w:ascii="Arial" w:cs="Arial" w:eastAsia="Arial" w:hAnsi="Arial"/>
          <w:sz w:val="13"/>
          <w:szCs w:val="13"/>
          <w:color w:val="auto"/>
        </w:rPr>
        <w:t xml:space="preserve"> 3D. After we establish preclinical POC of a patentable drug rescue NCE, we will decide between continuing to develop it internally and out-licensing it to a pharmaceutical company. If we license it to the pharmaceutical company, it will be responsible for all subsequent development, manufacturing, regulatory approval, marketing and sale of the drug rescue NCE and we will generate revenue through payments to us from the license upon signing the license agreement, achievement of development and regulatory milestones, and, if approved and marketed, upon commercial sales, although no assurances can be given that we will seek and complete a partnership, or that the terms of such a beneficial arrangement will be available or offered to us.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Regenerative Medicine</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Although we believe the best and most valuable near term commercial application of our stem cell technology platform is for small molecule drug rescue, we also believe stem cell technology-based RM has the potential to transform healthcare in the U.S. over the next decade by providing new approaches for treating the fundamental mechanisms of disease. We currently intend to explore opportunities to leverage our stem cell technology platform, our expertise in human biology, differentiation of human pluripotent stem cells to develop functional adult human cells and tissues involved in human disease, including blood, bone, cartilage, heart and liver cells, and our expertise in designing and developing novel, customized biological assay systems with the cells we produce, for regenerative medicine purposes, including developing novel human disease models for discovery of small molecule drugs with regenerative and therapeutic potential. Among our key objectives will be to assess our regenerative medicine opportunities through exploratory nonclinical POC studies.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2" w:name="page83"/>
    <w:bookmarkEnd w:id="8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Strategic Transactions and Relationships</w:t>
      </w:r>
    </w:p>
    <w:p>
      <w:pPr>
        <w:spacing w:after="0" w:line="205"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Strategic collaborations are an important cornerstone of our corporate development strategy. We believe that our strategic outsourcing and sponsorship of application-focused research gives us flexible access to medicinal chemistry, research and development capabilities, and manufacturing, clinical development and regulatory expertise at a lower overall cost than developing and maintaining such expertise internally. In particular, we collaborate with the types of third parties identified below for the following functions:</w:t>
      </w:r>
    </w:p>
    <w:p>
      <w:pPr>
        <w:spacing w:after="0" w:line="163" w:lineRule="exact"/>
        <w:rPr>
          <w:sz w:val="20"/>
          <w:szCs w:val="20"/>
          <w:color w:val="auto"/>
        </w:rPr>
      </w:pPr>
    </w:p>
    <w:p>
      <w:pPr>
        <w:ind w:left="520" w:hanging="515"/>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academic research institutions, such as the University Health Network for stem cell technology research and development;</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contract medicinal chemistry companies, such as Synterys, Inc., to design, produce and analyze drug rescue NCEs; and</w:t>
      </w:r>
    </w:p>
    <w:p>
      <w:pPr>
        <w:spacing w:after="0" w:line="179" w:lineRule="exact"/>
        <w:rPr>
          <w:rFonts w:ascii="Arial" w:cs="Arial" w:eastAsia="Arial" w:hAnsi="Arial"/>
          <w:sz w:val="14"/>
          <w:szCs w:val="14"/>
          <w:color w:val="auto"/>
        </w:rPr>
      </w:pPr>
    </w:p>
    <w:p>
      <w:pPr>
        <w:ind w:left="520" w:hanging="515"/>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contract clinical development and regulatory organizations (</w:t>
      </w:r>
      <w:r>
        <w:rPr>
          <w:rFonts w:ascii="Arial" w:cs="Arial" w:eastAsia="Arial" w:hAnsi="Arial"/>
          <w:sz w:val="14"/>
          <w:szCs w:val="14"/>
          <w:i w:val="1"/>
          <w:iCs w:val="1"/>
          <w:color w:val="auto"/>
        </w:rPr>
        <w:t>CROs</w:t>
      </w:r>
      <w:r>
        <w:rPr>
          <w:rFonts w:ascii="Arial" w:cs="Arial" w:eastAsia="Arial" w:hAnsi="Arial"/>
          <w:sz w:val="14"/>
          <w:szCs w:val="14"/>
          <w:color w:val="auto"/>
        </w:rPr>
        <w:t>), such as Cato Research, Ltd., for regulatory expertise and clinical development support.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Cato Research</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Cato Research is a CRO with international resources dedicated to helping biotechnology and pharmaceutical companies navigate the regulatory approval process in order to bring new biologics, drugs and medical devices to markets throughout the world. Cato Research is our CRO for development of AV-101. Cato Research has in-house capabilities to assist its sponsors with aspects of the drug development process including regulatory strategy, nonclinical and toxicology development, clinical development, data processing, data management, statistical analysis, regulatory applications, including INDs and NDAs, chemistry, manufacturing, and control programs, cGCP, cGLP and cGMP audit and compliance activities, and due diligence review of emerging technologies. Cato Research’s senior management team, including co-founders Allen Cato, M.D., Ph.D. and Lynda Sutton, has over 25 years of experience interacting with the FDA and international regulatory agencies and a successful track record of product approvals. Based on our long-term working relationship with Cato Research in connection with the development of AV-101, should we elect to advance development of Drug Rescue Variants internally, as we have done with AV-101, rather than license or sell them to pharmaceutical companies or others, we believe our long term strategic relationship with Cato Research provides us with real time access to the global connections, insight and knowledge necessary to effectively plan, execute and manage successful nonclinical and clinical development programs throughout the world without incurring the substantial expenses typically associated with establishing and maintaining a wide range of drug development capabilities in-house.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Cato BioVentures</w:t>
      </w:r>
    </w:p>
    <w:p>
      <w:pPr>
        <w:spacing w:after="0" w:line="201" w:lineRule="exact"/>
        <w:rPr>
          <w:sz w:val="20"/>
          <w:szCs w:val="20"/>
          <w:color w:val="auto"/>
        </w:rPr>
      </w:pPr>
    </w:p>
    <w:p>
      <w:pPr>
        <w:jc w:val="both"/>
        <w:ind w:right="20"/>
        <w:spacing w:after="0" w:line="298" w:lineRule="auto"/>
        <w:rPr>
          <w:sz w:val="20"/>
          <w:szCs w:val="20"/>
          <w:color w:val="auto"/>
        </w:rPr>
      </w:pPr>
      <w:r>
        <w:rPr>
          <w:rFonts w:ascii="Arial" w:cs="Arial" w:eastAsia="Arial" w:hAnsi="Arial"/>
          <w:sz w:val="13"/>
          <w:szCs w:val="13"/>
          <w:color w:val="auto"/>
        </w:rPr>
        <w:t>Cato Holding Company, doing business as Cato BioVentures, is the venture capital affiliate of Cato Research. Through strategic CRO service agreements with Cato Research, Cato BioVentures invests in therapeutics and medical devices, as well as platform technologies such as our stem cell technology platform, which its principals believe, based on their experience as management of Cato Research, are capable of transforming the traditional drug development process and the research and development productivity of the biotechnology and pharmaceutical industries.</w:t>
      </w:r>
    </w:p>
    <w:p>
      <w:pPr>
        <w:spacing w:after="0" w:line="125"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As a result of the access Cato Research has to potential drug rescue NCEs from its biotechnology and pharmaceutical industry network, as well as Cato BioVentures’ strategic long term equity interest in the Company,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drug rescue NCEs internally rather than out-license them to strategic partners.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3" w:name="page84"/>
    <w:bookmarkEnd w:id="8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University Health Network, McEwen Centre for Regenerative Medicine</w:t>
      </w:r>
    </w:p>
    <w:p>
      <w:pPr>
        <w:spacing w:after="0" w:line="201"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University Health Network (</w:t>
      </w:r>
      <w:r>
        <w:rPr>
          <w:rFonts w:ascii="Arial" w:cs="Arial" w:eastAsia="Arial" w:hAnsi="Arial"/>
          <w:sz w:val="14"/>
          <w:szCs w:val="14"/>
          <w:i w:val="1"/>
          <w:iCs w:val="1"/>
          <w:color w:val="auto"/>
        </w:rPr>
        <w:t>UHN</w:t>
      </w:r>
      <w:r>
        <w:rPr>
          <w:rFonts w:ascii="Arial" w:cs="Arial" w:eastAsia="Arial" w:hAnsi="Arial"/>
          <w:sz w:val="14"/>
          <w:szCs w:val="14"/>
          <w:color w:val="auto"/>
        </w:rPr>
        <w:t>) in Ontario, Canada is a major landmark in Canada’s healthcare system. UHN is one of the world’s largest research hospitals, with major research in transplantation, cardiology, neurosciences, oncology, surgical innovation, infectious diseases and genomic medicine.</w:t>
      </w:r>
    </w:p>
    <w:p>
      <w:pPr>
        <w:spacing w:after="0" w:line="153"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McEwen Centre for Regenerative Medicine (</w:t>
      </w:r>
      <w:r>
        <w:rPr>
          <w:rFonts w:ascii="Arial" w:cs="Arial" w:eastAsia="Arial" w:hAnsi="Arial"/>
          <w:sz w:val="14"/>
          <w:szCs w:val="14"/>
          <w:i w:val="1"/>
          <w:iCs w:val="1"/>
          <w:color w:val="auto"/>
        </w:rPr>
        <w:t>McEwen Centre</w:t>
      </w:r>
      <w:r>
        <w:rPr>
          <w:rFonts w:ascii="Arial" w:cs="Arial" w:eastAsia="Arial" w:hAnsi="Arial"/>
          <w:sz w:val="14"/>
          <w:szCs w:val="14"/>
          <w:color w:val="auto"/>
        </w:rPr>
        <w:t>) is a world-renowned center for stem cell biology and regenerative medicine and a stem cell research facility affiliated with UHN. Dr. Gordon Keller, our co-founder and Chairman of our Scientific Advisory Board, is Director of the McEwen Centre. Dr. Keller’s lab is considered one of the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pluripotent stem cell technologies developed by Dr. Keller, and is directed to diverse human pluripotent stem cell-based research projects, including, as expanded and amended, strategic projects related to drug rescue and regenerative medicine.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Cardiac Safety Research Consortium</w:t>
      </w:r>
    </w:p>
    <w:p>
      <w:pPr>
        <w:spacing w:after="0" w:line="20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We have joined the Cardiac Safety Research Consortium (</w:t>
      </w:r>
      <w:r>
        <w:rPr>
          <w:rFonts w:ascii="Arial" w:cs="Arial" w:eastAsia="Arial" w:hAnsi="Arial"/>
          <w:sz w:val="14"/>
          <w:szCs w:val="14"/>
          <w:i w:val="1"/>
          <w:iCs w:val="1"/>
          <w:color w:val="auto"/>
        </w:rPr>
        <w:t>CSRC</w:t>
      </w:r>
      <w:r>
        <w:rPr>
          <w:rFonts w:ascii="Arial" w:cs="Arial" w:eastAsia="Arial" w:hAnsi="Arial"/>
          <w:sz w:val="14"/>
          <w:szCs w:val="14"/>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Cardiac Safety Technical Committee of the Health and Environmental Sciences Institute – FDA’s CIPA Initiative</w:t>
      </w:r>
    </w:p>
    <w:p>
      <w:pPr>
        <w:spacing w:after="0" w:line="180" w:lineRule="exact"/>
        <w:rPr>
          <w:sz w:val="20"/>
          <w:szCs w:val="20"/>
          <w:color w:val="auto"/>
        </w:rPr>
      </w:pPr>
    </w:p>
    <w:p>
      <w:pPr>
        <w:ind w:right="60"/>
        <w:spacing w:after="0" w:line="333" w:lineRule="auto"/>
        <w:rPr>
          <w:sz w:val="20"/>
          <w:szCs w:val="20"/>
          <w:color w:val="auto"/>
        </w:rPr>
      </w:pPr>
      <w:r>
        <w:rPr>
          <w:rFonts w:ascii="Arial" w:cs="Arial" w:eastAsia="Arial" w:hAnsi="Arial"/>
          <w:sz w:val="12"/>
          <w:szCs w:val="12"/>
          <w:color w:val="auto"/>
        </w:rPr>
        <w:t>We have also joined the Cardiac Safety Technical Committee, Cardiac Stem Cell Working Group, and Proarrhythmia Working Group of the Health and Environmental Sciences Institute (</w:t>
      </w:r>
      <w:r>
        <w:rPr>
          <w:rFonts w:ascii="Arial" w:cs="Arial" w:eastAsia="Arial" w:hAnsi="Arial"/>
          <w:sz w:val="12"/>
          <w:szCs w:val="12"/>
          <w:i w:val="1"/>
          <w:iCs w:val="1"/>
          <w:color w:val="auto"/>
        </w:rPr>
        <w:t>HESI</w:t>
      </w:r>
      <w:r>
        <w:rPr>
          <w:rFonts w:ascii="Arial" w:cs="Arial" w:eastAsia="Arial" w:hAnsi="Arial"/>
          <w:sz w:val="12"/>
          <w:szCs w:val="12"/>
          <w:color w:val="auto"/>
        </w:rPr>
        <w:t>) to help advance, among other goals, the FDA’s Comprehensive In Vitro Proarrhythmia Assay (</w:t>
      </w:r>
      <w:r>
        <w:rPr>
          <w:rFonts w:ascii="Arial" w:cs="Arial" w:eastAsia="Arial" w:hAnsi="Arial"/>
          <w:sz w:val="12"/>
          <w:szCs w:val="12"/>
          <w:i w:val="1"/>
          <w:iCs w:val="1"/>
          <w:color w:val="auto"/>
        </w:rPr>
        <w:t>CIPA</w:t>
      </w:r>
      <w:r>
        <w:rPr>
          <w:rFonts w:ascii="Arial" w:cs="Arial" w:eastAsia="Arial" w:hAnsi="Arial"/>
          <w:sz w:val="12"/>
          <w:szCs w:val="12"/>
          <w:color w:val="auto"/>
        </w:rPr>
        <w:t>) initiative, which is focused on developing innovative preclinical systems for cardiac safety assessment during drug development. HESI is a global branch of the International Life Sciences Institute (</w:t>
      </w:r>
      <w:r>
        <w:rPr>
          <w:rFonts w:ascii="Arial" w:cs="Arial" w:eastAsia="Arial" w:hAnsi="Arial"/>
          <w:sz w:val="12"/>
          <w:szCs w:val="12"/>
          <w:i w:val="1"/>
          <w:iCs w:val="1"/>
          <w:color w:val="auto"/>
        </w:rPr>
        <w:t>ILSI</w:t>
      </w:r>
      <w:r>
        <w:rPr>
          <w:rFonts w:ascii="Arial" w:cs="Arial" w:eastAsia="Arial" w:hAnsi="Arial"/>
          <w:sz w:val="12"/>
          <w:szCs w:val="12"/>
          <w:color w:val="auto"/>
        </w:rPr>
        <w:t>), whose members include most of the world’s largest pharmaceutical and biotechnology companies.</w:t>
      </w:r>
    </w:p>
    <w:p>
      <w:pPr>
        <w:spacing w:after="0" w:line="128"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4" w:name="page85"/>
    <w:bookmarkEnd w:id="8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Centre for Commercialization of Regenerative Medicine</w:t>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 Toronto-based Centre for Commercialization of Regenerative Medicine (</w:t>
      </w:r>
      <w:r>
        <w:rPr>
          <w:rFonts w:ascii="Arial" w:cs="Arial" w:eastAsia="Arial" w:hAnsi="Arial"/>
          <w:sz w:val="14"/>
          <w:szCs w:val="14"/>
          <w:i w:val="1"/>
          <w:iCs w:val="1"/>
          <w:color w:val="auto"/>
        </w:rPr>
        <w:t>CCRM</w:t>
      </w:r>
      <w:r>
        <w:rPr>
          <w:rFonts w:ascii="Arial" w:cs="Arial" w:eastAsia="Arial" w:hAnsi="Arial"/>
          <w:sz w:val="14"/>
          <w:szCs w:val="14"/>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163"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We are a member of the CCRM’s Industry Consortium. Other members of CCRM’s Industry Consortium include Pfizer and GE Healthcare.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unique opportunities for expanding the commercial applications of our stem cell technology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States National Institutes of Health</w:t>
      </w:r>
    </w:p>
    <w:p>
      <w:pPr>
        <w:spacing w:after="0" w:line="201" w:lineRule="exact"/>
        <w:rPr>
          <w:sz w:val="20"/>
          <w:szCs w:val="20"/>
          <w:color w:val="auto"/>
        </w:rPr>
      </w:pPr>
    </w:p>
    <w:p>
      <w:pPr>
        <w:ind w:right="480"/>
        <w:spacing w:after="0" w:line="283" w:lineRule="auto"/>
        <w:rPr>
          <w:sz w:val="20"/>
          <w:szCs w:val="20"/>
          <w:color w:val="auto"/>
        </w:rPr>
      </w:pPr>
      <w:r>
        <w:rPr>
          <w:rFonts w:ascii="Arial" w:cs="Arial" w:eastAsia="Arial" w:hAnsi="Arial"/>
          <w:sz w:val="14"/>
          <w:szCs w:val="14"/>
          <w:color w:val="auto"/>
        </w:rPr>
        <w:t>Since our inception in 1998, the NIH has awarded us $11.3 million in non-dilutive research and development grants, including $2.3 million to support research and development of our stem cell technology and $8.8 million for nonclinical and Phase 1 clinical development of AV-101.</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States National Institute of Mental Health</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The U.S. National Institute of Mental Health (</w:t>
      </w:r>
      <w:r>
        <w:rPr>
          <w:rFonts w:ascii="Arial" w:cs="Arial" w:eastAsia="Arial" w:hAnsi="Arial"/>
          <w:sz w:val="14"/>
          <w:szCs w:val="14"/>
          <w:i w:val="1"/>
          <w:iCs w:val="1"/>
          <w:color w:val="auto"/>
        </w:rPr>
        <w:t>NIMH</w:t>
      </w:r>
      <w:r>
        <w:rPr>
          <w:rFonts w:ascii="Arial" w:cs="Arial" w:eastAsia="Arial" w:hAnsi="Arial"/>
          <w:sz w:val="14"/>
          <w:szCs w:val="14"/>
          <w:color w:val="auto"/>
        </w:rPr>
        <w:t>), part of the NIH, is the largest scientific organization in the world dedicated to mental health research. NIMH is one of 27 Institutes and Centers of the NIH, the world’s leading biomedical research organization. The mission of NIMH is to transform the understanding and treatment of mental illnesses through basic and clinical research, paving the way for prevention, recovery and cure. In February 2015, we entered into CRADA with the NIH providing for the initial AV-101 Phase 2 efficacy and safety in MDD. The study is being fully funded by the NIH and is being conducted at the NIMH by Dr. Carlos Zarate, the NIMH’s Chief of Experimental Therapeutics &amp; Pathophysiology Branch and Section on Neurobiology and Treatment of Mood and Anxiety Disorders.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Synterys, Inc.</w:t>
      </w:r>
    </w:p>
    <w:p>
      <w:pPr>
        <w:spacing w:after="0" w:line="201" w:lineRule="exact"/>
        <w:rPr>
          <w:sz w:val="20"/>
          <w:szCs w:val="20"/>
          <w:color w:val="auto"/>
        </w:rPr>
      </w:pPr>
    </w:p>
    <w:p>
      <w:pPr>
        <w:ind w:right="240"/>
        <w:spacing w:after="0" w:line="298" w:lineRule="auto"/>
        <w:rPr>
          <w:sz w:val="20"/>
          <w:szCs w:val="20"/>
          <w:color w:val="auto"/>
        </w:rPr>
      </w:pPr>
      <w:r>
        <w:rPr>
          <w:rFonts w:ascii="Arial" w:cs="Arial" w:eastAsia="Arial" w:hAnsi="Arial"/>
          <w:sz w:val="13"/>
          <w:szCs w:val="13"/>
          <w:color w:val="auto"/>
        </w:rPr>
        <w:t>We have entered into a strategic medicinal chemistry collaboration agreement with Synterys, Inc., a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drug rescue NCEs.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205"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We rely upon patents as a major component of our intellectual property portfolio, as is typical for development-stage, biopharmaceutical companies. In addition, from time to time, we enter into patent license agreements to acquire rights to intellectual property. We also rely, in part, on trade secrets for protection of some of our discoveries. We attempt to protect our trade secrets by entering into confidentiality agreements with employees, consultants, collaborators and third parties. We also own several registered and common-law trademarks.</w:t>
      </w:r>
    </w:p>
    <w:p>
      <w:pPr>
        <w:spacing w:after="0" w:line="163"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To help protect our intellectual property rights, our employees and consultants also sign agreements in which they assign to us, for example, their interests in patents, trade secrets and copyrights arising from their work for us.</w:t>
      </w:r>
    </w:p>
    <w:p>
      <w:pPr>
        <w:spacing w:after="0" w:line="153"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From time to time, we sponsor research with key scientists in academic institutions to advance or supplement our internal research and development activities and objectives. These sponsored research agreements generally provide us with an opportunity to negotiate a new license, or acquire a substantially prescribed license, to acquire intellectual property rights in the results of the sponsored research.</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85" w:name="page86"/>
    <w:bookmarkEnd w:id="8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AV-101</w:t>
      </w:r>
    </w:p>
    <w:p>
      <w:pPr>
        <w:spacing w:after="0" w:line="201" w:lineRule="exact"/>
        <w:rPr>
          <w:sz w:val="20"/>
          <w:szCs w:val="20"/>
          <w:color w:val="auto"/>
        </w:rPr>
      </w:pPr>
    </w:p>
    <w:p>
      <w:pPr>
        <w:jc w:val="both"/>
        <w:ind w:right="100"/>
        <w:spacing w:after="0" w:line="268" w:lineRule="auto"/>
        <w:rPr>
          <w:sz w:val="20"/>
          <w:szCs w:val="20"/>
          <w:color w:val="auto"/>
        </w:rPr>
      </w:pPr>
      <w:r>
        <w:rPr>
          <w:rFonts w:ascii="Arial" w:cs="Arial" w:eastAsia="Arial" w:hAnsi="Arial"/>
          <w:sz w:val="14"/>
          <w:szCs w:val="14"/>
          <w:color w:val="auto"/>
        </w:rPr>
        <w:t>As discussed elsewhere in this prospectus, AV-101 (</w:t>
      </w:r>
      <w:r>
        <w:rPr>
          <w:rFonts w:ascii="Arial" w:cs="Arial" w:eastAsia="Arial" w:hAnsi="Arial"/>
          <w:sz w:val="14"/>
          <w:szCs w:val="14"/>
          <w:i w:val="1"/>
          <w:iCs w:val="1"/>
          <w:color w:val="auto"/>
        </w:rPr>
        <w:t>4-Cl-KYN</w:t>
      </w:r>
      <w:r>
        <w:rPr>
          <w:rFonts w:ascii="Arial" w:cs="Arial" w:eastAsia="Arial" w:hAnsi="Arial"/>
          <w:sz w:val="14"/>
          <w:szCs w:val="14"/>
          <w:color w:val="auto"/>
        </w:rPr>
        <w:t>) is a development-stage prodrug candidate presently being studied in an NIH-sponsored Phase 2a clinical trial for the treatment of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We have developed a portfolio of intellectual property assets around AV-101, which involves both patent applications and trade secrets. In addition, we will seek regulatory exclusivity to supplement our intellectual property rights.</w:t>
      </w:r>
    </w:p>
    <w:p>
      <w:pPr>
        <w:spacing w:after="0" w:line="163"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 xml:space="preserve">AV-101 itself is not patented. We obtained a patent license from the University of Maryland to certain pharmaceutical formulations and associated methods of using AV-101 when we acquired the original licensee, Artemis Neuroscience, Inc. Patent rights included in that license that were relevant to AV-101, however, have expired. Although the license agreement contains royalty obligations that nominally remain in force until 10 years after the first commercial sale of the first product even after relevant patent rights have expired, the U.S. Supreme Court’s decision in </w:t>
      </w:r>
      <w:r>
        <w:rPr>
          <w:rFonts w:ascii="Arial" w:cs="Arial" w:eastAsia="Arial" w:hAnsi="Arial"/>
          <w:sz w:val="14"/>
          <w:szCs w:val="14"/>
          <w:i w:val="1"/>
          <w:iCs w:val="1"/>
          <w:color w:val="auto"/>
        </w:rPr>
        <w:t>Kimble v. Marvel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Entertainment, LLC </w:t>
      </w:r>
      <w:r>
        <w:rPr>
          <w:rFonts w:ascii="Arial" w:cs="Arial" w:eastAsia="Arial" w:hAnsi="Arial"/>
          <w:sz w:val="14"/>
          <w:szCs w:val="14"/>
          <w:color w:val="auto"/>
        </w:rPr>
        <w:t>(2015) determined that patent license royalties that extend beyond a patent’s expiration are not enforceable. One patent will remain in force under this patent license until March of</w:t>
      </w:r>
      <w:r>
        <w:rPr>
          <w:rFonts w:ascii="Arial" w:cs="Arial" w:eastAsia="Arial" w:hAnsi="Arial"/>
          <w:sz w:val="14"/>
          <w:szCs w:val="14"/>
          <w:i w:val="1"/>
          <w:iCs w:val="1"/>
          <w:color w:val="auto"/>
        </w:rPr>
        <w:t xml:space="preserve"> </w:t>
      </w:r>
      <w:r>
        <w:rPr>
          <w:rFonts w:ascii="Arial" w:cs="Arial" w:eastAsia="Arial" w:hAnsi="Arial"/>
          <w:sz w:val="14"/>
          <w:szCs w:val="14"/>
          <w:color w:val="auto"/>
        </w:rPr>
        <w:t>2016, and that patent is not relevant to AV-101 or any of our current activities.</w:t>
      </w:r>
    </w:p>
    <w:p>
      <w:pPr>
        <w:spacing w:after="0" w:line="168"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Even though the compound 4-Cl-KYN per se and certain of its formulations are in the public domain and thus are no longer protectable, we have filed several of our own patent applications on certain other formulations and novel therapeutic methods of use of AV-101 as part of our strategy to seek and secure market exclusivity.</w:t>
      </w:r>
    </w:p>
    <w:p>
      <w:pPr>
        <w:spacing w:after="0" w:line="153" w:lineRule="exact"/>
        <w:rPr>
          <w:sz w:val="20"/>
          <w:szCs w:val="20"/>
          <w:color w:val="auto"/>
        </w:rPr>
      </w:pPr>
    </w:p>
    <w:p>
      <w:pPr>
        <w:ind w:right="340"/>
        <w:spacing w:after="0" w:line="290" w:lineRule="auto"/>
        <w:rPr>
          <w:sz w:val="20"/>
          <w:szCs w:val="20"/>
          <w:color w:val="auto"/>
        </w:rPr>
      </w:pPr>
      <w:r>
        <w:rPr>
          <w:rFonts w:ascii="Arial" w:cs="Arial" w:eastAsia="Arial" w:hAnsi="Arial"/>
          <w:sz w:val="13"/>
          <w:szCs w:val="13"/>
          <w:color w:val="auto"/>
        </w:rPr>
        <w:t>Presently, we are prosecuting one family of patent applications in the USPTO, European Patent Office and selected major markets related to specific dosage formulations of AV-101, as well as to methods of treating depression, hyperalgesia pain and several other neurological conditions. For reference, these are based on PCT patent application WO2014/116739. We have recently filed a continuation application in this family in the U.S., focused on the treatment of depression, and are seeking accelerated examination for this application. It is likely that we will receive a substantive response from the USPTO by the end of 2016. There is no guarantee, however, that this response will allow any of the pending claims.</w:t>
      </w:r>
    </w:p>
    <w:p>
      <w:pPr>
        <w:spacing w:after="0" w:line="15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We are also prosecuting two families of patent applications related to novel methods of synthesizing AV-101, based on extensive research involving a range of synthetic routes that was conducted on our behalf by separate contract research organizations. For reference, these are based on PCT patent applications WO2014/152752 and WO2014/152835, both of which are presently being pursued at the national phase in the U.S. and selected other countries. One of these two PCT patent applications also includes pharmaceutical composition claims to certain precursors and variants of AV-101, which may be useful and patentable as synthesis intermediates.</w:t>
      </w:r>
    </w:p>
    <w:p>
      <w:pPr>
        <w:spacing w:after="0" w:line="167" w:lineRule="exact"/>
        <w:rPr>
          <w:sz w:val="20"/>
          <w:szCs w:val="20"/>
          <w:color w:val="auto"/>
        </w:rPr>
      </w:pPr>
    </w:p>
    <w:p>
      <w:pPr>
        <w:ind w:right="40"/>
        <w:spacing w:after="0" w:line="323" w:lineRule="auto"/>
        <w:rPr>
          <w:sz w:val="20"/>
          <w:szCs w:val="20"/>
          <w:color w:val="auto"/>
        </w:rPr>
      </w:pPr>
      <w:r>
        <w:rPr>
          <w:rFonts w:ascii="Arial" w:cs="Arial" w:eastAsia="Arial" w:hAnsi="Arial"/>
          <w:sz w:val="13"/>
          <w:szCs w:val="13"/>
          <w:color w:val="auto"/>
        </w:rPr>
        <w:t>A fourth patent application related to additional and expanded clinical uses of AV-101 to treat depression and other medical conditions was filed in the U.S. as a provisional application in 2015. We plan to pursue a PCT patent application corresponding to the provisional in due course, and then to seek patent protection at the national phase in appropriate global markets.</w:t>
      </w:r>
    </w:p>
    <w:p>
      <w:pPr>
        <w:spacing w:after="0" w:line="130"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color w:val="auto"/>
        </w:rPr>
        <w:t>Additionally, we are presently developing potentially improved synthesis routes through another contract research organization. If we determine that these routes may be patentable, then we intend to file patent applications relating to this R&amp;D activity in the second half of 2016.</w:t>
      </w:r>
    </w:p>
    <w:p>
      <w:pPr>
        <w:spacing w:after="0" w:line="153"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As noted, we are involved with an ongoing Phase 2a study of AV-101 in MDD being conducted by the NIMH. As part of our analysis of the study results, we will be evaluating the possibility of seeking additional patent protection based on the clinical data and on clinical observations.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6" w:name="page87"/>
    <w:bookmarkEnd w:id="8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another major component of our plans to obtain market exclusivity for approved therapeutic indications for AV-101, we intend to utilize New Drug Product Exclusivity provided by the FDA under section 505(c)(3)(E) and 505(j)(5)(F) of the Federal Food, Drug, and Cosmetic Act (</w:t>
      </w:r>
      <w:r>
        <w:rPr>
          <w:rFonts w:ascii="Arial" w:cs="Arial" w:eastAsia="Arial" w:hAnsi="Arial"/>
          <w:sz w:val="14"/>
          <w:szCs w:val="14"/>
          <w:i w:val="1"/>
          <w:iCs w:val="1"/>
          <w:color w:val="auto"/>
        </w:rPr>
        <w:t>FDCA</w:t>
      </w:r>
      <w:r>
        <w:rPr>
          <w:rFonts w:ascii="Arial" w:cs="Arial" w:eastAsia="Arial" w:hAnsi="Arial"/>
          <w:sz w:val="14"/>
          <w:szCs w:val="14"/>
          <w:color w:val="auto"/>
        </w:rPr>
        <w:t>). The FDA’s New Drug Product Exclusivity is available for NCEs such as AV-101, which are innovative and have not been previously approved by the FDA, either alone or in combination with other drugs. The FDA’s New Drug Product Exclusivity protection provides the holder of an FDA-approved NDA with up to five years of protection from competition in the U.S. marketplace for the innovation represented by its approved new drug product. This protection precludes FDA approval of certain generic drug applications under section 505(b)(2) of the FDCA, as well as certain abbreviated new drug applications (</w:t>
      </w:r>
      <w:r>
        <w:rPr>
          <w:rFonts w:ascii="Arial" w:cs="Arial" w:eastAsia="Arial" w:hAnsi="Arial"/>
          <w:sz w:val="14"/>
          <w:szCs w:val="14"/>
          <w:i w:val="1"/>
          <w:iCs w:val="1"/>
          <w:color w:val="auto"/>
        </w:rPr>
        <w:t>ANDAs</w:t>
      </w:r>
      <w:r>
        <w:rPr>
          <w:rFonts w:ascii="Arial" w:cs="Arial" w:eastAsia="Arial" w:hAnsi="Arial"/>
          <w:sz w:val="14"/>
          <w:szCs w:val="14"/>
          <w:color w:val="auto"/>
        </w:rPr>
        <w:t>), during the up to five-year exclusivity period, except that such applications may be submitted after four years if they contain a certification of patent invalidity or non-infringement. We will pursue similar types of regulatory exclusivity in other regions, such as Europe, and in certain other countries.</w:t>
      </w:r>
    </w:p>
    <w:p>
      <w:pPr>
        <w:spacing w:after="0" w:line="173"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There is no guarantee that we will be successful in obtaining patents in the U.S. or other countries related to AV-101, or that if we are successful in obtaining such patents that we would also be successful in protecting those patents against challengers or in enforcing them to stop infringement. We are pursuing patent rights in a limited number of countries that we believe are the few major markets where having patent rights will substantially facilitate commercialization of AV-101. There are many other countries in which we are not pursuing such patent rights. And there is no guarantee that we will successfully obtain patents in the countries in which we are pursuing patent rights.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w:t>
      </w:r>
    </w:p>
    <w:p>
      <w:pPr>
        <w:spacing w:after="0" w:line="180" w:lineRule="exact"/>
        <w:rPr>
          <w:sz w:val="20"/>
          <w:szCs w:val="20"/>
          <w:color w:val="auto"/>
        </w:rPr>
      </w:pPr>
    </w:p>
    <w:p>
      <w:pPr>
        <w:ind w:right="100"/>
        <w:spacing w:after="0" w:line="290" w:lineRule="auto"/>
        <w:rPr>
          <w:sz w:val="20"/>
          <w:szCs w:val="20"/>
          <w:color w:val="auto"/>
        </w:rPr>
      </w:pPr>
      <w:r>
        <w:rPr>
          <w:rFonts w:ascii="Arial" w:cs="Arial" w:eastAsia="Arial" w:hAnsi="Arial"/>
          <w:sz w:val="13"/>
          <w:szCs w:val="13"/>
          <w:color w:val="auto"/>
        </w:rPr>
        <w:t>We have obtained and are pursuing intellectual property rights to several stem cell technologies through a combination of our own patent properties, exclusive and non-exclusive patent and technology licenses, and participation in sponsored research relationships. Generally, our stem cell IP portfolio relates to drug rescue, toxicity testing and drug discovery. It also relates to novel production systems and the use of various cell types that have been differentiated from pluripotent stem cells for those and other purposes. Additionally, the IP includes enriched populations of certain cell types, such as cardiomyocytes and hepatocytes, and some related aspects of cell-based therapy. We also maintain certain trade secrets regarding stem cell technology.</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Overall, our stem cell patent portfolio includes nine patent families, which collectively include 14 issued U.S. patents that remain in force as well as several foreign counterpart patents in countries of commercial interest to VistaGen. The portfolio also includes several patent applications pending in the U.S. and in various foreign countries. For reference, our stem cell patent portfolio is based on PCT patent applications WO 1997/021802, WO2000/034525, WO2004/098490, WO2001/096866, WO2012/024782, WO2013/075222, WO2014/124527, WO2014/161075 and WO2015035506.</w:t>
      </w:r>
    </w:p>
    <w:p>
      <w:pPr>
        <w:spacing w:after="0" w:line="146" w:lineRule="exact"/>
        <w:rPr>
          <w:sz w:val="20"/>
          <w:szCs w:val="20"/>
          <w:color w:val="auto"/>
        </w:rPr>
      </w:pPr>
    </w:p>
    <w:p>
      <w:pPr>
        <w:ind w:right="280"/>
        <w:spacing w:after="0" w:line="323" w:lineRule="auto"/>
        <w:rPr>
          <w:sz w:val="20"/>
          <w:szCs w:val="20"/>
          <w:color w:val="auto"/>
        </w:rPr>
      </w:pPr>
      <w:r>
        <w:rPr>
          <w:rFonts w:ascii="Arial" w:cs="Arial" w:eastAsia="Arial" w:hAnsi="Arial"/>
          <w:sz w:val="13"/>
          <w:szCs w:val="13"/>
          <w:color w:val="auto"/>
        </w:rPr>
        <w:t>The patent properties in these families are based on discoveries from our internal research and development activities, research that it has sponsored at various academic institutions, as well as from patent license agreements signed with the National Jewish Medical and Research Center, University Health Network (Toronto) and the Mount Sinai School of Medicine.</w:t>
      </w:r>
    </w:p>
    <w:p>
      <w:pPr>
        <w:spacing w:after="0" w:line="130"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These license agreements generally require us to pay annual license fees, patent prosecution and maintenance fees, and royalty payments that vary based on product sales and services that are covered by the licensed patent rights, as well fees for sublicensing. As noted above in the context of AV-101 intellectual property, there is no guarantee that we will successfully obtain patents in the countries in which we are pursuing patent rights or that we would be successful in enforcing granted patent rights against infringers.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Trademarks</w:t>
      </w:r>
    </w:p>
    <w:p>
      <w:pPr>
        <w:spacing w:after="0" w:line="201"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We have a federal trademark registration for the trademark “VISTAGEN”. We also use certain other trademarks in connection with our customized in vitro bioassay systems, such as CardioSafe 3D™, LiverSafe 3D™ and “Better Cells Lead to Better Medicine™.”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7" w:name="page88"/>
    <w:bookmarkEnd w:id="8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Sponsored Research Collaborations and Intellectual Property Rights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University Health Network, McEwen Centre for Regenerative Medicine, Toronto, Ontario</w:t>
      </w:r>
    </w:p>
    <w:p>
      <w:pPr>
        <w:spacing w:after="0" w:line="201"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Our strategic relationship with our co-founder, Dr. Gordon Keller, Director of the UHN’s McEwen Centre, is focused on, among other things, developing improved methods for differentiation of cardiomyocytes (heart cells) from hPSCs, and their uses in bioassay systems for drug discovery and drug development, including drug rescue. Pursuant to our sponsored research collaboration agreement with UHN, we have acquired exclusive worldwide rights to patent applications in the U.S. and foreign countries on multiple inventions arising from studies we have sponsored, under pre-negotiated license terms. Such pre-negotiated terms provide for royalty payments based on product sales that incorporate the licensed technology and milestone payments based on the achievement of certain events. Any drug rescue NCEs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w:t>
      </w:r>
    </w:p>
    <w:p>
      <w:pPr>
        <w:spacing w:after="0" w:line="159"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The sponsored research collaboration agreement (</w:t>
      </w:r>
      <w:r>
        <w:rPr>
          <w:rFonts w:ascii="Arial" w:cs="Arial" w:eastAsia="Arial" w:hAnsi="Arial"/>
          <w:sz w:val="13"/>
          <w:szCs w:val="13"/>
          <w:i w:val="1"/>
          <w:iCs w:val="1"/>
          <w:color w:val="auto"/>
        </w:rPr>
        <w:t>SRCA</w:t>
      </w:r>
      <w:r>
        <w:rPr>
          <w:rFonts w:ascii="Arial" w:cs="Arial" w:eastAsia="Arial" w:hAnsi="Arial"/>
          <w:sz w:val="13"/>
          <w:szCs w:val="13"/>
          <w:color w:val="auto"/>
        </w:rPr>
        <w:t>) with UHN, as amended, has a term of ten years, ending on September 18, 2017. We are currently in discussions with Dr. Keller and UHN regarding the scope of potential new sponsored research projects under the SRCA.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UHN Licenses for Stem Cell Culture Technology</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 xml:space="preserve">In October 2011, we licensed stem cell culture technology from UHN’s McEwen Centre pursuant to the SCRA. This exclusive license conveyed rights to a patent application entitled “Methods for enriching pluripotent stem cell derived cardiomyocyte progenitor cells and cardiomyocyte (heart) cells based on SIRPA expression” covered by U.S. Provisional 61/377,665 and PCT patent application WO/2012/024782, and any related patent application claiming priority from these. This technology involves a heretofore unknown cell surface protein, SIRPA (signal-regulatory protein alpha) that is expressed by early immature precursors for cardiomyocytes. Antibodies specific to SIRPA allow the identification and enrichment of these early cardiomyocyte precursors, which we believe will provide benefits in terms of purity, functionality and reproducibility for not only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safety assays for drug screening and development, but also potentially for production of cardiomyocytes for cell therapy and regenerative medicine applications.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 xml:space="preserve">In April 2012, we licensed stem cell culture technology from UHN’s McEwen Centre pursuant to the SCRA. The licensed technology may be used to develop hematopoietic precursor stem cells from human pluripotent stem cells, with the goal of developing drug discovery screening and regenerative medicine applications for human blood system disorders. This technology is covered by U.S. Provisional US61/562,094 and PCT patent application WO/2013/075222, and any related patent application claiming priority from these. We believe this stem cell technology dramatically advances our ability to produce and purify this important blood stem cell precursor for both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drug discovery screening and potential regenerative medicine applications. In addition to defining new cell culture methods for our use, the technology describes the surface characteristics of stem cell-derived adult hematopoietic stem cells. Most groups study embryonic blood development from stem cells, but we are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88" w:name="page89"/>
    <w:bookmarkEnd w:id="8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color w:val="auto"/>
        </w:rPr>
        <w:t xml:space="preserve">In December 2014, we licensed stem cell culture technology from UHN’s McEwen Centre pursuant to the SCRA. This exclusive license conveyed rights to a patent application entitled “Methods for generating hepatocytes and cholangiocytes from pluripotent stem cells” covered by PCT patent application WO/2014/124527, and any future patent application claiming priority from it. The licensed technology describes advanced methods for the production of mature hepatocytes and cholangiocytes, the primary cell types of the liver. The liver plays an important role in many bodily functions including protein production, blood clotting, as well as glucose, iron and lipid metabolism. Hepatocytes are the major cells responsible for metabolizing drugs, drug-drug interactions, and are the target for a variety of liver diseases including drug-induced liver failure, Cirrhosis, and viral infections. Cholangiocytes are the precursors for the biliary system found in the liver, i.e. bile ducts and gallbladder. The biliary system is a significant target for many conditions, including drug toxicities, cholecystitis, and liver-related abnormal function associated with the cystic fibrosis mutation. The licensed technology now enables us to more efficiently produce, human hepatocytes and cholangiocytes with more adult-like functions for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drug discovery and </w:t>
      </w:r>
      <w:r>
        <w:rPr>
          <w:rFonts w:ascii="Arial" w:cs="Arial" w:eastAsia="Arial" w:hAnsi="Arial"/>
          <w:sz w:val="13"/>
          <w:szCs w:val="13"/>
          <w:i w:val="1"/>
          <w:iCs w:val="1"/>
          <w:color w:val="auto"/>
        </w:rPr>
        <w:t>LiverSafe</w:t>
      </w:r>
      <w:r>
        <w:rPr>
          <w:rFonts w:ascii="Arial" w:cs="Arial" w:eastAsia="Arial" w:hAnsi="Arial"/>
          <w:sz w:val="13"/>
          <w:szCs w:val="13"/>
          <w:color w:val="auto"/>
        </w:rPr>
        <w:t xml:space="preserve"> 3D toxicity assays to support our drug rescue programs, as well as the therapeutic potential for cell-based therapies.</w:t>
      </w:r>
    </w:p>
    <w:p>
      <w:pPr>
        <w:spacing w:after="0" w:line="159"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In December 2014, we licensed stem cell culture technology from UHN’s McEwen Centre pursuant to the SCRA. This exclusive license conveyed rights to patent application entitled “Methods and Compositions for Generating Epicardium Cells” covered by PCT patent application WO/2015/035506 application, and any future patent application claiming priority from it. The epicardium is the outer cell layer on top of the heart muscle (cardiomyocytes), and is essential for proper development of the heart and plays an important role in cardiac recovery during disease. The epicardium plays a critical role in the differentiation, expansion, and maturation of cardiomyocytes during development, or during cardiac repair responses. This technology will be important to developing the next generation of engineered cardiac tissue, or their function in cell therapy approaches.</w:t>
      </w:r>
    </w:p>
    <w:p>
      <w:pPr>
        <w:spacing w:after="0" w:line="168"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In December 2014, we licensed stem cell culture technology from UHN’s McEwen Centre pursuant to the SCRA. This exclusive license conveyed rights to patent application entitled “Methods and compositions for generating chondrocyte lineage cells and/or cartilage like tissue” covered by PCT patent application WO/2014/161075 application, and any future patent application claiming priority from it. There are two types of chondrocytes, “articular” and “growth plate”. Articular chondrocytes are responsible for cartilage that lines our joints, whereas growth plate chondrocytes are involved with new bone formation. Osteoarthritis is debilitating joint diseases resulting from the degeneration of articular cartilage leading to inappropriate bone development (spurs) in the joint. These technologies will allow us to develop in vitro assays to study the process of the degeneration of articular cartilage, and provides novel tools for testing drugs that have the potential to reduce this degeneration. These cells also provide the necessary cells for developing cell therapy approaches for treating osteoarthritis.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Government Rights</w:t>
      </w:r>
    </w:p>
    <w:p>
      <w:pPr>
        <w:spacing w:after="0" w:line="180"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We have received federal funding from both the NIH and the NIMH to support research and development of inventions disclosed in our patent applications relating to AV-101 and certain of our stem cell technology. Under the Bayh-Dole Act of 1980, if we do not take adequate steps to commercialize certain intellectual property rights, or certain other exigent circumstances relating to public health and safety prescribed under federal law become applicable, the U.S. government may acquire certain rights with respect to inventions made during programs funded by NIH, NIMH or other federal grants.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05" w:lineRule="exact"/>
        <w:rPr>
          <w:sz w:val="20"/>
          <w:szCs w:val="20"/>
          <w:color w:val="auto"/>
        </w:rPr>
      </w:pPr>
    </w:p>
    <w:p>
      <w:pPr>
        <w:jc w:val="both"/>
        <w:ind w:right="100"/>
        <w:spacing w:after="0" w:line="268" w:lineRule="auto"/>
        <w:rPr>
          <w:sz w:val="20"/>
          <w:szCs w:val="20"/>
          <w:color w:val="auto"/>
        </w:rPr>
      </w:pPr>
      <w:r>
        <w:rPr>
          <w:rFonts w:ascii="Arial" w:cs="Arial" w:eastAsia="Arial" w:hAnsi="Arial"/>
          <w:sz w:val="14"/>
          <w:szCs w:val="14"/>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63"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Currently, there are no FDA-approved therapies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are sometimes used instead of and before antidepressant medications to treat patients with MDD.</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89" w:name="page90"/>
    <w:bookmarkEnd w:id="8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In the field of new generation antidepressants focused on modulation of the NMDAR, our principal competitor is Naurex, Inc., which is developing rapastinel (formerly GLYX-13) and NRX-1074 for treatment-resistant MDD. In August, 2015, Allergan plc., a global pharmaceutical company, acquired rapastinel and NRX-1074 from Naurex, Inc. for a $560 million up front payment in cash, as well as potential research and development success-based and sales threshold milestone payments. Although each of these drug candidates is a peptide and may not be orally active (rapastinel is only administered intravenously and, we believe, NRX-1074 has not yet been administered orally to patients), both are new generation NMDAR modulators focused on the GlyB site of the NMDAR.</w:t>
      </w: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companies have programs to develop small molecule drug candidates for the treatment of depression, including MDD, epilepsy, neuropathic pain, Parkinson’s disease and other neurological conditions and diseases, including, but not limited to, Abbott Laboratories, Allergan, AstraZeneca, Eli Lilly, GlaxoSmithKline, Johnson &amp; Johnson, Lundbeck, Merck, Novartis, Otsuka, Pfizer, Roche, Sanofi, Shire,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We expect that AV-101 will have to compete with a variety of therapeutic products and procedures.</w:t>
      </w:r>
    </w:p>
    <w:p>
      <w:pPr>
        <w:spacing w:after="0" w:line="161"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We believe that our human pluripotent stem cell (</w:t>
      </w:r>
      <w:r>
        <w:rPr>
          <w:rFonts w:ascii="Arial" w:cs="Arial" w:eastAsia="Arial" w:hAnsi="Arial"/>
          <w:sz w:val="13"/>
          <w:szCs w:val="13"/>
          <w:i w:val="1"/>
          <w:iCs w:val="1"/>
          <w:color w:val="auto"/>
        </w:rPr>
        <w:t>hPSC</w:t>
      </w:r>
      <w:r>
        <w:rPr>
          <w:rFonts w:ascii="Arial" w:cs="Arial" w:eastAsia="Arial" w:hAnsi="Arial"/>
          <w:sz w:val="13"/>
          <w:szCs w:val="13"/>
          <w:color w:val="auto"/>
        </w:rPr>
        <w:t xml:space="preserve">) technology platform,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drug discovery and safety testing, contract predictive toxicology drug screening services for third parties, internal drug discovery, drug development and drug rescue of new , and regenerative medicine, including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cell therapy research and development. A representative list of such biopharmaceutical companies pursuing one or more of these potential applications of adult and/or hPSCl technology includes the following: Acea Biosciences, Astellas, Athersys, BioCardia, BioTime, Cellectis Bioresearch, Cellerant Therapeutics, Cytori Therapeutics, Fujifilm Holdings, HemoGenix, International Stem Cell, NeoStem, Neuralstem, Organovo Holdings, PluriStem Therapeutics, Stem Cells, and Stemina BioMarker Discovery. Pharmaceutical companies and other established corporations such as Bristol-Myers Squibb, GE Healthcare Life Sciences, GlaxoSmithKline, Life Technologies, Novartis, Pfizer, Roche Holdings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205"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0" w:name="page91"/>
    <w:bookmarkEnd w:id="9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Drug Development</w:t>
      </w:r>
    </w:p>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the United States, the FDA regulates drugs under the FDCA and its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among other actions, the FDA’s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7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Our product candidates must be approved by the FDA through the NDA process before they may be legally marketed in the United States. The process required by the FDA before a drug may be marketed in the United States generally involves the following:</w:t>
      </w:r>
    </w:p>
    <w:p>
      <w:pPr>
        <w:spacing w:after="0" w:line="131" w:lineRule="exact"/>
        <w:rPr>
          <w:sz w:val="20"/>
          <w:szCs w:val="20"/>
          <w:color w:val="auto"/>
        </w:rPr>
      </w:pPr>
    </w:p>
    <w:p>
      <w:pPr>
        <w:ind w:left="520" w:right="340" w:hanging="515"/>
        <w:spacing w:after="0" w:line="283"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Completion of extensive non-clinical, sometimes referred to as non-clinical laboratory tests, non-clinical animal studies and formulation studies in accordance with applicable regulations, including the FDA’s current Good Laboratory Practice (</w:t>
      </w:r>
      <w:r>
        <w:rPr>
          <w:rFonts w:ascii="Arial" w:cs="Arial" w:eastAsia="Arial" w:hAnsi="Arial"/>
          <w:sz w:val="14"/>
          <w:szCs w:val="14"/>
          <w:i w:val="1"/>
          <w:iCs w:val="1"/>
          <w:color w:val="auto"/>
        </w:rPr>
        <w:t>cGLP</w:t>
      </w:r>
      <w:r>
        <w:rPr>
          <w:rFonts w:ascii="Arial" w:cs="Arial" w:eastAsia="Arial" w:hAnsi="Arial"/>
          <w:sz w:val="14"/>
          <w:szCs w:val="14"/>
          <w:color w:val="auto"/>
        </w:rPr>
        <w:t>), regulations;</w:t>
      </w:r>
    </w:p>
    <w:p>
      <w:pPr>
        <w:spacing w:after="0" w:line="152" w:lineRule="exact"/>
        <w:rPr>
          <w:rFonts w:ascii="Arial" w:cs="Arial" w:eastAsia="Arial" w:hAnsi="Arial"/>
          <w:sz w:val="14"/>
          <w:szCs w:val="14"/>
          <w:color w:val="auto"/>
        </w:rPr>
      </w:pPr>
    </w:p>
    <w:p>
      <w:pPr>
        <w:ind w:left="520" w:hanging="515"/>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Submission to the FDA of an IND application, which must become effective before human clinical trials may begin;</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Approval by an independent institutional review board (</w:t>
      </w:r>
      <w:r>
        <w:rPr>
          <w:rFonts w:ascii="Arial" w:cs="Arial" w:eastAsia="Arial" w:hAnsi="Arial"/>
          <w:sz w:val="14"/>
          <w:szCs w:val="14"/>
          <w:i w:val="1"/>
          <w:iCs w:val="1"/>
          <w:color w:val="auto"/>
        </w:rPr>
        <w:t>IRB</w:t>
      </w:r>
      <w:r>
        <w:rPr>
          <w:rFonts w:ascii="Arial" w:cs="Arial" w:eastAsia="Arial" w:hAnsi="Arial"/>
          <w:sz w:val="14"/>
          <w:szCs w:val="14"/>
          <w:color w:val="auto"/>
        </w:rPr>
        <w:t>) or ethics committee at each clinical trial site before each trial may be initiated;</w:t>
      </w:r>
    </w:p>
    <w:p>
      <w:pPr>
        <w:spacing w:after="0" w:line="201" w:lineRule="exact"/>
        <w:rPr>
          <w:rFonts w:ascii="Arial" w:cs="Arial" w:eastAsia="Arial" w:hAnsi="Arial"/>
          <w:sz w:val="14"/>
          <w:szCs w:val="14"/>
          <w:color w:val="auto"/>
        </w:rPr>
      </w:pPr>
    </w:p>
    <w:p>
      <w:pPr>
        <w:ind w:left="520" w:hanging="515"/>
        <w:spacing w:after="0" w:line="283"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in accordance with applicable IND and other clinical trial-related regulations, sometimes referred to as good clinical practices (</w:t>
      </w:r>
      <w:r>
        <w:rPr>
          <w:rFonts w:ascii="Arial" w:cs="Arial" w:eastAsia="Arial" w:hAnsi="Arial"/>
          <w:sz w:val="14"/>
          <w:szCs w:val="14"/>
          <w:i w:val="1"/>
          <w:iCs w:val="1"/>
          <w:color w:val="auto"/>
        </w:rPr>
        <w:t>GCPs</w:t>
      </w:r>
      <w:r>
        <w:rPr>
          <w:rFonts w:ascii="Arial" w:cs="Arial" w:eastAsia="Arial" w:hAnsi="Arial"/>
          <w:sz w:val="14"/>
          <w:szCs w:val="14"/>
          <w:color w:val="auto"/>
        </w:rPr>
        <w:t>) to establish the safety and efficacy of the proposed drug for each proposed indication;</w:t>
      </w:r>
    </w:p>
    <w:p>
      <w:pPr>
        <w:spacing w:after="0" w:line="152" w:lineRule="exact"/>
        <w:rPr>
          <w:rFonts w:ascii="Arial" w:cs="Arial" w:eastAsia="Arial" w:hAnsi="Arial"/>
          <w:sz w:val="14"/>
          <w:szCs w:val="14"/>
          <w:color w:val="auto"/>
        </w:rPr>
      </w:pPr>
    </w:p>
    <w:p>
      <w:pPr>
        <w:ind w:left="520" w:hanging="515"/>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Submission to the FDA of an NDA, for a new drug;</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 determination by the FDA within 60 days of its receipt of an NDA to file the NDA for review;</w:t>
      </w:r>
    </w:p>
    <w:p>
      <w:pPr>
        <w:spacing w:after="0" w:line="201" w:lineRule="exact"/>
        <w:rPr>
          <w:rFonts w:ascii="Arial" w:cs="Arial" w:eastAsia="Arial" w:hAnsi="Arial"/>
          <w:sz w:val="14"/>
          <w:szCs w:val="14"/>
          <w:color w:val="auto"/>
        </w:rPr>
      </w:pPr>
    </w:p>
    <w:p>
      <w:pPr>
        <w:ind w:left="520" w:right="160" w:hanging="515"/>
        <w:spacing w:after="0" w:line="283" w:lineRule="auto"/>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Satisfactory completion of an FDA pre-approval inspection of the manufacturing facility or facilities where the drug is produced to assess compliance with cGMP requirements to assure that the facilities, methods and controls are adequate to preserve the drug’s identity, strength, quality and purity;</w:t>
      </w:r>
    </w:p>
    <w:p>
      <w:pPr>
        <w:spacing w:after="0" w:line="152" w:lineRule="exact"/>
        <w:rPr>
          <w:rFonts w:ascii="Arial" w:cs="Arial" w:eastAsia="Arial" w:hAnsi="Arial"/>
          <w:sz w:val="14"/>
          <w:szCs w:val="14"/>
          <w:color w:val="auto"/>
        </w:rPr>
      </w:pPr>
    </w:p>
    <w:p>
      <w:pPr>
        <w:ind w:left="520" w:hanging="515"/>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Potential FDA audit of the non-clinical and/or clinical trial sites that generated the data in support of the NDA; and</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FDA review and approval of the NDA, including consideration of the views of any FDA advisory committee, prior to any commercial marketing or sale of the drug in the United States.</w:t>
      </w:r>
    </w:p>
    <w:p>
      <w:pPr>
        <w:spacing w:after="0" w:line="191"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The non-clinical and clinical testing and approval process requires substantial time, effort and financial resources, and we cannot be certain that any approvals for our product candidates will be granted on a timely basis, if at all. Non-clinical tests include laboratory evaluation of product chemistry, formulation, stability and toxicity, as well as animal studies to assess the characteristics and potential safety and efficacy of the product.</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1" w:name="page92"/>
    <w:bookmarkEnd w:id="9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The data required to support an NDA is generated in two distinct development stages: non-clinical and clinical. For new chemical entities, the non-clinical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non-clinical tests must comply with federal regulations, including GLPs.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Some non-clinical testing may continue even after the IND is submitted, but an IND must become effective before human clinical trials may begin. The central focus of an IND submission is on the general investigational plan and the protocol(s) for human trials. The IND automatically becomes effective 30 days after receipt by the FDA, unless the FDA raises concerns or questions regarding the proposed clinical trials, including subjects will be exposed to unreasonable health risks,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158"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The clinical stage of development involves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59"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an NDA so long as the clinical trial is conducted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Clinical Trials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Clinical trials are generally conducted in three sequential phases that may overlap, known as Phase 1, Phase 2 and Phase 3 clinical trials.</w:t>
      </w:r>
    </w:p>
    <w:p>
      <w:pPr>
        <w:spacing w:after="0" w:line="180" w:lineRule="exact"/>
        <w:rPr>
          <w:sz w:val="20"/>
          <w:szCs w:val="20"/>
          <w:color w:val="auto"/>
        </w:rPr>
      </w:pPr>
    </w:p>
    <w:p>
      <w:pPr>
        <w:ind w:left="520" w:right="120" w:hanging="515"/>
        <w:spacing w:after="0" w:line="283"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Phase 1 clinical trials generally involve a small number of healthy volunteers who are initially exposed to a single dose and then multiple doses of the product candidate. The primary purpose of these clinical trials is to assess the metabolism, pharmacologic action, side effect tolerability and safety of the drug.</w:t>
      </w:r>
    </w:p>
    <w:p>
      <w:pPr>
        <w:spacing w:after="0" w:line="152" w:lineRule="exact"/>
        <w:rPr>
          <w:rFonts w:ascii="Arial" w:cs="Arial" w:eastAsia="Arial" w:hAnsi="Arial"/>
          <w:sz w:val="14"/>
          <w:szCs w:val="14"/>
          <w:color w:val="auto"/>
        </w:rPr>
      </w:pPr>
    </w:p>
    <w:p>
      <w:pPr>
        <w:ind w:left="520" w:right="100" w:hanging="515"/>
        <w:spacing w:after="0" w:line="283"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w:t>
      </w:r>
    </w:p>
    <w:p>
      <w:pPr>
        <w:spacing w:after="0" w:line="152" w:lineRule="exact"/>
        <w:rPr>
          <w:rFonts w:ascii="Arial" w:cs="Arial" w:eastAsia="Arial" w:hAnsi="Arial"/>
          <w:sz w:val="14"/>
          <w:szCs w:val="14"/>
          <w:color w:val="auto"/>
        </w:rPr>
      </w:pPr>
    </w:p>
    <w:p>
      <w:pPr>
        <w:ind w:left="520" w:right="140" w:hanging="515"/>
        <w:spacing w:after="0" w:line="263"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Phase 3 clinical trials generally involve large numbers of patients at multiple sites (from several hundred to several thousand subjects) and are designed to provide the data necessary to demonstrate the effectiveness of the product for its intended use, its safety in use, and to establish the overall benefit/risk relationship of the product and provide an adequate basis for product approval. Phase 3 clinical trials may include comparisons with placebo and/or other comparator treatments. The duration of treatment is often extended to mimic the actual use of a product during marketing.</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2" w:name="page93"/>
    <w:bookmarkEnd w:id="9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a condition of approval of an NDA.</w:t>
      </w:r>
    </w:p>
    <w:p>
      <w:pPr>
        <w:spacing w:after="0" w:line="153"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Progress reports detailing the results of the clinical trials must be submitted at least annually to the FDA and written IND safety reports must be submitted to the FDA and the investigators for serious and unexpected suspected adverse events, finding from other studies, or any finding from animal or in vitro testing that suggests a significant risk for human subjects.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we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NDA and FDA Review Process</w:t>
      </w:r>
    </w:p>
    <w:p>
      <w:pPr>
        <w:spacing w:after="0" w:line="201" w:lineRule="exact"/>
        <w:rPr>
          <w:sz w:val="20"/>
          <w:szCs w:val="20"/>
          <w:color w:val="auto"/>
        </w:rPr>
      </w:pPr>
    </w:p>
    <w:p>
      <w:pPr>
        <w:jc w:val="both"/>
        <w:ind w:right="60"/>
        <w:spacing w:after="0" w:line="263" w:lineRule="auto"/>
        <w:rPr>
          <w:sz w:val="20"/>
          <w:szCs w:val="20"/>
          <w:color w:val="auto"/>
        </w:rPr>
      </w:pPr>
      <w:r>
        <w:rPr>
          <w:rFonts w:ascii="Arial" w:cs="Arial" w:eastAsia="Arial" w:hAnsi="Arial"/>
          <w:sz w:val="14"/>
          <w:szCs w:val="14"/>
          <w:color w:val="auto"/>
        </w:rPr>
        <w:t>The results of non-clinical studies and of the clinical trials, together with other detailed information, including extensive manufacturing information and information on the composition of the drug and proposed labeling, are submitted to the FDA in the form of an NDA requesting approval to market the drug for one or more specified indications. The FDA reviews an NDA to determine, among other things, whether a drug is safe and effective for its intended use and whether the product is being manufactured in accordance with cGMP to assure and preserve the product’s identity, strength, quality and purity. FDA approval of an NDA must be obtained before a drug may be offered for sale in the United States.</w:t>
      </w:r>
    </w:p>
    <w:p>
      <w:pPr>
        <w:spacing w:after="0" w:line="146" w:lineRule="exact"/>
        <w:rPr>
          <w:sz w:val="20"/>
          <w:szCs w:val="20"/>
          <w:color w:val="auto"/>
        </w:rPr>
      </w:pPr>
    </w:p>
    <w:p>
      <w:pPr>
        <w:jc w:val="both"/>
        <w:ind w:right="40"/>
        <w:spacing w:after="0" w:line="268" w:lineRule="auto"/>
        <w:rPr>
          <w:sz w:val="20"/>
          <w:szCs w:val="20"/>
          <w:color w:val="auto"/>
        </w:rPr>
      </w:pPr>
      <w:r>
        <w:rPr>
          <w:rFonts w:ascii="Arial" w:cs="Arial" w:eastAsia="Arial" w:hAnsi="Arial"/>
          <w:sz w:val="14"/>
          <w:szCs w:val="14"/>
          <w:color w:val="auto"/>
        </w:rPr>
        <w:t>In addition, under the Pediatric Research Equity Act (</w:t>
      </w:r>
      <w:r>
        <w:rPr>
          <w:rFonts w:ascii="Arial" w:cs="Arial" w:eastAsia="Arial" w:hAnsi="Arial"/>
          <w:sz w:val="14"/>
          <w:szCs w:val="14"/>
          <w:i w:val="1"/>
          <w:iCs w:val="1"/>
          <w:color w:val="auto"/>
        </w:rPr>
        <w:t>PREA</w:t>
      </w:r>
      <w:r>
        <w:rPr>
          <w:rFonts w:ascii="Arial" w:cs="Arial" w:eastAsia="Arial" w:hAnsi="Arial"/>
          <w:sz w:val="14"/>
          <w:szCs w:val="14"/>
          <w:color w:val="auto"/>
        </w:rPr>
        <w:t>) an NDA or supplement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16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Under the Prescription Drug User Fee Act (</w:t>
      </w:r>
      <w:r>
        <w:rPr>
          <w:rFonts w:ascii="Arial" w:cs="Arial" w:eastAsia="Arial" w:hAnsi="Arial"/>
          <w:sz w:val="14"/>
          <w:szCs w:val="14"/>
          <w:i w:val="1"/>
          <w:iCs w:val="1"/>
          <w:color w:val="auto"/>
        </w:rPr>
        <w:t>PDUFA</w:t>
      </w:r>
      <w:r>
        <w:rPr>
          <w:rFonts w:ascii="Arial" w:cs="Arial" w:eastAsia="Arial" w:hAnsi="Arial"/>
          <w:sz w:val="14"/>
          <w:szCs w:val="14"/>
          <w:color w:val="auto"/>
        </w:rPr>
        <w:t>) as amended, each NDA must be accompanied by a user fee. The FDA adjusts the PDUFA user fees on an annual basis. According to the FDA’s fee schedule, effective through December 31, 2014, the user fee for an application requiring clinical data, such as an NDA, is $2.2 million. PDUFA also imposes an annual product fee for human drugs of $0.1 million and an annual establishment fee of $0.6 million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93" w:name="page94"/>
    <w:bookmarkEnd w:id="9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Before approving an NDA, the FDA will conduct a pre-approval inspection of the manufacturing facilities for the new product to determine whether they comply with cGMPs. The FDA will not approve the product unless it determines that the manufacturing processes and facilities are in compliance with cGMP requirements and adequate to assure consistent production of the product within required specifications. In addition, before approving an NDA, the FDA may also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the applicant during the review process. The review and evaluation of an NDA by the FDA is extensive and time consuming and may take longer than originally planned to complete, and we may not receive a timely approval, if at all.</w:t>
      </w:r>
    </w:p>
    <w:p>
      <w:pPr>
        <w:spacing w:after="0" w:line="161"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After the FDA evaluates an NDA,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156" w:lineRule="exact"/>
        <w:rPr>
          <w:sz w:val="20"/>
          <w:szCs w:val="20"/>
          <w:color w:val="auto"/>
        </w:rPr>
      </w:pPr>
    </w:p>
    <w:p>
      <w:pPr>
        <w:ind w:right="60"/>
        <w:spacing w:after="0" w:line="279" w:lineRule="auto"/>
        <w:rPr>
          <w:sz w:val="20"/>
          <w:szCs w:val="20"/>
          <w:color w:val="auto"/>
        </w:rPr>
      </w:pPr>
      <w:r>
        <w:rPr>
          <w:rFonts w:ascii="Arial" w:cs="Arial" w:eastAsia="Arial" w:hAnsi="Arial"/>
          <w:sz w:val="13"/>
          <w:szCs w:val="13"/>
          <w:color w:val="auto"/>
        </w:rPr>
        <w:t>There is no assurance that the FDA will ultimately approve a drug product for marketing in the United States and we may encounter significant difficulties or costs during the review process.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post-marketing testing or clinical trials and surveillance to monitor the effects of approved products. For example, the FDA may require Phase 4 testing which involves clinical trials designed to further assess a drug’s safety and efficacy and may require testing and surveillance programs to monitor the safety of approved products that have been commercialized. The FDA may also place other conditions on approvals including the requirement for a risk evaluation and mitigation strategy (</w:t>
      </w:r>
      <w:r>
        <w:rPr>
          <w:rFonts w:ascii="Arial" w:cs="Arial" w:eastAsia="Arial" w:hAnsi="Arial"/>
          <w:sz w:val="13"/>
          <w:szCs w:val="13"/>
          <w:i w:val="1"/>
          <w:iCs w:val="1"/>
          <w:color w:val="auto"/>
        </w:rPr>
        <w:t>REMS</w:t>
      </w:r>
      <w:r>
        <w:rPr>
          <w:rFonts w:ascii="Arial" w:cs="Arial" w:eastAsia="Arial" w:hAnsi="Arial"/>
          <w:sz w:val="13"/>
          <w:szCs w:val="13"/>
          <w:color w:val="auto"/>
        </w:rPr>
        <w:t>)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requirements or if problems occur following initial marketing.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4" w:name="page95"/>
    <w:bookmarkEnd w:id="9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Orphan Drug Designation</w:t>
      </w:r>
    </w:p>
    <w:p>
      <w:pPr>
        <w:spacing w:after="0" w:line="201"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product available in the United States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4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than that for which the orphan product has exclusivity. Orphan product exclusivity also could block the approval of one of our products for seven years if a competitor obtains approval of the same product as defined by the FDA or if our product candidate is determined to be contained within the competitor’s product for the same indication or disease. If a drug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Expedited Development and Review Programs</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The FDA has a Fast Track program that is intended to expedite or facilitate the process for reviewing new drugs that meet certain criteria. Specifically, new drugs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as a Fast Track product at any time during the clinical development of the product. Unique to a Fast Track product, the FDA may review sections of the marketing application on a rolling basis before the complete NDA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offers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 product may also be eligible for accelerated approval. Drugs studied for their safety and efficacy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trials. If the FDA concludes that a drug shown to be effective can be safely used only if distribution or use is restricted, it will require such post-marketing restrictions, as it deems necessary to assure safe use of the drug, such as:</w:t>
      </w:r>
    </w:p>
    <w:p>
      <w:pPr>
        <w:spacing w:after="0" w:line="173" w:lineRule="exact"/>
        <w:rPr>
          <w:sz w:val="20"/>
          <w:szCs w:val="20"/>
          <w:color w:val="auto"/>
        </w:rPr>
      </w:pPr>
    </w:p>
    <w:p>
      <w:pPr>
        <w:ind w:left="520" w:hanging="515"/>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distribution restricted to certain facilities or physicians with special training or experience; or</w:t>
      </w:r>
    </w:p>
    <w:p>
      <w:pPr>
        <w:spacing w:after="0" w:line="201" w:lineRule="exact"/>
        <w:rPr>
          <w:rFonts w:ascii="Arial" w:cs="Arial" w:eastAsia="Arial" w:hAnsi="Arial"/>
          <w:sz w:val="14"/>
          <w:szCs w:val="14"/>
          <w:color w:val="auto"/>
        </w:rPr>
      </w:pPr>
    </w:p>
    <w:p>
      <w:pPr>
        <w:ind w:left="520" w:hanging="515"/>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distribution conditioned on the performance of specified medical procedures.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5" w:name="page96"/>
    <w:bookmarkEnd w:id="9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The limitations imposed would be commensurate with the specific safety concerns presented by the drug. In addition, the FDA currently requires as a condition for accelerated approval pre-approval of promotional materials, which could adversely impact the timing of the commercial launch of the product. Additionally, a drug may be eligible for designation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indications. The benefits of breakthrough therapy designation include the same benefits as fast track designation, plus intensive guidance from FDA to ensure an efficient drug development program. Fast Track designation, priority review, accelerated approval and breakthrough designation do not change the standards for approval, but may expedite the development or approval process.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Pediatric Trials</w:t>
      </w:r>
    </w:p>
    <w:p>
      <w:pPr>
        <w:spacing w:after="0" w:line="201"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Food and Drug Administration Safety and Innovation Act (</w:t>
      </w:r>
      <w:r>
        <w:rPr>
          <w:rFonts w:ascii="Arial" w:cs="Arial" w:eastAsia="Arial" w:hAnsi="Arial"/>
          <w:sz w:val="14"/>
          <w:szCs w:val="14"/>
          <w:i w:val="1"/>
          <w:iCs w:val="1"/>
          <w:color w:val="auto"/>
        </w:rPr>
        <w:t>FDASIA</w:t>
      </w:r>
      <w:r>
        <w:rPr>
          <w:rFonts w:ascii="Arial" w:cs="Arial" w:eastAsia="Arial" w:hAnsi="Arial"/>
          <w:sz w:val="14"/>
          <w:szCs w:val="14"/>
          <w:color w:val="auto"/>
        </w:rPr>
        <w:t>) which was signed into law on July 9, 2012, amended the FDCA to require that a sponsor who is planning to submit a marketing application for a drug that includes a new active ingredient, new indication, new dosage form, new dosing regimen or new route of administration submit an initial Pediatric Study Plan (</w:t>
      </w:r>
      <w:r>
        <w:rPr>
          <w:rFonts w:ascii="Arial" w:cs="Arial" w:eastAsia="Arial" w:hAnsi="Arial"/>
          <w:sz w:val="14"/>
          <w:szCs w:val="14"/>
          <w:i w:val="1"/>
          <w:iCs w:val="1"/>
          <w:color w:val="auto"/>
        </w:rPr>
        <w:t>PSP</w:t>
      </w:r>
      <w:r>
        <w:rPr>
          <w:rFonts w:ascii="Arial" w:cs="Arial" w:eastAsia="Arial" w:hAnsi="Arial"/>
          <w:sz w:val="14"/>
          <w:szCs w:val="14"/>
          <w:color w:val="auto"/>
        </w:rPr>
        <w:t>)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Post-Marketing Requirements</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Following approval of a new product, a pharmaceutical company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Prescription drug promotional materials must be submitted to the FDA in conjunction with their first use.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non-clinical studies and clinical trials. As with new NDAs, the review process is often significantly extended by FDA requests for additional information or clarification. Any distribution of prescription drug products and pharmaceutical samples must comply with the U.S. Prescription Drug Marketing Act (</w:t>
      </w:r>
      <w:r>
        <w:rPr>
          <w:rFonts w:ascii="Arial" w:cs="Arial" w:eastAsia="Arial" w:hAnsi="Arial"/>
          <w:sz w:val="13"/>
          <w:szCs w:val="13"/>
          <w:i w:val="1"/>
          <w:iCs w:val="1"/>
          <w:color w:val="auto"/>
        </w:rPr>
        <w:t>PDMA</w:t>
      </w:r>
      <w:r>
        <w:rPr>
          <w:rFonts w:ascii="Arial" w:cs="Arial" w:eastAsia="Arial" w:hAnsi="Arial"/>
          <w:sz w:val="13"/>
          <w:szCs w:val="13"/>
          <w:color w:val="auto"/>
        </w:rPr>
        <w:t>) a part of the FDCA.</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6" w:name="page97"/>
    <w:bookmarkEnd w:id="9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In the United States, once a product is approved, its manufacture is subject to comprehensive and continuing regulation by the FDA. The FDA regulations require that products be manufactured in specific approved facilities and in accordance with cGMP. We rely, and expect to continue to rely, on third parties for the production of clinical and commercial quantities of our products in accordance with cGMP regulations. NDA holders using contract manufacturers, laboratories or packagers are responsible for the selection and monitoring of qualified firms, and, in certain circumstances, qualified suppliers to these firms. These manufacturers must comply with cGMP regulations that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NDA, including, among other things, recall or withdrawal of the product from the market.</w:t>
      </w:r>
    </w:p>
    <w:p>
      <w:pPr>
        <w:spacing w:after="0" w:line="158"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Regulatory Matters</w:t>
      </w:r>
    </w:p>
    <w:p>
      <w:pPr>
        <w:spacing w:after="0" w:line="201"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United States Department of Justice,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the Patient Protection and Affordable Health Care Act, as amended by the Health Care and Education Reconciliation Act of 2010, or collectively the ACA, among other things, amends the intent requirement of the federal Anti-Kickback Statute and criminal healthcare fraud statutes created by the federal Health Insurance Portability and Accountability Act of 1996 (</w:t>
      </w:r>
      <w:r>
        <w:rPr>
          <w:rFonts w:ascii="Arial" w:cs="Arial" w:eastAsia="Arial" w:hAnsi="Arial"/>
          <w:sz w:val="13"/>
          <w:szCs w:val="13"/>
          <w:i w:val="1"/>
          <w:iCs w:val="1"/>
          <w:color w:val="auto"/>
        </w:rPr>
        <w:t>HIPAA</w:t>
      </w:r>
      <w:r>
        <w:rPr>
          <w:rFonts w:ascii="Arial" w:cs="Arial" w:eastAsia="Arial" w:hAnsi="Arial"/>
          <w:sz w:val="13"/>
          <w:szCs w:val="13"/>
          <w:color w:val="auto"/>
        </w:rPr>
        <w:t>). A person or entity no longer needs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97" w:name="page98"/>
    <w:bookmarkEnd w:id="9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Although we would not submit claims directly to payors, drug manufacturers can be held liable under the federal False Claims Act, which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The government may deem manufacturers to have “caused”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Penalties for a False Claims Act violation include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58" w:lineRule="exact"/>
        <w:rPr>
          <w:sz w:val="20"/>
          <w:szCs w:val="20"/>
          <w:color w:val="auto"/>
        </w:rPr>
      </w:pPr>
    </w:p>
    <w:p>
      <w:pPr>
        <w:ind w:right="180"/>
        <w:spacing w:after="0" w:line="290" w:lineRule="auto"/>
        <w:rPr>
          <w:sz w:val="20"/>
          <w:szCs w:val="20"/>
          <w:color w:val="auto"/>
        </w:rPr>
      </w:pPr>
      <w:r>
        <w:rPr>
          <w:rFonts w:ascii="Arial" w:cs="Arial" w:eastAsia="Arial" w:hAnsi="Arial"/>
          <w:sz w:val="13"/>
          <w:szCs w:val="13"/>
          <w:color w:val="auto"/>
        </w:rPr>
        <w:t>Pricing and rebate programs must comply with the Medicaid rebate requirements of the U.S. Omnibus Budget Reconciliation Act of 1990 and more recent requirements in ACA.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29"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13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Changes in regulations, statutes or the interpretation of existing regulations could impact our business in the future by requiring, for example: (i) changes to our manufacturing arrangements;</w:t>
      </w:r>
    </w:p>
    <w:p>
      <w:pPr>
        <w:spacing w:after="0" w:line="31" w:lineRule="exact"/>
        <w:rPr>
          <w:sz w:val="20"/>
          <w:szCs w:val="20"/>
          <w:color w:val="auto"/>
        </w:rPr>
      </w:pPr>
    </w:p>
    <w:p>
      <w:pPr>
        <w:ind w:right="120" w:firstLine="5"/>
        <w:spacing w:after="0" w:line="267" w:lineRule="auto"/>
        <w:tabs>
          <w:tab w:leader="none" w:pos="209" w:val="left"/>
        </w:tabs>
        <w:numPr>
          <w:ilvl w:val="0"/>
          <w:numId w:val="47"/>
        </w:numPr>
        <w:rPr>
          <w:rFonts w:ascii="Arial" w:cs="Arial" w:eastAsia="Arial" w:hAnsi="Arial"/>
          <w:sz w:val="14"/>
          <w:szCs w:val="14"/>
          <w:color w:val="auto"/>
        </w:rPr>
      </w:pPr>
      <w:r>
        <w:rPr>
          <w:rFonts w:ascii="Arial" w:cs="Arial" w:eastAsia="Arial" w:hAnsi="Arial"/>
          <w:sz w:val="14"/>
          <w:szCs w:val="14"/>
          <w:color w:val="auto"/>
        </w:rPr>
        <w:t>additions or modifications to product labeling; (iii) the recall or discontinuation of our products; or (iv) additional record-keeping requirements. If any such changes were to be imposed, they could adversely affect the operation of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Patent Term Restoration and Marketing Exclusivity</w:t>
      </w:r>
    </w:p>
    <w:p>
      <w:pPr>
        <w:spacing w:after="0" w:line="201"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98" w:name="page99"/>
    <w:bookmarkEnd w:id="9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w:t>
      </w:r>
      <w:r>
        <w:rPr>
          <w:rFonts w:ascii="Arial" w:cs="Arial" w:eastAsia="Arial" w:hAnsi="Arial"/>
          <w:sz w:val="13"/>
          <w:szCs w:val="13"/>
          <w:i w:val="1"/>
          <w:iCs w:val="1"/>
          <w:color w:val="auto"/>
        </w:rPr>
        <w:t>ANDA</w:t>
      </w:r>
      <w:r>
        <w:rPr>
          <w:rFonts w:ascii="Arial" w:cs="Arial" w:eastAsia="Arial" w:hAnsi="Arial"/>
          <w:sz w:val="13"/>
          <w:szCs w:val="13"/>
          <w:color w:val="auto"/>
        </w:rPr>
        <w:t>)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 Orphan drug exclusivity, as described above,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Drug Development</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In the European Union, our future products may also be subject to extensive regulatory requirements. As in the United States, medicinal products can only be marketed if a marketing authorization from the competent regulatory agencies has been obtained.</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Similar to the United States, the various phases of non-clinical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w:t>
      </w:r>
      <w:r>
        <w:rPr>
          <w:rFonts w:ascii="Arial" w:cs="Arial" w:eastAsia="Arial" w:hAnsi="Arial"/>
          <w:sz w:val="14"/>
          <w:szCs w:val="14"/>
          <w:i w:val="1"/>
          <w:iCs w:val="1"/>
          <w:color w:val="auto"/>
        </w:rPr>
        <w:t>NCA</w:t>
      </w:r>
      <w:r>
        <w:rPr>
          <w:rFonts w:ascii="Arial" w:cs="Arial" w:eastAsia="Arial" w:hAnsi="Arial"/>
          <w:sz w:val="14"/>
          <w:szCs w:val="14"/>
          <w:color w:val="auto"/>
        </w:rPr>
        <w:t>) and one or more Ethics Committees (</w:t>
      </w:r>
      <w:r>
        <w:rPr>
          <w:rFonts w:ascii="Arial" w:cs="Arial" w:eastAsia="Arial" w:hAnsi="Arial"/>
          <w:sz w:val="14"/>
          <w:szCs w:val="14"/>
          <w:i w:val="1"/>
          <w:iCs w:val="1"/>
          <w:color w:val="auto"/>
        </w:rPr>
        <w:t>ECs</w:t>
      </w:r>
      <w:r>
        <w:rPr>
          <w:rFonts w:ascii="Arial" w:cs="Arial" w:eastAsia="Arial" w:hAnsi="Arial"/>
          <w:sz w:val="14"/>
          <w:szCs w:val="14"/>
          <w:color w:val="auto"/>
        </w:rPr>
        <w:t>). Under the current regime all suspected unexpected serious adverse reactions to the investigated drug that occur during the clinical trial have to be reported to the NCA and ECs of the Member State where they occurred.</w:t>
      </w:r>
    </w:p>
    <w:p>
      <w:pPr>
        <w:spacing w:after="0" w:line="171"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The EU clinical trials legislation is currently undergoing a revision process mainly aimed at harmonizing and streamlining the clinical trials authorization process, simplifying adverse event reporting procedures, improving the supervision of clinical trials, and increasing their transparency.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Drug Review and Approval</w:t>
      </w:r>
    </w:p>
    <w:p>
      <w:pPr>
        <w:spacing w:after="0" w:line="201"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the European Economic Area (</w:t>
      </w:r>
      <w:r>
        <w:rPr>
          <w:rFonts w:ascii="Arial" w:cs="Arial" w:eastAsia="Arial" w:hAnsi="Arial"/>
          <w:sz w:val="14"/>
          <w:szCs w:val="14"/>
          <w:i w:val="1"/>
          <w:iCs w:val="1"/>
          <w:color w:val="auto"/>
        </w:rPr>
        <w:t>EEA</w:t>
      </w:r>
      <w:r>
        <w:rPr>
          <w:rFonts w:ascii="Arial" w:cs="Arial" w:eastAsia="Arial" w:hAnsi="Arial"/>
          <w:sz w:val="14"/>
          <w:szCs w:val="14"/>
          <w:color w:val="auto"/>
        </w:rPr>
        <w:t>) (which is comprised of the 27 Member States of the European Union (excluding Croatia) plus Norway, Iceland and Liechtenstein), medicinal products can only be commercialized after obtaining a Marketing Authorization, (</w:t>
      </w:r>
      <w:r>
        <w:rPr>
          <w:rFonts w:ascii="Arial" w:cs="Arial" w:eastAsia="Arial" w:hAnsi="Arial"/>
          <w:sz w:val="14"/>
          <w:szCs w:val="14"/>
          <w:i w:val="1"/>
          <w:iCs w:val="1"/>
          <w:color w:val="auto"/>
        </w:rPr>
        <w:t>MA</w:t>
      </w:r>
      <w:r>
        <w:rPr>
          <w:rFonts w:ascii="Arial" w:cs="Arial" w:eastAsia="Arial" w:hAnsi="Arial"/>
          <w:sz w:val="14"/>
          <w:szCs w:val="14"/>
          <w:color w:val="auto"/>
        </w:rPr>
        <w:t>). There are two types of marketing authorizations: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99" w:name="page100"/>
    <w:bookmarkEnd w:id="9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The Community MA is issued by the European Commission through the Centralized Procedure, based on the opinion of the Committee for Medicinal Products for Human Use (</w:t>
      </w:r>
      <w:r>
        <w:rPr>
          <w:rFonts w:ascii="Arial" w:cs="Arial" w:eastAsia="Arial" w:hAnsi="Arial"/>
          <w:sz w:val="14"/>
          <w:szCs w:val="14"/>
          <w:i w:val="1"/>
          <w:iCs w:val="1"/>
          <w:color w:val="auto"/>
        </w:rPr>
        <w:t>CHMP</w:t>
      </w:r>
      <w:r>
        <w:rPr>
          <w:rFonts w:ascii="Arial" w:cs="Arial" w:eastAsia="Arial" w:hAnsi="Arial"/>
          <w:sz w:val="14"/>
          <w:szCs w:val="14"/>
          <w:color w:val="auto"/>
        </w:rPr>
        <w:t>) of the European Medicines Agency (</w:t>
      </w:r>
      <w:r>
        <w:rPr>
          <w:rFonts w:ascii="Arial" w:cs="Arial" w:eastAsia="Arial" w:hAnsi="Arial"/>
          <w:sz w:val="14"/>
          <w:szCs w:val="14"/>
          <w:i w:val="1"/>
          <w:iCs w:val="1"/>
          <w:color w:val="auto"/>
        </w:rPr>
        <w:t>EMA</w:t>
      </w:r>
      <w:r>
        <w:rPr>
          <w:rFonts w:ascii="Arial" w:cs="Arial" w:eastAsia="Arial" w:hAnsi="Arial"/>
          <w:sz w:val="14"/>
          <w:szCs w:val="14"/>
          <w:color w:val="auto"/>
        </w:rPr>
        <w:t>) and is valid throughout the entire territory of the EEA. 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168"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w:t>
      </w:r>
      <w:r>
        <w:rPr>
          <w:rFonts w:ascii="Arial" w:cs="Arial" w:eastAsia="Arial" w:hAnsi="Arial"/>
          <w:sz w:val="14"/>
          <w:szCs w:val="14"/>
          <w:i w:val="1"/>
          <w:iCs w:val="1"/>
          <w:color w:val="auto"/>
        </w:rPr>
        <w:t>RMS</w:t>
      </w:r>
      <w:r>
        <w:rPr>
          <w:rFonts w:ascii="Arial" w:cs="Arial" w:eastAsia="Arial" w:hAnsi="Arial"/>
          <w:sz w:val="14"/>
          <w:szCs w:val="14"/>
          <w:color w:val="auto"/>
        </w:rPr>
        <w:t>). The competent authority of the RMS prepares a draft assessment report, a draft summary of the product characteristics (</w:t>
      </w:r>
      <w:r>
        <w:rPr>
          <w:rFonts w:ascii="Arial" w:cs="Arial" w:eastAsia="Arial" w:hAnsi="Arial"/>
          <w:sz w:val="14"/>
          <w:szCs w:val="14"/>
          <w:i w:val="1"/>
          <w:iCs w:val="1"/>
          <w:color w:val="auto"/>
        </w:rPr>
        <w:t>SPC</w:t>
      </w:r>
      <w:r>
        <w:rPr>
          <w:rFonts w:ascii="Arial" w:cs="Arial" w:eastAsia="Arial" w:hAnsi="Arial"/>
          <w:sz w:val="14"/>
          <w:szCs w:val="14"/>
          <w:color w:val="auto"/>
        </w:rPr>
        <w:t>)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17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New Chemical Entity Exclusivity</w:t>
      </w:r>
    </w:p>
    <w:p>
      <w:pPr>
        <w:spacing w:after="0" w:line="201" w:lineRule="exact"/>
        <w:rPr>
          <w:sz w:val="20"/>
          <w:szCs w:val="20"/>
          <w:color w:val="auto"/>
        </w:rPr>
      </w:pPr>
    </w:p>
    <w:p>
      <w:pPr>
        <w:ind w:right="160"/>
        <w:spacing w:after="0" w:line="285" w:lineRule="auto"/>
        <w:rPr>
          <w:sz w:val="20"/>
          <w:szCs w:val="20"/>
          <w:color w:val="auto"/>
        </w:rPr>
      </w:pPr>
      <w:r>
        <w:rPr>
          <w:rFonts w:ascii="Arial" w:cs="Arial" w:eastAsia="Arial" w:hAnsi="Arial"/>
          <w:sz w:val="13"/>
          <w:szCs w:val="13"/>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Orphan Designation and Exclusivity</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In the European Union, the EMA’s Committee for Orphan Medicinal Products grants orphan drug designation to promote the development of products that are intended for the diagnosis, prevention or treatment of life-threatening or chronically debilitating conditions affecting not more than 5 in 10,000 persons in the European Union Community and for which no satisfactory method of diagnosis, prevention, or treatment has been authorized (or the product would be a significant benefit to those affected). Additionally, designation is granted for products intended for the diagnosis, prevention, or treatment of a life threatening, seriously debilitating or serious and chronic condition and when, without incentives, it is unlikely that sales of the drug in the European Union would be sufficient to justify the necessary investment in developing the medicinal product.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0" w:name="page101"/>
    <w:bookmarkEnd w:id="10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In the European Union,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 of the World Regulation</w:t>
      </w:r>
    </w:p>
    <w:p>
      <w:pPr>
        <w:spacing w:after="0" w:line="201"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color w:val="auto"/>
        </w:rPr>
        <w:t>For other countries outside of the European Union and the United States, such as countries in Eastern Europe, Latin America or Asia, the requirements governing the conduct of clinical trials, product licensing, pricing and reimbursement vary from country to country. In all cases, the clinical trials must be conducted in accordance with cGCP requirements and the applicable regulatory requirements and the ethical principles that have their origin in the Declaration of Helsinki.</w:t>
      </w:r>
    </w:p>
    <w:p>
      <w:pPr>
        <w:spacing w:after="0" w:line="163" w:lineRule="exact"/>
        <w:rPr>
          <w:sz w:val="20"/>
          <w:szCs w:val="20"/>
          <w:color w:val="auto"/>
        </w:rPr>
      </w:pPr>
    </w:p>
    <w:p>
      <w:pPr>
        <w:ind w:right="380"/>
        <w:spacing w:after="0" w:line="283" w:lineRule="auto"/>
        <w:rPr>
          <w:sz w:val="20"/>
          <w:szCs w:val="20"/>
          <w:color w:val="auto"/>
        </w:rPr>
      </w:pPr>
      <w:r>
        <w:rPr>
          <w:rFonts w:ascii="Arial" w:cs="Arial" w:eastAsia="Arial" w:hAnsi="Arial"/>
          <w:sz w:val="14"/>
          <w:szCs w:val="14"/>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Reimbursement</w:t>
      </w:r>
    </w:p>
    <w:p>
      <w:pPr>
        <w:spacing w:after="0" w:line="205"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51" w:lineRule="exact"/>
        <w:rPr>
          <w:sz w:val="20"/>
          <w:szCs w:val="20"/>
          <w:color w:val="auto"/>
        </w:rPr>
      </w:pPr>
    </w:p>
    <w:p>
      <w:pPr>
        <w:spacing w:after="0" w:line="314" w:lineRule="auto"/>
        <w:rPr>
          <w:sz w:val="20"/>
          <w:szCs w:val="20"/>
          <w:color w:val="auto"/>
        </w:rPr>
      </w:pPr>
      <w:r>
        <w:rPr>
          <w:rFonts w:ascii="Arial" w:cs="Arial" w:eastAsia="Arial" w:hAnsi="Arial"/>
          <w:sz w:val="12"/>
          <w:szCs w:val="12"/>
          <w:color w:val="auto"/>
        </w:rPr>
        <w:t>Third-party payors are increasingly reducing reimbursements for medical products and services.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 or a decision by a third-party payor to not cover our product candidate could reduce physician usage of the product candidate and have a material adverse effect on our sales, results of operations and financial condition.</w:t>
      </w:r>
    </w:p>
    <w:p>
      <w:pPr>
        <w:spacing w:after="0" w:line="141"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 xml:space="preserve">The Medicare Prescription Drug, Improvement, and Modernization Act of 2003 (the </w:t>
      </w:r>
      <w:r>
        <w:rPr>
          <w:rFonts w:ascii="Arial" w:cs="Arial" w:eastAsia="Arial" w:hAnsi="Arial"/>
          <w:sz w:val="14"/>
          <w:szCs w:val="14"/>
          <w:i w:val="1"/>
          <w:iCs w:val="1"/>
          <w:color w:val="auto"/>
        </w:rPr>
        <w:t>MMA</w:t>
      </w:r>
      <w:r>
        <w:rPr>
          <w:rFonts w:ascii="Arial" w:cs="Arial" w:eastAsia="Arial" w:hAnsi="Arial"/>
          <w:sz w:val="14"/>
          <w:szCs w:val="14"/>
          <w:color w:val="auto"/>
        </w:rPr>
        <w:t>)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1" w:name="page102"/>
    <w:bookmarkEnd w:id="10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product candidate, if any such product or the condition that it is intended to treat is the subject of a trial. It is also possible that comparative effectiveness research demonstrating benefits in a competitor’s product could adversely affect the sales of our product candidate. If third-party payors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 xml:space="preserve">The ACA is expected to have a significant impact on the health care industry. The ACA is expected to expand coverage for the uninsured while at the same time containing overall healthcare costs. With regard to pharmaceutical products, among other things, the ACA is expected to expand and increase industry rebates for drugs covered under Medicaid programs and make changes to the coverage requirements under the Medicare Part D program. We cannot predict the full impact of the ACA on our business as many of the ACA reforms require the promulgation of detailed regulations implementing the statutory provisions that has not yet occurred. For example, the ACA imposed new reporting requirements on drug manufacturers for payments made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were required to begin collecting data on August 1, 2013 and were required to submit reports to CMS by March 31, 2014 (and by the 90th day of each subsequent calendar year). In addition, many states have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federal and state regulation of payments made to physicians. Certain states mandate implementation of compliance programs, impose restrictions on drug manufacturers’ marketing practices and/or require the tracking and reporting of gifts, compensation and other remuneration to physicians. 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On January 2, 2013, President Obama signed into law the American Taxpayer Relief Act of 2012 (the </w:t>
      </w:r>
      <w:r>
        <w:rPr>
          <w:rFonts w:ascii="Arial" w:cs="Arial" w:eastAsia="Arial" w:hAnsi="Arial"/>
          <w:sz w:val="13"/>
          <w:szCs w:val="13"/>
          <w:i w:val="1"/>
          <w:iCs w:val="1"/>
          <w:color w:val="auto"/>
        </w:rPr>
        <w:t>ATRA</w:t>
      </w:r>
      <w:r>
        <w:rPr>
          <w:rFonts w:ascii="Arial" w:cs="Arial" w:eastAsia="Arial" w:hAnsi="Arial"/>
          <w:sz w:val="13"/>
          <w:szCs w:val="13"/>
          <w:color w:val="auto"/>
        </w:rPr>
        <w:t>), which delayed for another two months the budget cuts mandated by these sequestration provisions of the Budget Control Act of 2011. The ATRA,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2" w:name="page103"/>
    <w:bookmarkEnd w:id="10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 - United States</w:t>
      </w:r>
    </w:p>
    <w:p>
      <w:pPr>
        <w:spacing w:after="0" w:line="201" w:lineRule="exact"/>
        <w:rPr>
          <w:sz w:val="20"/>
          <w:szCs w:val="20"/>
          <w:color w:val="auto"/>
        </w:rPr>
      </w:pPr>
    </w:p>
    <w:p>
      <w:pPr>
        <w:ind w:right="240"/>
        <w:spacing w:after="0" w:line="298" w:lineRule="auto"/>
        <w:rPr>
          <w:sz w:val="20"/>
          <w:szCs w:val="20"/>
          <w:color w:val="auto"/>
        </w:rPr>
      </w:pPr>
      <w:r>
        <w:rPr>
          <w:rFonts w:ascii="Arial" w:cs="Arial" w:eastAsia="Arial" w:hAnsi="Arial"/>
          <w:sz w:val="13"/>
          <w:szCs w:val="13"/>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125" w:lineRule="exact"/>
        <w:rPr>
          <w:sz w:val="20"/>
          <w:szCs w:val="20"/>
          <w:color w:val="auto"/>
        </w:rPr>
      </w:pPr>
    </w:p>
    <w:p>
      <w:pPr>
        <w:ind w:right="380"/>
        <w:spacing w:after="0" w:line="268" w:lineRule="auto"/>
        <w:rPr>
          <w:sz w:val="20"/>
          <w:szCs w:val="20"/>
          <w:color w:val="auto"/>
        </w:rPr>
      </w:pPr>
      <w:r>
        <w:rPr>
          <w:rFonts w:ascii="Arial" w:cs="Arial" w:eastAsia="Arial" w:hAnsi="Arial"/>
          <w:sz w:val="14"/>
          <w:szCs w:val="14"/>
          <w:color w:val="auto"/>
        </w:rPr>
        <w:t>All procedures we use to obtain clinical samples, and the procedures we use to isolate hESCs, are consistent with the informed consent and ethical guidelines promulgated by the U.S. National Academy of Science, the International Society of Stem Cell Research (</w:t>
      </w:r>
      <w:r>
        <w:rPr>
          <w:rFonts w:ascii="Arial" w:cs="Arial" w:eastAsia="Arial" w:hAnsi="Arial"/>
          <w:sz w:val="14"/>
          <w:szCs w:val="14"/>
          <w:i w:val="1"/>
          <w:iCs w:val="1"/>
          <w:color w:val="auto"/>
        </w:rPr>
        <w:t>ISSCR</w:t>
      </w:r>
      <w:r>
        <w:rPr>
          <w:rFonts w:ascii="Arial" w:cs="Arial" w:eastAsia="Arial" w:hAnsi="Arial"/>
          <w:sz w:val="14"/>
          <w:szCs w:val="14"/>
          <w:color w:val="auto"/>
        </w:rPr>
        <w:t>), or the NIH. These procedures and documentation have been reviewed by an external Stem Cell Research Oversight Committee, and all cell lines we use have been approved under one or more of these guidelines.</w:t>
      </w:r>
    </w:p>
    <w:p>
      <w:pPr>
        <w:spacing w:after="0" w:line="142"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The U.S. government and its agencies on July 7, 2009 published guidelines for the ethical derivation of hESCs required for receiving federal funding for hESC research. Should we seek further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Stem Cell Technology - Canada</w:t>
      </w:r>
    </w:p>
    <w:p>
      <w:pPr>
        <w:spacing w:after="0" w:line="201" w:lineRule="exact"/>
        <w:rPr>
          <w:sz w:val="20"/>
          <w:szCs w:val="20"/>
          <w:color w:val="auto"/>
        </w:rPr>
      </w:pPr>
    </w:p>
    <w:p>
      <w:pPr>
        <w:ind w:right="40"/>
        <w:spacing w:after="0" w:line="290" w:lineRule="auto"/>
        <w:rPr>
          <w:sz w:val="20"/>
          <w:szCs w:val="20"/>
          <w:color w:val="auto"/>
        </w:rPr>
      </w:pPr>
      <w:r>
        <w:rPr>
          <w:rFonts w:ascii="Arial" w:cs="Arial" w:eastAsia="Arial" w:hAnsi="Arial"/>
          <w:sz w:val="13"/>
          <w:szCs w:val="13"/>
          <w:color w:val="auto"/>
        </w:rPr>
        <w:t xml:space="preserve">In Canada, stem cell research and development is governed by two policy documents and by one legislative statute: the Guidelines for Human Pluripotent Stem Cell Research (the </w:t>
      </w:r>
      <w:r>
        <w:rPr>
          <w:rFonts w:ascii="Arial" w:cs="Arial" w:eastAsia="Arial" w:hAnsi="Arial"/>
          <w:sz w:val="13"/>
          <w:szCs w:val="13"/>
          <w:i w:val="1"/>
          <w:iCs w:val="1"/>
          <w:color w:val="auto"/>
        </w:rPr>
        <w:t>Guidelines</w:t>
      </w:r>
      <w:r>
        <w:rPr>
          <w:rFonts w:ascii="Arial" w:cs="Arial" w:eastAsia="Arial" w:hAnsi="Arial"/>
          <w:sz w:val="13"/>
          <w:szCs w:val="13"/>
          <w:color w:val="auto"/>
        </w:rPr>
        <w:t>) issued by the Canadian Institutes of Health Research; the Tri-Council Statement: Ethical Conduct for Research Involving Humans (</w:t>
      </w:r>
      <w:r>
        <w:rPr>
          <w:rFonts w:ascii="Arial" w:cs="Arial" w:eastAsia="Arial" w:hAnsi="Arial"/>
          <w:sz w:val="13"/>
          <w:szCs w:val="13"/>
          <w:i w:val="1"/>
          <w:iCs w:val="1"/>
          <w:color w:val="auto"/>
        </w:rPr>
        <w:t>TCPS</w:t>
      </w:r>
      <w:r>
        <w:rPr>
          <w:rFonts w:ascii="Arial" w:cs="Arial" w:eastAsia="Arial" w:hAnsi="Arial"/>
          <w:sz w:val="13"/>
          <w:szCs w:val="13"/>
          <w:color w:val="auto"/>
        </w:rPr>
        <w:t>); and the Assisted Human Reproduction Act (</w:t>
      </w:r>
      <w:r>
        <w:rPr>
          <w:rFonts w:ascii="Arial" w:cs="Arial" w:eastAsia="Arial" w:hAnsi="Arial"/>
          <w:sz w:val="13"/>
          <w:szCs w:val="13"/>
          <w:i w:val="1"/>
          <w:iCs w:val="1"/>
          <w:color w:val="auto"/>
        </w:rPr>
        <w:t>Act</w:t>
      </w:r>
      <w:r>
        <w:rPr>
          <w:rFonts w:ascii="Arial" w:cs="Arial" w:eastAsia="Arial" w:hAnsi="Arial"/>
          <w:sz w:val="13"/>
          <w:szCs w:val="13"/>
          <w:color w:val="auto"/>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151"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The Act subjects all research conducted in Canada involving the human embryo, including hESC derivation (but not the stem cells once derived), to a licensing process overseen by a federal licensing agency. However, as of the date of this prospectus, the provisions of the Act regarding the licensing of hESC derivation were not in force.</w:t>
      </w:r>
    </w:p>
    <w:p>
      <w:pPr>
        <w:spacing w:after="0" w:line="153" w:lineRule="exact"/>
        <w:rPr>
          <w:sz w:val="20"/>
          <w:szCs w:val="20"/>
          <w:color w:val="auto"/>
        </w:rPr>
      </w:pPr>
    </w:p>
    <w:p>
      <w:pPr>
        <w:ind w:right="120"/>
        <w:spacing w:after="0" w:line="333" w:lineRule="auto"/>
        <w:rPr>
          <w:sz w:val="20"/>
          <w:szCs w:val="20"/>
          <w:color w:val="auto"/>
        </w:rPr>
      </w:pPr>
      <w:r>
        <w:rPr>
          <w:rFonts w:ascii="Arial" w:cs="Arial" w:eastAsia="Arial" w:hAnsi="Arial"/>
          <w:sz w:val="12"/>
          <w:szCs w:val="12"/>
          <w:color w:val="auto"/>
        </w:rPr>
        <w:t>We are not currently conducting stem cell research in Canada. We have, however, sponsored pluripotent stem cell research in Canada by Dr. Gordon Keller at UHN’s McEwen Centre. We anticipate conducting additional hPSC research (with both hESCs and hiPSCs), in collaboration with Dr. Keller and his research team, at UHN’s McEwen Centre during 2015 and beyond. Should the provisions of the Act come into force, we may have to apply for a license for all hESC research we may sponsor or conduct in Canada and ensure compliance of such research with the provisions of the Act.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and Inter-Corporate Relationships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Canada should we elect to expand our U.S. operations into Canada; and Artemis Neuroscience, Inc., a corporation incorporated pursuant to the laws of the State of Maryland. The operations of VistaGen Therapeutics, Inc., a California corporation, and each of its two wholly owned subsidiaries are managed by our senior management team based in South San Francisco, California.</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3" w:name="page104"/>
    <w:bookmarkEnd w:id="10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As of March 4, 2016, we employed eight full-time employees, three of whom have doctorate degrees. Five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 real-time, as-needed basis, including human resources and payroll, information technology, facilities, legal, stock plan administration, investor relations and website maintenance, regulatory affairs, and FDA program management.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We have never had a work stoppage, and none of our employees is represented by a labor organization or under any collective bargaining agreement. We consider our employee relations to be good.</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Facilities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lease our office and laboratory space, which consists of approximately 10,000 square feet located in South San Francisco, California. Our lease expires on July 31, 2017.</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184" w:lineRule="exact"/>
        <w:rPr>
          <w:sz w:val="20"/>
          <w:szCs w:val="20"/>
          <w:color w:val="auto"/>
        </w:rPr>
      </w:pPr>
    </w:p>
    <w:p>
      <w:pPr>
        <w:ind w:right="380"/>
        <w:spacing w:after="0" w:line="283" w:lineRule="auto"/>
        <w:rPr>
          <w:sz w:val="20"/>
          <w:szCs w:val="20"/>
          <w:color w:val="auto"/>
        </w:rPr>
      </w:pPr>
      <w:r>
        <w:rPr>
          <w:rFonts w:ascii="Arial" w:cs="Arial" w:eastAsia="Arial" w:hAnsi="Arial"/>
          <w:sz w:val="14"/>
          <w:szCs w:val="14"/>
          <w:color w:val="auto"/>
        </w:rPr>
        <w:t>As of the date of this prospectus, we were not party to any legal matters or claims. In the future, we may become party to legal matters and claims arising in the ordinary course of business, the resolution of which we do not anticipate would have a material adverse impact on our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Regulation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Our business does not require us to comply with any particular unique environmental regulations.</w:t>
      </w: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280"/>
          </w:cols>
          <w:pgMar w:left="220" w:top="133" w:right="399" w:bottom="1440" w:gutter="0" w:footer="0" w:header="0"/>
        </w:sectPr>
      </w:pPr>
    </w:p>
    <w:bookmarkStart w:id="104" w:name="page105"/>
    <w:bookmarkEnd w:id="10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DIRECTORS AND EXECUTIVE OFFICERS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Our senior management is composed of individuals with significant management experience. Our directors and executive officers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spacing w:after="0"/>
              <w:rPr>
                <w:sz w:val="16"/>
                <w:szCs w:val="16"/>
                <w:color w:val="auto"/>
              </w:rPr>
            </w:pPr>
          </w:p>
        </w:tc>
        <w:tc>
          <w:tcPr>
            <w:tcW w:w="130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Age</w:t>
            </w:r>
          </w:p>
        </w:tc>
        <w:tc>
          <w:tcPr>
            <w:tcW w:w="300" w:type="dxa"/>
            <w:vAlign w:val="bottom"/>
          </w:tcPr>
          <w:p>
            <w:pPr>
              <w:spacing w:after="0"/>
              <w:rPr>
                <w:sz w:val="16"/>
                <w:szCs w:val="16"/>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r>
      <w:tr>
        <w:trPr>
          <w:trHeight w:val="170"/>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Shawn K. Singh</w:t>
            </w:r>
          </w:p>
        </w:tc>
        <w:tc>
          <w:tcPr>
            <w:tcW w:w="1880" w:type="dxa"/>
            <w:vAlign w:val="bottom"/>
            <w:gridSpan w:val="2"/>
            <w:shd w:val="clear" w:color="auto" w:fill="CCEEFF"/>
          </w:tcPr>
          <w:p>
            <w:pPr>
              <w:jc w:val="right"/>
              <w:ind w:right="369"/>
              <w:spacing w:after="0"/>
              <w:rPr>
                <w:sz w:val="20"/>
                <w:szCs w:val="20"/>
                <w:color w:val="auto"/>
              </w:rPr>
            </w:pPr>
            <w:r>
              <w:rPr>
                <w:rFonts w:ascii="Arial" w:cs="Arial" w:eastAsia="Arial" w:hAnsi="Arial"/>
                <w:sz w:val="14"/>
                <w:szCs w:val="14"/>
                <w:color w:val="auto"/>
              </w:rPr>
              <w:t>52</w:t>
            </w:r>
          </w:p>
        </w:tc>
        <w:tc>
          <w:tcPr>
            <w:tcW w:w="300" w:type="dxa"/>
            <w:vAlign w:val="bottom"/>
            <w:shd w:val="clear" w:color="auto" w:fill="CCEEFF"/>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Chief Executive Officer and Director</w:t>
            </w:r>
          </w:p>
        </w:tc>
      </w:tr>
      <w:tr>
        <w:trPr>
          <w:trHeight w:val="170"/>
        </w:trPr>
        <w:tc>
          <w:tcPr>
            <w:tcW w:w="3380" w:type="dxa"/>
            <w:vAlign w:val="bottom"/>
          </w:tcPr>
          <w:p>
            <w:pPr>
              <w:spacing w:after="0"/>
              <w:rPr>
                <w:sz w:val="20"/>
                <w:szCs w:val="20"/>
                <w:color w:val="auto"/>
              </w:rPr>
            </w:pPr>
            <w:r>
              <w:rPr>
                <w:rFonts w:ascii="Arial" w:cs="Arial" w:eastAsia="Arial" w:hAnsi="Arial"/>
                <w:sz w:val="14"/>
                <w:szCs w:val="14"/>
                <w:color w:val="auto"/>
              </w:rPr>
              <w:t>H. Ralph Snodgrass, Ph.D.</w:t>
            </w:r>
          </w:p>
        </w:tc>
        <w:tc>
          <w:tcPr>
            <w:tcW w:w="1880" w:type="dxa"/>
            <w:vAlign w:val="bottom"/>
            <w:gridSpan w:val="2"/>
          </w:tcPr>
          <w:p>
            <w:pPr>
              <w:jc w:val="right"/>
              <w:ind w:right="369"/>
              <w:spacing w:after="0"/>
              <w:rPr>
                <w:sz w:val="20"/>
                <w:szCs w:val="20"/>
                <w:color w:val="auto"/>
              </w:rPr>
            </w:pPr>
            <w:r>
              <w:rPr>
                <w:rFonts w:ascii="Arial" w:cs="Arial" w:eastAsia="Arial" w:hAnsi="Arial"/>
                <w:sz w:val="14"/>
                <w:szCs w:val="14"/>
                <w:color w:val="auto"/>
              </w:rPr>
              <w:t>66</w:t>
            </w:r>
          </w:p>
        </w:tc>
        <w:tc>
          <w:tcPr>
            <w:tcW w:w="30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Founder, President, Chief Scientific Officer and Director</w:t>
            </w:r>
          </w:p>
        </w:tc>
      </w:tr>
      <w:tr>
        <w:trPr>
          <w:trHeight w:val="170"/>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Jerrold D. Dotson</w:t>
            </w:r>
          </w:p>
        </w:tc>
        <w:tc>
          <w:tcPr>
            <w:tcW w:w="1880" w:type="dxa"/>
            <w:vAlign w:val="bottom"/>
            <w:gridSpan w:val="2"/>
            <w:shd w:val="clear" w:color="auto" w:fill="CCEEFF"/>
          </w:tcPr>
          <w:p>
            <w:pPr>
              <w:jc w:val="right"/>
              <w:ind w:right="369"/>
              <w:spacing w:after="0"/>
              <w:rPr>
                <w:sz w:val="20"/>
                <w:szCs w:val="20"/>
                <w:color w:val="auto"/>
              </w:rPr>
            </w:pPr>
            <w:r>
              <w:rPr>
                <w:rFonts w:ascii="Arial" w:cs="Arial" w:eastAsia="Arial" w:hAnsi="Arial"/>
                <w:sz w:val="14"/>
                <w:szCs w:val="14"/>
                <w:color w:val="auto"/>
              </w:rPr>
              <w:t>62</w:t>
            </w:r>
          </w:p>
        </w:tc>
        <w:tc>
          <w:tcPr>
            <w:tcW w:w="300" w:type="dxa"/>
            <w:vAlign w:val="bottom"/>
            <w:shd w:val="clear" w:color="auto" w:fill="CCEEFF"/>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Vice President, Chief Financial Officer and Secretary</w:t>
            </w:r>
          </w:p>
        </w:tc>
      </w:tr>
      <w:tr>
        <w:trPr>
          <w:trHeight w:val="170"/>
        </w:trPr>
        <w:tc>
          <w:tcPr>
            <w:tcW w:w="3380" w:type="dxa"/>
            <w:vAlign w:val="bottom"/>
          </w:tcPr>
          <w:p>
            <w:pPr>
              <w:spacing w:after="0" w:line="171" w:lineRule="exact"/>
              <w:rPr>
                <w:sz w:val="20"/>
                <w:szCs w:val="20"/>
                <w:color w:val="auto"/>
              </w:rPr>
            </w:pPr>
            <w:r>
              <w:rPr>
                <w:rFonts w:ascii="Arial" w:cs="Arial" w:eastAsia="Arial" w:hAnsi="Arial"/>
                <w:sz w:val="14"/>
                <w:szCs w:val="14"/>
                <w:color w:val="auto"/>
              </w:rPr>
              <w:t xml:space="preserve">Jon S. Saxe </w:t>
            </w:r>
            <w:r>
              <w:rPr>
                <w:rFonts w:ascii="Arial" w:cs="Arial" w:eastAsia="Arial" w:hAnsi="Arial"/>
                <w:sz w:val="19"/>
                <w:szCs w:val="19"/>
                <w:color w:val="auto"/>
                <w:vertAlign w:val="superscript"/>
              </w:rPr>
              <w:t>(1)</w:t>
            </w:r>
          </w:p>
        </w:tc>
        <w:tc>
          <w:tcPr>
            <w:tcW w:w="1880" w:type="dxa"/>
            <w:vAlign w:val="bottom"/>
            <w:gridSpan w:val="2"/>
          </w:tcPr>
          <w:p>
            <w:pPr>
              <w:jc w:val="right"/>
              <w:ind w:right="369"/>
              <w:spacing w:after="0"/>
              <w:rPr>
                <w:sz w:val="20"/>
                <w:szCs w:val="20"/>
                <w:color w:val="auto"/>
              </w:rPr>
            </w:pPr>
            <w:r>
              <w:rPr>
                <w:rFonts w:ascii="Arial" w:cs="Arial" w:eastAsia="Arial" w:hAnsi="Arial"/>
                <w:sz w:val="14"/>
                <w:szCs w:val="14"/>
                <w:color w:val="auto"/>
              </w:rPr>
              <w:t>79</w:t>
            </w:r>
          </w:p>
        </w:tc>
        <w:tc>
          <w:tcPr>
            <w:tcW w:w="300" w:type="dxa"/>
            <w:vAlign w:val="bottom"/>
          </w:tcPr>
          <w:p>
            <w:pPr>
              <w:spacing w:after="0"/>
              <w:rPr>
                <w:sz w:val="14"/>
                <w:szCs w:val="14"/>
                <w:color w:val="auto"/>
              </w:rPr>
            </w:pPr>
          </w:p>
        </w:tc>
        <w:tc>
          <w:tcPr>
            <w:tcW w:w="5900" w:type="dxa"/>
            <w:vAlign w:val="bottom"/>
          </w:tcPr>
          <w:p>
            <w:pPr>
              <w:spacing w:after="0"/>
              <w:rPr>
                <w:sz w:val="20"/>
                <w:szCs w:val="20"/>
                <w:color w:val="auto"/>
              </w:rPr>
            </w:pPr>
            <w:r>
              <w:rPr>
                <w:rFonts w:ascii="Arial" w:cs="Arial" w:eastAsia="Arial" w:hAnsi="Arial"/>
                <w:sz w:val="14"/>
                <w:szCs w:val="14"/>
                <w:color w:val="auto"/>
              </w:rPr>
              <w:t>Director</w:t>
            </w:r>
          </w:p>
        </w:tc>
      </w:tr>
      <w:tr>
        <w:trPr>
          <w:trHeight w:val="170"/>
        </w:trPr>
        <w:tc>
          <w:tcPr>
            <w:tcW w:w="338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Brian J. Underdown, PhD. </w:t>
            </w:r>
            <w:r>
              <w:rPr>
                <w:rFonts w:ascii="Arial" w:cs="Arial" w:eastAsia="Arial" w:hAnsi="Arial"/>
                <w:sz w:val="19"/>
                <w:szCs w:val="19"/>
                <w:color w:val="auto"/>
                <w:vertAlign w:val="superscript"/>
              </w:rPr>
              <w:t>(2)</w:t>
            </w:r>
          </w:p>
        </w:tc>
        <w:tc>
          <w:tcPr>
            <w:tcW w:w="1880" w:type="dxa"/>
            <w:vAlign w:val="bottom"/>
            <w:gridSpan w:val="2"/>
            <w:shd w:val="clear" w:color="auto" w:fill="CCEEFF"/>
          </w:tcPr>
          <w:p>
            <w:pPr>
              <w:jc w:val="right"/>
              <w:ind w:right="369"/>
              <w:spacing w:after="0"/>
              <w:rPr>
                <w:sz w:val="20"/>
                <w:szCs w:val="20"/>
                <w:color w:val="auto"/>
              </w:rPr>
            </w:pPr>
            <w:r>
              <w:rPr>
                <w:rFonts w:ascii="Arial" w:cs="Arial" w:eastAsia="Arial" w:hAnsi="Arial"/>
                <w:sz w:val="14"/>
                <w:szCs w:val="14"/>
                <w:color w:val="auto"/>
              </w:rPr>
              <w:t>74</w:t>
            </w:r>
          </w:p>
        </w:tc>
        <w:tc>
          <w:tcPr>
            <w:tcW w:w="300" w:type="dxa"/>
            <w:vAlign w:val="bottom"/>
            <w:shd w:val="clear" w:color="auto" w:fill="CCEEFF"/>
          </w:tcPr>
          <w:p>
            <w:pPr>
              <w:spacing w:after="0"/>
              <w:rPr>
                <w:sz w:val="14"/>
                <w:szCs w:val="14"/>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Director</w:t>
            </w:r>
          </w:p>
        </w:tc>
      </w:tr>
    </w:tbl>
    <w:p>
      <w:pPr>
        <w:spacing w:after="0" w:line="181" w:lineRule="exact"/>
        <w:rPr>
          <w:sz w:val="20"/>
          <w:szCs w:val="20"/>
          <w:color w:val="auto"/>
        </w:rPr>
      </w:pPr>
    </w:p>
    <w:p>
      <w:pPr>
        <w:ind w:left="720" w:hanging="715"/>
        <w:spacing w:after="0"/>
        <w:tabs>
          <w:tab w:leader="none" w:pos="7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Chairman of the audit committee and member of the compensation committee and corporate governance and nominating committee</w:t>
      </w:r>
    </w:p>
    <w:p>
      <w:pPr>
        <w:spacing w:after="0" w:line="19" w:lineRule="exact"/>
        <w:rPr>
          <w:rFonts w:ascii="Arial" w:cs="Arial" w:eastAsia="Arial" w:hAnsi="Arial"/>
          <w:sz w:val="14"/>
          <w:szCs w:val="14"/>
          <w:color w:val="auto"/>
        </w:rPr>
      </w:pPr>
    </w:p>
    <w:p>
      <w:pPr>
        <w:ind w:left="720" w:hanging="715"/>
        <w:spacing w:after="0"/>
        <w:tabs>
          <w:tab w:leader="none" w:pos="7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Member of the audit committee and chairman of the compensation committee and corporate governance and nominating committee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w:t>
      </w:r>
    </w:p>
    <w:p>
      <w:pPr>
        <w:spacing w:after="0" w:line="184" w:lineRule="exact"/>
        <w:rPr>
          <w:sz w:val="20"/>
          <w:szCs w:val="20"/>
          <w:color w:val="auto"/>
        </w:rPr>
      </w:pPr>
    </w:p>
    <w:p>
      <w:pPr>
        <w:ind w:right="20"/>
        <w:spacing w:after="0" w:line="278" w:lineRule="auto"/>
        <w:rPr>
          <w:sz w:val="20"/>
          <w:szCs w:val="20"/>
          <w:color w:val="auto"/>
        </w:rPr>
      </w:pPr>
      <w:r>
        <w:rPr>
          <w:rFonts w:ascii="Arial" w:cs="Arial" w:eastAsia="Arial" w:hAnsi="Arial"/>
          <w:sz w:val="13"/>
          <w:szCs w:val="13"/>
          <w:b w:val="1"/>
          <w:bCs w:val="1"/>
          <w:i w:val="1"/>
          <w:iCs w:val="1"/>
          <w:color w:val="auto"/>
        </w:rPr>
        <w:t xml:space="preserve">Shawn K. Singh, J.D. </w:t>
      </w:r>
      <w:r>
        <w:rPr>
          <w:rFonts w:ascii="Arial" w:cs="Arial" w:eastAsia="Arial" w:hAnsi="Arial"/>
          <w:sz w:val="13"/>
          <w:szCs w:val="13"/>
          <w:color w:val="auto"/>
        </w:rPr>
        <w:t>has served as our Chief Executive Officer since August 2009; he joined our Board of Directors in 2000 and served on our management team (part-time) from late-2003, following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acquisition of Artemis Neuroscience, of which he was President, to August 2009. Mr. Singh has over 20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w:t>
      </w:r>
      <w:r>
        <w:rPr>
          <w:rFonts w:ascii="Arial" w:cs="Arial" w:eastAsia="Arial" w:hAnsi="Arial"/>
          <w:sz w:val="13"/>
          <w:szCs w:val="13"/>
          <w:i w:val="1"/>
          <w:iCs w:val="1"/>
          <w:color w:val="auto"/>
        </w:rPr>
        <w:t>CRO</w:t>
      </w:r>
      <w:r>
        <w:rPr>
          <w:rFonts w:ascii="Arial" w:cs="Arial" w:eastAsia="Arial" w:hAnsi="Arial"/>
          <w:sz w:val="13"/>
          <w:szCs w:val="13"/>
          <w:color w:val="auto"/>
        </w:rPr>
        <w:t>) affiliated with Cato BioVentures. Mr. Singh served as President (part-time) of Echo Therapeutics (NASDAQ: ECTE), a medical device company,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U.S.-based, China-focused specialty pharmaceutical company with a substantial revenue-generating and profitable commercial business and a marketed product portfolio of differentiated therapies for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J.D. degree from the University of Maryland School of Law. Mr. Singh is a member of the State Bar of California.</w:t>
      </w:r>
    </w:p>
    <w:p>
      <w:pPr>
        <w:spacing w:after="0" w:line="158" w:lineRule="exact"/>
        <w:rPr>
          <w:sz w:val="20"/>
          <w:szCs w:val="20"/>
          <w:color w:val="auto"/>
        </w:rPr>
      </w:pPr>
    </w:p>
    <w:p>
      <w:pPr>
        <w:ind w:right="820"/>
        <w:spacing w:after="0" w:line="323" w:lineRule="auto"/>
        <w:rPr>
          <w:sz w:val="20"/>
          <w:szCs w:val="20"/>
          <w:color w:val="auto"/>
        </w:rPr>
      </w:pPr>
      <w:r>
        <w:rPr>
          <w:rFonts w:ascii="Arial" w:cs="Arial" w:eastAsia="Arial" w:hAnsi="Arial"/>
          <w:sz w:val="13"/>
          <w:szCs w:val="13"/>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5" w:name="page106"/>
    <w:bookmarkEnd w:id="10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279" w:lineRule="auto"/>
        <w:rPr>
          <w:sz w:val="20"/>
          <w:szCs w:val="20"/>
          <w:color w:val="auto"/>
        </w:rPr>
      </w:pPr>
      <w:r>
        <w:rPr>
          <w:rFonts w:ascii="Arial" w:cs="Arial" w:eastAsia="Arial" w:hAnsi="Arial"/>
          <w:sz w:val="13"/>
          <w:szCs w:val="13"/>
          <w:b w:val="1"/>
          <w:bCs w:val="1"/>
          <w:i w:val="1"/>
          <w:iCs w:val="1"/>
          <w:color w:val="auto"/>
        </w:rPr>
        <w:t xml:space="preserve">H. Ralph Snodgrass, Ph.D. </w:t>
      </w:r>
      <w:r>
        <w:rPr>
          <w:rFonts w:ascii="Arial" w:cs="Arial" w:eastAsia="Arial" w:hAnsi="Arial"/>
          <w:sz w:val="13"/>
          <w:szCs w:val="13"/>
          <w:color w:val="auto"/>
        </w:rPr>
        <w:t>co-founded VistaGen with Dr. Gordon Keller in 1998 and served as our Chief Executive Officer until August 2009. Dr. Snodgrass has served as our President and Chief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Scientific Officer since August 2009. He has served as a member of our Board of Directors since 1998. Prior to founding VistaGen,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20 years of experience in senior biotechnology management and over 10 years research experience as a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3"/>
          <w:szCs w:val="13"/>
          <w:i w:val="1"/>
          <w:iCs w:val="1"/>
          <w:color w:val="auto"/>
        </w:rPr>
        <w:t>BIO</w:t>
      </w:r>
      <w:r>
        <w:rPr>
          <w:rFonts w:ascii="Arial" w:cs="Arial" w:eastAsia="Arial" w:hAnsi="Arial"/>
          <w:sz w:val="13"/>
          <w:szCs w:val="13"/>
          <w:color w:val="auto"/>
        </w:rPr>
        <w:t>),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28 years’ experience in the uses of stem cells as biological tools for research, drug discovery and development.</w:t>
      </w:r>
    </w:p>
    <w:p>
      <w:pPr>
        <w:spacing w:after="0" w:line="161" w:lineRule="exact"/>
        <w:rPr>
          <w:sz w:val="20"/>
          <w:szCs w:val="20"/>
          <w:color w:val="auto"/>
        </w:rPr>
      </w:pPr>
    </w:p>
    <w:p>
      <w:pPr>
        <w:ind w:right="200"/>
        <w:spacing w:after="0" w:line="333" w:lineRule="auto"/>
        <w:rPr>
          <w:sz w:val="20"/>
          <w:szCs w:val="20"/>
          <w:color w:val="auto"/>
        </w:rPr>
      </w:pPr>
      <w:r>
        <w:rPr>
          <w:rFonts w:ascii="Arial" w:cs="Arial" w:eastAsia="Arial" w:hAnsi="Arial"/>
          <w:sz w:val="12"/>
          <w:szCs w:val="12"/>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07" w:lineRule="exact"/>
        <w:rPr>
          <w:sz w:val="20"/>
          <w:szCs w:val="20"/>
          <w:color w:val="auto"/>
        </w:rPr>
      </w:pPr>
    </w:p>
    <w:p>
      <w:pPr>
        <w:jc w:val="both"/>
        <w:ind w:right="20"/>
        <w:spacing w:after="0" w:line="302" w:lineRule="auto"/>
        <w:rPr>
          <w:sz w:val="20"/>
          <w:szCs w:val="20"/>
          <w:color w:val="auto"/>
        </w:rPr>
      </w:pPr>
      <w:r>
        <w:rPr>
          <w:rFonts w:ascii="Arial" w:cs="Arial" w:eastAsia="Arial" w:hAnsi="Arial"/>
          <w:sz w:val="12"/>
          <w:szCs w:val="12"/>
          <w:b w:val="1"/>
          <w:bCs w:val="1"/>
          <w:i w:val="1"/>
          <w:iCs w:val="1"/>
          <w:color w:val="auto"/>
        </w:rPr>
        <w:t xml:space="preserve">Jerrold D. Dotson, CPA </w:t>
      </w:r>
      <w:r>
        <w:rPr>
          <w:rFonts w:ascii="Arial" w:cs="Arial" w:eastAsia="Arial" w:hAnsi="Arial"/>
          <w:sz w:val="12"/>
          <w:szCs w:val="12"/>
          <w:color w:val="auto"/>
        </w:rPr>
        <w:t>has served as our Chief Financial Officer since September 2011, as our Corporate Secretary since October 2013 and as a Vice President since February 2014. Mr. Dotson served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w:t>
      </w:r>
    </w:p>
    <w:p>
      <w:pPr>
        <w:ind w:right="160"/>
        <w:spacing w:after="0" w:line="258" w:lineRule="auto"/>
        <w:rPr>
          <w:sz w:val="20"/>
          <w:szCs w:val="20"/>
          <w:color w:val="auto"/>
        </w:rPr>
      </w:pPr>
      <w:r>
        <w:rPr>
          <w:rFonts w:ascii="Arial" w:cs="Arial" w:eastAsia="Arial" w:hAnsi="Arial"/>
          <w:sz w:val="14"/>
          <w:szCs w:val="14"/>
          <w:color w:val="auto"/>
        </w:rPr>
        <w:t>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w:t>
      </w:r>
    </w:p>
    <w:p>
      <w:pPr>
        <w:spacing w:after="0" w:line="184"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b w:val="1"/>
          <w:bCs w:val="1"/>
          <w:i w:val="1"/>
          <w:iCs w:val="1"/>
          <w:color w:val="auto"/>
        </w:rPr>
        <w:t xml:space="preserve">Jon S. Saxe, J.D. </w:t>
      </w:r>
      <w:r>
        <w:rPr>
          <w:rFonts w:ascii="Arial" w:cs="Arial" w:eastAsia="Arial" w:hAnsi="Arial"/>
          <w:sz w:val="13"/>
          <w:szCs w:val="13"/>
          <w:color w:val="auto"/>
        </w:rPr>
        <w:t>has served as Chairman of our Board of Directors since 2000. He also serves as the Chairman of our Audit Committee. Mr. Saxe is the retired President and was a director of PDL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six private life science companies, Arbor Vita Corporation, Arcuo Medical, LLC, Armetheon, Inc., Cancer Prevention Pharmaceuticals, Inc., Lumos Pharma, Inc. and Trellis Bioscience, Inc.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6" w:name="page107"/>
    <w:bookmarkEnd w:id="10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20"/>
        <w:spacing w:after="0" w:line="290" w:lineRule="auto"/>
        <w:rPr>
          <w:sz w:val="20"/>
          <w:szCs w:val="20"/>
          <w:color w:val="auto"/>
        </w:rPr>
      </w:pPr>
      <w:r>
        <w:rPr>
          <w:rFonts w:ascii="Arial" w:cs="Arial" w:eastAsia="Arial" w:hAnsi="Arial"/>
          <w:sz w:val="13"/>
          <w:szCs w:val="13"/>
          <w:color w:val="auto"/>
        </w:rPr>
        <w:t>We selected Mr. Saxe to serve as Chairman of our Board of Directors due to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29" w:lineRule="exact"/>
        <w:rPr>
          <w:sz w:val="20"/>
          <w:szCs w:val="20"/>
          <w:color w:val="auto"/>
        </w:rPr>
      </w:pPr>
    </w:p>
    <w:p>
      <w:pPr>
        <w:ind w:right="280"/>
        <w:spacing w:after="0" w:line="302" w:lineRule="auto"/>
        <w:rPr>
          <w:sz w:val="20"/>
          <w:szCs w:val="20"/>
          <w:color w:val="auto"/>
        </w:rPr>
      </w:pPr>
      <w:r>
        <w:rPr>
          <w:rFonts w:ascii="Arial" w:cs="Arial" w:eastAsia="Arial" w:hAnsi="Arial"/>
          <w:sz w:val="12"/>
          <w:szCs w:val="12"/>
          <w:b w:val="1"/>
          <w:bCs w:val="1"/>
          <w:i w:val="1"/>
          <w:iCs w:val="1"/>
          <w:color w:val="auto"/>
        </w:rPr>
        <w:t xml:space="preserve">Brian J. Underdown, Ph.D. </w:t>
      </w:r>
      <w:r>
        <w:rPr>
          <w:rFonts w:ascii="Arial" w:cs="Arial" w:eastAsia="Arial" w:hAnsi="Arial"/>
          <w:sz w:val="12"/>
          <w:szCs w:val="12"/>
          <w:color w:val="auto"/>
        </w:rPr>
        <w:t>has served as a member of our Board of Directors since November 2009. Dr. Underdown is currently a Venture Partner with Lumira Capital Corp. having served as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Managing Director with Lumira from September 1997-December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w:t>
      </w:r>
    </w:p>
    <w:p>
      <w:pPr>
        <w:ind w:right="200"/>
        <w:spacing w:after="0" w:line="284" w:lineRule="auto"/>
        <w:rPr>
          <w:sz w:val="20"/>
          <w:szCs w:val="20"/>
          <w:color w:val="auto"/>
        </w:rPr>
      </w:pPr>
      <w:r>
        <w:rPr>
          <w:rFonts w:ascii="Arial" w:cs="Arial" w:eastAsia="Arial" w:hAnsi="Arial"/>
          <w:sz w:val="13"/>
          <w:szCs w:val="13"/>
          <w:color w:val="auto"/>
        </w:rPr>
        <w:t>Dr. Underdown’s current board positions include: Argos Therapeutics (</w:t>
      </w:r>
      <w:r>
        <w:rPr>
          <w:rFonts w:ascii="Arial" w:cs="Arial" w:eastAsia="Arial" w:hAnsi="Arial"/>
          <w:sz w:val="13"/>
          <w:szCs w:val="13"/>
          <w:i w:val="1"/>
          <w:iCs w:val="1"/>
          <w:color w:val="auto"/>
        </w:rPr>
        <w:t>ARGS-Q</w:t>
      </w:r>
      <w:r>
        <w:rPr>
          <w:rFonts w:ascii="Arial" w:cs="Arial" w:eastAsia="Arial" w:hAnsi="Arial"/>
          <w:sz w:val="13"/>
          <w:szCs w:val="13"/>
          <w:color w:val="auto"/>
        </w:rPr>
        <w:t>) and private companies; enGene Inc. Formation Biologics and Osteo QC. Some of Dr. Underdown’s previous board roles include; ID Biomedical (acquired by GSK), Ception Therapeutics (acquired by Cephalon). He has served on a number of Boards and advisory bodies of government-sponsored research organizations including CANVAC, the Canadian National Centre of Excellence in Vaccines, Ontario Genomics Institute (Chair), Allergen, the Canadian National Centre of Excellence in Allergy and Asthma. Dr. Underdown obtained his Ph.D. in immunology from McGill University and undertook post-doctoral studies at Washington University School of Medicine.</w:t>
      </w:r>
    </w:p>
    <w:p>
      <w:pPr>
        <w:spacing w:after="0" w:line="15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of Executive Officers</w:t>
      </w:r>
    </w:p>
    <w:p>
      <w:pPr>
        <w:spacing w:after="0" w:line="205"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Composition</w:t>
      </w:r>
    </w:p>
    <w:p>
      <w:pPr>
        <w:spacing w:after="0" w:line="205" w:lineRule="exact"/>
        <w:rPr>
          <w:sz w:val="20"/>
          <w:szCs w:val="20"/>
          <w:color w:val="auto"/>
        </w:rPr>
      </w:pPr>
    </w:p>
    <w:p>
      <w:pPr>
        <w:ind w:right="180"/>
        <w:spacing w:after="0" w:line="261" w:lineRule="auto"/>
        <w:rPr>
          <w:sz w:val="20"/>
          <w:szCs w:val="20"/>
          <w:color w:val="auto"/>
        </w:rPr>
      </w:pPr>
      <w:r>
        <w:rPr>
          <w:rFonts w:ascii="Arial" w:cs="Arial" w:eastAsia="Arial" w:hAnsi="Arial"/>
          <w:sz w:val="14"/>
          <w:szCs w:val="14"/>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four members. Accordingly, there are currently three vacancies on our Board of Directors. Our Board of Directors anticipates filling each of such vacancies as soon as practicable and adding at least one additional member to our Board of Directors prior to our proposed listing on the NASDAQ Capital Market. All actions of the Board of Directors require the approval of a majority of the directors in attendance at a meeting at which a quorum is present.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205"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and Dr. Underdown, are each members of the Audit Committee. Mr. Saxe and Dr. Underdown also currently serve as members of the Compensation Committee and the Corporate Governance and Nominating Committee.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7" w:name="page108"/>
    <w:bookmarkEnd w:id="10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Audit Committee</w:t>
      </w:r>
    </w:p>
    <w:p>
      <w:pPr>
        <w:spacing w:after="0" w:line="201"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Our Audit Committee is comprised of Mr. Saxe and Dr. Underdown. Prior to our proposed listing on the NASDAQ Capital Market, we will add another member to our Audit Committee.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167" w:lineRule="exact"/>
        <w:rPr>
          <w:sz w:val="20"/>
          <w:szCs w:val="20"/>
          <w:color w:val="auto"/>
        </w:rPr>
      </w:pPr>
    </w:p>
    <w:p>
      <w:pPr>
        <w:ind w:left="460" w:hanging="455"/>
        <w:spacing w:after="0"/>
        <w:tabs>
          <w:tab w:leader="none" w:pos="4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overseeing our accounting and financial reporting process;</w:t>
      </w:r>
    </w:p>
    <w:p>
      <w:pPr>
        <w:spacing w:after="0" w:line="201" w:lineRule="exact"/>
        <w:rPr>
          <w:rFonts w:ascii="Arial" w:cs="Arial" w:eastAsia="Arial" w:hAnsi="Arial"/>
          <w:sz w:val="14"/>
          <w:szCs w:val="14"/>
          <w:color w:val="auto"/>
        </w:rPr>
      </w:pPr>
    </w:p>
    <w:p>
      <w:pPr>
        <w:ind w:left="460" w:hanging="455"/>
        <w:spacing w:after="0"/>
        <w:tabs>
          <w:tab w:leader="none" w:pos="4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selecting, retaining and replacing our independent auditors and evaluating their qualifications, independence and performance;</w:t>
      </w:r>
    </w:p>
    <w:p>
      <w:pPr>
        <w:spacing w:after="0" w:line="201" w:lineRule="exact"/>
        <w:rPr>
          <w:rFonts w:ascii="Arial" w:cs="Arial" w:eastAsia="Arial" w:hAnsi="Arial"/>
          <w:sz w:val="14"/>
          <w:szCs w:val="14"/>
          <w:color w:val="auto"/>
        </w:rPr>
      </w:pPr>
    </w:p>
    <w:p>
      <w:pPr>
        <w:ind w:left="460" w:hanging="455"/>
        <w:spacing w:after="0"/>
        <w:tabs>
          <w:tab w:leader="none" w:pos="4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reviewing and approving scope of the annual audit and audit fees;</w:t>
      </w:r>
    </w:p>
    <w:p>
      <w:pPr>
        <w:spacing w:after="0" w:line="201" w:lineRule="exact"/>
        <w:rPr>
          <w:rFonts w:ascii="Arial" w:cs="Arial" w:eastAsia="Arial" w:hAnsi="Arial"/>
          <w:sz w:val="14"/>
          <w:szCs w:val="14"/>
          <w:color w:val="auto"/>
        </w:rPr>
      </w:pPr>
    </w:p>
    <w:p>
      <w:pPr>
        <w:ind w:left="460" w:hanging="455"/>
        <w:spacing w:after="0"/>
        <w:tabs>
          <w:tab w:leader="none" w:pos="4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monitoring rotation of partners of independent auditors on engagement team as required by law;</w:t>
      </w:r>
    </w:p>
    <w:p>
      <w:pPr>
        <w:spacing w:after="0" w:line="201" w:lineRule="exact"/>
        <w:rPr>
          <w:rFonts w:ascii="Arial" w:cs="Arial" w:eastAsia="Arial" w:hAnsi="Arial"/>
          <w:sz w:val="14"/>
          <w:szCs w:val="14"/>
          <w:color w:val="auto"/>
        </w:rPr>
      </w:pPr>
    </w:p>
    <w:p>
      <w:pPr>
        <w:ind w:left="460" w:hanging="455"/>
        <w:spacing w:after="0"/>
        <w:tabs>
          <w:tab w:leader="none" w:pos="4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discussing with management and independent auditors the results of annual audit and review of quarterly financial statements;</w:t>
      </w:r>
    </w:p>
    <w:p>
      <w:pPr>
        <w:spacing w:after="0" w:line="201" w:lineRule="exact"/>
        <w:rPr>
          <w:rFonts w:ascii="Arial" w:cs="Arial" w:eastAsia="Arial" w:hAnsi="Arial"/>
          <w:sz w:val="14"/>
          <w:szCs w:val="14"/>
          <w:color w:val="auto"/>
        </w:rPr>
      </w:pPr>
    </w:p>
    <w:p>
      <w:pPr>
        <w:ind w:left="460" w:hanging="455"/>
        <w:spacing w:after="0"/>
        <w:tabs>
          <w:tab w:leader="none" w:pos="4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reviewing adequacy and effectiveness of internal control policies and procedures;</w:t>
      </w:r>
    </w:p>
    <w:p>
      <w:pPr>
        <w:spacing w:after="0" w:line="201" w:lineRule="exact"/>
        <w:rPr>
          <w:rFonts w:ascii="Arial" w:cs="Arial" w:eastAsia="Arial" w:hAnsi="Arial"/>
          <w:sz w:val="14"/>
          <w:szCs w:val="14"/>
          <w:color w:val="auto"/>
        </w:rPr>
      </w:pPr>
    </w:p>
    <w:p>
      <w:pPr>
        <w:ind w:left="460" w:hanging="455"/>
        <w:spacing w:after="0"/>
        <w:tabs>
          <w:tab w:leader="none" w:pos="4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approving retention of independent auditors to perform any proposed permissible non-audit services;</w:t>
      </w:r>
    </w:p>
    <w:p>
      <w:pPr>
        <w:spacing w:after="0" w:line="201" w:lineRule="exact"/>
        <w:rPr>
          <w:rFonts w:ascii="Arial" w:cs="Arial" w:eastAsia="Arial" w:hAnsi="Arial"/>
          <w:sz w:val="14"/>
          <w:szCs w:val="14"/>
          <w:color w:val="auto"/>
        </w:rPr>
      </w:pPr>
    </w:p>
    <w:p>
      <w:pPr>
        <w:ind w:left="460" w:hanging="455"/>
        <w:spacing w:after="0"/>
        <w:tabs>
          <w:tab w:leader="none" w:pos="4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overseeing internal audit functions and annually reviewing audit committee charter and committee performance; and</w:t>
      </w:r>
    </w:p>
    <w:p>
      <w:pPr>
        <w:spacing w:after="0" w:line="201" w:lineRule="exact"/>
        <w:rPr>
          <w:rFonts w:ascii="Arial" w:cs="Arial" w:eastAsia="Arial" w:hAnsi="Arial"/>
          <w:sz w:val="14"/>
          <w:szCs w:val="14"/>
          <w:color w:val="auto"/>
        </w:rPr>
      </w:pPr>
    </w:p>
    <w:p>
      <w:pPr>
        <w:ind w:left="460" w:hanging="455"/>
        <w:spacing w:after="0"/>
        <w:tabs>
          <w:tab w:leader="none" w:pos="4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preparing the audit committee report that the SEC requires in our annual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Compensation Committee</w:t>
      </w:r>
    </w:p>
    <w:p>
      <w:pPr>
        <w:spacing w:after="0" w:line="180"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Our Compensation Committee is comprised of Mr. Saxe and Dr. Underdown, who serve as the committee chairman. Our Compensation Committee charter is available on our website. Under its charter, the Cmpensation Committee is primarily responsible for, among other things:</w:t>
      </w:r>
    </w:p>
    <w:p>
      <w:pPr>
        <w:spacing w:after="0" w:line="131" w:lineRule="exact"/>
        <w:rPr>
          <w:sz w:val="20"/>
          <w:szCs w:val="20"/>
          <w:color w:val="auto"/>
        </w:rPr>
      </w:pPr>
    </w:p>
    <w:p>
      <w:pPr>
        <w:ind w:left="500" w:hanging="495"/>
        <w:spacing w:after="0" w:line="268" w:lineRule="auto"/>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63" w:lineRule="exact"/>
        <w:rPr>
          <w:rFonts w:ascii="Arial" w:cs="Arial" w:eastAsia="Arial" w:hAnsi="Arial"/>
          <w:sz w:val="14"/>
          <w:szCs w:val="14"/>
          <w:color w:val="auto"/>
        </w:rPr>
      </w:pPr>
    </w:p>
    <w:p>
      <w:pPr>
        <w:ind w:left="500" w:hanging="495"/>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determining the objectives of our executive officer compensation programs;</w:t>
      </w:r>
    </w:p>
    <w:p>
      <w:pPr>
        <w:spacing w:after="0" w:line="201" w:lineRule="exact"/>
        <w:rPr>
          <w:rFonts w:ascii="Arial" w:cs="Arial" w:eastAsia="Arial" w:hAnsi="Arial"/>
          <w:sz w:val="14"/>
          <w:szCs w:val="14"/>
          <w:color w:val="auto"/>
        </w:rPr>
      </w:pPr>
    </w:p>
    <w:p>
      <w:pPr>
        <w:ind w:left="500" w:right="380" w:hanging="495"/>
        <w:spacing w:after="0" w:line="283" w:lineRule="auto"/>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ensuring corporate performance measures and goals regarding executive officer compensation are set and determining the extent to which they are achieved and any related compensation earned;</w:t>
      </w:r>
    </w:p>
    <w:p>
      <w:pPr>
        <w:spacing w:after="0" w:line="152" w:lineRule="exact"/>
        <w:rPr>
          <w:rFonts w:ascii="Arial" w:cs="Arial" w:eastAsia="Arial" w:hAnsi="Arial"/>
          <w:sz w:val="14"/>
          <w:szCs w:val="14"/>
          <w:color w:val="auto"/>
        </w:rPr>
      </w:pPr>
    </w:p>
    <w:p>
      <w:pPr>
        <w:ind w:left="500" w:right="620" w:hanging="495"/>
        <w:spacing w:after="0" w:line="283" w:lineRule="auto"/>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establishing goals and objectives relevant to CEO compensation, evaluating CEO performance in light of such goals and objectives, and determining CEO compensation based on the evaluation;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8" w:name="page109"/>
    <w:bookmarkEnd w:id="10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500" w:hanging="495"/>
        <w:spacing w:after="0" w:line="323" w:lineRule="auto"/>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30" w:lineRule="exact"/>
        <w:rPr>
          <w:rFonts w:ascii="Arial" w:cs="Arial" w:eastAsia="Arial" w:hAnsi="Arial"/>
          <w:sz w:val="13"/>
          <w:szCs w:val="13"/>
          <w:color w:val="auto"/>
        </w:rPr>
      </w:pPr>
    </w:p>
    <w:p>
      <w:pPr>
        <w:ind w:left="500" w:hanging="495"/>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reviewing and approving any new equity compensation plan or any material change to an existing plan; and</w:t>
      </w:r>
    </w:p>
    <w:p>
      <w:pPr>
        <w:spacing w:after="0" w:line="201" w:lineRule="exact"/>
        <w:rPr>
          <w:rFonts w:ascii="Arial" w:cs="Arial" w:eastAsia="Arial" w:hAnsi="Arial"/>
          <w:sz w:val="14"/>
          <w:szCs w:val="14"/>
          <w:color w:val="auto"/>
        </w:rPr>
      </w:pPr>
    </w:p>
    <w:p>
      <w:pPr>
        <w:ind w:left="500" w:hanging="495"/>
        <w:spacing w:after="0" w:line="283" w:lineRule="auto"/>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Corporate Governance and Nominating Committee</w:t>
      </w:r>
    </w:p>
    <w:p>
      <w:pPr>
        <w:spacing w:after="0" w:line="180"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131" w:lineRule="exact"/>
        <w:rPr>
          <w:sz w:val="20"/>
          <w:szCs w:val="20"/>
          <w:color w:val="auto"/>
        </w:rPr>
      </w:pPr>
    </w:p>
    <w:p>
      <w:pPr>
        <w:ind w:left="500" w:hanging="495"/>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monitoring the size and composition of the board;</w:t>
      </w:r>
    </w:p>
    <w:p>
      <w:pPr>
        <w:spacing w:after="0" w:line="201" w:lineRule="exact"/>
        <w:rPr>
          <w:rFonts w:ascii="Arial" w:cs="Arial" w:eastAsia="Arial" w:hAnsi="Arial"/>
          <w:sz w:val="14"/>
          <w:szCs w:val="14"/>
          <w:color w:val="auto"/>
        </w:rPr>
      </w:pPr>
    </w:p>
    <w:p>
      <w:pPr>
        <w:ind w:left="500" w:hanging="495"/>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making recommendations to the board with respect to the nominations or elections of our directors;</w:t>
      </w:r>
    </w:p>
    <w:p>
      <w:pPr>
        <w:spacing w:after="0" w:line="201" w:lineRule="exact"/>
        <w:rPr>
          <w:rFonts w:ascii="Arial" w:cs="Arial" w:eastAsia="Arial" w:hAnsi="Arial"/>
          <w:sz w:val="14"/>
          <w:szCs w:val="14"/>
          <w:color w:val="auto"/>
        </w:rPr>
      </w:pPr>
    </w:p>
    <w:p>
      <w:pPr>
        <w:ind w:left="500" w:hanging="495"/>
        <w:spacing w:after="0" w:line="283" w:lineRule="auto"/>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reviewing the adequacy of our corporate governance policies and procedures and our Code of Business Conduct and Ethics, and recommending any proposed changes to the board for approval; and</w:t>
      </w:r>
    </w:p>
    <w:p>
      <w:pPr>
        <w:spacing w:after="0" w:line="152" w:lineRule="exact"/>
        <w:rPr>
          <w:rFonts w:ascii="Arial" w:cs="Arial" w:eastAsia="Arial" w:hAnsi="Arial"/>
          <w:sz w:val="14"/>
          <w:szCs w:val="14"/>
          <w:color w:val="auto"/>
        </w:rPr>
      </w:pPr>
    </w:p>
    <w:p>
      <w:pPr>
        <w:ind w:left="500" w:hanging="495"/>
        <w:spacing w:after="0" w:line="283" w:lineRule="auto"/>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Business Conduct and Ethics</w:t>
      </w:r>
    </w:p>
    <w:p>
      <w:pPr>
        <w:spacing w:after="0" w:line="184"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4"/>
          <w:szCs w:val="14"/>
          <w:u w:val="single" w:color="auto"/>
          <w:color w:val="auto"/>
        </w:rPr>
        <w:t>www.vistagen.com</w:t>
      </w:r>
      <w:r>
        <w:rPr>
          <w:rFonts w:ascii="Arial" w:cs="Arial" w:eastAsia="Arial" w:hAnsi="Arial"/>
          <w:sz w:val="14"/>
          <w:szCs w:val="14"/>
          <w:color w:val="auto"/>
        </w:rPr>
        <w:t>. We intend to disclose any future amendments to certain provisions of our Code of Business Conduct and Ethics, or waivers of these provisions, on our website or in filings with the SEC under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Attendance at Board of Directors, Committee and Stockholder Meetings</w:t>
      </w:r>
    </w:p>
    <w:p>
      <w:pPr>
        <w:spacing w:after="0" w:line="201"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Our Board of Directors met two times and acted by unanimous written consent six times during the fiscal year ended March 31, 2015. Our Audit Committee met four times and our Compensation Committee requested action by the entire Board of Directors for grants of warrants and the modification of certain warrants during the same period. Each director serving during fiscal 2015 attended all of the meetings of the Board and the committees of the Board upon which such director served.</w:t>
      </w:r>
    </w:p>
    <w:p>
      <w:pPr>
        <w:spacing w:after="0" w:line="163" w:lineRule="exact"/>
        <w:rPr>
          <w:sz w:val="20"/>
          <w:szCs w:val="20"/>
          <w:color w:val="auto"/>
        </w:rPr>
      </w:pPr>
    </w:p>
    <w:p>
      <w:pPr>
        <w:ind w:right="380"/>
        <w:spacing w:after="0" w:line="283" w:lineRule="auto"/>
        <w:rPr>
          <w:sz w:val="20"/>
          <w:szCs w:val="20"/>
          <w:color w:val="auto"/>
        </w:rPr>
      </w:pPr>
      <w:r>
        <w:rPr>
          <w:rFonts w:ascii="Arial" w:cs="Arial" w:eastAsia="Arial" w:hAnsi="Arial"/>
          <w:sz w:val="14"/>
          <w:szCs w:val="14"/>
          <w:color w:val="auto"/>
        </w:rPr>
        <w:t>We do not have a formal policy regarding attendance by members of the Board at our annual meeting of stockholders, but directors are encouraged to attend. We did not hold an annual meeting of stockholders during our fiscal year ended March 31, 2015.</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 Interlocks and Insider Participation</w:t>
      </w:r>
    </w:p>
    <w:p>
      <w:pPr>
        <w:spacing w:after="0" w:line="20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Our Compensation Committee consists of Dr. Underdown and Mr. Saxe, each of whom is a non-employee director. Neither member of the Compensation Committee has a relationship that would constitute an interlocking relationship with executive officers or directors of another entity.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Section 16 Beneficial Ownership Reporting Compliance</w:t>
      </w:r>
    </w:p>
    <w:p>
      <w:pPr>
        <w:spacing w:after="0" w:line="201" w:lineRule="exact"/>
        <w:rPr>
          <w:sz w:val="20"/>
          <w:szCs w:val="20"/>
          <w:color w:val="auto"/>
        </w:rPr>
      </w:pPr>
    </w:p>
    <w:p>
      <w:pPr>
        <w:ind w:right="60"/>
        <w:spacing w:after="0" w:line="298" w:lineRule="auto"/>
        <w:rPr>
          <w:sz w:val="20"/>
          <w:szCs w:val="20"/>
          <w:color w:val="auto"/>
        </w:rPr>
      </w:pPr>
      <w:r>
        <w:rPr>
          <w:rFonts w:ascii="Arial" w:cs="Arial" w:eastAsia="Arial" w:hAnsi="Arial"/>
          <w:sz w:val="13"/>
          <w:szCs w:val="13"/>
          <w:color w:val="auto"/>
        </w:rPr>
        <w:t xml:space="preserve">Section 16(a) of the Exchange Act requires our officers, directors and persons who beneficially own more than ten percent of our common stock (collectively, </w:t>
      </w:r>
      <w:r>
        <w:rPr>
          <w:rFonts w:ascii="Arial" w:cs="Arial" w:eastAsia="Arial" w:hAnsi="Arial"/>
          <w:sz w:val="13"/>
          <w:szCs w:val="13"/>
          <w:i w:val="1"/>
          <w:iCs w:val="1"/>
          <w:color w:val="auto"/>
        </w:rPr>
        <w:t>Reporting Persons</w:t>
      </w:r>
      <w:r>
        <w:rPr>
          <w:rFonts w:ascii="Arial" w:cs="Arial" w:eastAsia="Arial" w:hAnsi="Arial"/>
          <w:sz w:val="13"/>
          <w:szCs w:val="13"/>
          <w:color w:val="auto"/>
        </w:rPr>
        <w:t>) to file reports of ownership on Form 3 and changes in ownership on Form 4 or Form 5 with the SEC. The Reporting Persons are also required by SEC rules to furnish us with copies of all reports that they file pursuant to Section 16(a). We believe that during our fiscal year ended March 31, 2015, all of the Reporting Persons complied with all applicable reporting requirements.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81545"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09" w:name="page110"/>
    <w:bookmarkEnd w:id="109"/>
    <w:p>
      <w:pPr>
        <w:jc w:val="center"/>
        <w:ind w:right="-39"/>
        <w:spacing w:after="0"/>
        <w:rPr>
          <w:sz w:val="20"/>
          <w:szCs w:val="20"/>
          <w:color w:val="auto"/>
        </w:rPr>
      </w:pPr>
      <w:r>
        <w:rPr>
          <w:rFonts w:ascii="Arial" w:cs="Arial" w:eastAsia="Arial" w:hAnsi="Arial"/>
          <w:sz w:val="14"/>
          <w:szCs w:val="14"/>
          <w:b w:val="1"/>
          <w:bCs w:val="1"/>
          <w:color w:val="auto"/>
        </w:rPr>
        <w:t>EXECUTIVE COMPENSATION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Compensation Objectives</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63"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Components</w:t>
      </w:r>
    </w:p>
    <w:p>
      <w:pPr>
        <w:spacing w:after="0" w:line="180"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Base Salary</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at the time of hire. An executive officer’s base salary is also determined by reviewing the executive officer’s other compensation to ensure that the executive officer’s total compensation is in line with our overall compensation philosophy.</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434" w:right="239" w:bottom="1440" w:gutter="0" w:footer="0" w:header="0"/>
        </w:sectPr>
      </w:pPr>
    </w:p>
    <w:bookmarkStart w:id="110" w:name="page111"/>
    <w:bookmarkEnd w:id="11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140"/>
        <w:spacing w:after="0" w:line="298" w:lineRule="auto"/>
        <w:rPr>
          <w:sz w:val="20"/>
          <w:szCs w:val="20"/>
          <w:color w:val="auto"/>
        </w:rPr>
      </w:pPr>
      <w:r>
        <w:rPr>
          <w:rFonts w:ascii="Arial" w:cs="Arial" w:eastAsia="Arial" w:hAnsi="Arial"/>
          <w:sz w:val="13"/>
          <w:szCs w:val="13"/>
          <w:color w:val="auto"/>
        </w:rPr>
        <w:t>Base salaries are reviewed annually and increased for merit reasons, based on the executive officers’ success in meeting or exceeding individual objectives. Additionally, we adjust base salaries as warranted throughout the year for promotions or other changes in the scope or breadth of an executive officer’s role or responsibilities. As indicated in the Summary Compensation Table following, to conserve our cash resources during fiscal 2015 and 2014 the cash amounts of annual base salary that we paid to our executives was significantly less than their stated annual base salary rates.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Annual Bonus</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voluntarily decided to not seek, and, in accordance with our management team’s wishes, our Compensation Committee did not award cash bonuses in fiscal 2012, 2013, 2014 and fiscal 2015.</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Long-Term Equity Incentives</w:t>
      </w:r>
    </w:p>
    <w:p>
      <w:pPr>
        <w:spacing w:after="0" w:line="180"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equity-based compensation granted under our stock option plans or pursuant to other awards made to our executives and key employees.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Compensation Table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information regarding the compensation of our Named Executive Officers (</w:t>
      </w:r>
      <w:r>
        <w:rPr>
          <w:rFonts w:ascii="Arial" w:cs="Arial" w:eastAsia="Arial" w:hAnsi="Arial"/>
          <w:sz w:val="14"/>
          <w:szCs w:val="14"/>
          <w:i w:val="1"/>
          <w:iCs w:val="1"/>
          <w:color w:val="auto"/>
        </w:rPr>
        <w:t>NEO’s</w:t>
      </w:r>
      <w:r>
        <w:rPr>
          <w:rFonts w:ascii="Arial" w:cs="Arial" w:eastAsia="Arial" w:hAnsi="Arial"/>
          <w:sz w:val="14"/>
          <w:szCs w:val="14"/>
          <w:color w:val="auto"/>
        </w:rPr>
        <w:t>) for services performed in the fiscal years ended March 31, 2015 and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Option and</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Warrant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2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Salary</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Bonus</w:t>
            </w:r>
          </w:p>
        </w:tc>
        <w:tc>
          <w:tcPr>
            <w:tcW w:w="1400" w:type="dxa"/>
            <w:vAlign w:val="bottom"/>
            <w:gridSpan w:val="2"/>
          </w:tcPr>
          <w:p>
            <w:pPr>
              <w:jc w:val="center"/>
              <w:ind w:right="260"/>
              <w:spacing w:after="0" w:line="171" w:lineRule="exact"/>
              <w:rPr>
                <w:sz w:val="20"/>
                <w:szCs w:val="20"/>
                <w:color w:val="auto"/>
              </w:rPr>
            </w:pPr>
            <w:r>
              <w:rPr>
                <w:rFonts w:ascii="Arial" w:cs="Arial" w:eastAsia="Arial" w:hAnsi="Arial"/>
                <w:sz w:val="14"/>
                <w:szCs w:val="14"/>
                <w:b w:val="1"/>
                <w:bCs w:val="1"/>
                <w:color w:val="auto"/>
                <w:w w:val="85"/>
              </w:rPr>
              <w:t xml:space="preserve">Awards </w:t>
            </w:r>
            <w:r>
              <w:rPr>
                <w:rFonts w:ascii="Arial" w:cs="Arial" w:eastAsia="Arial" w:hAnsi="Arial"/>
                <w:sz w:val="19"/>
                <w:szCs w:val="19"/>
                <w:b w:val="1"/>
                <w:bCs w:val="1"/>
                <w:color w:val="auto"/>
                <w:w w:val="85"/>
                <w:vertAlign w:val="superscript"/>
              </w:rPr>
              <w:t>(10)</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Compensation</w:t>
            </w:r>
          </w:p>
        </w:tc>
        <w:tc>
          <w:tcPr>
            <w:tcW w:w="200" w:type="dxa"/>
            <w:vAlign w:val="bottom"/>
          </w:tcPr>
          <w:p>
            <w:pPr>
              <w:spacing w:after="0"/>
              <w:rPr>
                <w:sz w:val="14"/>
                <w:szCs w:val="14"/>
                <w:color w:val="auto"/>
              </w:rPr>
            </w:pPr>
          </w:p>
        </w:tc>
        <w:tc>
          <w:tcPr>
            <w:tcW w:w="1240" w:type="dxa"/>
            <w:vAlign w:val="bottom"/>
            <w:gridSpan w:val="2"/>
          </w:tcPr>
          <w:p>
            <w:pPr>
              <w:ind w:left="420"/>
              <w:spacing w:after="0"/>
              <w:rPr>
                <w:sz w:val="20"/>
                <w:szCs w:val="20"/>
                <w:color w:val="auto"/>
              </w:rPr>
            </w:pPr>
            <w:r>
              <w:rPr>
                <w:rFonts w:ascii="Arial" w:cs="Arial" w:eastAsia="Arial" w:hAnsi="Arial"/>
                <w:sz w:val="14"/>
                <w:szCs w:val="14"/>
                <w:b w:val="1"/>
                <w:bCs w:val="1"/>
                <w:color w:val="auto"/>
              </w:rPr>
              <w:t>Total</w:t>
            </w:r>
          </w:p>
        </w:tc>
      </w:tr>
      <w:tr>
        <w:trPr>
          <w:trHeight w:val="186"/>
        </w:trPr>
        <w:tc>
          <w:tcPr>
            <w:tcW w:w="3220" w:type="dxa"/>
            <w:vAlign w:val="bottom"/>
          </w:tcPr>
          <w:p>
            <w:pPr>
              <w:ind w:left="740"/>
              <w:spacing w:after="0"/>
              <w:rPr>
                <w:sz w:val="20"/>
                <w:szCs w:val="20"/>
                <w:color w:val="auto"/>
              </w:rPr>
            </w:pPr>
            <w:r>
              <w:rPr>
                <w:rFonts w:ascii="Arial" w:cs="Arial" w:eastAsia="Arial" w:hAnsi="Arial"/>
                <w:sz w:val="14"/>
                <w:szCs w:val="14"/>
                <w:b w:val="1"/>
                <w:bCs w:val="1"/>
                <w:color w:val="auto"/>
              </w:rPr>
              <w:t>Name and Principal Position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1280" w:type="dxa"/>
            <w:vAlign w:val="bottom"/>
            <w:gridSpan w:val="2"/>
          </w:tcPr>
          <w:p>
            <w:pPr>
              <w:jc w:val="right"/>
              <w:ind w:right="42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140" w:type="dxa"/>
            <w:vAlign w:val="bottom"/>
          </w:tcPr>
          <w:p>
            <w:pPr>
              <w:jc w:val="right"/>
              <w:ind w:right="40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40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170"/>
        </w:trPr>
        <w:tc>
          <w:tcPr>
            <w:tcW w:w="322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22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Shawn K. Singh </w:t>
            </w:r>
            <w:r>
              <w:rPr>
                <w:rFonts w:ascii="Arial" w:cs="Arial" w:eastAsia="Arial" w:hAnsi="Arial"/>
                <w:sz w:val="19"/>
                <w:szCs w:val="19"/>
                <w:color w:val="auto"/>
                <w:vertAlign w:val="superscript"/>
              </w:rPr>
              <w:t>(1)</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347,500</w:t>
            </w:r>
            <w:r>
              <w:rPr>
                <w:rFonts w:ascii="Arial" w:cs="Arial" w:eastAsia="Arial" w:hAnsi="Arial"/>
                <w:sz w:val="9"/>
                <w:szCs w:val="9"/>
                <w:color w:val="auto"/>
              </w:rPr>
              <w:t>(4)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688,050</w:t>
            </w:r>
            <w:r>
              <w:rPr>
                <w:rFonts w:ascii="Arial" w:cs="Arial" w:eastAsia="Arial" w:hAnsi="Arial"/>
                <w:sz w:val="9"/>
                <w:szCs w:val="9"/>
                <w:color w:val="auto"/>
              </w:rPr>
              <w:t>(11)</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1,035,550</w:t>
            </w:r>
          </w:p>
        </w:tc>
      </w:tr>
      <w:tr>
        <w:trPr>
          <w:trHeight w:val="170"/>
        </w:trPr>
        <w:tc>
          <w:tcPr>
            <w:tcW w:w="3220" w:type="dxa"/>
            <w:vAlign w:val="bottom"/>
          </w:tcPr>
          <w:p>
            <w:pPr>
              <w:spacing w:after="0"/>
              <w:rPr>
                <w:sz w:val="20"/>
                <w:szCs w:val="20"/>
                <w:color w:val="auto"/>
              </w:rPr>
            </w:pPr>
            <w:r>
              <w:rPr>
                <w:rFonts w:ascii="Arial" w:cs="Arial" w:eastAsia="Arial" w:hAnsi="Arial"/>
                <w:sz w:val="14"/>
                <w:szCs w:val="14"/>
                <w:i w:val="1"/>
                <w:iCs w:val="1"/>
                <w:color w:val="auto"/>
              </w:rPr>
              <w:t>Chief Executive Officer</w:t>
            </w: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1520" w:type="dxa"/>
            <w:vAlign w:val="bottom"/>
            <w:gridSpan w:val="3"/>
          </w:tcPr>
          <w:p>
            <w:pPr>
              <w:jc w:val="right"/>
              <w:ind w:right="140"/>
              <w:spacing w:after="0"/>
              <w:rPr>
                <w:sz w:val="20"/>
                <w:szCs w:val="20"/>
                <w:color w:val="auto"/>
              </w:rPr>
            </w:pPr>
            <w:r>
              <w:rPr>
                <w:rFonts w:ascii="Arial" w:cs="Arial" w:eastAsia="Arial" w:hAnsi="Arial"/>
                <w:sz w:val="14"/>
                <w:szCs w:val="14"/>
                <w:color w:val="auto"/>
              </w:rPr>
              <w:t>250,000</w:t>
            </w:r>
            <w:r>
              <w:rPr>
                <w:rFonts w:ascii="Arial" w:cs="Arial" w:eastAsia="Arial" w:hAnsi="Arial"/>
                <w:sz w:val="9"/>
                <w:szCs w:val="9"/>
                <w:color w:val="auto"/>
              </w:rPr>
              <w:t>(5)</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159,802</w:t>
            </w:r>
            <w:r>
              <w:rPr>
                <w:rFonts w:ascii="Arial" w:cs="Arial" w:eastAsia="Arial" w:hAnsi="Arial"/>
                <w:sz w:val="9"/>
                <w:szCs w:val="9"/>
                <w:color w:val="auto"/>
              </w:rPr>
              <w:t>(12)</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4"/>
                <w:szCs w:val="14"/>
                <w:color w:val="auto"/>
              </w:rPr>
              <w:t>409,802</w:t>
            </w:r>
          </w:p>
        </w:tc>
      </w:tr>
      <w:tr>
        <w:trPr>
          <w:trHeight w:val="170"/>
        </w:trPr>
        <w:tc>
          <w:tcPr>
            <w:tcW w:w="3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220" w:type="dxa"/>
            <w:vAlign w:val="bottom"/>
          </w:tcPr>
          <w:p>
            <w:pPr>
              <w:spacing w:after="0" w:line="171" w:lineRule="exact"/>
              <w:rPr>
                <w:sz w:val="20"/>
                <w:szCs w:val="20"/>
                <w:color w:val="auto"/>
              </w:rPr>
            </w:pPr>
            <w:r>
              <w:rPr>
                <w:rFonts w:ascii="Arial" w:cs="Arial" w:eastAsia="Arial" w:hAnsi="Arial"/>
                <w:sz w:val="14"/>
                <w:szCs w:val="14"/>
                <w:color w:val="auto"/>
              </w:rPr>
              <w:t xml:space="preserve">H. Ralph Snodgrass, Ph.D. </w:t>
            </w:r>
            <w:r>
              <w:rPr>
                <w:rFonts w:ascii="Arial" w:cs="Arial" w:eastAsia="Arial" w:hAnsi="Arial"/>
                <w:sz w:val="19"/>
                <w:szCs w:val="19"/>
                <w:color w:val="auto"/>
                <w:vertAlign w:val="superscript"/>
              </w:rPr>
              <w:t>(2)</w:t>
            </w: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1520" w:type="dxa"/>
            <w:vAlign w:val="bottom"/>
            <w:gridSpan w:val="3"/>
          </w:tcPr>
          <w:p>
            <w:pPr>
              <w:jc w:val="right"/>
              <w:ind w:right="140"/>
              <w:spacing w:after="0"/>
              <w:rPr>
                <w:sz w:val="20"/>
                <w:szCs w:val="20"/>
                <w:color w:val="auto"/>
              </w:rPr>
            </w:pPr>
            <w:r>
              <w:rPr>
                <w:rFonts w:ascii="Arial" w:cs="Arial" w:eastAsia="Arial" w:hAnsi="Arial"/>
                <w:sz w:val="14"/>
                <w:szCs w:val="14"/>
                <w:color w:val="auto"/>
              </w:rPr>
              <w:t>305,000</w:t>
            </w:r>
            <w:r>
              <w:rPr>
                <w:rFonts w:ascii="Arial" w:cs="Arial" w:eastAsia="Arial" w:hAnsi="Arial"/>
                <w:sz w:val="9"/>
                <w:szCs w:val="9"/>
                <w:color w:val="auto"/>
              </w:rPr>
              <w:t>(6)</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458,700</w:t>
            </w:r>
            <w:r>
              <w:rPr>
                <w:rFonts w:ascii="Arial" w:cs="Arial" w:eastAsia="Arial" w:hAnsi="Arial"/>
                <w:sz w:val="9"/>
                <w:szCs w:val="9"/>
                <w:color w:val="auto"/>
              </w:rPr>
              <w:t>(11)</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4"/>
                <w:szCs w:val="14"/>
                <w:color w:val="auto"/>
              </w:rPr>
              <w:t>763,700</w:t>
            </w:r>
          </w:p>
        </w:tc>
      </w:tr>
      <w:tr>
        <w:trPr>
          <w:trHeight w:val="170"/>
        </w:trPr>
        <w:tc>
          <w:tcPr>
            <w:tcW w:w="322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President, Chief Scientific Officer</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2014</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250,000</w:t>
            </w:r>
            <w:r>
              <w:rPr>
                <w:rFonts w:ascii="Arial" w:cs="Arial" w:eastAsia="Arial" w:hAnsi="Arial"/>
                <w:sz w:val="9"/>
                <w:szCs w:val="9"/>
                <w:color w:val="auto"/>
              </w:rPr>
              <w:t>(7)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102,353</w:t>
            </w:r>
            <w:r>
              <w:rPr>
                <w:rFonts w:ascii="Arial" w:cs="Arial" w:eastAsia="Arial" w:hAnsi="Arial"/>
                <w:sz w:val="9"/>
                <w:szCs w:val="9"/>
                <w:color w:val="auto"/>
              </w:rPr>
              <w:t>(12)</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352,353</w:t>
            </w:r>
          </w:p>
        </w:tc>
      </w:tr>
      <w:tr>
        <w:trPr>
          <w:trHeight w:val="170"/>
        </w:trPr>
        <w:tc>
          <w:tcPr>
            <w:tcW w:w="3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22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Jerrold D. Dotson </w:t>
            </w:r>
            <w:r>
              <w:rPr>
                <w:rFonts w:ascii="Arial" w:cs="Arial" w:eastAsia="Arial" w:hAnsi="Arial"/>
                <w:sz w:val="19"/>
                <w:szCs w:val="19"/>
                <w:color w:val="auto"/>
                <w:vertAlign w:val="superscript"/>
              </w:rPr>
              <w:t>(3)</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250,000</w:t>
            </w:r>
            <w:r>
              <w:rPr>
                <w:rFonts w:ascii="Arial" w:cs="Arial" w:eastAsia="Arial" w:hAnsi="Arial"/>
                <w:sz w:val="9"/>
                <w:szCs w:val="9"/>
                <w:color w:val="auto"/>
              </w:rPr>
              <w:t>(8)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229,350</w:t>
            </w:r>
            <w:r>
              <w:rPr>
                <w:rFonts w:ascii="Arial" w:cs="Arial" w:eastAsia="Arial" w:hAnsi="Arial"/>
                <w:sz w:val="9"/>
                <w:szCs w:val="9"/>
                <w:color w:val="auto"/>
              </w:rPr>
              <w:t>(11)</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479,350</w:t>
            </w:r>
          </w:p>
        </w:tc>
      </w:tr>
      <w:tr>
        <w:trPr>
          <w:trHeight w:val="180"/>
        </w:trPr>
        <w:tc>
          <w:tcPr>
            <w:tcW w:w="3220" w:type="dxa"/>
            <w:vAlign w:val="bottom"/>
          </w:tcPr>
          <w:p>
            <w:pPr>
              <w:spacing w:after="0"/>
              <w:rPr>
                <w:sz w:val="20"/>
                <w:szCs w:val="20"/>
                <w:color w:val="auto"/>
              </w:rPr>
            </w:pPr>
            <w:r>
              <w:rPr>
                <w:rFonts w:ascii="Arial" w:cs="Arial" w:eastAsia="Arial" w:hAnsi="Arial"/>
                <w:sz w:val="14"/>
                <w:szCs w:val="14"/>
                <w:i w:val="1"/>
                <w:iCs w:val="1"/>
                <w:color w:val="auto"/>
              </w:rPr>
              <w:t>Vice President, Chief Financial Officer, Secretary</w:t>
            </w: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2013</w:t>
            </w:r>
          </w:p>
        </w:tc>
        <w:tc>
          <w:tcPr>
            <w:tcW w:w="1520" w:type="dxa"/>
            <w:vAlign w:val="bottom"/>
            <w:gridSpan w:val="3"/>
          </w:tcPr>
          <w:p>
            <w:pPr>
              <w:jc w:val="right"/>
              <w:ind w:right="140"/>
              <w:spacing w:after="0"/>
              <w:rPr>
                <w:sz w:val="20"/>
                <w:szCs w:val="20"/>
                <w:color w:val="auto"/>
              </w:rPr>
            </w:pPr>
            <w:r>
              <w:rPr>
                <w:rFonts w:ascii="Arial" w:cs="Arial" w:eastAsia="Arial" w:hAnsi="Arial"/>
                <w:sz w:val="14"/>
                <w:szCs w:val="14"/>
                <w:color w:val="auto"/>
              </w:rPr>
              <w:t>200,000</w:t>
            </w:r>
            <w:r>
              <w:rPr>
                <w:rFonts w:ascii="Arial" w:cs="Arial" w:eastAsia="Arial" w:hAnsi="Arial"/>
                <w:sz w:val="9"/>
                <w:szCs w:val="9"/>
                <w:color w:val="auto"/>
              </w:rPr>
              <w:t>(9)</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36,846</w:t>
            </w:r>
            <w:r>
              <w:rPr>
                <w:rFonts w:ascii="Arial" w:cs="Arial" w:eastAsia="Arial" w:hAnsi="Arial"/>
                <w:sz w:val="9"/>
                <w:szCs w:val="9"/>
                <w:color w:val="auto"/>
              </w:rPr>
              <w:t>(12)</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4"/>
                <w:szCs w:val="14"/>
                <w:color w:val="auto"/>
              </w:rPr>
              <w:t>236,846</w:t>
            </w:r>
          </w:p>
        </w:tc>
      </w:tr>
      <w:tr>
        <w:trPr>
          <w:trHeight w:val="468"/>
        </w:trPr>
        <w:tc>
          <w:tcPr>
            <w:tcW w:w="3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4"/>
                <w:szCs w:val="14"/>
                <w:color w:val="auto"/>
              </w:rPr>
              <w:t>-106-</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2"/>
        </w:trPr>
        <w:tc>
          <w:tcPr>
            <w:tcW w:w="322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1" w:name="page112"/>
    <w:bookmarkEnd w:id="11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600" w:right="60" w:hanging="595"/>
        <w:spacing w:after="0" w:line="257" w:lineRule="auto"/>
        <w:tabs>
          <w:tab w:leader="none" w:pos="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Singh became VistaGen California’s Chief Executive Officer on August 20, 2009 and our Chief Executive Officer in May 2011, in connection with the Merger. In our fiscal years ended March 31, 2015 and 2014, Mr. Singh’s annual base cash salary, pursuant to his January 2010 employment agreement, was contractually set at $347,500. However, to conserve cash for our operations during those years, Mr. Singh voluntarily agreed to receive cash payments of less than his contractual base cash salary. Further, in fiscal 2014 Mr. Singh voluntarily reduced his base cash salary to the amount indicated above. The figures reported above reflect the amount of Mr. Singh’s salary that we expensed for accounting purposes in our financial statements included in this prospectus for the respective fiscal years. As discussed in notes (4) and (5) below, only $82,813 and $125,000 was actually paid in cash to Mr. Singh in our fiscal years ended March 31, 2015 and 2014, respectively. The difference between the amounts expensed for accounting purposes and the amounts actually paid to Mr. Singh has been accrued for payment in the future. Additionally, pursuant to his employment agreement, Mr. Singh is eligible to receive an annual cash incentive bonus of up to fifty percent (50%) of his base cash salary. Again, to conserve cash for our operations during our fiscal years ended March 31, 2015 and 2014 (as well as in fiscal 2011, 2012 and 2013), Mr. Singh voluntarily refrained from receiving any cash bonus.</w:t>
      </w:r>
    </w:p>
    <w:p>
      <w:pPr>
        <w:spacing w:after="0" w:line="152" w:lineRule="exact"/>
        <w:rPr>
          <w:rFonts w:ascii="Arial" w:cs="Arial" w:eastAsia="Arial" w:hAnsi="Arial"/>
          <w:sz w:val="14"/>
          <w:szCs w:val="14"/>
          <w:color w:val="auto"/>
        </w:rPr>
      </w:pPr>
    </w:p>
    <w:p>
      <w:pPr>
        <w:ind w:left="600" w:right="60" w:hanging="595"/>
        <w:spacing w:after="0" w:line="279" w:lineRule="auto"/>
        <w:tabs>
          <w:tab w:leader="none" w:pos="6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2015 and 2014, Dr. Snodgrass’ annual base cash salary, pursuant to his January 2010 employment agreement, was contractually set at $305,000. However, to conserve cash for our operations during those years, Dr. Snodgrass voluntarily agreed to receive cash payments of less than his contractual base cash salary. Further, in fiscal 2014 Dr. Snodgrass voluntarily reduced his base cash salary to the amount indicated. The figures reported above reflect the amount of Dr. Snodgrass’ salary that we expensed for accounting purposes in our financial statements included in this prospectus for the respective fiscal years. As discussed in notes (6) and (7) below, only $157,292 and $149,606 was actually paid in cash to Dr. Snodgrass in our fiscal years ended March 31, 2015 and 2014, respectively. The difference between the amounts expensed for accounting purposes and the amounts actually paid to Dr. Snodgrass has been accrued for payment in the future. Additionally, pursuant to his employment agreement, Dr. Snodgrass is eligible to receive an annual cash incentive bonus of up to fifty percent (50%) of his base cash salary. Again, to conserve cash for our operations during our fiscal years ended March 31, 2015 and 2014 (as well as in fiscal 2011, 2012 and 2013), Dr. Snodgrass voluntarily refrained from receiving any cash bonus.</w:t>
      </w:r>
    </w:p>
    <w:p>
      <w:pPr>
        <w:spacing w:after="0" w:line="139" w:lineRule="exact"/>
        <w:rPr>
          <w:rFonts w:ascii="Arial" w:cs="Arial" w:eastAsia="Arial" w:hAnsi="Arial"/>
          <w:sz w:val="13"/>
          <w:szCs w:val="13"/>
          <w:color w:val="auto"/>
        </w:rPr>
      </w:pPr>
    </w:p>
    <w:p>
      <w:pPr>
        <w:ind w:left="600" w:right="100" w:hanging="595"/>
        <w:spacing w:after="0" w:line="311" w:lineRule="auto"/>
        <w:tabs>
          <w:tab w:leader="none" w:pos="600" w:val="left"/>
        </w:tabs>
        <w:numPr>
          <w:ilvl w:val="0"/>
          <w:numId w:val="53"/>
        </w:numPr>
        <w:rPr>
          <w:rFonts w:ascii="Arial" w:cs="Arial" w:eastAsia="Arial" w:hAnsi="Arial"/>
          <w:sz w:val="12"/>
          <w:szCs w:val="12"/>
          <w:color w:val="auto"/>
        </w:rPr>
      </w:pPr>
      <w:r>
        <w:rPr>
          <w:rFonts w:ascii="Arial" w:cs="Arial" w:eastAsia="Arial" w:hAnsi="Arial"/>
          <w:sz w:val="12"/>
          <w:szCs w:val="12"/>
          <w:color w:val="auto"/>
        </w:rPr>
        <w:t>Mr. Dotson served as Chief Financial Officer on a part-time contract basis from September 19, 2011 through August 2012, at which time he became our full-time employee. In our fiscal years ended March 31, 2015 and 2014, Mr. Dotson’s annual base cash salary was $250,000 and $200,000, respectively. However, to conserve cash for our operations during those years, Mr. Dotson voluntarily agreed to receive cash payments of less than his base cash salary. The figures reported above reflect the amount of Mr. Dotson’s salary that we expensed for accounting purposes in our financial statements included in this prospectus for the respective fiscal years. As discussed in notes (8) and (9) below, only $153,917 and $143,333 was actually paid in cash to Mr. Dotson in our fiscal years ended March 31, 2015 and 2014, respectively. The difference between the amounts expensed for accounting purposes and the amounts actually paid to Mr. Dotson has been accrued for payment in the future. To conserve cash for our operations, Mr. Dotson did not receive a cash bonus in either of our fiscal years ended March 31, 2015 or 2014.</w:t>
      </w:r>
    </w:p>
    <w:p>
      <w:pPr>
        <w:spacing w:after="0" w:line="141" w:lineRule="exact"/>
        <w:rPr>
          <w:rFonts w:ascii="Arial" w:cs="Arial" w:eastAsia="Arial" w:hAnsi="Arial"/>
          <w:sz w:val="12"/>
          <w:szCs w:val="12"/>
          <w:color w:val="auto"/>
        </w:rPr>
      </w:pPr>
    </w:p>
    <w:p>
      <w:pPr>
        <w:ind w:left="600" w:hanging="595"/>
        <w:spacing w:after="0" w:line="283" w:lineRule="auto"/>
        <w:tabs>
          <w:tab w:leader="none" w:pos="6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Singh received only $82,813 in cash compensation in our fiscal year ended March 31, 2015. The remaining balance has been accrued for future payment and a portion remains unpaid at the date of this prospectus.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2" w:name="page113"/>
    <w:bookmarkEnd w:id="11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600" w:right="220" w:hanging="595"/>
        <w:spacing w:after="0" w:line="283"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Singh received only $125,000 in cash compensation in our fiscal year ended March 31, 2014. At March 31, 2014, the remaining balance was accrued for future payment and remained outstanding at March 31, 2015 and a portion remains outstanding through the date of this prospectus.</w:t>
      </w:r>
    </w:p>
    <w:p>
      <w:pPr>
        <w:spacing w:after="0" w:line="131" w:lineRule="exact"/>
        <w:rPr>
          <w:rFonts w:ascii="Arial" w:cs="Arial" w:eastAsia="Arial" w:hAnsi="Arial"/>
          <w:sz w:val="14"/>
          <w:szCs w:val="14"/>
          <w:color w:val="auto"/>
        </w:rPr>
      </w:pPr>
    </w:p>
    <w:p>
      <w:pPr>
        <w:ind w:left="600" w:right="240" w:hanging="595"/>
        <w:spacing w:after="0" w:line="283"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Dr. Snodgrass received only $157,292 in cash compensation in our fiscal year ended March 31, 2015 and the remaining balance has been accrued for future payment and a portion remains unpaid at the date of this prospectus.</w:t>
      </w:r>
    </w:p>
    <w:p>
      <w:pPr>
        <w:spacing w:after="0" w:line="131" w:lineRule="exact"/>
        <w:rPr>
          <w:rFonts w:ascii="Arial" w:cs="Arial" w:eastAsia="Arial" w:hAnsi="Arial"/>
          <w:sz w:val="14"/>
          <w:szCs w:val="14"/>
          <w:color w:val="auto"/>
        </w:rPr>
      </w:pPr>
    </w:p>
    <w:p>
      <w:pPr>
        <w:ind w:left="600" w:hanging="595"/>
        <w:spacing w:after="0" w:line="283"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Dr. Snodgrass received only $149,606 in cash compensation in our fiscal year ended March 31, 2014. At March 31, 2014, the remaining balance was accrued for future payment and remained outstanding at March 31, 2015 and a portion remains outstanding through the date of this prospectus.</w:t>
      </w:r>
    </w:p>
    <w:p>
      <w:pPr>
        <w:spacing w:after="0" w:line="131" w:lineRule="exact"/>
        <w:rPr>
          <w:rFonts w:ascii="Arial" w:cs="Arial" w:eastAsia="Arial" w:hAnsi="Arial"/>
          <w:sz w:val="14"/>
          <w:szCs w:val="14"/>
          <w:color w:val="auto"/>
        </w:rPr>
      </w:pPr>
    </w:p>
    <w:p>
      <w:pPr>
        <w:ind w:left="600" w:right="380" w:hanging="595"/>
        <w:spacing w:after="0" w:line="283"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Dotson received only $153,917 in cash compensation in our fiscal year ended March 31, 2015 and the remaining balance has been accrued for future payment and a portion remains unpaid at the date of this prospectus.</w:t>
      </w:r>
    </w:p>
    <w:p>
      <w:pPr>
        <w:spacing w:after="0" w:line="131" w:lineRule="exact"/>
        <w:rPr>
          <w:rFonts w:ascii="Arial" w:cs="Arial" w:eastAsia="Arial" w:hAnsi="Arial"/>
          <w:sz w:val="14"/>
          <w:szCs w:val="14"/>
          <w:color w:val="auto"/>
        </w:rPr>
      </w:pPr>
    </w:p>
    <w:p>
      <w:pPr>
        <w:ind w:left="600" w:right="140" w:hanging="595"/>
        <w:spacing w:after="0" w:line="283"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Dotson received only $143,333 in cash compensation in our fiscal year ended March 31, 2014. At March 31, 2014, the remaining balance was accrued for future payment and remained outstanding at March 31, 2015 and has been paid prior to the date of this prospectus.</w:t>
      </w:r>
    </w:p>
    <w:p>
      <w:pPr>
        <w:spacing w:after="0" w:line="152" w:lineRule="exact"/>
        <w:rPr>
          <w:rFonts w:ascii="Arial" w:cs="Arial" w:eastAsia="Arial" w:hAnsi="Arial"/>
          <w:sz w:val="14"/>
          <w:szCs w:val="14"/>
          <w:color w:val="auto"/>
        </w:rPr>
      </w:pPr>
    </w:p>
    <w:p>
      <w:pPr>
        <w:ind w:left="600" w:right="20" w:hanging="595"/>
        <w:spacing w:after="0" w:line="283" w:lineRule="auto"/>
        <w:tabs>
          <w:tab w:leader="none" w:pos="6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amounts in the Option and Warrant Awards column represent the aggregate grant date fair value of options or warrants to purchase restricted shares of our common stock awarded to Mr. Singh, Dr. Snodgrass and Mr. Dotson, or the effect of modifications to prior grants of options or warrants occurring during the fiscal year presented, computed in accordance with the Financial Accounting Standards Board’s Accounting Standards Codification Topic 718, Compensation – Stock Compensation (</w:t>
      </w:r>
      <w:r>
        <w:rPr>
          <w:rFonts w:ascii="Arial" w:cs="Arial" w:eastAsia="Arial" w:hAnsi="Arial"/>
          <w:sz w:val="13"/>
          <w:szCs w:val="13"/>
          <w:i w:val="1"/>
          <w:iCs w:val="1"/>
          <w:color w:val="auto"/>
        </w:rPr>
        <w:t>ASC 718</w:t>
      </w:r>
      <w:r>
        <w:rPr>
          <w:rFonts w:ascii="Arial" w:cs="Arial" w:eastAsia="Arial" w:hAnsi="Arial"/>
          <w:sz w:val="13"/>
          <w:szCs w:val="13"/>
          <w:color w:val="auto"/>
        </w:rPr>
        <w:t>). The amounts in this column do not represent any cash payments actually received by Mr. Singh, Dr. Snodgrass or Mr. Dotson with respect to any of such options or warrants to purchase restricted shares of our common stock awarded to them or modified during the periods presented. To date, Mr. Singh, Dr. Snodgrass and Mr. Dotson have not exercised any of such options or warrants to purchase common stock, and there can be no assurance that any of them will ever realize any of the ASC 718 grant date fair value amounts presented in the Option and Warrant Awards column.</w:t>
      </w:r>
    </w:p>
    <w:p>
      <w:pPr>
        <w:spacing w:after="0" w:line="134" w:lineRule="exact"/>
        <w:rPr>
          <w:rFonts w:ascii="Arial" w:cs="Arial" w:eastAsia="Arial" w:hAnsi="Arial"/>
          <w:sz w:val="13"/>
          <w:szCs w:val="13"/>
          <w:color w:val="auto"/>
        </w:rPr>
      </w:pPr>
    </w:p>
    <w:p>
      <w:pPr>
        <w:ind w:left="600" w:right="160" w:hanging="595"/>
        <w:spacing w:after="0" w:line="283" w:lineRule="auto"/>
        <w:tabs>
          <w:tab w:leader="none" w:pos="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We used the Black Scholes Option Pricing Model and the following assumptions for determining the grant date fair value of the warrants to purchase shares of our common stock granted in January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817880" cy="8655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17880" cy="86550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8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Market price per share</w:t>
            </w:r>
          </w:p>
        </w:tc>
        <w:tc>
          <w:tcPr>
            <w:tcW w:w="402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8.00</w:t>
            </w:r>
          </w:p>
        </w:tc>
      </w:tr>
      <w:tr>
        <w:trPr>
          <w:trHeight w:val="170"/>
        </w:trPr>
        <w:tc>
          <w:tcPr>
            <w:tcW w:w="6580" w:type="dxa"/>
            <w:vAlign w:val="bottom"/>
          </w:tcPr>
          <w:p>
            <w:pPr>
              <w:ind w:left="1300"/>
              <w:spacing w:after="0"/>
              <w:rPr>
                <w:sz w:val="20"/>
                <w:szCs w:val="20"/>
                <w:color w:val="auto"/>
              </w:rPr>
            </w:pPr>
            <w:r>
              <w:rPr>
                <w:rFonts w:ascii="Arial" w:cs="Arial" w:eastAsia="Arial" w:hAnsi="Arial"/>
                <w:sz w:val="14"/>
                <w:szCs w:val="14"/>
                <w:color w:val="auto"/>
              </w:rPr>
              <w:t>Exercise price per share</w:t>
            </w:r>
          </w:p>
        </w:tc>
        <w:tc>
          <w:tcPr>
            <w:tcW w:w="402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10.00</w:t>
            </w:r>
          </w:p>
        </w:tc>
      </w:tr>
      <w:tr>
        <w:trPr>
          <w:trHeight w:val="170"/>
        </w:trPr>
        <w:tc>
          <w:tcPr>
            <w:tcW w:w="658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Risk-free interest rate</w:t>
            </w:r>
          </w:p>
        </w:tc>
        <w:tc>
          <w:tcPr>
            <w:tcW w:w="40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170"/>
        </w:trPr>
        <w:tc>
          <w:tcPr>
            <w:tcW w:w="6580" w:type="dxa"/>
            <w:vAlign w:val="bottom"/>
          </w:tcPr>
          <w:p>
            <w:pPr>
              <w:ind w:left="1300"/>
              <w:spacing w:after="0"/>
              <w:rPr>
                <w:sz w:val="20"/>
                <w:szCs w:val="20"/>
                <w:color w:val="auto"/>
              </w:rPr>
            </w:pPr>
            <w:r>
              <w:rPr>
                <w:rFonts w:ascii="Arial" w:cs="Arial" w:eastAsia="Arial" w:hAnsi="Arial"/>
                <w:sz w:val="14"/>
                <w:szCs w:val="14"/>
                <w:color w:val="auto"/>
              </w:rPr>
              <w:t>Expected Term (years)</w:t>
            </w:r>
          </w:p>
        </w:tc>
        <w:tc>
          <w:tcPr>
            <w:tcW w:w="4020" w:type="dxa"/>
            <w:vAlign w:val="bottom"/>
          </w:tcPr>
          <w:p>
            <w:pPr>
              <w:spacing w:after="0"/>
              <w:rPr>
                <w:sz w:val="14"/>
                <w:szCs w:val="14"/>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5.0</w:t>
            </w:r>
          </w:p>
        </w:tc>
      </w:tr>
      <w:tr>
        <w:trPr>
          <w:trHeight w:val="170"/>
        </w:trPr>
        <w:tc>
          <w:tcPr>
            <w:tcW w:w="658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Volatility</w:t>
            </w:r>
          </w:p>
        </w:tc>
        <w:tc>
          <w:tcPr>
            <w:tcW w:w="40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75.86%</w:t>
            </w:r>
          </w:p>
        </w:tc>
      </w:tr>
      <w:tr>
        <w:trPr>
          <w:trHeight w:val="170"/>
        </w:trPr>
        <w:tc>
          <w:tcPr>
            <w:tcW w:w="6580" w:type="dxa"/>
            <w:vAlign w:val="bottom"/>
          </w:tcPr>
          <w:p>
            <w:pPr>
              <w:ind w:left="1300"/>
              <w:spacing w:after="0"/>
              <w:rPr>
                <w:sz w:val="20"/>
                <w:szCs w:val="20"/>
                <w:color w:val="auto"/>
              </w:rPr>
            </w:pPr>
            <w:r>
              <w:rPr>
                <w:rFonts w:ascii="Arial" w:cs="Arial" w:eastAsia="Arial" w:hAnsi="Arial"/>
                <w:sz w:val="14"/>
                <w:szCs w:val="14"/>
                <w:color w:val="auto"/>
              </w:rPr>
              <w:t>Dividend rate</w:t>
            </w:r>
          </w:p>
        </w:tc>
        <w:tc>
          <w:tcPr>
            <w:tcW w:w="40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658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6580" w:type="dxa"/>
            <w:vAlign w:val="bottom"/>
          </w:tcPr>
          <w:p>
            <w:pPr>
              <w:ind w:left="1300"/>
              <w:spacing w:after="0"/>
              <w:rPr>
                <w:sz w:val="20"/>
                <w:szCs w:val="20"/>
                <w:color w:val="auto"/>
              </w:rPr>
            </w:pPr>
            <w:r>
              <w:rPr>
                <w:rFonts w:ascii="Arial" w:cs="Arial" w:eastAsia="Arial" w:hAnsi="Arial"/>
                <w:sz w:val="14"/>
                <w:szCs w:val="14"/>
                <w:color w:val="auto"/>
              </w:rPr>
              <w:t>Grant date fair value per share</w:t>
            </w:r>
          </w:p>
        </w:tc>
        <w:tc>
          <w:tcPr>
            <w:tcW w:w="402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4.59</w:t>
            </w:r>
          </w:p>
        </w:tc>
      </w:tr>
    </w:tbl>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auto"/>
        </w:rPr>
        <w:t>Mr. Singh, Dr. Snodgrass and Mr. Dotson were granted warrants to purchase 150,000, 100,000 and 50,000 restricted shares of our common stock, respectively.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3" w:name="page114"/>
    <w:bookmarkEnd w:id="11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600" w:right="620" w:hanging="595"/>
        <w:spacing w:after="0" w:line="283" w:lineRule="auto"/>
        <w:tabs>
          <w:tab w:leader="none" w:pos="6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table below provides information regarding the option and warrant awards and modifications we granted to Mr. Singh, Dr. Snodgrass and Mr. Dotson during fiscal 2014 and the assumptions used in the Black Scholes Option Pricing Model to determine the grant date fair values of the respective awards and modifications.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Option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color w:val="auto"/>
                <w:w w:val="92"/>
              </w:rPr>
              <w:t>Warrant</w:t>
            </w:r>
          </w:p>
        </w:tc>
        <w:tc>
          <w:tcPr>
            <w:tcW w:w="200" w:type="dxa"/>
            <w:vAlign w:val="bottom"/>
          </w:tcPr>
          <w:p>
            <w:pPr>
              <w:spacing w:after="0"/>
              <w:rPr>
                <w:sz w:val="14"/>
                <w:szCs w:val="14"/>
                <w:color w:val="auto"/>
              </w:rPr>
            </w:pPr>
          </w:p>
        </w:tc>
        <w:tc>
          <w:tcPr>
            <w:tcW w:w="840" w:type="dxa"/>
            <w:vAlign w:val="bottom"/>
            <w:gridSpan w:val="2"/>
          </w:tcPr>
          <w:p>
            <w:pPr>
              <w:jc w:val="right"/>
              <w:ind w:right="369"/>
              <w:spacing w:after="0"/>
              <w:rPr>
                <w:sz w:val="20"/>
                <w:szCs w:val="20"/>
                <w:color w:val="auto"/>
              </w:rPr>
            </w:pPr>
            <w:r>
              <w:rPr>
                <w:rFonts w:ascii="Arial" w:cs="Arial" w:eastAsia="Arial" w:hAnsi="Arial"/>
                <w:sz w:val="14"/>
                <w:szCs w:val="14"/>
                <w:color w:val="auto"/>
                <w:w w:val="92"/>
              </w:rPr>
              <w:t>Option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289"/>
              <w:spacing w:after="0"/>
              <w:rPr>
                <w:sz w:val="20"/>
                <w:szCs w:val="20"/>
                <w:color w:val="auto"/>
              </w:rPr>
            </w:pPr>
            <w:r>
              <w:rPr>
                <w:rFonts w:ascii="Arial" w:cs="Arial" w:eastAsia="Arial" w:hAnsi="Arial"/>
                <w:sz w:val="14"/>
                <w:szCs w:val="14"/>
                <w:color w:val="auto"/>
                <w:w w:val="92"/>
              </w:rPr>
              <w:t>Warrant</w:t>
            </w:r>
          </w:p>
        </w:tc>
        <w:tc>
          <w:tcPr>
            <w:tcW w:w="1020" w:type="dxa"/>
            <w:vAlign w:val="bottom"/>
            <w:gridSpan w:val="4"/>
          </w:tcPr>
          <w:p>
            <w:pPr>
              <w:jc w:val="center"/>
              <w:spacing w:after="0"/>
              <w:rPr>
                <w:sz w:val="20"/>
                <w:szCs w:val="20"/>
                <w:color w:val="auto"/>
              </w:rPr>
            </w:pPr>
            <w:r>
              <w:rPr>
                <w:rFonts w:ascii="Arial" w:cs="Arial" w:eastAsia="Arial" w:hAnsi="Arial"/>
                <w:sz w:val="14"/>
                <w:szCs w:val="14"/>
                <w:color w:val="auto"/>
                <w:w w:val="94"/>
              </w:rPr>
              <w:t>Option/Warrant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Grant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color w:val="auto"/>
                <w:w w:val="91"/>
              </w:rPr>
              <w:t>Grant</w:t>
            </w:r>
          </w:p>
        </w:tc>
        <w:tc>
          <w:tcPr>
            <w:tcW w:w="1040" w:type="dxa"/>
            <w:vAlign w:val="bottom"/>
            <w:gridSpan w:val="3"/>
          </w:tcPr>
          <w:p>
            <w:pPr>
              <w:ind w:left="40"/>
              <w:spacing w:after="0"/>
              <w:rPr>
                <w:sz w:val="20"/>
                <w:szCs w:val="20"/>
                <w:color w:val="auto"/>
              </w:rPr>
            </w:pPr>
            <w:r>
              <w:rPr>
                <w:rFonts w:ascii="Arial" w:cs="Arial" w:eastAsia="Arial" w:hAnsi="Arial"/>
                <w:sz w:val="14"/>
                <w:szCs w:val="14"/>
                <w:color w:val="auto"/>
              </w:rPr>
              <w:t>Modification</w:t>
            </w:r>
          </w:p>
        </w:tc>
        <w:tc>
          <w:tcPr>
            <w:tcW w:w="120" w:type="dxa"/>
            <w:vAlign w:val="bottom"/>
          </w:tcPr>
          <w:p>
            <w:pPr>
              <w:spacing w:after="0"/>
              <w:rPr>
                <w:sz w:val="14"/>
                <w:szCs w:val="14"/>
                <w:color w:val="auto"/>
              </w:rPr>
            </w:pPr>
          </w:p>
        </w:tc>
        <w:tc>
          <w:tcPr>
            <w:tcW w:w="1020" w:type="dxa"/>
            <w:vAlign w:val="bottom"/>
            <w:gridSpan w:val="4"/>
          </w:tcPr>
          <w:p>
            <w:pPr>
              <w:jc w:val="center"/>
              <w:ind w:right="129"/>
              <w:spacing w:after="0"/>
              <w:rPr>
                <w:sz w:val="20"/>
                <w:szCs w:val="20"/>
                <w:color w:val="auto"/>
              </w:rPr>
            </w:pPr>
            <w:r>
              <w:rPr>
                <w:rFonts w:ascii="Arial" w:cs="Arial" w:eastAsia="Arial" w:hAnsi="Arial"/>
                <w:sz w:val="14"/>
                <w:szCs w:val="14"/>
                <w:color w:val="auto"/>
                <w:w w:val="99"/>
              </w:rPr>
              <w:t>Modification</w:t>
            </w:r>
          </w:p>
        </w:tc>
        <w:tc>
          <w:tcPr>
            <w:tcW w:w="1020" w:type="dxa"/>
            <w:vAlign w:val="bottom"/>
            <w:gridSpan w:val="4"/>
          </w:tcPr>
          <w:p>
            <w:pPr>
              <w:jc w:val="center"/>
              <w:spacing w:after="0"/>
              <w:rPr>
                <w:sz w:val="20"/>
                <w:szCs w:val="20"/>
                <w:color w:val="auto"/>
              </w:rPr>
            </w:pPr>
            <w:r>
              <w:rPr>
                <w:rFonts w:ascii="Arial" w:cs="Arial" w:eastAsia="Arial" w:hAnsi="Arial"/>
                <w:sz w:val="14"/>
                <w:szCs w:val="14"/>
                <w:color w:val="auto"/>
                <w:w w:val="88"/>
              </w:rPr>
              <w:t>Exchange (a)</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2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10/27/2013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3/19/2014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ind w:left="100"/>
              <w:spacing w:after="0"/>
              <w:rPr>
                <w:sz w:val="20"/>
                <w:szCs w:val="20"/>
                <w:color w:val="auto"/>
              </w:rPr>
            </w:pPr>
            <w:r>
              <w:rPr>
                <w:rFonts w:ascii="Arial" w:cs="Arial" w:eastAsia="Arial" w:hAnsi="Arial"/>
                <w:sz w:val="14"/>
                <w:szCs w:val="14"/>
                <w:color w:val="auto"/>
              </w:rPr>
              <w:t>12/20/2013</w:t>
            </w:r>
          </w:p>
        </w:tc>
        <w:tc>
          <w:tcPr>
            <w:tcW w:w="1140" w:type="dxa"/>
            <w:vAlign w:val="bottom"/>
            <w:gridSpan w:val="5"/>
          </w:tcPr>
          <w:p>
            <w:pPr>
              <w:jc w:val="center"/>
              <w:spacing w:after="0"/>
              <w:rPr>
                <w:sz w:val="20"/>
                <w:szCs w:val="20"/>
                <w:color w:val="auto"/>
              </w:rPr>
            </w:pPr>
            <w:r>
              <w:rPr>
                <w:rFonts w:ascii="Arial" w:cs="Arial" w:eastAsia="Arial" w:hAnsi="Arial"/>
                <w:sz w:val="14"/>
                <w:szCs w:val="14"/>
                <w:color w:val="auto"/>
                <w:w w:val="91"/>
              </w:rPr>
              <w:t>12/20/2013</w:t>
            </w:r>
          </w:p>
        </w:tc>
        <w:tc>
          <w:tcPr>
            <w:tcW w:w="900" w:type="dxa"/>
            <w:vAlign w:val="bottom"/>
            <w:gridSpan w:val="3"/>
          </w:tcPr>
          <w:p>
            <w:pPr>
              <w:jc w:val="center"/>
              <w:ind w:left="89"/>
              <w:spacing w:after="0"/>
              <w:rPr>
                <w:sz w:val="20"/>
                <w:szCs w:val="20"/>
                <w:color w:val="auto"/>
              </w:rPr>
            </w:pPr>
            <w:r>
              <w:rPr>
                <w:rFonts w:ascii="Arial" w:cs="Arial" w:eastAsia="Arial" w:hAnsi="Arial"/>
                <w:sz w:val="14"/>
                <w:szCs w:val="14"/>
                <w:color w:val="auto"/>
                <w:w w:val="93"/>
              </w:rPr>
              <w:t>3/19/2014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5"/>
          </w:tcPr>
          <w:p>
            <w:pPr>
              <w:jc w:val="right"/>
              <w:ind w:right="420"/>
              <w:spacing w:after="0"/>
              <w:rPr>
                <w:sz w:val="20"/>
                <w:szCs w:val="20"/>
                <w:color w:val="auto"/>
              </w:rPr>
            </w:pPr>
            <w:r>
              <w:rPr>
                <w:rFonts w:ascii="Arial" w:cs="Arial" w:eastAsia="Arial" w:hAnsi="Arial"/>
                <w:sz w:val="14"/>
                <w:szCs w:val="14"/>
                <w:color w:val="auto"/>
              </w:rPr>
              <w:t>Total</w:t>
            </w:r>
          </w:p>
        </w:tc>
      </w:tr>
      <w:tr>
        <w:trPr>
          <w:trHeight w:val="170"/>
        </w:trPr>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10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Singh</w:t>
            </w: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134,436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97"/>
              </w:rPr>
              <w:t>25,366</w:t>
            </w: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86"/>
              </w:rPr>
              <w:t>159,802</w:t>
            </w:r>
          </w:p>
        </w:tc>
      </w:tr>
      <w:tr>
        <w:trPr>
          <w:trHeight w:val="170"/>
        </w:trPr>
        <w:tc>
          <w:tcPr>
            <w:tcW w:w="2100" w:type="dxa"/>
            <w:vAlign w:val="bottom"/>
          </w:tcPr>
          <w:p>
            <w:pPr>
              <w:ind w:left="1280"/>
              <w:spacing w:after="0"/>
              <w:rPr>
                <w:sz w:val="20"/>
                <w:szCs w:val="20"/>
                <w:color w:val="auto"/>
              </w:rPr>
            </w:pPr>
            <w:r>
              <w:rPr>
                <w:rFonts w:ascii="Arial" w:cs="Arial" w:eastAsia="Arial" w:hAnsi="Arial"/>
                <w:sz w:val="14"/>
                <w:szCs w:val="14"/>
                <w:color w:val="auto"/>
              </w:rPr>
              <w:t>Snodgrass</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14,560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29"/>
              <w:spacing w:after="0"/>
              <w:rPr>
                <w:sz w:val="20"/>
                <w:szCs w:val="20"/>
                <w:color w:val="auto"/>
              </w:rPr>
            </w:pPr>
            <w:r>
              <w:rPr>
                <w:rFonts w:ascii="Arial" w:cs="Arial" w:eastAsia="Arial" w:hAnsi="Arial"/>
                <w:sz w:val="14"/>
                <w:szCs w:val="14"/>
                <w:color w:val="auto"/>
              </w:rPr>
              <w:t>56,835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w w:val="97"/>
              </w:rPr>
              <w:t>30,958</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4"/>
                <w:szCs w:val="14"/>
                <w:color w:val="auto"/>
                <w:w w:val="86"/>
              </w:rPr>
              <w:t>102,353</w:t>
            </w:r>
          </w:p>
        </w:tc>
      </w:tr>
      <w:tr>
        <w:trPr>
          <w:trHeight w:val="170"/>
        </w:trPr>
        <w:tc>
          <w:tcPr>
            <w:tcW w:w="210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Dotson</w:t>
            </w: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6,380</w:t>
            </w: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29,120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1,346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36,846</w:t>
            </w:r>
          </w:p>
        </w:tc>
      </w:tr>
      <w:tr>
        <w:trPr>
          <w:trHeight w:val="21"/>
        </w:trPr>
        <w:tc>
          <w:tcPr>
            <w:tcW w:w="2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6,380</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43,680</w:t>
            </w:r>
          </w:p>
        </w:tc>
        <w:tc>
          <w:tcPr>
            <w:tcW w:w="12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9"/>
              <w:spacing w:after="0"/>
              <w:rPr>
                <w:sz w:val="20"/>
                <w:szCs w:val="20"/>
                <w:color w:val="auto"/>
              </w:rPr>
            </w:pPr>
            <w:r>
              <w:rPr>
                <w:rFonts w:ascii="Arial" w:cs="Arial" w:eastAsia="Arial" w:hAnsi="Arial"/>
                <w:sz w:val="14"/>
                <w:szCs w:val="14"/>
                <w:color w:val="auto"/>
              </w:rPr>
              <w:t>192,617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w w:val="97"/>
              </w:rPr>
              <w:t>25,366</w:t>
            </w:r>
          </w:p>
        </w:tc>
        <w:tc>
          <w:tcPr>
            <w:tcW w:w="540" w:type="dxa"/>
            <w:vAlign w:val="bottom"/>
          </w:tcPr>
          <w:p>
            <w:pPr>
              <w:jc w:val="right"/>
              <w:ind w:right="389"/>
              <w:spacing w:after="0"/>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w w:val="97"/>
              </w:rPr>
              <w:t>30,958</w:t>
            </w:r>
          </w:p>
        </w:tc>
        <w:tc>
          <w:tcPr>
            <w:tcW w:w="54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4"/>
                <w:szCs w:val="14"/>
                <w:color w:val="auto"/>
                <w:w w:val="86"/>
              </w:rPr>
              <w:t>299,001</w:t>
            </w:r>
          </w:p>
        </w:tc>
      </w:tr>
      <w:tr>
        <w:trPr>
          <w:trHeight w:val="20"/>
        </w:trPr>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8"/>
        </w:trPr>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4"/>
                <w:szCs w:val="14"/>
                <w:color w:val="auto"/>
              </w:rPr>
              <w:t>Before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4"/>
                <w:szCs w:val="14"/>
                <w:color w:val="auto"/>
              </w:rPr>
              <w:t>After</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Before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color w:val="auto"/>
              </w:rPr>
              <w:t>After</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4"/>
                <w:szCs w:val="14"/>
                <w:color w:val="auto"/>
                <w:w w:val="92"/>
              </w:rPr>
              <w:t>Before</w:t>
            </w:r>
          </w:p>
        </w:tc>
        <w:tc>
          <w:tcPr>
            <w:tcW w:w="12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After</w:t>
            </w:r>
          </w:p>
        </w:tc>
      </w:tr>
      <w:tr>
        <w:trPr>
          <w:trHeight w:val="160"/>
        </w:trPr>
        <w:tc>
          <w:tcPr>
            <w:tcW w:w="2100" w:type="dxa"/>
            <w:vAlign w:val="bottom"/>
            <w:shd w:val="clear" w:color="auto" w:fill="CCEEFF"/>
          </w:tcPr>
          <w:p>
            <w:pPr>
              <w:ind w:left="1100"/>
              <w:spacing w:after="0" w:line="160" w:lineRule="exact"/>
              <w:rPr>
                <w:sz w:val="20"/>
                <w:szCs w:val="20"/>
                <w:color w:val="auto"/>
              </w:rPr>
            </w:pPr>
            <w:r>
              <w:rPr>
                <w:rFonts w:ascii="Arial" w:cs="Arial" w:eastAsia="Arial" w:hAnsi="Arial"/>
                <w:sz w:val="14"/>
                <w:szCs w:val="14"/>
                <w:color w:val="auto"/>
                <w:w w:val="96"/>
              </w:rPr>
              <w:t>Market price per</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tcBorders>
              <w:top w:val="single" w:sz="8" w:color="auto"/>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tcBorders>
              <w:top w:val="single" w:sz="8" w:color="auto"/>
              <w:right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21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share</w:t>
            </w:r>
          </w:p>
        </w:tc>
        <w:tc>
          <w:tcPr>
            <w:tcW w:w="3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8.00</w:t>
            </w:r>
          </w:p>
        </w:tc>
        <w:tc>
          <w:tcPr>
            <w:tcW w:w="36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8.00</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8.00</w:t>
            </w: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w w:val="87"/>
              </w:rPr>
              <w:t>8.00</w:t>
            </w:r>
          </w:p>
        </w:tc>
        <w:tc>
          <w:tcPr>
            <w:tcW w:w="320" w:type="dxa"/>
            <w:vAlign w:val="bottom"/>
            <w:shd w:val="clear" w:color="auto" w:fill="CCEEFF"/>
          </w:tcPr>
          <w:p>
            <w:pPr>
              <w:jc w:val="center"/>
              <w:ind w:left="109"/>
              <w:spacing w:after="0"/>
              <w:rPr>
                <w:sz w:val="20"/>
                <w:szCs w:val="20"/>
                <w:color w:val="auto"/>
              </w:rPr>
            </w:pPr>
            <w:r>
              <w:rPr>
                <w:rFonts w:ascii="Arial" w:cs="Arial" w:eastAsia="Arial" w:hAnsi="Arial"/>
                <w:sz w:val="14"/>
                <w:szCs w:val="14"/>
                <w:color w:val="auto"/>
                <w:w w:val="76"/>
              </w:rPr>
              <w:t>$</w:t>
            </w:r>
          </w:p>
        </w:tc>
        <w:tc>
          <w:tcPr>
            <w:tcW w:w="540" w:type="dxa"/>
            <w:vAlign w:val="bottom"/>
            <w:tcBorders>
              <w:right w:val="single" w:sz="8" w:color="CCEEFF"/>
            </w:tcBorders>
            <w:shd w:val="clear" w:color="auto" w:fill="CCEEFF"/>
          </w:tcPr>
          <w:p>
            <w:pPr>
              <w:spacing w:after="0"/>
              <w:rPr>
                <w:sz w:val="15"/>
                <w:szCs w:val="15"/>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8.00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9.20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15"/>
                <w:szCs w:val="15"/>
                <w:color w:val="auto"/>
              </w:rPr>
            </w:pPr>
          </w:p>
        </w:tc>
      </w:tr>
      <w:tr>
        <w:trPr>
          <w:trHeight w:val="160"/>
        </w:trPr>
        <w:tc>
          <w:tcPr>
            <w:tcW w:w="2100" w:type="dxa"/>
            <w:vAlign w:val="bottom"/>
          </w:tcPr>
          <w:p>
            <w:pPr>
              <w:ind w:left="1100"/>
              <w:spacing w:after="0" w:line="160" w:lineRule="exact"/>
              <w:rPr>
                <w:sz w:val="20"/>
                <w:szCs w:val="20"/>
                <w:color w:val="auto"/>
              </w:rPr>
            </w:pPr>
            <w:r>
              <w:rPr>
                <w:rFonts w:ascii="Arial" w:cs="Arial" w:eastAsia="Arial" w:hAnsi="Arial"/>
                <w:sz w:val="14"/>
                <w:szCs w:val="14"/>
                <w:color w:val="auto"/>
              </w:rPr>
              <w:t>Exercise price</w:t>
            </w: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2100" w:type="dxa"/>
            <w:vAlign w:val="bottom"/>
          </w:tcPr>
          <w:p>
            <w:pPr>
              <w:ind w:left="1100"/>
              <w:spacing w:after="0"/>
              <w:rPr>
                <w:sz w:val="20"/>
                <w:szCs w:val="20"/>
                <w:color w:val="auto"/>
              </w:rPr>
            </w:pPr>
            <w:r>
              <w:rPr>
                <w:rFonts w:ascii="Arial" w:cs="Arial" w:eastAsia="Arial" w:hAnsi="Arial"/>
                <w:sz w:val="14"/>
                <w:szCs w:val="14"/>
                <w:color w:val="auto"/>
              </w:rPr>
              <w:t>per share</w:t>
            </w:r>
          </w:p>
        </w:tc>
        <w:tc>
          <w:tcPr>
            <w:tcW w:w="3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8.00</w:t>
            </w:r>
          </w:p>
        </w:tc>
        <w:tc>
          <w:tcPr>
            <w:tcW w:w="3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10.00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4"/>
                <w:szCs w:val="14"/>
                <w:color w:val="auto"/>
              </w:rPr>
              <w:t>15.00 to $42.00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0.50</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5"/>
                <w:szCs w:val="15"/>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4"/>
                <w:szCs w:val="14"/>
                <w:color w:val="auto"/>
              </w:rPr>
              <w:t>30.00 to $35.00</w:t>
            </w:r>
          </w:p>
        </w:tc>
        <w:tc>
          <w:tcPr>
            <w:tcW w:w="320" w:type="dxa"/>
            <w:vAlign w:val="bottom"/>
          </w:tcPr>
          <w:p>
            <w:pPr>
              <w:jc w:val="center"/>
              <w:ind w:left="109"/>
              <w:spacing w:after="0"/>
              <w:rPr>
                <w:sz w:val="20"/>
                <w:szCs w:val="20"/>
                <w:color w:val="auto"/>
              </w:rPr>
            </w:pPr>
            <w:r>
              <w:rPr>
                <w:rFonts w:ascii="Arial" w:cs="Arial" w:eastAsia="Arial" w:hAnsi="Arial"/>
                <w:sz w:val="14"/>
                <w:szCs w:val="14"/>
                <w:color w:val="auto"/>
                <w:w w:val="76"/>
              </w:rPr>
              <w:t>$</w:t>
            </w:r>
          </w:p>
        </w:tc>
        <w:tc>
          <w:tcPr>
            <w:tcW w:w="54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0.50</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color w:val="auto"/>
              </w:rPr>
              <w:t>10.00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85"/>
              </w:rPr>
              <w:t>10.00</w:t>
            </w:r>
          </w:p>
        </w:tc>
        <w:tc>
          <w:tcPr>
            <w:tcW w:w="100" w:type="dxa"/>
            <w:vAlign w:val="bottom"/>
          </w:tcPr>
          <w:p>
            <w:pPr>
              <w:spacing w:after="0"/>
              <w:rPr>
                <w:sz w:val="15"/>
                <w:szCs w:val="15"/>
                <w:color w:val="auto"/>
              </w:rPr>
            </w:pPr>
          </w:p>
        </w:tc>
      </w:tr>
      <w:tr>
        <w:trPr>
          <w:trHeight w:val="160"/>
        </w:trPr>
        <w:tc>
          <w:tcPr>
            <w:tcW w:w="2100" w:type="dxa"/>
            <w:vAlign w:val="bottom"/>
            <w:shd w:val="clear" w:color="auto" w:fill="CCEEFF"/>
          </w:tcPr>
          <w:p>
            <w:pPr>
              <w:ind w:left="1100"/>
              <w:spacing w:after="0" w:line="160" w:lineRule="exact"/>
              <w:rPr>
                <w:sz w:val="20"/>
                <w:szCs w:val="20"/>
                <w:color w:val="auto"/>
              </w:rPr>
            </w:pPr>
            <w:r>
              <w:rPr>
                <w:rFonts w:ascii="Arial" w:cs="Arial" w:eastAsia="Arial" w:hAnsi="Arial"/>
                <w:sz w:val="14"/>
                <w:szCs w:val="14"/>
                <w:color w:val="auto"/>
              </w:rPr>
              <w:t>Risk-free</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21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interest rate</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160" w:type="dxa"/>
            <w:vAlign w:val="bottom"/>
            <w:shd w:val="clear" w:color="auto" w:fill="CCEEFF"/>
          </w:tcPr>
          <w:p>
            <w:pPr>
              <w:spacing w:after="0"/>
              <w:rPr>
                <w:sz w:val="15"/>
                <w:szCs w:val="15"/>
                <w:color w:val="auto"/>
              </w:rPr>
            </w:pPr>
          </w:p>
        </w:tc>
        <w:tc>
          <w:tcPr>
            <w:tcW w:w="1200" w:type="dxa"/>
            <w:vAlign w:val="bottom"/>
            <w:gridSpan w:val="4"/>
            <w:shd w:val="clear" w:color="auto" w:fill="CCEEFF"/>
          </w:tcPr>
          <w:p>
            <w:pPr>
              <w:jc w:val="right"/>
              <w:ind w:right="120"/>
              <w:spacing w:after="0"/>
              <w:rPr>
                <w:sz w:val="20"/>
                <w:szCs w:val="20"/>
                <w:color w:val="auto"/>
              </w:rPr>
            </w:pPr>
            <w:r>
              <w:rPr>
                <w:rFonts w:ascii="Arial" w:cs="Arial" w:eastAsia="Arial" w:hAnsi="Arial"/>
                <w:sz w:val="14"/>
                <w:szCs w:val="14"/>
                <w:color w:val="auto"/>
              </w:rPr>
              <w:t>0.7% to 2.68%</w:t>
            </w: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3"/>
              </w:rPr>
              <w:t>0.12% to 2.68%</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0.07% to 1.18%</w:t>
            </w:r>
          </w:p>
        </w:tc>
        <w:tc>
          <w:tcPr>
            <w:tcW w:w="32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0.75% to 1.18%</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0.106%</w:t>
            </w:r>
          </w:p>
        </w:tc>
        <w:tc>
          <w:tcPr>
            <w:tcW w:w="1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8"/>
              </w:rPr>
              <w:t>1.750%</w:t>
            </w:r>
          </w:p>
        </w:tc>
      </w:tr>
      <w:tr>
        <w:trPr>
          <w:trHeight w:val="170"/>
        </w:trPr>
        <w:tc>
          <w:tcPr>
            <w:tcW w:w="2100" w:type="dxa"/>
            <w:vAlign w:val="bottom"/>
          </w:tcPr>
          <w:p>
            <w:pPr>
              <w:ind w:left="1100"/>
              <w:spacing w:after="0"/>
              <w:rPr>
                <w:sz w:val="20"/>
                <w:szCs w:val="20"/>
                <w:color w:val="auto"/>
              </w:rPr>
            </w:pPr>
            <w:r>
              <w:rPr>
                <w:rFonts w:ascii="Arial" w:cs="Arial" w:eastAsia="Arial" w:hAnsi="Arial"/>
                <w:sz w:val="14"/>
                <w:szCs w:val="14"/>
                <w:color w:val="auto"/>
              </w:rPr>
              <w:t>Volatility</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99.53%</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80.57%</w:t>
            </w:r>
          </w:p>
        </w:tc>
        <w:tc>
          <w:tcPr>
            <w:tcW w:w="160" w:type="dxa"/>
            <w:vAlign w:val="bottom"/>
          </w:tcPr>
          <w:p>
            <w:pPr>
              <w:spacing w:after="0"/>
              <w:rPr>
                <w:sz w:val="14"/>
                <w:szCs w:val="14"/>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4"/>
                <w:szCs w:val="14"/>
                <w:color w:val="auto"/>
              </w:rPr>
              <w:t>68.8% to 97.6%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w w:val="93"/>
              </w:rPr>
              <w:t>68.8% to 97.6%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4"/>
                <w:szCs w:val="14"/>
                <w:color w:val="auto"/>
                <w:w w:val="92"/>
              </w:rPr>
              <w:t>68.76% to 78.21%</w:t>
            </w:r>
          </w:p>
        </w:tc>
        <w:tc>
          <w:tcPr>
            <w:tcW w:w="320" w:type="dxa"/>
            <w:vAlign w:val="bottom"/>
          </w:tcPr>
          <w:p>
            <w:pPr>
              <w:spacing w:after="0"/>
              <w:rPr>
                <w:sz w:val="14"/>
                <w:szCs w:val="14"/>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color w:val="auto"/>
                <w:w w:val="92"/>
              </w:rPr>
              <w:t>76.51% to 78.21%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68.96%</w:t>
            </w:r>
          </w:p>
        </w:tc>
        <w:tc>
          <w:tcPr>
            <w:tcW w:w="1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w w:val="88"/>
              </w:rPr>
              <w:t>80.57%</w:t>
            </w:r>
          </w:p>
        </w:tc>
      </w:tr>
      <w:tr>
        <w:trPr>
          <w:trHeight w:val="160"/>
        </w:trPr>
        <w:tc>
          <w:tcPr>
            <w:tcW w:w="2100" w:type="dxa"/>
            <w:vAlign w:val="bottom"/>
            <w:shd w:val="clear" w:color="auto" w:fill="CCEEFF"/>
          </w:tcPr>
          <w:p>
            <w:pPr>
              <w:ind w:left="1100"/>
              <w:spacing w:after="0" w:line="160" w:lineRule="exact"/>
              <w:rPr>
                <w:sz w:val="20"/>
                <w:szCs w:val="20"/>
                <w:color w:val="auto"/>
              </w:rPr>
            </w:pPr>
            <w:r>
              <w:rPr>
                <w:rFonts w:ascii="Arial" w:cs="Arial" w:eastAsia="Arial" w:hAnsi="Arial"/>
                <w:sz w:val="14"/>
                <w:szCs w:val="14"/>
                <w:color w:val="auto"/>
              </w:rPr>
              <w:t>Expected term</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21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(years)</w:t>
            </w: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6.25</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1"/>
              </w:rPr>
              <w:t>0.25 to 8.86</w:t>
            </w: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0.87 to 8.86</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0.03 to 3.96</w:t>
            </w:r>
          </w:p>
        </w:tc>
        <w:tc>
          <w:tcPr>
            <w:tcW w:w="32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3.03 to 3.96</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0.63</w:t>
            </w:r>
          </w:p>
        </w:tc>
        <w:tc>
          <w:tcPr>
            <w:tcW w:w="12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5"/>
                <w:szCs w:val="15"/>
                <w:color w:val="auto"/>
              </w:rPr>
            </w:pPr>
          </w:p>
        </w:tc>
      </w:tr>
      <w:tr>
        <w:trPr>
          <w:trHeight w:val="170"/>
        </w:trPr>
        <w:tc>
          <w:tcPr>
            <w:tcW w:w="2100" w:type="dxa"/>
            <w:vAlign w:val="bottom"/>
          </w:tcPr>
          <w:p>
            <w:pPr>
              <w:ind w:left="1100"/>
              <w:spacing w:after="0"/>
              <w:rPr>
                <w:sz w:val="20"/>
                <w:szCs w:val="20"/>
                <w:color w:val="auto"/>
              </w:rPr>
            </w:pPr>
            <w:r>
              <w:rPr>
                <w:rFonts w:ascii="Arial" w:cs="Arial" w:eastAsia="Arial" w:hAnsi="Arial"/>
                <w:sz w:val="14"/>
                <w:szCs w:val="14"/>
                <w:color w:val="auto"/>
              </w:rPr>
              <w:t>Dividend rate</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4"/>
          </w:tcPr>
          <w:p>
            <w:pPr>
              <w:jc w:val="right"/>
              <w:ind w:right="149"/>
              <w:spacing w:after="0"/>
              <w:rPr>
                <w:sz w:val="20"/>
                <w:szCs w:val="20"/>
                <w:color w:val="auto"/>
              </w:rPr>
            </w:pPr>
            <w:r>
              <w:rPr>
                <w:rFonts w:ascii="Arial" w:cs="Arial" w:eastAsia="Arial" w:hAnsi="Arial"/>
                <w:sz w:val="14"/>
                <w:szCs w:val="14"/>
                <w:color w:val="auto"/>
              </w:rPr>
              <w:t>0%</w:t>
            </w:r>
          </w:p>
        </w:tc>
        <w:tc>
          <w:tcPr>
            <w:tcW w:w="540" w:type="dxa"/>
            <w:vAlign w:val="bottom"/>
          </w:tcPr>
          <w:p>
            <w:pPr>
              <w:spacing w:after="0"/>
              <w:rPr>
                <w:sz w:val="14"/>
                <w:szCs w:val="14"/>
                <w:color w:val="auto"/>
              </w:rPr>
            </w:pPr>
          </w:p>
        </w:tc>
        <w:tc>
          <w:tcPr>
            <w:tcW w:w="900" w:type="dxa"/>
            <w:vAlign w:val="bottom"/>
            <w:gridSpan w:val="3"/>
          </w:tcPr>
          <w:p>
            <w:pPr>
              <w:jc w:val="right"/>
              <w:ind w:right="169"/>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0%</w:t>
            </w:r>
          </w:p>
        </w:tc>
      </w:tr>
      <w:tr>
        <w:trPr>
          <w:trHeight w:val="160"/>
        </w:trPr>
        <w:tc>
          <w:tcPr>
            <w:tcW w:w="2100" w:type="dxa"/>
            <w:vAlign w:val="bottom"/>
            <w:shd w:val="clear" w:color="auto" w:fill="CCEEFF"/>
          </w:tcPr>
          <w:p>
            <w:pPr>
              <w:ind w:left="1100"/>
              <w:spacing w:after="0" w:line="160" w:lineRule="exact"/>
              <w:rPr>
                <w:sz w:val="20"/>
                <w:szCs w:val="20"/>
                <w:color w:val="auto"/>
              </w:rPr>
            </w:pPr>
            <w:r>
              <w:rPr>
                <w:rFonts w:ascii="Arial" w:cs="Arial" w:eastAsia="Arial" w:hAnsi="Arial"/>
                <w:sz w:val="14"/>
                <w:szCs w:val="14"/>
                <w:color w:val="auto"/>
              </w:rPr>
              <w:t>Fair value per</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21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share</w:t>
            </w:r>
          </w:p>
        </w:tc>
        <w:tc>
          <w:tcPr>
            <w:tcW w:w="3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6.38</w:t>
            </w:r>
          </w:p>
        </w:tc>
        <w:tc>
          <w:tcPr>
            <w:tcW w:w="36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5.82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5"/>
              </w:rPr>
              <w:t>0.00 to $6.49</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1.40 to $6.76</w:t>
            </w: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5"/>
                <w:szCs w:val="15"/>
                <w:color w:val="auto"/>
              </w:rPr>
            </w:pP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0.00 to $2.29</w:t>
            </w:r>
          </w:p>
        </w:tc>
        <w:tc>
          <w:tcPr>
            <w:tcW w:w="320" w:type="dxa"/>
            <w:vAlign w:val="bottom"/>
            <w:shd w:val="clear" w:color="auto" w:fill="CCEEFF"/>
          </w:tcPr>
          <w:p>
            <w:pPr>
              <w:jc w:val="center"/>
              <w:ind w:left="109"/>
              <w:spacing w:after="0"/>
              <w:rPr>
                <w:sz w:val="20"/>
                <w:szCs w:val="20"/>
                <w:color w:val="auto"/>
              </w:rPr>
            </w:pPr>
            <w:r>
              <w:rPr>
                <w:rFonts w:ascii="Arial" w:cs="Arial" w:eastAsia="Arial" w:hAnsi="Arial"/>
                <w:sz w:val="14"/>
                <w:szCs w:val="14"/>
                <w:color w:val="auto"/>
                <w:w w:val="76"/>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3.55 to $4.20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5"/>
                <w:szCs w:val="15"/>
                <w:color w:val="auto"/>
              </w:rPr>
            </w:pPr>
          </w:p>
        </w:tc>
      </w:tr>
      <w:tr>
        <w:trPr>
          <w:trHeight w:val="160"/>
        </w:trPr>
        <w:tc>
          <w:tcPr>
            <w:tcW w:w="2100" w:type="dxa"/>
            <w:vAlign w:val="bottom"/>
          </w:tcPr>
          <w:p>
            <w:pPr>
              <w:ind w:left="1100"/>
              <w:spacing w:after="0" w:line="160" w:lineRule="exact"/>
              <w:rPr>
                <w:sz w:val="20"/>
                <w:szCs w:val="20"/>
                <w:color w:val="auto"/>
              </w:rPr>
            </w:pPr>
            <w:r>
              <w:rPr>
                <w:rFonts w:ascii="Arial" w:cs="Arial" w:eastAsia="Arial" w:hAnsi="Arial"/>
                <w:sz w:val="14"/>
                <w:szCs w:val="14"/>
                <w:color w:val="auto"/>
              </w:rPr>
              <w:t>Aggregate</w:t>
            </w: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2100" w:type="dxa"/>
            <w:vAlign w:val="bottom"/>
          </w:tcPr>
          <w:p>
            <w:pPr>
              <w:ind w:left="110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5"/>
                <w:szCs w:val="15"/>
                <w:color w:val="auto"/>
              </w:rPr>
            </w:pPr>
          </w:p>
        </w:tc>
        <w:tc>
          <w:tcPr>
            <w:tcW w:w="740" w:type="dxa"/>
            <w:vAlign w:val="bottom"/>
          </w:tcPr>
          <w:p>
            <w:pPr>
              <w:jc w:val="right"/>
              <w:ind w:right="109"/>
              <w:spacing w:after="0"/>
              <w:rPr>
                <w:sz w:val="20"/>
                <w:szCs w:val="20"/>
                <w:color w:val="auto"/>
              </w:rPr>
            </w:pPr>
            <w:r>
              <w:rPr>
                <w:rFonts w:ascii="Arial" w:cs="Arial" w:eastAsia="Arial" w:hAnsi="Arial"/>
                <w:sz w:val="14"/>
                <w:szCs w:val="14"/>
                <w:color w:val="auto"/>
              </w:rPr>
              <w:t>1,000</w:t>
            </w:r>
          </w:p>
        </w:tc>
        <w:tc>
          <w:tcPr>
            <w:tcW w:w="360" w:type="dxa"/>
            <w:vAlign w:val="bottom"/>
          </w:tcPr>
          <w:p>
            <w:pPr>
              <w:spacing w:after="0"/>
              <w:rPr>
                <w:sz w:val="15"/>
                <w:szCs w:val="15"/>
                <w:color w:val="auto"/>
              </w:rPr>
            </w:pPr>
          </w:p>
        </w:tc>
        <w:tc>
          <w:tcPr>
            <w:tcW w:w="720" w:type="dxa"/>
            <w:vAlign w:val="bottom"/>
          </w:tcPr>
          <w:p>
            <w:pPr>
              <w:jc w:val="right"/>
              <w:ind w:right="109"/>
              <w:spacing w:after="0"/>
              <w:rPr>
                <w:sz w:val="20"/>
                <w:szCs w:val="20"/>
                <w:color w:val="auto"/>
              </w:rPr>
            </w:pPr>
            <w:r>
              <w:rPr>
                <w:rFonts w:ascii="Arial" w:cs="Arial" w:eastAsia="Arial" w:hAnsi="Arial"/>
                <w:sz w:val="14"/>
                <w:szCs w:val="14"/>
                <w:color w:val="auto"/>
              </w:rPr>
              <w:t>7,500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116,125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116,125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w w:val="73"/>
              </w:rPr>
              <w:t>8,303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8,303</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color w:val="auto"/>
              </w:rPr>
              <w:t>7,500</w:t>
            </w: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5"/>
              </w:rPr>
              <w:t>7,500</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-2352040</wp:posOffset>
            </wp:positionV>
            <wp:extent cx="804545" cy="4730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04545" cy="4730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-1513840</wp:posOffset>
            </wp:positionV>
            <wp:extent cx="689610" cy="15144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9610" cy="1514475"/>
                    </a:xfrm>
                    <a:prstGeom prst="rect">
                      <a:avLst/>
                    </a:prstGeom>
                    <a:noFill/>
                  </pic:spPr>
                </pic:pic>
              </a:graphicData>
            </a:graphic>
          </wp:anchor>
        </w:drawing>
      </w:r>
    </w:p>
    <w:p>
      <w:pPr>
        <w:spacing w:after="0" w:line="140" w:lineRule="exact"/>
        <w:rPr>
          <w:sz w:val="20"/>
          <w:szCs w:val="20"/>
          <w:color w:val="auto"/>
        </w:rPr>
      </w:pPr>
    </w:p>
    <w:p>
      <w:pPr>
        <w:ind w:left="380" w:right="160" w:hanging="375"/>
        <w:spacing w:after="0" w:line="261" w:lineRule="auto"/>
        <w:tabs>
          <w:tab w:leader="none" w:pos="3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On March 19, 2014, the Board and Dr. Snodgrass agreed to cancel a fully-vested option to purchase 7,500 shares of our restricted common stock at a price of $10.00 per share and expiring on November 4, 2014 in exchange for the grant of a five-year warrant to purchase 7,500 shares of our restricted common stock at a price of $10.00 per share. Shares subject to the cancelled option grant were returned to the 2008 Stock Incentive Plan for potential future grants. The cancellation of the option and grant of the warrant was accounted for as a modification of an award under ASC 718 and, accordingly, the difference in the fair value of the two instruments at the modification date was recorded in stock compensation expense and is the amount reported in the table above.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None of the NEOs is entitled to perquisites or other personal benefits that, in the aggregate, are worth over $50,000 or over 10% of their base salary.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4" w:name="page115"/>
    <w:bookmarkEnd w:id="11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Benefit Plans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401(k) Plan</w:t>
      </w:r>
    </w:p>
    <w:p>
      <w:pPr>
        <w:spacing w:after="0" w:line="180"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Options and Warrants Granted to NEOs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information regarding each unexercised stock option and warrant to purchase restricted shares of our common stock held by each of the named executive officers as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March 31, 2015: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Stock Options</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Pr>
          <w:p>
            <w:pPr>
              <w:spacing w:after="0"/>
              <w:rPr>
                <w:sz w:val="16"/>
                <w:szCs w:val="16"/>
                <w:color w:val="auto"/>
              </w:rPr>
            </w:pPr>
          </w:p>
        </w:tc>
      </w:tr>
      <w:tr>
        <w:trPr>
          <w:trHeight w:val="156"/>
        </w:trPr>
        <w:tc>
          <w:tcPr>
            <w:tcW w:w="35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4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94"/>
              </w:rPr>
              <w:t>Number of</w:t>
            </w:r>
          </w:p>
        </w:tc>
        <w:tc>
          <w:tcPr>
            <w:tcW w:w="13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4"/>
              </w:rPr>
              <w:t>Number of</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0"/>
        </w:trPr>
        <w:tc>
          <w:tcPr>
            <w:tcW w:w="3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Underlying</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Underlying</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1020" w:type="dxa"/>
            <w:vAlign w:val="bottom"/>
          </w:tcPr>
          <w:p>
            <w:pPr>
              <w:spacing w:after="0"/>
              <w:rPr>
                <w:sz w:val="14"/>
                <w:szCs w:val="14"/>
                <w:color w:val="auto"/>
              </w:rPr>
            </w:pPr>
          </w:p>
        </w:tc>
      </w:tr>
      <w:tr>
        <w:trPr>
          <w:trHeight w:val="170"/>
        </w:trPr>
        <w:tc>
          <w:tcPr>
            <w:tcW w:w="3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Unexercised</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Unexercised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r>
      <w:tr>
        <w:trPr>
          <w:trHeight w:val="170"/>
        </w:trPr>
        <w:tc>
          <w:tcPr>
            <w:tcW w:w="3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r>
      <w:tr>
        <w:trPr>
          <w:trHeight w:val="186"/>
        </w:trPr>
        <w:tc>
          <w:tcPr>
            <w:tcW w:w="35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86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Exercisable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 Unexercisable</w:t>
            </w:r>
          </w:p>
        </w:tc>
        <w:tc>
          <w:tcPr>
            <w:tcW w:w="114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170"/>
        </w:trPr>
        <w:tc>
          <w:tcPr>
            <w:tcW w:w="3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170"/>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Shawn K. Singh</w:t>
            </w:r>
          </w:p>
        </w:tc>
        <w:tc>
          <w:tcPr>
            <w:tcW w:w="4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12/21/2016</w:t>
            </w:r>
          </w:p>
        </w:tc>
      </w:tr>
      <w:tr>
        <w:trPr>
          <w:trHeight w:val="170"/>
        </w:trPr>
        <w:tc>
          <w:tcPr>
            <w:tcW w:w="3560" w:type="dxa"/>
            <w:vAlign w:val="bottom"/>
          </w:tcPr>
          <w:p>
            <w:pPr>
              <w:spacing w:after="0"/>
              <w:rPr>
                <w:sz w:val="14"/>
                <w:szCs w:val="14"/>
                <w:color w:val="auto"/>
              </w:rPr>
            </w:pPr>
          </w:p>
        </w:tc>
        <w:tc>
          <w:tcPr>
            <w:tcW w:w="4260" w:type="dxa"/>
            <w:vAlign w:val="bottom"/>
            <w:gridSpan w:val="3"/>
          </w:tcPr>
          <w:p>
            <w:pPr>
              <w:jc w:val="right"/>
              <w:ind w:right="240"/>
              <w:spacing w:after="0"/>
              <w:rPr>
                <w:sz w:val="20"/>
                <w:szCs w:val="20"/>
                <w:color w:val="auto"/>
              </w:rPr>
            </w:pPr>
            <w:r>
              <w:rPr>
                <w:rFonts w:ascii="Arial" w:cs="Arial" w:eastAsia="Arial" w:hAnsi="Arial"/>
                <w:sz w:val="14"/>
                <w:szCs w:val="14"/>
                <w:color w:val="auto"/>
              </w:rPr>
              <w:t>2,000</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14.40</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5/17/2017</w:t>
            </w:r>
          </w:p>
        </w:tc>
      </w:tr>
      <w:tr>
        <w:trPr>
          <w:trHeight w:val="170"/>
        </w:trPr>
        <w:tc>
          <w:tcPr>
            <w:tcW w:w="3560" w:type="dxa"/>
            <w:vAlign w:val="bottom"/>
            <w:shd w:val="clear" w:color="auto" w:fill="CCEEFF"/>
          </w:tcPr>
          <w:p>
            <w:pPr>
              <w:spacing w:after="0"/>
              <w:rPr>
                <w:sz w:val="14"/>
                <w:szCs w:val="14"/>
                <w:color w:val="auto"/>
              </w:rPr>
            </w:pPr>
          </w:p>
        </w:tc>
        <w:tc>
          <w:tcPr>
            <w:tcW w:w="4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1/17/2018</w:t>
            </w:r>
          </w:p>
        </w:tc>
      </w:tr>
      <w:tr>
        <w:trPr>
          <w:trHeight w:val="170"/>
        </w:trPr>
        <w:tc>
          <w:tcPr>
            <w:tcW w:w="3560" w:type="dxa"/>
            <w:vAlign w:val="bottom"/>
          </w:tcPr>
          <w:p>
            <w:pPr>
              <w:spacing w:after="0"/>
              <w:rPr>
                <w:sz w:val="14"/>
                <w:szCs w:val="14"/>
                <w:color w:val="auto"/>
              </w:rPr>
            </w:pPr>
          </w:p>
        </w:tc>
        <w:tc>
          <w:tcPr>
            <w:tcW w:w="4260" w:type="dxa"/>
            <w:vAlign w:val="bottom"/>
            <w:gridSpan w:val="3"/>
          </w:tcPr>
          <w:p>
            <w:pPr>
              <w:jc w:val="right"/>
              <w:ind w:right="240"/>
              <w:spacing w:after="0"/>
              <w:rPr>
                <w:sz w:val="20"/>
                <w:szCs w:val="20"/>
                <w:color w:val="auto"/>
              </w:rPr>
            </w:pPr>
            <w:r>
              <w:rPr>
                <w:rFonts w:ascii="Arial" w:cs="Arial" w:eastAsia="Arial" w:hAnsi="Arial"/>
                <w:sz w:val="14"/>
                <w:szCs w:val="14"/>
                <w:color w:val="auto"/>
              </w:rPr>
              <w:t>1,000</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1/17/2018</w:t>
            </w:r>
          </w:p>
        </w:tc>
      </w:tr>
      <w:tr>
        <w:trPr>
          <w:trHeight w:val="170"/>
        </w:trPr>
        <w:tc>
          <w:tcPr>
            <w:tcW w:w="3560" w:type="dxa"/>
            <w:vAlign w:val="bottom"/>
            <w:shd w:val="clear" w:color="auto" w:fill="CCEEFF"/>
          </w:tcPr>
          <w:p>
            <w:pPr>
              <w:spacing w:after="0"/>
              <w:rPr>
                <w:sz w:val="14"/>
                <w:szCs w:val="14"/>
                <w:color w:val="auto"/>
              </w:rPr>
            </w:pPr>
          </w:p>
        </w:tc>
        <w:tc>
          <w:tcPr>
            <w:tcW w:w="4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3,000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3/24/2019</w:t>
            </w:r>
          </w:p>
        </w:tc>
      </w:tr>
      <w:tr>
        <w:trPr>
          <w:trHeight w:val="170"/>
        </w:trPr>
        <w:tc>
          <w:tcPr>
            <w:tcW w:w="3560" w:type="dxa"/>
            <w:vAlign w:val="bottom"/>
          </w:tcPr>
          <w:p>
            <w:pPr>
              <w:spacing w:after="0"/>
              <w:rPr>
                <w:sz w:val="14"/>
                <w:szCs w:val="14"/>
                <w:color w:val="auto"/>
              </w:rPr>
            </w:pPr>
          </w:p>
        </w:tc>
        <w:tc>
          <w:tcPr>
            <w:tcW w:w="4260" w:type="dxa"/>
            <w:vAlign w:val="bottom"/>
            <w:gridSpan w:val="3"/>
          </w:tcPr>
          <w:p>
            <w:pPr>
              <w:jc w:val="right"/>
              <w:ind w:right="240"/>
              <w:spacing w:after="0"/>
              <w:rPr>
                <w:sz w:val="20"/>
                <w:szCs w:val="20"/>
                <w:color w:val="auto"/>
              </w:rPr>
            </w:pPr>
            <w:r>
              <w:rPr>
                <w:rFonts w:ascii="Arial" w:cs="Arial" w:eastAsia="Arial" w:hAnsi="Arial"/>
                <w:sz w:val="14"/>
                <w:szCs w:val="14"/>
                <w:color w:val="auto"/>
              </w:rPr>
              <w:t>1,125</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6/17/2019</w:t>
            </w:r>
          </w:p>
        </w:tc>
      </w:tr>
      <w:tr>
        <w:trPr>
          <w:trHeight w:val="170"/>
        </w:trPr>
        <w:tc>
          <w:tcPr>
            <w:tcW w:w="3560" w:type="dxa"/>
            <w:vAlign w:val="bottom"/>
            <w:shd w:val="clear" w:color="auto" w:fill="CCEEFF"/>
          </w:tcPr>
          <w:p>
            <w:pPr>
              <w:spacing w:after="0"/>
              <w:rPr>
                <w:sz w:val="14"/>
                <w:szCs w:val="14"/>
                <w:color w:val="auto"/>
              </w:rPr>
            </w:pPr>
          </w:p>
        </w:tc>
        <w:tc>
          <w:tcPr>
            <w:tcW w:w="4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50,000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11/4/2019</w:t>
            </w:r>
          </w:p>
        </w:tc>
      </w:tr>
      <w:tr>
        <w:trPr>
          <w:trHeight w:val="170"/>
        </w:trPr>
        <w:tc>
          <w:tcPr>
            <w:tcW w:w="3560" w:type="dxa"/>
            <w:vAlign w:val="bottom"/>
          </w:tcPr>
          <w:p>
            <w:pPr>
              <w:spacing w:after="0"/>
              <w:rPr>
                <w:sz w:val="14"/>
                <w:szCs w:val="14"/>
                <w:color w:val="auto"/>
              </w:rPr>
            </w:pPr>
          </w:p>
        </w:tc>
        <w:tc>
          <w:tcPr>
            <w:tcW w:w="4260" w:type="dxa"/>
            <w:vAlign w:val="bottom"/>
            <w:gridSpan w:val="3"/>
          </w:tcPr>
          <w:p>
            <w:pPr>
              <w:jc w:val="right"/>
              <w:ind w:right="240"/>
              <w:spacing w:after="0"/>
              <w:rPr>
                <w:sz w:val="20"/>
                <w:szCs w:val="20"/>
                <w:color w:val="auto"/>
              </w:rPr>
            </w:pPr>
            <w:r>
              <w:rPr>
                <w:rFonts w:ascii="Arial" w:cs="Arial" w:eastAsia="Arial" w:hAnsi="Arial"/>
                <w:sz w:val="14"/>
                <w:szCs w:val="14"/>
                <w:color w:val="auto"/>
              </w:rPr>
              <w:t>21,250</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12/30/2019</w:t>
            </w:r>
          </w:p>
        </w:tc>
      </w:tr>
      <w:tr>
        <w:trPr>
          <w:trHeight w:val="170"/>
        </w:trPr>
        <w:tc>
          <w:tcPr>
            <w:tcW w:w="3560" w:type="dxa"/>
            <w:vAlign w:val="bottom"/>
            <w:shd w:val="clear" w:color="auto" w:fill="CCEEFF"/>
          </w:tcPr>
          <w:p>
            <w:pPr>
              <w:spacing w:after="0"/>
              <w:rPr>
                <w:sz w:val="14"/>
                <w:szCs w:val="14"/>
                <w:color w:val="auto"/>
              </w:rPr>
            </w:pPr>
          </w:p>
        </w:tc>
        <w:tc>
          <w:tcPr>
            <w:tcW w:w="4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4,896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4/26/2021</w:t>
            </w:r>
          </w:p>
        </w:tc>
      </w:tr>
      <w:tr>
        <w:trPr>
          <w:trHeight w:val="170"/>
        </w:trPr>
        <w:tc>
          <w:tcPr>
            <w:tcW w:w="3560" w:type="dxa"/>
            <w:vAlign w:val="bottom"/>
          </w:tcPr>
          <w:p>
            <w:pPr>
              <w:spacing w:after="0"/>
              <w:rPr>
                <w:sz w:val="14"/>
                <w:szCs w:val="14"/>
                <w:color w:val="auto"/>
              </w:rPr>
            </w:pPr>
          </w:p>
        </w:tc>
        <w:tc>
          <w:tcPr>
            <w:tcW w:w="4260" w:type="dxa"/>
            <w:vAlign w:val="bottom"/>
            <w:gridSpan w:val="3"/>
          </w:tcPr>
          <w:p>
            <w:pPr>
              <w:jc w:val="right"/>
              <w:ind w:right="240"/>
              <w:spacing w:after="0"/>
              <w:rPr>
                <w:sz w:val="20"/>
                <w:szCs w:val="20"/>
                <w:color w:val="auto"/>
              </w:rPr>
            </w:pPr>
            <w:r>
              <w:rPr>
                <w:rFonts w:ascii="Arial" w:cs="Arial" w:eastAsia="Arial" w:hAnsi="Arial"/>
                <w:sz w:val="14"/>
                <w:szCs w:val="14"/>
                <w:color w:val="auto"/>
              </w:rPr>
              <w:t>4,017</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12/31/2016</w:t>
            </w:r>
          </w:p>
        </w:tc>
      </w:tr>
      <w:tr>
        <w:trPr>
          <w:trHeight w:val="170"/>
        </w:trPr>
        <w:tc>
          <w:tcPr>
            <w:tcW w:w="3560" w:type="dxa"/>
            <w:vAlign w:val="bottom"/>
            <w:shd w:val="clear" w:color="auto" w:fill="CCEEFF"/>
          </w:tcPr>
          <w:p>
            <w:pPr>
              <w:spacing w:after="0"/>
              <w:rPr>
                <w:sz w:val="14"/>
                <w:szCs w:val="14"/>
                <w:color w:val="auto"/>
              </w:rPr>
            </w:pPr>
          </w:p>
        </w:tc>
        <w:tc>
          <w:tcPr>
            <w:tcW w:w="4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1,786</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12/31/2016</w:t>
            </w:r>
          </w:p>
        </w:tc>
      </w:tr>
      <w:tr>
        <w:trPr>
          <w:trHeight w:val="170"/>
        </w:trPr>
        <w:tc>
          <w:tcPr>
            <w:tcW w:w="3560" w:type="dxa"/>
            <w:vAlign w:val="bottom"/>
          </w:tcPr>
          <w:p>
            <w:pPr>
              <w:spacing w:after="0"/>
              <w:rPr>
                <w:sz w:val="14"/>
                <w:szCs w:val="14"/>
                <w:color w:val="auto"/>
              </w:rPr>
            </w:pPr>
          </w:p>
        </w:tc>
        <w:tc>
          <w:tcPr>
            <w:tcW w:w="4260" w:type="dxa"/>
            <w:vAlign w:val="bottom"/>
            <w:gridSpan w:val="3"/>
          </w:tcPr>
          <w:p>
            <w:pPr>
              <w:jc w:val="right"/>
              <w:ind w:right="240"/>
              <w:spacing w:after="0"/>
              <w:rPr>
                <w:sz w:val="20"/>
                <w:szCs w:val="20"/>
                <w:color w:val="auto"/>
              </w:rPr>
            </w:pPr>
            <w:r>
              <w:rPr>
                <w:rFonts w:ascii="Arial" w:cs="Arial" w:eastAsia="Arial" w:hAnsi="Arial"/>
                <w:sz w:val="14"/>
                <w:szCs w:val="14"/>
                <w:color w:val="auto"/>
              </w:rPr>
              <w:t>2,500</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12/6/2017</w:t>
            </w:r>
          </w:p>
        </w:tc>
      </w:tr>
      <w:tr>
        <w:trPr>
          <w:trHeight w:val="170"/>
        </w:trPr>
        <w:tc>
          <w:tcPr>
            <w:tcW w:w="3560" w:type="dxa"/>
            <w:vAlign w:val="bottom"/>
            <w:shd w:val="clear" w:color="auto" w:fill="CCEEFF"/>
          </w:tcPr>
          <w:p>
            <w:pPr>
              <w:spacing w:after="0"/>
              <w:rPr>
                <w:sz w:val="14"/>
                <w:szCs w:val="14"/>
                <w:color w:val="auto"/>
              </w:rPr>
            </w:pPr>
          </w:p>
        </w:tc>
        <w:tc>
          <w:tcPr>
            <w:tcW w:w="4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5,000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7/30/2016</w:t>
            </w:r>
          </w:p>
        </w:tc>
      </w:tr>
      <w:tr>
        <w:trPr>
          <w:trHeight w:val="170"/>
        </w:trPr>
        <w:tc>
          <w:tcPr>
            <w:tcW w:w="3560" w:type="dxa"/>
            <w:vAlign w:val="bottom"/>
          </w:tcPr>
          <w:p>
            <w:pPr>
              <w:spacing w:after="0"/>
              <w:rPr>
                <w:sz w:val="14"/>
                <w:szCs w:val="14"/>
                <w:color w:val="auto"/>
              </w:rPr>
            </w:pPr>
          </w:p>
        </w:tc>
        <w:tc>
          <w:tcPr>
            <w:tcW w:w="4260" w:type="dxa"/>
            <w:vAlign w:val="bottom"/>
            <w:gridSpan w:val="3"/>
          </w:tcPr>
          <w:p>
            <w:pPr>
              <w:jc w:val="right"/>
              <w:ind w:right="240"/>
              <w:spacing w:after="0"/>
              <w:rPr>
                <w:sz w:val="20"/>
                <w:szCs w:val="20"/>
                <w:color w:val="auto"/>
              </w:rPr>
            </w:pPr>
            <w:r>
              <w:rPr>
                <w:rFonts w:ascii="Arial" w:cs="Arial" w:eastAsia="Arial" w:hAnsi="Arial"/>
                <w:sz w:val="14"/>
                <w:szCs w:val="14"/>
                <w:color w:val="auto"/>
              </w:rPr>
              <w:t>53,250</w:t>
            </w: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18,750</w:t>
            </w:r>
            <w:r>
              <w:rPr>
                <w:rFonts w:ascii="Arial" w:cs="Arial" w:eastAsia="Arial" w:hAnsi="Arial"/>
                <w:sz w:val="9"/>
                <w:szCs w:val="9"/>
                <w:color w:val="auto"/>
              </w:rPr>
              <w:t>(1)</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12.80</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3/3/2023</w:t>
            </w:r>
          </w:p>
        </w:tc>
      </w:tr>
      <w:tr>
        <w:trPr>
          <w:trHeight w:val="170"/>
        </w:trPr>
        <w:tc>
          <w:tcPr>
            <w:tcW w:w="356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r>
              <w:rPr>
                <w:rFonts w:ascii="Arial" w:cs="Arial" w:eastAsia="Arial" w:hAnsi="Arial"/>
                <w:sz w:val="9"/>
                <w:szCs w:val="9"/>
                <w:color w:val="auto"/>
              </w:rPr>
              <w:t>(3)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1/11/2020</w:t>
            </w:r>
          </w:p>
        </w:tc>
      </w:tr>
      <w:tr>
        <w:trPr>
          <w:trHeight w:val="21"/>
        </w:trPr>
        <w:tc>
          <w:tcPr>
            <w:tcW w:w="356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r>
        <w:trPr>
          <w:trHeight w:val="170"/>
        </w:trPr>
        <w:tc>
          <w:tcPr>
            <w:tcW w:w="356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2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301,824</w:t>
            </w:r>
          </w:p>
        </w:tc>
        <w:tc>
          <w:tcPr>
            <w:tcW w:w="2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18,854</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56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0"/>
        </w:trPr>
        <w:tc>
          <w:tcPr>
            <w:tcW w:w="3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H. Ralph Snodgrass, Ph.D.</w:t>
            </w:r>
          </w:p>
        </w:tc>
        <w:tc>
          <w:tcPr>
            <w:tcW w:w="4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2,500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3/24/2019</w:t>
            </w:r>
          </w:p>
        </w:tc>
      </w:tr>
      <w:tr>
        <w:trPr>
          <w:trHeight w:val="170"/>
        </w:trPr>
        <w:tc>
          <w:tcPr>
            <w:tcW w:w="3560" w:type="dxa"/>
            <w:vAlign w:val="bottom"/>
          </w:tcPr>
          <w:p>
            <w:pPr>
              <w:spacing w:after="0"/>
              <w:rPr>
                <w:sz w:val="14"/>
                <w:szCs w:val="14"/>
                <w:color w:val="auto"/>
              </w:rPr>
            </w:pPr>
          </w:p>
        </w:tc>
        <w:tc>
          <w:tcPr>
            <w:tcW w:w="4260" w:type="dxa"/>
            <w:vAlign w:val="bottom"/>
            <w:gridSpan w:val="3"/>
          </w:tcPr>
          <w:p>
            <w:pPr>
              <w:jc w:val="right"/>
              <w:ind w:right="240"/>
              <w:spacing w:after="0"/>
              <w:rPr>
                <w:sz w:val="20"/>
                <w:szCs w:val="20"/>
                <w:color w:val="auto"/>
              </w:rPr>
            </w:pPr>
            <w:r>
              <w:rPr>
                <w:rFonts w:ascii="Arial" w:cs="Arial" w:eastAsia="Arial" w:hAnsi="Arial"/>
                <w:sz w:val="14"/>
                <w:szCs w:val="14"/>
                <w:color w:val="auto"/>
              </w:rPr>
              <w:t>1,250</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6/17/2014</w:t>
            </w:r>
          </w:p>
        </w:tc>
      </w:tr>
      <w:tr>
        <w:trPr>
          <w:trHeight w:val="170"/>
        </w:trPr>
        <w:tc>
          <w:tcPr>
            <w:tcW w:w="3560" w:type="dxa"/>
            <w:vAlign w:val="bottom"/>
            <w:shd w:val="clear" w:color="auto" w:fill="CCEEFF"/>
          </w:tcPr>
          <w:p>
            <w:pPr>
              <w:spacing w:after="0"/>
              <w:rPr>
                <w:sz w:val="14"/>
                <w:szCs w:val="14"/>
                <w:color w:val="auto"/>
              </w:rPr>
            </w:pPr>
          </w:p>
        </w:tc>
        <w:tc>
          <w:tcPr>
            <w:tcW w:w="4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319</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17.60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12/20/2016</w:t>
            </w:r>
          </w:p>
        </w:tc>
      </w:tr>
      <w:tr>
        <w:trPr>
          <w:trHeight w:val="170"/>
        </w:trPr>
        <w:tc>
          <w:tcPr>
            <w:tcW w:w="3560" w:type="dxa"/>
            <w:vAlign w:val="bottom"/>
          </w:tcPr>
          <w:p>
            <w:pPr>
              <w:spacing w:after="0"/>
              <w:rPr>
                <w:sz w:val="14"/>
                <w:szCs w:val="14"/>
                <w:color w:val="auto"/>
              </w:rPr>
            </w:pPr>
          </w:p>
        </w:tc>
        <w:tc>
          <w:tcPr>
            <w:tcW w:w="4260" w:type="dxa"/>
            <w:vAlign w:val="bottom"/>
            <w:gridSpan w:val="3"/>
          </w:tcPr>
          <w:p>
            <w:pPr>
              <w:jc w:val="right"/>
              <w:ind w:right="240"/>
              <w:spacing w:after="0"/>
              <w:rPr>
                <w:sz w:val="20"/>
                <w:szCs w:val="20"/>
                <w:color w:val="auto"/>
              </w:rPr>
            </w:pPr>
            <w:r>
              <w:rPr>
                <w:rFonts w:ascii="Arial" w:cs="Arial" w:eastAsia="Arial" w:hAnsi="Arial"/>
                <w:sz w:val="14"/>
                <w:szCs w:val="14"/>
                <w:color w:val="auto"/>
              </w:rPr>
              <w:t>12,500</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12/30/2019</w:t>
            </w:r>
          </w:p>
        </w:tc>
      </w:tr>
      <w:tr>
        <w:trPr>
          <w:trHeight w:val="170"/>
        </w:trPr>
        <w:tc>
          <w:tcPr>
            <w:tcW w:w="3560" w:type="dxa"/>
            <w:vAlign w:val="bottom"/>
            <w:shd w:val="clear" w:color="auto" w:fill="CCEEFF"/>
          </w:tcPr>
          <w:p>
            <w:pPr>
              <w:spacing w:after="0"/>
              <w:rPr>
                <w:sz w:val="14"/>
                <w:szCs w:val="14"/>
                <w:color w:val="auto"/>
              </w:rPr>
            </w:pPr>
          </w:p>
        </w:tc>
        <w:tc>
          <w:tcPr>
            <w:tcW w:w="4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4,896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4/25/2021</w:t>
            </w:r>
          </w:p>
        </w:tc>
      </w:tr>
      <w:tr>
        <w:trPr>
          <w:trHeight w:val="170"/>
        </w:trPr>
        <w:tc>
          <w:tcPr>
            <w:tcW w:w="3560" w:type="dxa"/>
            <w:vAlign w:val="bottom"/>
          </w:tcPr>
          <w:p>
            <w:pPr>
              <w:spacing w:after="0"/>
              <w:rPr>
                <w:sz w:val="14"/>
                <w:szCs w:val="14"/>
                <w:color w:val="auto"/>
              </w:rPr>
            </w:pPr>
          </w:p>
        </w:tc>
        <w:tc>
          <w:tcPr>
            <w:tcW w:w="4260" w:type="dxa"/>
            <w:vAlign w:val="bottom"/>
            <w:gridSpan w:val="3"/>
          </w:tcPr>
          <w:p>
            <w:pPr>
              <w:jc w:val="right"/>
              <w:ind w:right="240"/>
              <w:spacing w:after="0"/>
              <w:rPr>
                <w:sz w:val="20"/>
                <w:szCs w:val="20"/>
                <w:color w:val="auto"/>
              </w:rPr>
            </w:pPr>
            <w:r>
              <w:rPr>
                <w:rFonts w:ascii="Arial" w:cs="Arial" w:eastAsia="Arial" w:hAnsi="Arial"/>
                <w:sz w:val="14"/>
                <w:szCs w:val="14"/>
                <w:color w:val="auto"/>
              </w:rPr>
              <w:t>37,500</w:t>
            </w: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12,500</w:t>
            </w:r>
            <w:r>
              <w:rPr>
                <w:rFonts w:ascii="Arial" w:cs="Arial" w:eastAsia="Arial" w:hAnsi="Arial"/>
                <w:sz w:val="9"/>
                <w:szCs w:val="9"/>
                <w:color w:val="auto"/>
              </w:rPr>
              <w:t>(1)</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12.80</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3/3/2023</w:t>
            </w:r>
          </w:p>
        </w:tc>
      </w:tr>
      <w:tr>
        <w:trPr>
          <w:trHeight w:val="170"/>
        </w:trPr>
        <w:tc>
          <w:tcPr>
            <w:tcW w:w="3560" w:type="dxa"/>
            <w:vAlign w:val="bottom"/>
            <w:shd w:val="clear" w:color="auto" w:fill="CCEEFF"/>
          </w:tcPr>
          <w:p>
            <w:pPr>
              <w:spacing w:after="0"/>
              <w:rPr>
                <w:sz w:val="14"/>
                <w:szCs w:val="14"/>
                <w:color w:val="auto"/>
              </w:rPr>
            </w:pPr>
          </w:p>
        </w:tc>
        <w:tc>
          <w:tcPr>
            <w:tcW w:w="4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1,250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1,250</w:t>
            </w:r>
            <w:r>
              <w:rPr>
                <w:rFonts w:ascii="Arial" w:cs="Arial" w:eastAsia="Arial" w:hAnsi="Arial"/>
                <w:sz w:val="9"/>
                <w:szCs w:val="9"/>
                <w:color w:val="auto"/>
              </w:rPr>
              <w:t>(2)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3/19/2024</w:t>
            </w:r>
          </w:p>
        </w:tc>
      </w:tr>
      <w:tr>
        <w:trPr>
          <w:trHeight w:val="170"/>
        </w:trPr>
        <w:tc>
          <w:tcPr>
            <w:tcW w:w="3560" w:type="dxa"/>
            <w:vAlign w:val="bottom"/>
          </w:tcPr>
          <w:p>
            <w:pPr>
              <w:spacing w:after="0"/>
              <w:rPr>
                <w:sz w:val="14"/>
                <w:szCs w:val="14"/>
                <w:color w:val="auto"/>
              </w:rPr>
            </w:pPr>
          </w:p>
        </w:tc>
        <w:tc>
          <w:tcPr>
            <w:tcW w:w="4260" w:type="dxa"/>
            <w:vAlign w:val="bottom"/>
            <w:gridSpan w:val="3"/>
          </w:tcPr>
          <w:p>
            <w:pPr>
              <w:jc w:val="right"/>
              <w:ind w:right="240"/>
              <w:spacing w:after="0"/>
              <w:rPr>
                <w:sz w:val="20"/>
                <w:szCs w:val="20"/>
                <w:color w:val="auto"/>
              </w:rPr>
            </w:pPr>
            <w:r>
              <w:rPr>
                <w:rFonts w:ascii="Arial" w:cs="Arial" w:eastAsia="Arial" w:hAnsi="Arial"/>
                <w:sz w:val="14"/>
                <w:szCs w:val="14"/>
                <w:color w:val="auto"/>
              </w:rPr>
              <w:t>3,750</w:t>
            </w: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3,750</w:t>
            </w:r>
            <w:r>
              <w:rPr>
                <w:rFonts w:ascii="Arial" w:cs="Arial" w:eastAsia="Arial" w:hAnsi="Arial"/>
                <w:sz w:val="9"/>
                <w:szCs w:val="9"/>
                <w:color w:val="auto"/>
              </w:rPr>
              <w:t>(2)</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3/19/2024</w:t>
            </w:r>
          </w:p>
        </w:tc>
      </w:tr>
      <w:tr>
        <w:trPr>
          <w:trHeight w:val="170"/>
        </w:trPr>
        <w:tc>
          <w:tcPr>
            <w:tcW w:w="356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r>
              <w:rPr>
                <w:rFonts w:ascii="Arial" w:cs="Arial" w:eastAsia="Arial" w:hAnsi="Arial"/>
                <w:sz w:val="9"/>
                <w:szCs w:val="9"/>
                <w:color w:val="auto"/>
              </w:rPr>
              <w:t>(3)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1/11/2020</w:t>
            </w:r>
          </w:p>
        </w:tc>
      </w:tr>
      <w:tr>
        <w:trPr>
          <w:trHeight w:val="21"/>
        </w:trPr>
        <w:tc>
          <w:tcPr>
            <w:tcW w:w="356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r>
        <w:trPr>
          <w:trHeight w:val="170"/>
        </w:trPr>
        <w:tc>
          <w:tcPr>
            <w:tcW w:w="3560" w:type="dxa"/>
            <w:vAlign w:val="bottom"/>
          </w:tcPr>
          <w:p>
            <w:pPr>
              <w:ind w:left="80"/>
              <w:spacing w:after="0"/>
              <w:rPr>
                <w:sz w:val="20"/>
                <w:szCs w:val="20"/>
                <w:color w:val="auto"/>
              </w:rPr>
            </w:pPr>
            <w:r>
              <w:rPr>
                <w:rFonts w:ascii="Arial" w:cs="Arial" w:eastAsia="Arial" w:hAnsi="Arial"/>
                <w:sz w:val="14"/>
                <w:szCs w:val="14"/>
                <w:b w:val="1"/>
                <w:bCs w:val="1"/>
                <w:color w:val="auto"/>
              </w:rPr>
              <w:t>Total:</w:t>
            </w:r>
          </w:p>
        </w:tc>
        <w:tc>
          <w:tcPr>
            <w:tcW w:w="2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163,965</w:t>
            </w:r>
          </w:p>
        </w:tc>
        <w:tc>
          <w:tcPr>
            <w:tcW w:w="2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17,604</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56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0"/>
        </w:trPr>
        <w:tc>
          <w:tcPr>
            <w:tcW w:w="3560" w:type="dxa"/>
            <w:vAlign w:val="bottom"/>
          </w:tcPr>
          <w:p>
            <w:pPr>
              <w:spacing w:after="0"/>
              <w:rPr>
                <w:sz w:val="20"/>
                <w:szCs w:val="20"/>
                <w:color w:val="auto"/>
              </w:rPr>
            </w:pPr>
            <w:r>
              <w:rPr>
                <w:rFonts w:ascii="Arial" w:cs="Arial" w:eastAsia="Arial" w:hAnsi="Arial"/>
                <w:sz w:val="14"/>
                <w:szCs w:val="14"/>
                <w:color w:val="auto"/>
              </w:rPr>
              <w:t>Jerrold D. Dotson</w:t>
            </w:r>
          </w:p>
        </w:tc>
        <w:tc>
          <w:tcPr>
            <w:tcW w:w="4260" w:type="dxa"/>
            <w:vAlign w:val="bottom"/>
            <w:gridSpan w:val="3"/>
          </w:tcPr>
          <w:p>
            <w:pPr>
              <w:jc w:val="right"/>
              <w:ind w:right="240"/>
              <w:spacing w:after="0"/>
              <w:rPr>
                <w:sz w:val="20"/>
                <w:szCs w:val="20"/>
                <w:color w:val="auto"/>
              </w:rPr>
            </w:pPr>
            <w:r>
              <w:rPr>
                <w:rFonts w:ascii="Arial" w:cs="Arial" w:eastAsia="Arial" w:hAnsi="Arial"/>
                <w:sz w:val="14"/>
                <w:szCs w:val="14"/>
                <w:color w:val="auto"/>
              </w:rPr>
              <w:t>5,001</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10/30/2022</w:t>
            </w:r>
          </w:p>
        </w:tc>
      </w:tr>
      <w:tr>
        <w:trPr>
          <w:trHeight w:val="170"/>
        </w:trPr>
        <w:tc>
          <w:tcPr>
            <w:tcW w:w="3560" w:type="dxa"/>
            <w:vAlign w:val="bottom"/>
            <w:shd w:val="clear" w:color="auto" w:fill="CCEEFF"/>
          </w:tcPr>
          <w:p>
            <w:pPr>
              <w:spacing w:after="0"/>
              <w:rPr>
                <w:sz w:val="14"/>
                <w:szCs w:val="14"/>
                <w:color w:val="auto"/>
              </w:rPr>
            </w:pPr>
          </w:p>
        </w:tc>
        <w:tc>
          <w:tcPr>
            <w:tcW w:w="4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708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10/27/2023</w:t>
            </w:r>
          </w:p>
        </w:tc>
      </w:tr>
      <w:tr>
        <w:trPr>
          <w:trHeight w:val="170"/>
        </w:trPr>
        <w:tc>
          <w:tcPr>
            <w:tcW w:w="3560" w:type="dxa"/>
            <w:vAlign w:val="bottom"/>
          </w:tcPr>
          <w:p>
            <w:pPr>
              <w:spacing w:after="0"/>
              <w:rPr>
                <w:sz w:val="14"/>
                <w:szCs w:val="14"/>
                <w:color w:val="auto"/>
              </w:rPr>
            </w:pPr>
          </w:p>
        </w:tc>
        <w:tc>
          <w:tcPr>
            <w:tcW w:w="4260" w:type="dxa"/>
            <w:vAlign w:val="bottom"/>
            <w:gridSpan w:val="3"/>
          </w:tcPr>
          <w:p>
            <w:pPr>
              <w:jc w:val="right"/>
              <w:ind w:right="240"/>
              <w:spacing w:after="0"/>
              <w:rPr>
                <w:sz w:val="20"/>
                <w:szCs w:val="20"/>
                <w:color w:val="auto"/>
              </w:rPr>
            </w:pPr>
            <w:r>
              <w:rPr>
                <w:rFonts w:ascii="Arial" w:cs="Arial" w:eastAsia="Arial" w:hAnsi="Arial"/>
                <w:sz w:val="14"/>
                <w:szCs w:val="14"/>
                <w:color w:val="auto"/>
              </w:rPr>
              <w:t>7,500</w:t>
            </w: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2,500</w:t>
            </w:r>
            <w:r>
              <w:rPr>
                <w:rFonts w:ascii="Arial" w:cs="Arial" w:eastAsia="Arial" w:hAnsi="Arial"/>
                <w:sz w:val="9"/>
                <w:szCs w:val="9"/>
                <w:color w:val="auto"/>
              </w:rPr>
              <w:t>(1)</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12.80</w:t>
            </w: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3/3/2023</w:t>
            </w:r>
          </w:p>
        </w:tc>
      </w:tr>
      <w:tr>
        <w:trPr>
          <w:trHeight w:val="170"/>
        </w:trPr>
        <w:tc>
          <w:tcPr>
            <w:tcW w:w="3560" w:type="dxa"/>
            <w:vAlign w:val="bottom"/>
            <w:shd w:val="clear" w:color="auto" w:fill="CCEEFF"/>
          </w:tcPr>
          <w:p>
            <w:pPr>
              <w:spacing w:after="0"/>
              <w:rPr>
                <w:sz w:val="14"/>
                <w:szCs w:val="14"/>
                <w:color w:val="auto"/>
              </w:rPr>
            </w:pPr>
          </w:p>
        </w:tc>
        <w:tc>
          <w:tcPr>
            <w:tcW w:w="42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2,500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2,500</w:t>
            </w:r>
            <w:r>
              <w:rPr>
                <w:rFonts w:ascii="Arial" w:cs="Arial" w:eastAsia="Arial" w:hAnsi="Arial"/>
                <w:sz w:val="9"/>
                <w:szCs w:val="9"/>
                <w:color w:val="auto"/>
              </w:rPr>
              <w:t>(2)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3/19/2024</w:t>
            </w:r>
          </w:p>
        </w:tc>
      </w:tr>
      <w:tr>
        <w:trPr>
          <w:trHeight w:val="170"/>
        </w:trPr>
        <w:tc>
          <w:tcPr>
            <w:tcW w:w="3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50,000</w:t>
            </w:r>
          </w:p>
        </w:tc>
        <w:tc>
          <w:tcPr>
            <w:tcW w:w="24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r>
              <w:rPr>
                <w:rFonts w:ascii="Arial" w:cs="Arial" w:eastAsia="Arial" w:hAnsi="Arial"/>
                <w:sz w:val="9"/>
                <w:szCs w:val="9"/>
                <w:color w:val="auto"/>
              </w:rPr>
              <w:t>(3)</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1/11/2020</w:t>
            </w:r>
          </w:p>
        </w:tc>
      </w:tr>
      <w:tr>
        <w:trPr>
          <w:trHeight w:val="21"/>
        </w:trPr>
        <w:tc>
          <w:tcPr>
            <w:tcW w:w="35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0"/>
        </w:trPr>
        <w:tc>
          <w:tcPr>
            <w:tcW w:w="35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Total:</w:t>
            </w:r>
          </w:p>
        </w:tc>
        <w:tc>
          <w:tcPr>
            <w:tcW w:w="28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65,709</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5,292</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479"/>
        </w:trPr>
        <w:tc>
          <w:tcPr>
            <w:tcW w:w="3560" w:type="dxa"/>
            <w:vAlign w:val="bottom"/>
          </w:tcPr>
          <w:p>
            <w:pPr>
              <w:spacing w:after="0"/>
              <w:rPr>
                <w:sz w:val="24"/>
                <w:szCs w:val="24"/>
                <w:color w:val="auto"/>
              </w:rPr>
            </w:pPr>
          </w:p>
        </w:tc>
        <w:tc>
          <w:tcPr>
            <w:tcW w:w="2860" w:type="dxa"/>
            <w:vAlign w:val="bottom"/>
          </w:tcPr>
          <w:p>
            <w:pPr>
              <w:jc w:val="right"/>
              <w:ind w:right="469"/>
              <w:spacing w:after="0"/>
              <w:rPr>
                <w:sz w:val="20"/>
                <w:szCs w:val="20"/>
                <w:color w:val="auto"/>
              </w:rPr>
            </w:pPr>
            <w:r>
              <w:rPr>
                <w:rFonts w:ascii="Arial" w:cs="Arial" w:eastAsia="Arial" w:hAnsi="Arial"/>
                <w:sz w:val="14"/>
                <w:szCs w:val="14"/>
                <w:color w:val="auto"/>
              </w:rPr>
              <w:t>-110-</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92"/>
        </w:trPr>
        <w:tc>
          <w:tcPr>
            <w:tcW w:w="3560" w:type="dxa"/>
            <w:vAlign w:val="bottom"/>
            <w:tcBorders>
              <w:bottom w:val="single" w:sz="8" w:color="808080"/>
            </w:tcBorders>
          </w:tcPr>
          <w:p>
            <w:pPr>
              <w:spacing w:after="0"/>
              <w:rPr>
                <w:sz w:val="7"/>
                <w:szCs w:val="7"/>
                <w:color w:val="auto"/>
              </w:rPr>
            </w:pPr>
          </w:p>
        </w:tc>
        <w:tc>
          <w:tcPr>
            <w:tcW w:w="28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5" w:name="page116"/>
    <w:bookmarkEnd w:id="11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600" w:right="540" w:hanging="595"/>
        <w:spacing w:after="0" w:line="283" w:lineRule="auto"/>
        <w:tabs>
          <w:tab w:leader="none" w:pos="6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a warrant to purchase restricted shares of our common stock granted on March 3, 2013 at the market price of our common stock on the grant date. At March 31, 2015, the warrant was exercisable for 75% of the shares and became exercisable for the remaining 25% of the shares on April 1, 2015.</w:t>
      </w:r>
    </w:p>
    <w:p>
      <w:pPr>
        <w:spacing w:after="0" w:line="152" w:lineRule="exact"/>
        <w:rPr>
          <w:rFonts w:ascii="Arial" w:cs="Arial" w:eastAsia="Arial" w:hAnsi="Arial"/>
          <w:sz w:val="14"/>
          <w:szCs w:val="14"/>
          <w:color w:val="auto"/>
        </w:rPr>
      </w:pPr>
    </w:p>
    <w:p>
      <w:pPr>
        <w:ind w:left="600" w:right="120" w:hanging="595"/>
        <w:spacing w:after="0" w:line="263" w:lineRule="auto"/>
        <w:tabs>
          <w:tab w:leader="none" w:pos="6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warrant to purchase restricted shares of our common stock granted on March 19, 2014 when the market price of our common stock was $9.20 per share. The warrant became exercisable for 50% of the shares on April 1, 2014, and became exercisable for an additional 25% of the shares on April 1, 2015. It becomes exercisable for the remaining 25% of the shares on April 1, 2016, provided that the warrant will become fully vested upon a change in control of the Company, as defined, or upon the consummation by the Company and a third party of a license or sale transaction involving at least one new Drug Rescue Variant.</w:t>
      </w:r>
    </w:p>
    <w:p>
      <w:pPr>
        <w:spacing w:after="0" w:line="146" w:lineRule="exact"/>
        <w:rPr>
          <w:rFonts w:ascii="Arial" w:cs="Arial" w:eastAsia="Arial" w:hAnsi="Arial"/>
          <w:sz w:val="14"/>
          <w:szCs w:val="14"/>
          <w:color w:val="auto"/>
        </w:rPr>
      </w:pPr>
    </w:p>
    <w:p>
      <w:pPr>
        <w:ind w:left="600" w:hanging="595"/>
        <w:spacing w:after="0"/>
        <w:tabs>
          <w:tab w:leader="none" w:pos="6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Represents a warrant to purchase restricted shares of our common stock granted as fully exercisable on January 11, 2015 when the market price of our common stock was $8.00 per share.</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or Severance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have employment agreements with Mr. Singh and Dr. Snodgrass.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Singh Agreement</w:t>
      </w:r>
    </w:p>
    <w:p>
      <w:pPr>
        <w:spacing w:after="0" w:line="180" w:lineRule="exact"/>
        <w:rPr>
          <w:sz w:val="20"/>
          <w:szCs w:val="20"/>
          <w:color w:val="auto"/>
        </w:rPr>
      </w:pPr>
    </w:p>
    <w:p>
      <w:pPr>
        <w:ind w:right="120"/>
        <w:spacing w:after="0" w:line="314" w:lineRule="auto"/>
        <w:rPr>
          <w:sz w:val="20"/>
          <w:szCs w:val="20"/>
          <w:color w:val="auto"/>
        </w:rPr>
      </w:pPr>
      <w:r>
        <w:rPr>
          <w:rFonts w:ascii="Arial" w:cs="Arial" w:eastAsia="Arial" w:hAnsi="Arial"/>
          <w:sz w:val="12"/>
          <w:szCs w:val="12"/>
          <w:color w:val="auto"/>
        </w:rPr>
        <w:t>We entered into an employment agreement with Mr. Singh on April 28, 2010. Under the agreement, as amended on May 9, 2011, Mr. Singh’s base salary is $347,500 per year. However, to conserve cash for our operations, Mr. Singh has not received his full base salary in any fiscal year since he entered into his agreement in 2010. In our fiscal year ended March 31, 2015, Mr. Singh received only $82,813 in cash. In our fiscal year ended March 31, 2014, Mr. Singh voluntarily reduced his base salary to $250,000, but only received $125,000 in cash. Although, under his agreement, Mr. Singh is eligible to receive an annual incentive cash bonus of up to 50% of his base salary, he has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141" w:lineRule="exact"/>
        <w:rPr>
          <w:sz w:val="20"/>
          <w:szCs w:val="20"/>
          <w:color w:val="auto"/>
        </w:rPr>
      </w:pPr>
    </w:p>
    <w:p>
      <w:pPr>
        <w:ind w:left="500" w:hanging="495"/>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twelve months of his then-current base salary payable in the form of salary continuation;</w:t>
      </w:r>
    </w:p>
    <w:p>
      <w:pPr>
        <w:spacing w:after="0" w:line="201" w:lineRule="exact"/>
        <w:rPr>
          <w:rFonts w:ascii="Arial" w:cs="Arial" w:eastAsia="Arial" w:hAnsi="Arial"/>
          <w:sz w:val="14"/>
          <w:szCs w:val="14"/>
          <w:color w:val="auto"/>
        </w:rPr>
      </w:pPr>
    </w:p>
    <w:p>
      <w:pPr>
        <w:ind w:left="500" w:hanging="495"/>
        <w:spacing w:after="0"/>
        <w:tabs>
          <w:tab w:leader="none" w:pos="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 pro-rated portion of the incentive cash bonus that the Board of Directors determines in good faith that Mr. Singh earned prior to his termination; and</w:t>
      </w:r>
    </w:p>
    <w:p>
      <w:pPr>
        <w:spacing w:after="0" w:line="201" w:lineRule="exact"/>
        <w:rPr>
          <w:rFonts w:ascii="Arial" w:cs="Arial" w:eastAsia="Arial" w:hAnsi="Arial"/>
          <w:sz w:val="14"/>
          <w:szCs w:val="14"/>
          <w:color w:val="auto"/>
        </w:rPr>
      </w:pPr>
    </w:p>
    <w:p>
      <w:pPr>
        <w:ind w:left="500" w:hanging="495"/>
        <w:spacing w:after="0"/>
        <w:tabs>
          <w:tab w:leader="none" w:pos="5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such amounts required to reimburse him for Consolidated Omnibus Budget Reconciliation Act (</w:t>
      </w:r>
      <w:r>
        <w:rPr>
          <w:rFonts w:ascii="Arial" w:cs="Arial" w:eastAsia="Arial" w:hAnsi="Arial"/>
          <w:sz w:val="13"/>
          <w:szCs w:val="13"/>
          <w:i w:val="1"/>
          <w:iCs w:val="1"/>
          <w:color w:val="auto"/>
        </w:rPr>
        <w:t>COBRA</w:t>
      </w:r>
      <w:r>
        <w:rPr>
          <w:rFonts w:ascii="Arial" w:cs="Arial" w:eastAsia="Arial" w:hAnsi="Arial"/>
          <w:sz w:val="13"/>
          <w:szCs w:val="13"/>
          <w:color w:val="auto"/>
        </w:rPr>
        <w:t>) payments for continuation of his medical health benefits for such twelve-month period.</w:t>
      </w:r>
    </w:p>
    <w:p>
      <w:pPr>
        <w:spacing w:after="0" w:line="191" w:lineRule="exact"/>
        <w:rPr>
          <w:sz w:val="20"/>
          <w:szCs w:val="20"/>
          <w:color w:val="auto"/>
        </w:rPr>
      </w:pPr>
    </w:p>
    <w:p>
      <w:pPr>
        <w:ind w:right="340"/>
        <w:spacing w:after="0" w:line="283" w:lineRule="auto"/>
        <w:rPr>
          <w:sz w:val="20"/>
          <w:szCs w:val="20"/>
          <w:color w:val="auto"/>
        </w:rPr>
      </w:pPr>
      <w:r>
        <w:rPr>
          <w:rFonts w:ascii="Arial" w:cs="Arial" w:eastAsia="Arial" w:hAnsi="Arial"/>
          <w:sz w:val="14"/>
          <w:szCs w:val="14"/>
          <w:color w:val="auto"/>
        </w:rPr>
        <w:t>In addition, in the event Mr. Singh terminates his employment with good reason following a change of control, he is entitled to twelve months of his then-current base salary payable in the form of salary continuation.</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In December 2006, we accepted a full-recourse promissory note in the amount of $103,411 from Mr. Singh in payment of the exercise price for options and warrants to purchase an aggregate of 6,320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2015 and 2014, we had accrued $101,936 as an estimate of the gross-up amount. However, as a result of Mr. Singh’s forbearance, at March 31, 2015, we have not yet paid such amount to Mr. Singh to conserve capital for our operations. See Note 14 to our audited Consolidated Financial Statements for the fiscal years ended March 31, 2015 and 2014, which are included in this prospectus.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6" w:name="page117"/>
    <w:bookmarkEnd w:id="11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Snodgrass Agreement</w:t>
      </w:r>
    </w:p>
    <w:p>
      <w:pPr>
        <w:spacing w:after="0" w:line="180" w:lineRule="exact"/>
        <w:rPr>
          <w:sz w:val="20"/>
          <w:szCs w:val="20"/>
          <w:color w:val="auto"/>
        </w:rPr>
      </w:pPr>
    </w:p>
    <w:p>
      <w:pPr>
        <w:ind w:right="100"/>
        <w:spacing w:after="0" w:line="314" w:lineRule="auto"/>
        <w:rPr>
          <w:sz w:val="20"/>
          <w:szCs w:val="20"/>
          <w:color w:val="auto"/>
        </w:rPr>
      </w:pPr>
      <w:r>
        <w:rPr>
          <w:rFonts w:ascii="Arial" w:cs="Arial" w:eastAsia="Arial" w:hAnsi="Arial"/>
          <w:sz w:val="12"/>
          <w:szCs w:val="12"/>
          <w:color w:val="auto"/>
        </w:rPr>
        <w:t>We entered into an employment agreement with Dr. Snodgrass on April 28, 2010. Under the agreement, as amended on May 9, 2011, Dr. Snodgrass’s base salary is $305,000 per year. However, to conserve cash for our operations, Dr. Snodgrass has not received his full base salary in any year since he entered into his agreement in 2010. In our fiscal year ended March 31, 2015, Dr. Snodgrass received only $157,292 in cash. In our fiscal year ended March 31, 2014, Dr. Snodgrass voluntarily reduced his annual salary to $250,000, but received only $149,606 in cash. Dr. Snodgrass is eligible to receive an annual incentive cash bonus of up to 50% of his base salary, but he has foregone any such cash bonus payment to conserve cash for our operations. Payment of his annual incentive bonus is at the discretion of the Board of Directors. In the event we terminate Dr. Snodgrass’s employment without cause, he is entitled to receive severance in an amount equal to:</w:t>
      </w:r>
    </w:p>
    <w:p>
      <w:pPr>
        <w:spacing w:after="0" w:line="141" w:lineRule="exact"/>
        <w:rPr>
          <w:sz w:val="20"/>
          <w:szCs w:val="20"/>
          <w:color w:val="auto"/>
        </w:rPr>
      </w:pPr>
    </w:p>
    <w:p>
      <w:pPr>
        <w:ind w:left="500" w:hanging="495"/>
        <w:spacing w:after="0"/>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twelve months of his then-current base salary payable in the form of salary continuation;</w:t>
      </w:r>
    </w:p>
    <w:p>
      <w:pPr>
        <w:spacing w:after="0" w:line="201" w:lineRule="exact"/>
        <w:rPr>
          <w:rFonts w:ascii="Arial" w:cs="Arial" w:eastAsia="Arial" w:hAnsi="Arial"/>
          <w:sz w:val="14"/>
          <w:szCs w:val="14"/>
          <w:color w:val="auto"/>
        </w:rPr>
      </w:pPr>
    </w:p>
    <w:p>
      <w:pPr>
        <w:ind w:left="500" w:hanging="495"/>
        <w:spacing w:after="0"/>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pro-rated portion of the incentive bonus that the Board of Directors determines in good faith that Dr. Snodgrass earned prior to his termination; and</w:t>
      </w:r>
    </w:p>
    <w:p>
      <w:pPr>
        <w:spacing w:after="0" w:line="201" w:lineRule="exact"/>
        <w:rPr>
          <w:rFonts w:ascii="Arial" w:cs="Arial" w:eastAsia="Arial" w:hAnsi="Arial"/>
          <w:sz w:val="14"/>
          <w:szCs w:val="14"/>
          <w:color w:val="auto"/>
        </w:rPr>
      </w:pPr>
    </w:p>
    <w:p>
      <w:pPr>
        <w:ind w:left="500" w:hanging="495"/>
        <w:spacing w:after="0"/>
        <w:tabs>
          <w:tab w:leader="none" w:pos="5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such amounts required to reimburse him for COBRA payments for continuation of his medical health benefits for such twelve-month period.</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In addition, in the event Dr. Snodgrass terminates his employment with good reason, he is entitled to twelve months of his then-current base salary payable in the form of salary continuation.</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of Control Provisions</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affected by us without the executive’s consent (subject to our right to cure):</w:t>
      </w:r>
    </w:p>
    <w:p>
      <w:pPr>
        <w:spacing w:after="0" w:line="163" w:lineRule="exact"/>
        <w:rPr>
          <w:sz w:val="20"/>
          <w:szCs w:val="20"/>
          <w:color w:val="auto"/>
        </w:rPr>
      </w:pPr>
    </w:p>
    <w:p>
      <w:pPr>
        <w:ind w:left="500" w:hanging="495"/>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 material reduction in the executive’s responsibility; or</w:t>
      </w:r>
    </w:p>
    <w:p>
      <w:pPr>
        <w:spacing w:after="0" w:line="201" w:lineRule="exact"/>
        <w:rPr>
          <w:rFonts w:ascii="Arial" w:cs="Arial" w:eastAsia="Arial" w:hAnsi="Arial"/>
          <w:sz w:val="14"/>
          <w:szCs w:val="14"/>
          <w:color w:val="auto"/>
        </w:rPr>
      </w:pPr>
    </w:p>
    <w:p>
      <w:pPr>
        <w:ind w:left="500" w:hanging="495"/>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 material reduction in the executive’s base salary except for reductions that are comparable to reductions generally applicable to similarly situated executives of VistaGen.</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63" w:lineRule="exact"/>
        <w:rPr>
          <w:sz w:val="20"/>
          <w:szCs w:val="20"/>
          <w:color w:val="auto"/>
        </w:rPr>
      </w:pPr>
    </w:p>
    <w:p>
      <w:pPr>
        <w:ind w:right="140"/>
        <w:spacing w:after="0" w:line="302" w:lineRule="auto"/>
        <w:rPr>
          <w:sz w:val="20"/>
          <w:szCs w:val="20"/>
          <w:color w:val="auto"/>
        </w:rPr>
      </w:pPr>
      <w:r>
        <w:rPr>
          <w:rFonts w:ascii="Arial" w:cs="Arial" w:eastAsia="Arial" w:hAnsi="Arial"/>
          <w:sz w:val="12"/>
          <w:szCs w:val="12"/>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directly or indirectly, of securities of VistaGen representing 50% or more of the combined voting power of VistaGen’s then outstanding securities; (ii) a sale of substantially all of VistaGen’s assets; or</w:t>
      </w:r>
    </w:p>
    <w:p>
      <w:pPr>
        <w:ind w:firstLine="5"/>
        <w:spacing w:after="0" w:line="267" w:lineRule="auto"/>
        <w:tabs>
          <w:tab w:leader="none" w:pos="248" w:val="left"/>
        </w:tabs>
        <w:numPr>
          <w:ilvl w:val="0"/>
          <w:numId w:val="61"/>
        </w:numPr>
        <w:rPr>
          <w:rFonts w:ascii="Arial" w:cs="Arial" w:eastAsia="Arial" w:hAnsi="Arial"/>
          <w:sz w:val="14"/>
          <w:szCs w:val="14"/>
          <w:color w:val="auto"/>
        </w:rPr>
      </w:pPr>
      <w:r>
        <w:rPr>
          <w:rFonts w:ascii="Arial" w:cs="Arial" w:eastAsia="Arial" w:hAnsi="Arial"/>
          <w:sz w:val="14"/>
          <w:szCs w:val="14"/>
          <w:color w:val="auto"/>
        </w:rPr>
        <w:t>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64"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53"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Pursuant to their respective employment agreements, the estimated amount that could be paid by us assuming that a change of control occurred on the last business day of our current fiscal year, is $347,500 for Mr. Singh and $305,000 for Dr. Snodgrass, excluding the imputed value of accelerated vesting of incentive stock options, if any.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7" w:name="page118"/>
    <w:bookmarkEnd w:id="11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DIRECTOR COMPENSATION</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We do not have a formal compensation plan for our non-employee directors. We adopted a director compensation policy for our independent directors, as independence is defined by the NASDAQ Stock Market, which became effective for our fiscal year beginning April 1, 2014. Under the independent director compensation policy, our independent directors are entitled to receive a $25,000 annual cash retainer. For service on a committee of the board, an independent director is entitled to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We did not pay our independent directors any cash compensation during our fiscal year ended March 31, 2015.</w:t>
      </w:r>
    </w:p>
    <w:p>
      <w:pPr>
        <w:spacing w:after="0" w:line="171" w:lineRule="exact"/>
        <w:rPr>
          <w:sz w:val="20"/>
          <w:szCs w:val="20"/>
          <w:color w:val="auto"/>
        </w:rPr>
      </w:pPr>
    </w:p>
    <w:p>
      <w:pPr>
        <w:ind w:right="100"/>
        <w:spacing w:after="0" w:line="333" w:lineRule="auto"/>
        <w:rPr>
          <w:sz w:val="20"/>
          <w:szCs w:val="20"/>
          <w:color w:val="auto"/>
        </w:rPr>
      </w:pPr>
      <w:r>
        <w:rPr>
          <w:rFonts w:ascii="Arial" w:cs="Arial" w:eastAsia="Arial" w:hAnsi="Arial"/>
          <w:sz w:val="12"/>
          <w:szCs w:val="12"/>
          <w:color w:val="auto"/>
        </w:rPr>
        <w:t>Under our director compensation policy, effective March 2016, each independent director will also receive an annual grant of an option or warrant to purchase a minimum of 12,000 shares of our common stock, which will vest monthly over a one-year period from the date of grant. In January 2015, we granted fully vested warrants to purchase 20,000 shares of our restricted stock at an exercise price of $10.00 per share to each of our independent directors. We expect to make future grants on the same date as our annual meeting. Prorated grants will be made for partial years of service.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a summary of the compensation earned by our non-employee directors in our fiscal year ended March 31,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149"/>
              <w:spacing w:after="0"/>
              <w:rPr>
                <w:sz w:val="20"/>
                <w:szCs w:val="20"/>
                <w:color w:val="auto"/>
              </w:rPr>
            </w:pPr>
            <w:r>
              <w:rPr>
                <w:rFonts w:ascii="Arial" w:cs="Arial" w:eastAsia="Arial" w:hAnsi="Arial"/>
                <w:sz w:val="14"/>
                <w:szCs w:val="14"/>
                <w:b w:val="1"/>
                <w:bCs w:val="1"/>
                <w:color w:val="auto"/>
                <w:w w:val="90"/>
              </w:rPr>
              <w:t>Fees Earned or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ind w:right="89"/>
              <w:spacing w:after="0"/>
              <w:rPr>
                <w:sz w:val="20"/>
                <w:szCs w:val="20"/>
                <w:color w:val="auto"/>
              </w:rPr>
            </w:pPr>
            <w:r>
              <w:rPr>
                <w:rFonts w:ascii="Arial" w:cs="Arial" w:eastAsia="Arial" w:hAnsi="Arial"/>
                <w:sz w:val="14"/>
                <w:szCs w:val="14"/>
                <w:b w:val="1"/>
                <w:bCs w:val="1"/>
                <w:color w:val="auto"/>
                <w:w w:val="96"/>
              </w:rPr>
              <w:t>Option and Warrant</w:t>
            </w: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149"/>
              <w:spacing w:after="0" w:line="171" w:lineRule="exact"/>
              <w:rPr>
                <w:sz w:val="20"/>
                <w:szCs w:val="20"/>
                <w:color w:val="auto"/>
              </w:rPr>
            </w:pPr>
            <w:r>
              <w:rPr>
                <w:rFonts w:ascii="Arial" w:cs="Arial" w:eastAsia="Arial" w:hAnsi="Arial"/>
                <w:sz w:val="14"/>
                <w:szCs w:val="14"/>
                <w:b w:val="1"/>
                <w:bCs w:val="1"/>
                <w:color w:val="auto"/>
                <w:w w:val="88"/>
              </w:rPr>
              <w:t xml:space="preserve">Paid in Cash </w:t>
            </w:r>
            <w:r>
              <w:rPr>
                <w:rFonts w:ascii="Arial" w:cs="Arial" w:eastAsia="Arial" w:hAnsi="Arial"/>
                <w:sz w:val="19"/>
                <w:szCs w:val="19"/>
                <w:b w:val="1"/>
                <w:bCs w:val="1"/>
                <w:color w:val="auto"/>
                <w:w w:val="88"/>
                <w:vertAlign w:val="superscript"/>
              </w:rPr>
              <w:t>(1)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ind w:right="89"/>
              <w:spacing w:after="0" w:line="171" w:lineRule="exact"/>
              <w:rPr>
                <w:sz w:val="20"/>
                <w:szCs w:val="20"/>
                <w:color w:val="auto"/>
              </w:rPr>
            </w:pPr>
            <w:r>
              <w:rPr>
                <w:rFonts w:ascii="Arial" w:cs="Arial" w:eastAsia="Arial" w:hAnsi="Arial"/>
                <w:sz w:val="14"/>
                <w:szCs w:val="14"/>
                <w:b w:val="1"/>
                <w:bCs w:val="1"/>
                <w:color w:val="auto"/>
                <w:w w:val="88"/>
              </w:rPr>
              <w:t xml:space="preserve">Awards </w:t>
            </w:r>
            <w:r>
              <w:rPr>
                <w:rFonts w:ascii="Arial" w:cs="Arial" w:eastAsia="Arial" w:hAnsi="Arial"/>
                <w:sz w:val="19"/>
                <w:szCs w:val="19"/>
                <w:b w:val="1"/>
                <w:bCs w:val="1"/>
                <w:color w:val="auto"/>
                <w:w w:val="88"/>
                <w:vertAlign w:val="superscript"/>
              </w:rPr>
              <w:t>(2)</w:t>
            </w: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89"/>
              <w:spacing w:after="0"/>
              <w:rPr>
                <w:sz w:val="20"/>
                <w:szCs w:val="20"/>
                <w:color w:val="auto"/>
              </w:rPr>
            </w:pPr>
            <w:r>
              <w:rPr>
                <w:rFonts w:ascii="Arial" w:cs="Arial" w:eastAsia="Arial" w:hAnsi="Arial"/>
                <w:sz w:val="14"/>
                <w:szCs w:val="14"/>
                <w:b w:val="1"/>
                <w:bCs w:val="1"/>
                <w:color w:val="auto"/>
              </w:rPr>
              <w:t>Total</w:t>
            </w:r>
          </w:p>
        </w:tc>
      </w:tr>
      <w:tr>
        <w:trPr>
          <w:trHeight w:val="186"/>
        </w:trPr>
        <w:tc>
          <w:tcPr>
            <w:tcW w:w="48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1380" w:type="dxa"/>
            <w:vAlign w:val="bottom"/>
          </w:tcPr>
          <w:p>
            <w:pPr>
              <w:jc w:val="center"/>
              <w:ind w:right="149"/>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89"/>
              <w:spacing w:after="0"/>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center"/>
              <w:ind w:left="49"/>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69"/>
              <w:spacing w:after="0"/>
              <w:rPr>
                <w:sz w:val="20"/>
                <w:szCs w:val="20"/>
                <w:color w:val="auto"/>
              </w:rPr>
            </w:pPr>
            <w:r>
              <w:rPr>
                <w:rFonts w:ascii="Arial" w:cs="Arial" w:eastAsia="Arial" w:hAnsi="Arial"/>
                <w:sz w:val="14"/>
                <w:szCs w:val="14"/>
                <w:b w:val="1"/>
                <w:bCs w:val="1"/>
                <w:color w:val="auto"/>
              </w:rPr>
              <w:t>($)</w:t>
            </w:r>
          </w:p>
        </w:tc>
      </w:tr>
      <w:tr>
        <w:trPr>
          <w:trHeight w:val="170"/>
        </w:trPr>
        <w:tc>
          <w:tcPr>
            <w:tcW w:w="48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170"/>
        </w:trPr>
        <w:tc>
          <w:tcPr>
            <w:tcW w:w="482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Jon S. Saxe </w:t>
            </w:r>
            <w:r>
              <w:rPr>
                <w:rFonts w:ascii="Arial" w:cs="Arial" w:eastAsia="Arial" w:hAnsi="Arial"/>
                <w:sz w:val="19"/>
                <w:szCs w:val="19"/>
                <w:color w:val="auto"/>
                <w:vertAlign w:val="superscript"/>
              </w:rPr>
              <w:t>(3)</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55,000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91,734</w:t>
            </w:r>
            <w:r>
              <w:rPr>
                <w:rFonts w:ascii="Arial" w:cs="Arial" w:eastAsia="Arial" w:hAnsi="Arial"/>
                <w:sz w:val="9"/>
                <w:szCs w:val="9"/>
                <w:color w:val="auto"/>
              </w:rPr>
              <w:t>(5)</w:t>
            </w:r>
          </w:p>
        </w:tc>
        <w:tc>
          <w:tcPr>
            <w:tcW w:w="17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146,734</w:t>
            </w:r>
          </w:p>
        </w:tc>
      </w:tr>
      <w:tr>
        <w:trPr>
          <w:trHeight w:val="259"/>
        </w:trPr>
        <w:tc>
          <w:tcPr>
            <w:tcW w:w="4820" w:type="dxa"/>
            <w:vAlign w:val="bottom"/>
          </w:tcPr>
          <w:p>
            <w:pPr>
              <w:spacing w:after="0"/>
              <w:rPr>
                <w:sz w:val="20"/>
                <w:szCs w:val="20"/>
                <w:color w:val="auto"/>
              </w:rPr>
            </w:pPr>
            <w:r>
              <w:rPr>
                <w:rFonts w:ascii="Arial" w:cs="Arial" w:eastAsia="Arial" w:hAnsi="Arial"/>
                <w:sz w:val="14"/>
                <w:szCs w:val="14"/>
                <w:color w:val="auto"/>
              </w:rPr>
              <w:t xml:space="preserve">Brian J. Underdown, Ph.D. </w:t>
            </w:r>
            <w:r>
              <w:rPr>
                <w:rFonts w:ascii="Arial" w:cs="Arial" w:eastAsia="Arial" w:hAnsi="Arial"/>
                <w:sz w:val="19"/>
                <w:szCs w:val="19"/>
                <w:color w:val="auto"/>
                <w:vertAlign w:val="superscript"/>
              </w:rPr>
              <w:t>(4)</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69"/>
              <w:spacing w:after="0"/>
              <w:rPr>
                <w:sz w:val="20"/>
                <w:szCs w:val="20"/>
                <w:color w:val="auto"/>
              </w:rPr>
            </w:pPr>
            <w:r>
              <w:rPr>
                <w:rFonts w:ascii="Arial" w:cs="Arial" w:eastAsia="Arial" w:hAnsi="Arial"/>
                <w:sz w:val="14"/>
                <w:szCs w:val="14"/>
                <w:color w:val="auto"/>
              </w:rPr>
              <w:t>57,500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91,734</w:t>
            </w:r>
            <w:r>
              <w:rPr>
                <w:rFonts w:ascii="Arial" w:cs="Arial" w:eastAsia="Arial" w:hAnsi="Arial"/>
                <w:sz w:val="9"/>
                <w:szCs w:val="9"/>
                <w:color w:val="auto"/>
              </w:rPr>
              <w:t>(5)</w:t>
            </w:r>
          </w:p>
        </w:tc>
        <w:tc>
          <w:tcPr>
            <w:tcW w:w="17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149,234</w:t>
            </w:r>
          </w:p>
        </w:tc>
      </w:tr>
    </w:tbl>
    <w:p>
      <w:pPr>
        <w:spacing w:after="0" w:line="92" w:lineRule="exact"/>
        <w:rPr>
          <w:sz w:val="20"/>
          <w:szCs w:val="20"/>
          <w:color w:val="auto"/>
        </w:rPr>
      </w:pPr>
    </w:p>
    <w:p>
      <w:pPr>
        <w:ind w:left="580" w:right="320" w:hanging="575"/>
        <w:spacing w:after="0" w:line="323" w:lineRule="auto"/>
        <w:tabs>
          <w:tab w:leader="none" w:pos="5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shown represent fees earned for service on our Board of Directors, and Audit Committee, Compensation Committee and Corporate Governance and Nominating Committee during the fiscal year ended March 31, 2015 which we have accrued but have not paid to the director during that period or through the date of this prospectus.</w:t>
      </w:r>
    </w:p>
    <w:p>
      <w:pPr>
        <w:spacing w:after="0" w:line="108" w:lineRule="exact"/>
        <w:rPr>
          <w:rFonts w:ascii="Arial" w:cs="Arial" w:eastAsia="Arial" w:hAnsi="Arial"/>
          <w:sz w:val="13"/>
          <w:szCs w:val="13"/>
          <w:color w:val="auto"/>
        </w:rPr>
      </w:pPr>
    </w:p>
    <w:p>
      <w:pPr>
        <w:ind w:left="580" w:right="80" w:hanging="575"/>
        <w:spacing w:after="0" w:line="314" w:lineRule="auto"/>
        <w:tabs>
          <w:tab w:leader="none" w:pos="5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amounts in this column represent the aggregate grant date fair value of warrants to purchase restricted shares of our common stock awarded to Mr. Saxe and Dr. Underdown occurring during the fiscal year ended March 31, 2015, computed in accordance with the Financial Accounting Standards Board’s Accounting Standards Codification Topic 718, Compensation – Stock Compensation (</w:t>
      </w:r>
      <w:r>
        <w:rPr>
          <w:rFonts w:ascii="Arial" w:cs="Arial" w:eastAsia="Arial" w:hAnsi="Arial"/>
          <w:sz w:val="12"/>
          <w:szCs w:val="12"/>
          <w:i w:val="1"/>
          <w:iCs w:val="1"/>
          <w:color w:val="auto"/>
        </w:rPr>
        <w:t>ASC 718</w:t>
      </w:r>
      <w:r>
        <w:rPr>
          <w:rFonts w:ascii="Arial" w:cs="Arial" w:eastAsia="Arial" w:hAnsi="Arial"/>
          <w:sz w:val="12"/>
          <w:szCs w:val="12"/>
          <w:color w:val="auto"/>
        </w:rPr>
        <w:t>). The amounts in this column do not represent any cash payment actually received by Mr. Saxe or Dr. Underdown with respect to any of such warrants to purchase restricted shares of our common stock awarded to them during the fiscal year ended March 31, 2015. To date, Mr. Saxe and Dr. Underdown have not exercised such warrants to purchase common stock, and there can be no assurance that either of them will ever realize any of the ASC 718 grant date fair value amounts presented in the Option and Warrant Awards column.</w:t>
      </w:r>
    </w:p>
    <w:p>
      <w:pPr>
        <w:spacing w:after="0" w:line="140" w:lineRule="exact"/>
        <w:rPr>
          <w:rFonts w:ascii="Arial" w:cs="Arial" w:eastAsia="Arial" w:hAnsi="Arial"/>
          <w:sz w:val="12"/>
          <w:szCs w:val="12"/>
          <w:color w:val="auto"/>
        </w:rPr>
      </w:pPr>
    </w:p>
    <w:p>
      <w:pPr>
        <w:ind w:left="580" w:right="40" w:hanging="575"/>
        <w:spacing w:after="0" w:line="263" w:lineRule="auto"/>
        <w:tabs>
          <w:tab w:leader="none" w:pos="5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Saxe has served as the Chairman of our Board of Directors, the Chairman of our Audit Committee and a member of our Compensation Committee and Corporate Governance and Nominating Committee throughout our fiscal year ended March 31, 2015. At March 31, 2015, Mr. Saxe holds: (i) 1,875 restricted shares of our common stock; (ii) options to purchase 12,500 restricted shares of our common stock, of which options to purchase 12,448 restricted shares are vested; and (iii) warrants to purchase 33,250 restricted shares of our common stock, of which 29,750 are exercisable and of which an additional 2,687 shares became exercisable on April 1, 2015.</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8" w:name="page119"/>
    <w:bookmarkEnd w:id="11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580" w:right="60" w:hanging="575"/>
        <w:spacing w:after="0" w:line="263" w:lineRule="auto"/>
        <w:tabs>
          <w:tab w:leader="none" w:pos="5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Dr. Underdown has served as a member of our Board of Directors, as the Chairman of our Compensation Committee and Corporate Governance and Nominating Committee and as a member of our Audit Committee throughout our fiscal year ended March 31, 2015. At March 31, 2015, Dr. Underdown holds: (i) options to purchase 9,250 restricted shares of our common stock, of which options to purchase 9,198 restricted shares are vested; and (ii) warrants to purchase 32,500 restricted shares of our common stock, of which 29,375 are exercisable and of which an additional 2,500 shares became exercisable on April 1, 2015.</w:t>
      </w:r>
    </w:p>
    <w:p>
      <w:pPr>
        <w:spacing w:after="0" w:line="146" w:lineRule="exact"/>
        <w:rPr>
          <w:rFonts w:ascii="Arial" w:cs="Arial" w:eastAsia="Arial" w:hAnsi="Arial"/>
          <w:sz w:val="14"/>
          <w:szCs w:val="14"/>
          <w:color w:val="auto"/>
        </w:rPr>
      </w:pPr>
    </w:p>
    <w:p>
      <w:pPr>
        <w:ind w:left="580" w:right="340" w:hanging="575"/>
        <w:spacing w:after="0" w:line="283" w:lineRule="auto"/>
        <w:tabs>
          <w:tab w:leader="none" w:pos="5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table below provides information regarding the warrant awards we granted to Mr. Saxe and Dr. Underdown during fiscal 2015 and the assumptions used in the Black Scholes Option Pricing Model to determine the grant date fair values of the awards as reported in the table above:</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45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8.00</w:t>
            </w: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45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10.00</w:t>
            </w:r>
          </w:p>
        </w:tc>
      </w:tr>
      <w:tr>
        <w:trPr>
          <w:trHeight w:val="170"/>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w:t>
            </w: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Volatility</w:t>
            </w:r>
          </w:p>
        </w:tc>
        <w:tc>
          <w:tcPr>
            <w:tcW w:w="4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75.86%</w:t>
            </w:r>
          </w:p>
        </w:tc>
      </w:tr>
      <w:tr>
        <w:trPr>
          <w:trHeight w:val="170"/>
        </w:trPr>
        <w:tc>
          <w:tcPr>
            <w:tcW w:w="5520" w:type="dxa"/>
            <w:vAlign w:val="bottom"/>
            <w:shd w:val="clear" w:color="auto" w:fill="CCEEFF"/>
          </w:tcPr>
          <w:p>
            <w:pPr>
              <w:spacing w:after="0"/>
              <w:rPr>
                <w:sz w:val="20"/>
                <w:szCs w:val="20"/>
                <w:color w:val="auto"/>
              </w:rPr>
            </w:pPr>
            <w:r>
              <w:rPr>
                <w:rFonts w:ascii="Arial" w:cs="Arial" w:eastAsia="Arial" w:hAnsi="Arial"/>
                <w:sz w:val="14"/>
                <w:szCs w:val="14"/>
                <w:color w:val="auto"/>
              </w:rPr>
              <w:t>Expected term (years)</w:t>
            </w: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5.00</w:t>
            </w: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Dividend rate</w:t>
            </w:r>
          </w:p>
        </w:tc>
        <w:tc>
          <w:tcPr>
            <w:tcW w:w="4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70"/>
        </w:trPr>
        <w:tc>
          <w:tcPr>
            <w:tcW w:w="55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0"/>
        </w:trPr>
        <w:tc>
          <w:tcPr>
            <w:tcW w:w="5520" w:type="dxa"/>
            <w:vAlign w:val="bottom"/>
          </w:tcPr>
          <w:p>
            <w:pPr>
              <w:spacing w:after="0"/>
              <w:rPr>
                <w:sz w:val="20"/>
                <w:szCs w:val="20"/>
                <w:color w:val="auto"/>
              </w:rPr>
            </w:pPr>
            <w:r>
              <w:rPr>
                <w:rFonts w:ascii="Arial" w:cs="Arial" w:eastAsia="Arial" w:hAnsi="Arial"/>
                <w:sz w:val="14"/>
                <w:szCs w:val="14"/>
                <w:color w:val="auto"/>
              </w:rPr>
              <w:t>Fair value per share</w:t>
            </w:r>
          </w:p>
        </w:tc>
        <w:tc>
          <w:tcPr>
            <w:tcW w:w="454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4.59</w:t>
            </w:r>
          </w:p>
        </w:tc>
      </w:tr>
      <w:tr>
        <w:trPr>
          <w:trHeight w:val="170"/>
        </w:trPr>
        <w:tc>
          <w:tcPr>
            <w:tcW w:w="55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0"/>
        </w:trPr>
        <w:tc>
          <w:tcPr>
            <w:tcW w:w="5520" w:type="dxa"/>
            <w:vAlign w:val="bottom"/>
          </w:tcPr>
          <w:p>
            <w:pPr>
              <w:spacing w:after="0"/>
              <w:rPr>
                <w:sz w:val="20"/>
                <w:szCs w:val="20"/>
                <w:color w:val="auto"/>
              </w:rPr>
            </w:pPr>
            <w:r>
              <w:rPr>
                <w:rFonts w:ascii="Arial" w:cs="Arial" w:eastAsia="Arial" w:hAnsi="Arial"/>
                <w:sz w:val="14"/>
                <w:szCs w:val="14"/>
                <w:color w:val="auto"/>
              </w:rPr>
              <w:t>Aggregate shares</w:t>
            </w:r>
          </w:p>
        </w:tc>
        <w:tc>
          <w:tcPr>
            <w:tcW w:w="454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40,000</w:t>
            </w:r>
          </w:p>
        </w:tc>
      </w:tr>
    </w:tbl>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Independence</w:t>
      </w:r>
    </w:p>
    <w:p>
      <w:pPr>
        <w:spacing w:after="0" w:line="184"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Our securities are not currently listed on a national securities exchange or on any inter-dealer quotation system that has a requirement that directors be independent, or that a majority of our directors be independent. However, we evaluate independence by the standards for director independence established by applicable laws, rules, and listing standards, including, without limitation, the standards for independent directors established by the SEC, the New York Stock Exchange, Inc. and the NASDAQ Stock Market.</w:t>
      </w:r>
    </w:p>
    <w:p>
      <w:pPr>
        <w:spacing w:after="0" w:line="142"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59" w:lineRule="exact"/>
        <w:rPr>
          <w:sz w:val="20"/>
          <w:szCs w:val="20"/>
          <w:color w:val="auto"/>
        </w:rPr>
      </w:pPr>
    </w:p>
    <w:p>
      <w:pPr>
        <w:ind w:right="20"/>
        <w:spacing w:after="0" w:line="314" w:lineRule="auto"/>
        <w:rPr>
          <w:sz w:val="20"/>
          <w:szCs w:val="20"/>
          <w:color w:val="auto"/>
        </w:rPr>
      </w:pPr>
      <w:r>
        <w:rPr>
          <w:rFonts w:ascii="Arial" w:cs="Arial" w:eastAsia="Arial" w:hAnsi="Arial"/>
          <w:sz w:val="12"/>
          <w:szCs w:val="12"/>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and Dr. Underdown are “independent” as that term is defined under the applicable rules and regulations of the SEC. Our Board of Directors has also determined that Mr. Saxe and Dr. Underdown, who comprise our audit committee, compensation committee, corporate governance and nominating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19" w:name="page120"/>
    <w:bookmarkEnd w:id="11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ind w:left="2940"/>
        <w:spacing w:after="0"/>
        <w:rPr>
          <w:sz w:val="20"/>
          <w:szCs w:val="20"/>
          <w:color w:val="auto"/>
        </w:rPr>
      </w:pPr>
      <w:r>
        <w:rPr>
          <w:rFonts w:ascii="Arial" w:cs="Arial" w:eastAsia="Arial" w:hAnsi="Arial"/>
          <w:sz w:val="14"/>
          <w:szCs w:val="14"/>
          <w:b w:val="1"/>
          <w:bCs w:val="1"/>
          <w:color w:val="auto"/>
        </w:rPr>
        <w:t>SECURITY OWNERSHIP OF CERTAIN BENEFICIAL OWNERS AND MANAGEMENT</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certain information with respect to the beneficial ownership of our common stock as of March 4, 2016 for:</w:t>
      </w:r>
    </w:p>
    <w:p>
      <w:pPr>
        <w:spacing w:after="0" w:line="180" w:lineRule="exact"/>
        <w:rPr>
          <w:sz w:val="20"/>
          <w:szCs w:val="20"/>
          <w:color w:val="auto"/>
        </w:rPr>
      </w:pPr>
    </w:p>
    <w:p>
      <w:pPr>
        <w:ind w:left="460" w:hanging="455"/>
        <w:spacing w:after="0"/>
        <w:tabs>
          <w:tab w:leader="none" w:pos="4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each stockholder known by us to be the beneficial owner of more than 5% of our common stock;</w:t>
      </w:r>
    </w:p>
    <w:p>
      <w:pPr>
        <w:spacing w:after="0" w:line="19" w:lineRule="exact"/>
        <w:rPr>
          <w:rFonts w:ascii="Arial" w:cs="Arial" w:eastAsia="Arial" w:hAnsi="Arial"/>
          <w:sz w:val="14"/>
          <w:szCs w:val="14"/>
          <w:color w:val="auto"/>
        </w:rPr>
      </w:pPr>
    </w:p>
    <w:p>
      <w:pPr>
        <w:ind w:left="460" w:hanging="455"/>
        <w:spacing w:after="0"/>
        <w:tabs>
          <w:tab w:leader="none" w:pos="4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each of our directors;</w:t>
      </w:r>
    </w:p>
    <w:p>
      <w:pPr>
        <w:spacing w:after="0" w:line="9" w:lineRule="exact"/>
        <w:rPr>
          <w:rFonts w:ascii="Arial" w:cs="Arial" w:eastAsia="Arial" w:hAnsi="Arial"/>
          <w:sz w:val="14"/>
          <w:szCs w:val="14"/>
          <w:color w:val="auto"/>
        </w:rPr>
      </w:pPr>
    </w:p>
    <w:p>
      <w:pPr>
        <w:ind w:left="460" w:hanging="455"/>
        <w:spacing w:after="0"/>
        <w:tabs>
          <w:tab w:leader="none" w:pos="4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each of our named executive officers; and</w:t>
      </w:r>
    </w:p>
    <w:p>
      <w:pPr>
        <w:spacing w:after="0" w:line="9" w:lineRule="exact"/>
        <w:rPr>
          <w:rFonts w:ascii="Arial" w:cs="Arial" w:eastAsia="Arial" w:hAnsi="Arial"/>
          <w:sz w:val="14"/>
          <w:szCs w:val="14"/>
          <w:color w:val="auto"/>
        </w:rPr>
      </w:pPr>
    </w:p>
    <w:p>
      <w:pPr>
        <w:ind w:left="460" w:hanging="455"/>
        <w:spacing w:after="0"/>
        <w:tabs>
          <w:tab w:leader="none" w:pos="4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all of our directors and executive officers as a group.</w:t>
      </w:r>
    </w:p>
    <w:p>
      <w:pPr>
        <w:spacing w:after="0" w:line="191" w:lineRule="exact"/>
        <w:rPr>
          <w:sz w:val="20"/>
          <w:szCs w:val="20"/>
          <w:color w:val="auto"/>
        </w:rPr>
      </w:pPr>
    </w:p>
    <w:p>
      <w:pPr>
        <w:ind w:right="80"/>
        <w:spacing w:after="0" w:line="314" w:lineRule="auto"/>
        <w:rPr>
          <w:sz w:val="20"/>
          <w:szCs w:val="20"/>
          <w:color w:val="auto"/>
        </w:rPr>
      </w:pPr>
      <w:r>
        <w:rPr>
          <w:rFonts w:ascii="Arial" w:cs="Arial" w:eastAsia="Arial" w:hAnsi="Arial"/>
          <w:sz w:val="12"/>
          <w:szCs w:val="12"/>
          <w:color w:val="auto"/>
        </w:rPr>
        <w:t>Applicable percentage ownership is based on 2,432,832 shares of capital stock outstanding at March 4, 2016.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March 4, 2016.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March 4, 2016. Unless otherwise noted below, the address of each beneficial owner listed in the table is c/o VistaGen Therapeutics, Inc., 343 Allerton Avenue, South San Francisco, California 94080.</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Percent</w:t>
            </w:r>
          </w:p>
        </w:tc>
      </w:tr>
      <w:tr>
        <w:trPr>
          <w:trHeight w:val="170"/>
        </w:trPr>
        <w:tc>
          <w:tcPr>
            <w:tcW w:w="9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of shares</w:t>
            </w:r>
          </w:p>
        </w:tc>
      </w:tr>
      <w:tr>
        <w:trPr>
          <w:trHeight w:val="170"/>
        </w:trPr>
        <w:tc>
          <w:tcPr>
            <w:tcW w:w="904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Number of shares</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beneficially</w:t>
            </w:r>
          </w:p>
        </w:tc>
      </w:tr>
      <w:tr>
        <w:trPr>
          <w:trHeight w:val="186"/>
        </w:trPr>
        <w:tc>
          <w:tcPr>
            <w:tcW w:w="904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beneficially owned</w:t>
            </w:r>
          </w:p>
        </w:tc>
        <w:tc>
          <w:tcPr>
            <w:tcW w:w="1180" w:type="dxa"/>
            <w:vAlign w:val="bottom"/>
            <w:gridSpan w:val="2"/>
          </w:tcPr>
          <w:p>
            <w:pPr>
              <w:jc w:val="center"/>
              <w:ind w:right="160"/>
              <w:spacing w:after="0" w:line="185" w:lineRule="exact"/>
              <w:rPr>
                <w:sz w:val="20"/>
                <w:szCs w:val="20"/>
                <w:color w:val="auto"/>
              </w:rPr>
            </w:pPr>
            <w:r>
              <w:rPr>
                <w:rFonts w:ascii="Arial" w:cs="Arial" w:eastAsia="Arial" w:hAnsi="Arial"/>
                <w:sz w:val="14"/>
                <w:szCs w:val="14"/>
                <w:b w:val="1"/>
                <w:bCs w:val="1"/>
                <w:color w:val="auto"/>
                <w:w w:val="84"/>
              </w:rPr>
              <w:t xml:space="preserve">owned </w:t>
            </w:r>
            <w:r>
              <w:rPr>
                <w:rFonts w:ascii="Arial" w:cs="Arial" w:eastAsia="Arial" w:hAnsi="Arial"/>
                <w:sz w:val="19"/>
                <w:szCs w:val="19"/>
                <w:b w:val="1"/>
                <w:bCs w:val="1"/>
                <w:color w:val="auto"/>
                <w:w w:val="84"/>
                <w:vertAlign w:val="superscript"/>
              </w:rPr>
              <w:t>(1)</w:t>
            </w:r>
          </w:p>
        </w:tc>
      </w:tr>
      <w:tr>
        <w:trPr>
          <w:trHeight w:val="170"/>
        </w:trPr>
        <w:tc>
          <w:tcPr>
            <w:tcW w:w="9040" w:type="dxa"/>
            <w:vAlign w:val="bottom"/>
          </w:tcPr>
          <w:p>
            <w:pPr>
              <w:spacing w:after="0"/>
              <w:rPr>
                <w:sz w:val="20"/>
                <w:szCs w:val="20"/>
                <w:color w:val="auto"/>
              </w:rPr>
            </w:pPr>
            <w:r>
              <w:rPr>
                <w:rFonts w:ascii="Arial" w:cs="Arial" w:eastAsia="Arial" w:hAnsi="Arial"/>
                <w:sz w:val="14"/>
                <w:szCs w:val="14"/>
                <w:i w:val="1"/>
                <w:iCs w:val="1"/>
                <w:color w:val="auto"/>
              </w:rPr>
              <w:t>Executive officers and directors:</w:t>
            </w: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90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Shawn K. Singh </w:t>
            </w:r>
            <w:r>
              <w:rPr>
                <w:rFonts w:ascii="Arial" w:cs="Arial" w:eastAsia="Arial" w:hAnsi="Arial"/>
                <w:sz w:val="19"/>
                <w:szCs w:val="19"/>
                <w:color w:val="auto"/>
                <w:vertAlign w:val="superscript"/>
              </w:rPr>
              <w:t>(2)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589,412</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19.67%</w:t>
            </w:r>
          </w:p>
        </w:tc>
      </w:tr>
      <w:tr>
        <w:trPr>
          <w:trHeight w:val="170"/>
        </w:trPr>
        <w:tc>
          <w:tcPr>
            <w:tcW w:w="9040" w:type="dxa"/>
            <w:vAlign w:val="bottom"/>
          </w:tcPr>
          <w:p>
            <w:pPr>
              <w:spacing w:after="0" w:line="171" w:lineRule="exact"/>
              <w:rPr>
                <w:sz w:val="20"/>
                <w:szCs w:val="20"/>
                <w:color w:val="auto"/>
              </w:rPr>
            </w:pPr>
            <w:r>
              <w:rPr>
                <w:rFonts w:ascii="Arial" w:cs="Arial" w:eastAsia="Arial" w:hAnsi="Arial"/>
                <w:sz w:val="14"/>
                <w:szCs w:val="14"/>
                <w:color w:val="auto"/>
              </w:rPr>
              <w:t xml:space="preserve">H. Ralph Snodgrass, PhD </w:t>
            </w:r>
            <w:r>
              <w:rPr>
                <w:rFonts w:ascii="Arial" w:cs="Arial" w:eastAsia="Arial" w:hAnsi="Arial"/>
                <w:sz w:val="19"/>
                <w:szCs w:val="19"/>
                <w:color w:val="auto"/>
                <w:vertAlign w:val="superscript"/>
              </w:rPr>
              <w:t>(3)</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391,793</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14.17%</w:t>
            </w:r>
          </w:p>
        </w:tc>
      </w:tr>
      <w:tr>
        <w:trPr>
          <w:trHeight w:val="170"/>
        </w:trPr>
        <w:tc>
          <w:tcPr>
            <w:tcW w:w="90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Jerrold D. Dotson </w:t>
            </w:r>
            <w:r>
              <w:rPr>
                <w:rFonts w:ascii="Arial" w:cs="Arial" w:eastAsia="Arial" w:hAnsi="Arial"/>
                <w:sz w:val="19"/>
                <w:szCs w:val="19"/>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171,677</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6.59%</w:t>
            </w:r>
          </w:p>
        </w:tc>
      </w:tr>
      <w:tr>
        <w:trPr>
          <w:trHeight w:val="170"/>
        </w:trPr>
        <w:tc>
          <w:tcPr>
            <w:tcW w:w="9040" w:type="dxa"/>
            <w:vAlign w:val="bottom"/>
          </w:tcPr>
          <w:p>
            <w:pPr>
              <w:spacing w:after="0" w:line="171" w:lineRule="exact"/>
              <w:rPr>
                <w:sz w:val="20"/>
                <w:szCs w:val="20"/>
                <w:color w:val="auto"/>
              </w:rPr>
            </w:pPr>
            <w:r>
              <w:rPr>
                <w:rFonts w:ascii="Arial" w:cs="Arial" w:eastAsia="Arial" w:hAnsi="Arial"/>
                <w:sz w:val="14"/>
                <w:szCs w:val="14"/>
                <w:color w:val="auto"/>
              </w:rPr>
              <w:t xml:space="preserve">Jon S. Saxe </w:t>
            </w:r>
            <w:r>
              <w:rPr>
                <w:rFonts w:ascii="Arial" w:cs="Arial" w:eastAsia="Arial" w:hAnsi="Arial"/>
                <w:sz w:val="19"/>
                <w:szCs w:val="19"/>
                <w:color w:val="auto"/>
                <w:vertAlign w:val="superscript"/>
              </w:rPr>
              <w:t>(5)</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97,376</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3.85%</w:t>
            </w:r>
          </w:p>
        </w:tc>
      </w:tr>
      <w:tr>
        <w:trPr>
          <w:trHeight w:val="170"/>
        </w:trPr>
        <w:tc>
          <w:tcPr>
            <w:tcW w:w="90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Brian J. Underdown, PhD </w:t>
            </w:r>
            <w:r>
              <w:rPr>
                <w:rFonts w:ascii="Arial" w:cs="Arial" w:eastAsia="Arial" w:hAnsi="Arial"/>
                <w:sz w:val="19"/>
                <w:szCs w:val="19"/>
                <w:color w:val="auto"/>
                <w:vertAlign w:val="superscript"/>
              </w:rPr>
              <w:t>(6)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91,750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3.63%</w:t>
            </w:r>
          </w:p>
        </w:tc>
      </w:tr>
      <w:tr>
        <w:trPr>
          <w:trHeight w:val="170"/>
        </w:trPr>
        <w:tc>
          <w:tcPr>
            <w:tcW w:w="9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0"/>
        </w:trPr>
        <w:tc>
          <w:tcPr>
            <w:tcW w:w="90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5% Stockholders:</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70"/>
        </w:trPr>
        <w:tc>
          <w:tcPr>
            <w:tcW w:w="9040" w:type="dxa"/>
            <w:vAlign w:val="bottom"/>
          </w:tcPr>
          <w:p>
            <w:pPr>
              <w:spacing w:after="0" w:line="171" w:lineRule="exact"/>
              <w:rPr>
                <w:sz w:val="20"/>
                <w:szCs w:val="20"/>
                <w:color w:val="auto"/>
              </w:rPr>
            </w:pPr>
            <w:r>
              <w:rPr>
                <w:rFonts w:ascii="Arial" w:cs="Arial" w:eastAsia="Arial" w:hAnsi="Arial"/>
                <w:sz w:val="14"/>
                <w:szCs w:val="14"/>
                <w:color w:val="auto"/>
              </w:rPr>
              <w:t xml:space="preserve">Platinum Long Term Growth Fund VII/Montsant Partners, LLC </w:t>
            </w:r>
            <w:r>
              <w:rPr>
                <w:rFonts w:ascii="Arial" w:cs="Arial" w:eastAsia="Arial" w:hAnsi="Arial"/>
                <w:sz w:val="19"/>
                <w:szCs w:val="19"/>
                <w:color w:val="auto"/>
                <w:vertAlign w:val="superscript"/>
              </w:rPr>
              <w:t>(7)</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4,864,931</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67.46%</w:t>
            </w:r>
          </w:p>
        </w:tc>
      </w:tr>
      <w:tr>
        <w:trPr>
          <w:trHeight w:val="170"/>
        </w:trPr>
        <w:tc>
          <w:tcPr>
            <w:tcW w:w="90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Michael Goldberg </w:t>
            </w:r>
            <w:r>
              <w:rPr>
                <w:rFonts w:ascii="Arial" w:cs="Arial" w:eastAsia="Arial" w:hAnsi="Arial"/>
                <w:sz w:val="19"/>
                <w:szCs w:val="19"/>
                <w:color w:val="auto"/>
                <w:vertAlign w:val="superscript"/>
              </w:rPr>
              <w:t>(8)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437,488</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16.28%</w:t>
            </w:r>
          </w:p>
        </w:tc>
      </w:tr>
      <w:tr>
        <w:trPr>
          <w:trHeight w:val="170"/>
        </w:trPr>
        <w:tc>
          <w:tcPr>
            <w:tcW w:w="9040" w:type="dxa"/>
            <w:vAlign w:val="bottom"/>
          </w:tcPr>
          <w:p>
            <w:pPr>
              <w:spacing w:after="0" w:line="171" w:lineRule="exact"/>
              <w:rPr>
                <w:sz w:val="20"/>
                <w:szCs w:val="20"/>
                <w:color w:val="auto"/>
              </w:rPr>
            </w:pPr>
            <w:r>
              <w:rPr>
                <w:rFonts w:ascii="Arial" w:cs="Arial" w:eastAsia="Arial" w:hAnsi="Arial"/>
                <w:sz w:val="14"/>
                <w:szCs w:val="14"/>
                <w:color w:val="auto"/>
              </w:rPr>
              <w:t xml:space="preserve">Cato BioVentures </w:t>
            </w:r>
            <w:r>
              <w:rPr>
                <w:rFonts w:ascii="Arial" w:cs="Arial" w:eastAsia="Arial" w:hAnsi="Arial"/>
                <w:sz w:val="19"/>
                <w:szCs w:val="19"/>
                <w:color w:val="auto"/>
                <w:vertAlign w:val="superscript"/>
              </w:rPr>
              <w:t>(9)</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549,008</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19.88%</w:t>
            </w:r>
          </w:p>
        </w:tc>
      </w:tr>
      <w:tr>
        <w:trPr>
          <w:trHeight w:val="170"/>
        </w:trPr>
        <w:tc>
          <w:tcPr>
            <w:tcW w:w="90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Morrison &amp; Foerster LLP </w:t>
            </w:r>
            <w:r>
              <w:rPr>
                <w:rFonts w:ascii="Arial" w:cs="Arial" w:eastAsia="Arial" w:hAnsi="Arial"/>
                <w:sz w:val="19"/>
                <w:szCs w:val="19"/>
                <w:color w:val="auto"/>
                <w:vertAlign w:val="superscript"/>
              </w:rPr>
              <w:t>(10)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377,591</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13.48%</w:t>
            </w:r>
          </w:p>
        </w:tc>
      </w:tr>
      <w:tr>
        <w:trPr>
          <w:trHeight w:val="170"/>
        </w:trPr>
        <w:tc>
          <w:tcPr>
            <w:tcW w:w="9040" w:type="dxa"/>
            <w:vAlign w:val="bottom"/>
          </w:tcPr>
          <w:p>
            <w:pPr>
              <w:spacing w:after="0" w:line="171" w:lineRule="exact"/>
              <w:rPr>
                <w:sz w:val="20"/>
                <w:szCs w:val="20"/>
                <w:color w:val="auto"/>
              </w:rPr>
            </w:pPr>
            <w:r>
              <w:rPr>
                <w:rFonts w:ascii="Arial" w:cs="Arial" w:eastAsia="Arial" w:hAnsi="Arial"/>
                <w:sz w:val="14"/>
                <w:szCs w:val="14"/>
                <w:color w:val="auto"/>
              </w:rPr>
              <w:t xml:space="preserve">University Health Network </w:t>
            </w:r>
            <w:r>
              <w:rPr>
                <w:rFonts w:ascii="Arial" w:cs="Arial" w:eastAsia="Arial" w:hAnsi="Arial"/>
                <w:sz w:val="19"/>
                <w:szCs w:val="19"/>
                <w:color w:val="auto"/>
                <w:vertAlign w:val="superscript"/>
              </w:rPr>
              <w:t>(11)</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150,678</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5.96%</w:t>
            </w:r>
          </w:p>
        </w:tc>
      </w:tr>
      <w:tr>
        <w:trPr>
          <w:trHeight w:val="170"/>
        </w:trPr>
        <w:tc>
          <w:tcPr>
            <w:tcW w:w="90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Nexthera Capital Master Fund LP </w:t>
            </w:r>
            <w:r>
              <w:rPr>
                <w:rFonts w:ascii="Arial" w:cs="Arial" w:eastAsia="Arial" w:hAnsi="Arial"/>
                <w:sz w:val="19"/>
                <w:szCs w:val="19"/>
                <w:color w:val="auto"/>
                <w:vertAlign w:val="superscript"/>
              </w:rPr>
              <w:t>(12)</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131,250</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5.23%</w:t>
            </w:r>
          </w:p>
        </w:tc>
      </w:tr>
      <w:tr>
        <w:trPr>
          <w:trHeight w:val="170"/>
        </w:trPr>
        <w:tc>
          <w:tcPr>
            <w:tcW w:w="9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0"/>
        </w:trPr>
        <w:tc>
          <w:tcPr>
            <w:tcW w:w="90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All executive officers and directors as a group (5 persons) </w:t>
            </w:r>
            <w:r>
              <w:rPr>
                <w:rFonts w:ascii="Arial" w:cs="Arial" w:eastAsia="Arial" w:hAnsi="Arial"/>
                <w:sz w:val="19"/>
                <w:szCs w:val="19"/>
                <w:color w:val="auto"/>
                <w:vertAlign w:val="superscript"/>
              </w:rPr>
              <w:t>(13)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1,342,008</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36.40%</w:t>
            </w:r>
          </w:p>
        </w:tc>
      </w:tr>
    </w:tbl>
    <w:p>
      <w:pPr>
        <w:spacing w:after="0" w:line="181" w:lineRule="exact"/>
        <w:rPr>
          <w:sz w:val="20"/>
          <w:szCs w:val="20"/>
          <w:color w:val="auto"/>
        </w:rPr>
      </w:pPr>
    </w:p>
    <w:p>
      <w:pPr>
        <w:ind w:left="600" w:hanging="595"/>
        <w:spacing w:after="0"/>
        <w:tabs>
          <w:tab w:leader="none" w:pos="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Based on 2,432,832 shares of common stock are issued and outstanding as of March 4, 2016.</w:t>
      </w:r>
    </w:p>
    <w:p>
      <w:pPr>
        <w:spacing w:after="0" w:line="179" w:lineRule="exact"/>
        <w:rPr>
          <w:rFonts w:ascii="Arial" w:cs="Arial" w:eastAsia="Arial" w:hAnsi="Arial"/>
          <w:sz w:val="14"/>
          <w:szCs w:val="14"/>
          <w:color w:val="auto"/>
        </w:rPr>
      </w:pPr>
    </w:p>
    <w:p>
      <w:pPr>
        <w:ind w:left="600" w:right="360" w:hanging="595"/>
        <w:spacing w:after="0" w:line="283" w:lineRule="auto"/>
        <w:tabs>
          <w:tab w:leader="none" w:pos="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options to purchase 85,375 restricted shares of common stock exercisable within 60 days of March 4, 2016 and warrants to purchase 477,803 restricted shares of common stock exercisable within 60 days of March 4, 2016.</w:t>
      </w:r>
    </w:p>
    <w:p>
      <w:pPr>
        <w:spacing w:after="0" w:line="131" w:lineRule="exact"/>
        <w:rPr>
          <w:rFonts w:ascii="Arial" w:cs="Arial" w:eastAsia="Arial" w:hAnsi="Arial"/>
          <w:sz w:val="14"/>
          <w:szCs w:val="14"/>
          <w:color w:val="auto"/>
        </w:rPr>
      </w:pPr>
    </w:p>
    <w:p>
      <w:pPr>
        <w:ind w:left="600" w:right="360" w:hanging="595"/>
        <w:spacing w:after="0" w:line="283" w:lineRule="auto"/>
        <w:tabs>
          <w:tab w:leader="none" w:pos="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options to purchase 21,569 restricted shares of common stock exercisable within 60 days of March 4, 2016 and warrants to purchase 310,000 restricted shares of common stock exercisable within 60 days of March 4, 2016.</w:t>
      </w:r>
    </w:p>
    <w:p>
      <w:pPr>
        <w:spacing w:after="0" w:line="131" w:lineRule="exact"/>
        <w:rPr>
          <w:rFonts w:ascii="Arial" w:cs="Arial" w:eastAsia="Arial" w:hAnsi="Arial"/>
          <w:sz w:val="14"/>
          <w:szCs w:val="14"/>
          <w:color w:val="auto"/>
        </w:rPr>
      </w:pPr>
    </w:p>
    <w:p>
      <w:pPr>
        <w:ind w:left="600" w:right="260" w:hanging="595"/>
        <w:spacing w:after="0" w:line="283" w:lineRule="auto"/>
        <w:tabs>
          <w:tab w:leader="none" w:pos="6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Includes options to purchase 6,677 restricted shares of common stock exercisable within 60 days of March 4, 2016, including options to purchase 676 shares of common stock held by Mr. Dotson’s wife, and warrants to purchase 165,000 restricted shares of common stock exercisable within 60 days of March 4, 2016.</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0" w:name="page121"/>
    <w:bookmarkEnd w:id="12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600" w:right="440" w:hanging="595"/>
        <w:spacing w:after="0" w:line="283" w:lineRule="auto"/>
        <w:tabs>
          <w:tab w:leader="none" w:pos="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options to purchase 12,250 restricted shares of common stock exercisable within 60 days of March 4, 2016 and warrants to purchase 83,250 restricted shares of common stock exercisable within 60 days of March 4, 2016.</w:t>
      </w:r>
    </w:p>
    <w:p>
      <w:pPr>
        <w:spacing w:after="0" w:line="131" w:lineRule="exact"/>
        <w:rPr>
          <w:rFonts w:ascii="Arial" w:cs="Arial" w:eastAsia="Arial" w:hAnsi="Arial"/>
          <w:sz w:val="14"/>
          <w:szCs w:val="14"/>
          <w:color w:val="auto"/>
        </w:rPr>
      </w:pPr>
    </w:p>
    <w:p>
      <w:pPr>
        <w:ind w:left="600" w:right="500" w:hanging="595"/>
        <w:spacing w:after="0" w:line="283" w:lineRule="auto"/>
        <w:tabs>
          <w:tab w:leader="none" w:pos="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options to purchase 9,250 restricted shares of common stock exercisable within 60 days of March 4, 2016 and warrants to purchase 82,500 restricted shares of common stock exercisable within 60 days of March 4, 2016.</w:t>
      </w:r>
    </w:p>
    <w:p>
      <w:pPr>
        <w:spacing w:after="0" w:line="152" w:lineRule="exact"/>
        <w:rPr>
          <w:rFonts w:ascii="Arial" w:cs="Arial" w:eastAsia="Arial" w:hAnsi="Arial"/>
          <w:sz w:val="14"/>
          <w:szCs w:val="14"/>
          <w:color w:val="auto"/>
        </w:rPr>
      </w:pPr>
    </w:p>
    <w:p>
      <w:pPr>
        <w:ind w:left="600" w:right="560" w:hanging="595"/>
        <w:spacing w:after="0" w:line="283" w:lineRule="auto"/>
        <w:tabs>
          <w:tab w:leader="none" w:pos="6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upon information contained in Schedule 13G/A filed on February 18, 2015 by Platinum Long Term Growth Fund VII (</w:t>
      </w:r>
      <w:r>
        <w:rPr>
          <w:rFonts w:ascii="Arial" w:cs="Arial" w:eastAsia="Arial" w:hAnsi="Arial"/>
          <w:sz w:val="14"/>
          <w:szCs w:val="14"/>
          <w:i w:val="1"/>
          <w:iCs w:val="1"/>
          <w:color w:val="auto"/>
        </w:rPr>
        <w:t>Platinum</w:t>
      </w:r>
      <w:r>
        <w:rPr>
          <w:rFonts w:ascii="Arial" w:cs="Arial" w:eastAsia="Arial" w:hAnsi="Arial"/>
          <w:sz w:val="14"/>
          <w:szCs w:val="14"/>
          <w:color w:val="auto"/>
        </w:rPr>
        <w:t>) and adjusted to give effect to the transactions consummated between Platinum, Montsant Partners, LLC (</w:t>
      </w:r>
      <w:r>
        <w:rPr>
          <w:rFonts w:ascii="Arial" w:cs="Arial" w:eastAsia="Arial" w:hAnsi="Arial"/>
          <w:sz w:val="14"/>
          <w:szCs w:val="14"/>
          <w:i w:val="1"/>
          <w:iCs w:val="1"/>
          <w:color w:val="auto"/>
        </w:rPr>
        <w:t>Montsant</w:t>
      </w:r>
      <w:r>
        <w:rPr>
          <w:rFonts w:ascii="Arial" w:cs="Arial" w:eastAsia="Arial" w:hAnsi="Arial"/>
          <w:sz w:val="14"/>
          <w:szCs w:val="14"/>
          <w:color w:val="auto"/>
        </w:rPr>
        <w:t>), a Platinum affiliate, and us through March 4, 2016.</w:t>
      </w:r>
    </w:p>
    <w:p>
      <w:pPr>
        <w:spacing w:after="0" w:line="131" w:lineRule="exact"/>
        <w:rPr>
          <w:rFonts w:ascii="Arial" w:cs="Arial" w:eastAsia="Arial" w:hAnsi="Arial"/>
          <w:sz w:val="14"/>
          <w:szCs w:val="14"/>
          <w:color w:val="auto"/>
        </w:rPr>
      </w:pPr>
    </w:p>
    <w:p>
      <w:pPr>
        <w:ind w:left="600" w:right="20"/>
        <w:spacing w:after="0" w:line="285" w:lineRule="auto"/>
        <w:rPr>
          <w:rFonts w:ascii="Arial" w:cs="Arial" w:eastAsia="Arial" w:hAnsi="Arial"/>
          <w:sz w:val="14"/>
          <w:szCs w:val="14"/>
          <w:color w:val="auto"/>
        </w:rPr>
      </w:pPr>
      <w:r>
        <w:rPr>
          <w:rFonts w:ascii="Arial" w:cs="Arial" w:eastAsia="Arial" w:hAnsi="Arial"/>
          <w:sz w:val="13"/>
          <w:szCs w:val="13"/>
          <w:color w:val="auto"/>
        </w:rPr>
        <w:t>The number of beneficially owned shares reported includes 637,500 restricted shares of common stock that may currently be acquired by Montsant upon exchange of 425,000 restricted shares of our Series A Preferred Stock (</w:t>
      </w:r>
      <w:r>
        <w:rPr>
          <w:rFonts w:ascii="Arial" w:cs="Arial" w:eastAsia="Arial" w:hAnsi="Arial"/>
          <w:sz w:val="13"/>
          <w:szCs w:val="13"/>
          <w:i w:val="1"/>
          <w:iCs w:val="1"/>
          <w:color w:val="auto"/>
        </w:rPr>
        <w:t>Series A Preferred</w:t>
      </w:r>
      <w:r>
        <w:rPr>
          <w:rFonts w:ascii="Arial" w:cs="Arial" w:eastAsia="Arial" w:hAnsi="Arial"/>
          <w:sz w:val="13"/>
          <w:szCs w:val="13"/>
          <w:color w:val="auto"/>
        </w:rPr>
        <w:t>). Pursuant to the October 11, 2012 Note Exchange and Purchase Agreement by and between us and Platinum, there is, however, a limitation on exchange such that the number of shares of our common stock that may be acquired by Platinum or its affiliates upon exchange of the Series A Preferred is limited to the extent necessary to ensure that, following such exchange, the total number of shares of our common stock then beneficially owned by Platinum or its affiliates does not exceed 9.99% of the total number of our then issued and outstanding shares of common stock without providing us with 61 days’ prior notice thereof.</w:t>
      </w:r>
    </w:p>
    <w:p>
      <w:pPr>
        <w:spacing w:after="0" w:line="134" w:lineRule="exact"/>
        <w:rPr>
          <w:rFonts w:ascii="Arial" w:cs="Arial" w:eastAsia="Arial" w:hAnsi="Arial"/>
          <w:sz w:val="14"/>
          <w:szCs w:val="14"/>
          <w:color w:val="auto"/>
        </w:rPr>
      </w:pPr>
    </w:p>
    <w:p>
      <w:pPr>
        <w:ind w:left="600"/>
        <w:spacing w:after="0" w:line="259" w:lineRule="auto"/>
        <w:rPr>
          <w:rFonts w:ascii="Arial" w:cs="Arial" w:eastAsia="Arial" w:hAnsi="Arial"/>
          <w:sz w:val="14"/>
          <w:szCs w:val="14"/>
          <w:color w:val="auto"/>
        </w:rPr>
      </w:pPr>
      <w:r>
        <w:rPr>
          <w:rFonts w:ascii="Arial" w:cs="Arial" w:eastAsia="Arial" w:hAnsi="Arial"/>
          <w:sz w:val="14"/>
          <w:szCs w:val="14"/>
          <w:color w:val="auto"/>
        </w:rPr>
        <w:t>Further, the reported number of shares beneficially owned by Montsant also includes 1,823,669 shares of common stock pursuant to its ownership of 1,823,669 shares of our Series B 10%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 immediately convertible into a like number of shares of our common stock. Pursuant to the terms of the Certificate of Designation of the Relative Rights and Preferences of the Series B 10% Convertible Preferred Stock, there is, however, a limitation on conversion of the Series B Preferred such that the number of shares of common stock that Montsant may beneficially acquire upon such conversion is limited to the extent necessary to ensure that, following such conversion,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50" w:lineRule="exact"/>
        <w:rPr>
          <w:rFonts w:ascii="Arial" w:cs="Arial" w:eastAsia="Arial" w:hAnsi="Arial"/>
          <w:sz w:val="14"/>
          <w:szCs w:val="14"/>
          <w:color w:val="auto"/>
        </w:rPr>
      </w:pPr>
    </w:p>
    <w:p>
      <w:pPr>
        <w:ind w:left="600"/>
        <w:spacing w:after="0" w:line="259" w:lineRule="auto"/>
        <w:rPr>
          <w:rFonts w:ascii="Arial" w:cs="Arial" w:eastAsia="Arial" w:hAnsi="Arial"/>
          <w:sz w:val="14"/>
          <w:szCs w:val="14"/>
          <w:color w:val="auto"/>
        </w:rPr>
      </w:pPr>
      <w:r>
        <w:rPr>
          <w:rFonts w:ascii="Arial" w:cs="Arial" w:eastAsia="Arial" w:hAnsi="Arial"/>
          <w:sz w:val="14"/>
          <w:szCs w:val="14"/>
          <w:color w:val="auto"/>
        </w:rPr>
        <w:t>Further, the reported number of shares beneficially owned by Montsant also includes 2,318,012 shares of common stock pursuant to its ownership of 2,318,012 shares of our Series C Convertible Preferred Stock (</w:t>
      </w:r>
      <w:r>
        <w:rPr>
          <w:rFonts w:ascii="Arial" w:cs="Arial" w:eastAsia="Arial" w:hAnsi="Arial"/>
          <w:sz w:val="14"/>
          <w:szCs w:val="14"/>
          <w:i w:val="1"/>
          <w:iCs w:val="1"/>
          <w:color w:val="auto"/>
        </w:rPr>
        <w:t>Series C Preferred</w:t>
      </w:r>
      <w:r>
        <w:rPr>
          <w:rFonts w:ascii="Arial" w:cs="Arial" w:eastAsia="Arial" w:hAnsi="Arial"/>
          <w:sz w:val="14"/>
          <w:szCs w:val="14"/>
          <w:color w:val="auto"/>
        </w:rPr>
        <w:t>), immediately convertible into a like number of shares of our restricted common stock. Pursuant to the terms of the Certificate of Designation of the Relative Rights and Preferences of the Series C Convertible Preferred Stock, there is, however, a limitation on conversion of the Series C Preferred such that the number of shares of common stock that Montsant may beneficially acquire upon such conversion is limited to the extent necessary to ensure that, following such conversion,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50" w:lineRule="exact"/>
        <w:rPr>
          <w:rFonts w:ascii="Arial" w:cs="Arial" w:eastAsia="Arial" w:hAnsi="Arial"/>
          <w:sz w:val="14"/>
          <w:szCs w:val="14"/>
          <w:color w:val="auto"/>
        </w:rPr>
      </w:pPr>
    </w:p>
    <w:p>
      <w:pPr>
        <w:ind w:left="600" w:right="340"/>
        <w:spacing w:after="0" w:line="268" w:lineRule="auto"/>
        <w:rPr>
          <w:rFonts w:ascii="Arial" w:cs="Arial" w:eastAsia="Arial" w:hAnsi="Arial"/>
          <w:sz w:val="14"/>
          <w:szCs w:val="14"/>
          <w:color w:val="auto"/>
        </w:rPr>
      </w:pPr>
      <w:r>
        <w:rPr>
          <w:rFonts w:ascii="Arial" w:cs="Arial" w:eastAsia="Arial" w:hAnsi="Arial"/>
          <w:sz w:val="14"/>
          <w:szCs w:val="14"/>
          <w:color w:val="auto"/>
        </w:rPr>
        <w:t>Excluding the shares otherwise subject to the beneficial ownership restrictions noted above, Platinum and Montsant beneficially own 85,750 shares or 3.52% of our common stock. The primary business address of Platinum Long Term Growth Fund VII and Montsant Partners, LLC is c/o Platinum Partners, 250 West 55th Street, 14th Floor, New York, New York 10019. Mark Nordlicht has voting and investment control over the shares held by Platinum and Montsant.</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1" w:name="page122"/>
    <w:bookmarkEnd w:id="12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600" w:right="160" w:hanging="595"/>
        <w:spacing w:after="0" w:line="283" w:lineRule="auto"/>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Platinum has transferred to Michael Goldberg (</w:t>
      </w:r>
      <w:r>
        <w:rPr>
          <w:rFonts w:ascii="Arial" w:cs="Arial" w:eastAsia="Arial" w:hAnsi="Arial"/>
          <w:sz w:val="14"/>
          <w:szCs w:val="14"/>
          <w:i w:val="1"/>
          <w:iCs w:val="1"/>
          <w:color w:val="auto"/>
        </w:rPr>
        <w:t>Goldberg</w:t>
      </w:r>
      <w:r>
        <w:rPr>
          <w:rFonts w:ascii="Arial" w:cs="Arial" w:eastAsia="Arial" w:hAnsi="Arial"/>
          <w:sz w:val="14"/>
          <w:szCs w:val="14"/>
          <w:color w:val="auto"/>
        </w:rPr>
        <w:t>) certain of the equity securities initially issued by us to Platinum. The conversion or exercise restrictions in those securities initially applicable to Platinum remain applicable to Goldberg.</w:t>
      </w:r>
    </w:p>
    <w:p>
      <w:pPr>
        <w:spacing w:after="0" w:line="131" w:lineRule="exact"/>
        <w:rPr>
          <w:rFonts w:ascii="Arial" w:cs="Arial" w:eastAsia="Arial" w:hAnsi="Arial"/>
          <w:sz w:val="14"/>
          <w:szCs w:val="14"/>
          <w:color w:val="auto"/>
        </w:rPr>
      </w:pPr>
    </w:p>
    <w:p>
      <w:pPr>
        <w:ind w:left="600" w:right="60"/>
        <w:spacing w:after="0" w:line="261" w:lineRule="auto"/>
        <w:rPr>
          <w:rFonts w:ascii="Arial" w:cs="Arial" w:eastAsia="Arial" w:hAnsi="Arial"/>
          <w:sz w:val="14"/>
          <w:szCs w:val="14"/>
          <w:color w:val="auto"/>
        </w:rPr>
      </w:pPr>
      <w:r>
        <w:rPr>
          <w:rFonts w:ascii="Arial" w:cs="Arial" w:eastAsia="Arial" w:hAnsi="Arial"/>
          <w:sz w:val="14"/>
          <w:szCs w:val="14"/>
          <w:color w:val="auto"/>
        </w:rPr>
        <w:t>The number of shares reported as beneficially owned by Goldberg includes 112,500 restricted shares of common stock that may currently be acquired by Goldberg upon exchange of 75,000 restricted shares of our Series A Preferred. Pursuant to the October 11, 2012 Note Exchange and Purchase Agreement by and between us and Platinum, there is, however, a limitation on exchange such that the number of shares of our common stock that may be acquired by Goldberg upon exchange of the Series A Preferred is limited to the extent necessary to ensure that, following such exchange, the total number of shares of our common stock then beneficially owned by Goldberg does not exceed 9.99% of the total number of our then issued and outstanding shares of common stock without providing us with 61 days’ prior notice thereof.</w:t>
      </w:r>
    </w:p>
    <w:p>
      <w:pPr>
        <w:spacing w:after="0" w:line="146" w:lineRule="exact"/>
        <w:rPr>
          <w:rFonts w:ascii="Arial" w:cs="Arial" w:eastAsia="Arial" w:hAnsi="Arial"/>
          <w:sz w:val="14"/>
          <w:szCs w:val="14"/>
          <w:color w:val="auto"/>
        </w:rPr>
      </w:pPr>
    </w:p>
    <w:p>
      <w:pPr>
        <w:ind w:left="600" w:right="60"/>
        <w:spacing w:after="0" w:line="314" w:lineRule="auto"/>
        <w:rPr>
          <w:rFonts w:ascii="Arial" w:cs="Arial" w:eastAsia="Arial" w:hAnsi="Arial"/>
          <w:sz w:val="14"/>
          <w:szCs w:val="14"/>
          <w:color w:val="auto"/>
        </w:rPr>
      </w:pPr>
      <w:r>
        <w:rPr>
          <w:rFonts w:ascii="Arial" w:cs="Arial" w:eastAsia="Arial" w:hAnsi="Arial"/>
          <w:sz w:val="12"/>
          <w:szCs w:val="12"/>
          <w:color w:val="auto"/>
        </w:rPr>
        <w:t>Further, the reported number of shares beneficially owned by Goldberg also includes 142,527 shares of common stock pursuant to his ownership of 142,527 shares of our Series B Preferred, immediately convertible into a like number of shares of our registered common stock. Pursuant to the terms of the Certificate of Designation of the Relative Rights and Preferences of the Series B 10% Convertible Preferred Stock, there is, however, a limitation on conversion of the Series B Preferred such that the number of shares of common stock that Goldberg may beneficially acquire upon such conversion is limited to the extent necessary to ensure that, following such conversion, the total number of shares of common stock then beneficially owned by Goldberg does not exceed 9.99% of the total number of then issued and outstanding shares of our common stock without providing us with 61 days’ prior notice thereof.</w:t>
      </w:r>
    </w:p>
    <w:p>
      <w:pPr>
        <w:spacing w:after="0" w:line="119" w:lineRule="exact"/>
        <w:rPr>
          <w:rFonts w:ascii="Arial" w:cs="Arial" w:eastAsia="Arial" w:hAnsi="Arial"/>
          <w:sz w:val="14"/>
          <w:szCs w:val="14"/>
          <w:color w:val="auto"/>
        </w:rPr>
      </w:pPr>
    </w:p>
    <w:p>
      <w:pPr>
        <w:ind w:left="600"/>
        <w:spacing w:after="0"/>
        <w:rPr>
          <w:rFonts w:ascii="Arial" w:cs="Arial" w:eastAsia="Arial" w:hAnsi="Arial"/>
          <w:sz w:val="14"/>
          <w:szCs w:val="14"/>
          <w:color w:val="auto"/>
        </w:rPr>
      </w:pPr>
      <w:r>
        <w:rPr>
          <w:rFonts w:ascii="Arial" w:cs="Arial" w:eastAsia="Arial" w:hAnsi="Arial"/>
          <w:sz w:val="14"/>
          <w:szCs w:val="14"/>
          <w:color w:val="auto"/>
        </w:rPr>
        <w:t>Excluding the shares otherwise subject to the beneficial ownership restrictions noted above, Goldberg beneficially owns 182,461 shares or 7.50% of our common stock.</w:t>
      </w:r>
    </w:p>
    <w:p>
      <w:pPr>
        <w:spacing w:after="0" w:line="179" w:lineRule="exact"/>
        <w:rPr>
          <w:rFonts w:ascii="Arial" w:cs="Arial" w:eastAsia="Arial" w:hAnsi="Arial"/>
          <w:sz w:val="14"/>
          <w:szCs w:val="14"/>
          <w:color w:val="auto"/>
        </w:rPr>
      </w:pPr>
    </w:p>
    <w:p>
      <w:pPr>
        <w:ind w:left="600" w:hanging="595"/>
        <w:spacing w:after="0" w:line="280" w:lineRule="auto"/>
        <w:tabs>
          <w:tab w:leader="none" w:pos="6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Based upon information contained in Form 4 filed on January 9, 2012, as updated to give effect to transactions through March 4, 2016 as recorded on our books. The reported number of shares beneficially owned by Cato Holding Company, dba Cato BioVentures, includes 328,571 restricted shares of our Series B Preferred stock currently exchangeable for 328,571 registered shares of our common stock. Pursuant to the terms of the Certificate of Designation of the Relative Rights and Preferences of the Series B 10% Convertible Preferred Stock, however, there is a limitation on conversion of the Series B Preferred such that the number of shares of common stock that Cato may beneficially acquire upon such conversion is limited to the extent necessary to ensure that, following such conversion, the total number of shares of common stock then beneficially owned by Cato does not exceed 9.99% of the total number of then issued and outstanding shares of our common stock without providing us with 61 days’ prior notice thereof. Excluding the shares subject to the beneficial ownership restrictions noted above, Cato beneficially owns 220,437 shares or 9.06% of our common stock. Lynda Sutton has voting and investment authority over the shares held by Cato Holding Company. The primary business address of Cato BioVentures is 4364 South Alston Avenue, Durham, North Carolina 27713.</w:t>
      </w:r>
    </w:p>
    <w:p>
      <w:pPr>
        <w:spacing w:after="0" w:line="138" w:lineRule="exact"/>
        <w:rPr>
          <w:rFonts w:ascii="Arial" w:cs="Arial" w:eastAsia="Arial" w:hAnsi="Arial"/>
          <w:sz w:val="13"/>
          <w:szCs w:val="13"/>
          <w:color w:val="auto"/>
        </w:rPr>
      </w:pPr>
    </w:p>
    <w:p>
      <w:pPr>
        <w:ind w:left="600" w:right="80" w:hanging="595"/>
        <w:spacing w:after="0" w:line="258" w:lineRule="auto"/>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currently exercisable warrants to purchase 110,448 restricted shares of common stock and 257,143 restricted shares of our Series B Preferred stock currently exchangeable for 257,143 registered shares of our common stock. Pursuant to the terms of the Certificate of Designation of Rights and Preferences of the Series B Preferred, however, there is a limitation on conversion of the Series B Preferred such that the number of shares of common stock that Morrison &amp; Foerster may beneficially acquire upon such conversion is limited to the extent necessary to ensure that, following such conversion, the total number of shares of common stock then beneficially owned by Morrison &amp; Foerster does not exceed 9.99% of the total number of issued and outstanding shares of our common stock without providing us with 61 days’ prior notice thereof. Effective on June 12, 2015, Morrison &amp; Foerster provided us with such 61-day advance notice, which notice period has now elapsed. The primary business address of Morrison &amp; Foerster is 555 Market Street, San Francisco, California 94105. Mark Blumenthal has voting and investment control over the shares held by Morrison &amp; Foerster.</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2" w:name="page123"/>
    <w:bookmarkEnd w:id="12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600" w:right="360" w:hanging="595"/>
        <w:spacing w:after="0" w:line="268" w:lineRule="auto"/>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93,775 restricted shares of our Series B Preferred currently exchangeable for 93,775 registered shares of our common stock. The primary business address of University Health Network is 101 College Street, Suite 150, Toronto, Ontario Canada M5G 1L7. Christopher Paige, Ph.D. has voting and investment authority over the shares held by University Health Network.</w:t>
      </w:r>
    </w:p>
    <w:p>
      <w:pPr>
        <w:spacing w:after="0" w:line="142" w:lineRule="exact"/>
        <w:rPr>
          <w:rFonts w:ascii="Arial" w:cs="Arial" w:eastAsia="Arial" w:hAnsi="Arial"/>
          <w:sz w:val="14"/>
          <w:szCs w:val="14"/>
          <w:color w:val="auto"/>
        </w:rPr>
      </w:pPr>
    </w:p>
    <w:p>
      <w:pPr>
        <w:ind w:left="600" w:right="80" w:hanging="595"/>
        <w:spacing w:after="0" w:line="258" w:lineRule="auto"/>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75,000 restricted shares of our Series B Preferred stock currently exchangeable for 75,000 restricted shares of our common stock. Pursuant to the terms of the Certificate of Designation of Rights and Preferences of the Series B Preferred there is, however, a limitation on conversion of the Series B Preferred such that the number of shares of common stock that Nexthera Capital may beneficially acquire upon such conversion is limited to the extent necessary to ensure that, following such conversion, the total number of shares of common stock then beneficially owned by Nexthera Capital does not exceed 9.99% of the total number of issued and outstanding shares of our common stock without providing us with 61 days’ prior notice thereof. Excluding the shares subject to the beneficial ownership restrictions noted above, Nexthera Capital beneficially owns 56,250 shares or 2.31% of our common stock. The primary business address of Nexthera Capital Master Fund LP is 900 Third Avenue, Suite 201.1, New York, NY 10022. Daniel Malek has voting and investment authority over the shares held by Nexthera Capital.</w:t>
      </w:r>
    </w:p>
    <w:p>
      <w:pPr>
        <w:spacing w:after="0" w:line="172" w:lineRule="exact"/>
        <w:rPr>
          <w:rFonts w:ascii="Arial" w:cs="Arial" w:eastAsia="Arial" w:hAnsi="Arial"/>
          <w:sz w:val="14"/>
          <w:szCs w:val="14"/>
          <w:color w:val="auto"/>
        </w:rPr>
      </w:pPr>
    </w:p>
    <w:p>
      <w:pPr>
        <w:ind w:left="600" w:right="340" w:hanging="595"/>
        <w:spacing w:after="0" w:line="283" w:lineRule="auto"/>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options to purchase an aggregate of 135,121 restricted shares of common stock exercisable within 60 days of March 4, 2016 and warrants to purchase an aggregate of 1,118,553 restricted shares of common stock exercisable within 60 days of March 4, 2016.</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Grants</w:t>
      </w:r>
    </w:p>
    <w:p>
      <w:pPr>
        <w:spacing w:after="0" w:line="180" w:lineRule="exact"/>
        <w:rPr>
          <w:sz w:val="20"/>
          <w:szCs w:val="20"/>
          <w:color w:val="auto"/>
        </w:rPr>
      </w:pPr>
    </w:p>
    <w:p>
      <w:pPr>
        <w:ind w:right="20"/>
        <w:spacing w:after="0" w:line="320" w:lineRule="auto"/>
        <w:rPr>
          <w:sz w:val="20"/>
          <w:szCs w:val="20"/>
          <w:color w:val="auto"/>
        </w:rPr>
      </w:pPr>
      <w:r>
        <w:rPr>
          <w:rFonts w:ascii="Arial" w:cs="Arial" w:eastAsia="Arial" w:hAnsi="Arial"/>
          <w:sz w:val="12"/>
          <w:szCs w:val="12"/>
          <w:color w:val="auto"/>
        </w:rPr>
        <w:t>As of March 31, 2015, options to purchase a total of 207,638 restricted shares of our common stock were outstanding at a weighted average exercise price of $10.09 per share, of which 199,013 options were vested and exercisable at a weighted average exercise price of $10.09 per share and 8,625 were unvested and not exercisable at a weighted average exercise price of $10.22 per share. These options were issued under our 2008 Plan and our 1999 Plan, each as described below. At March 31, 2015, an additional 40,491 shares remained available for future equity grants under our 2008 Plan. In August 2015, our stockholders approved an amendment to the 2008 Plan to increase the number of shares of our common stock authorized for issuance thereunder from 250,000 to 1.0 million shares.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securities</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available for</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future issuance</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securities</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under equity</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to be issued upon</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compensation</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of</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Weighted-average</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plans</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outstanding</w:t>
            </w:r>
          </w:p>
        </w:tc>
        <w:tc>
          <w:tcPr>
            <w:tcW w:w="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exercise price of</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(excluding</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options,</w:t>
            </w:r>
          </w:p>
        </w:tc>
        <w:tc>
          <w:tcPr>
            <w:tcW w:w="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outstanding</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securities</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warrants and</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options, warrants</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reflected in</w:t>
            </w:r>
          </w:p>
        </w:tc>
      </w:tr>
      <w:tr>
        <w:trPr>
          <w:trHeight w:val="170"/>
        </w:trPr>
        <w:tc>
          <w:tcPr>
            <w:tcW w:w="45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rights</w:t>
            </w:r>
          </w:p>
        </w:tc>
        <w:tc>
          <w:tcPr>
            <w:tcW w:w="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and rights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column (a))</w:t>
            </w:r>
          </w:p>
        </w:tc>
      </w:tr>
      <w:tr>
        <w:trPr>
          <w:trHeight w:val="186"/>
        </w:trPr>
        <w:tc>
          <w:tcPr>
            <w:tcW w:w="452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94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6"/>
                <w:szCs w:val="16"/>
                <w:color w:val="auto"/>
              </w:rPr>
            </w:pPr>
          </w:p>
        </w:tc>
      </w:tr>
      <w:tr>
        <w:trPr>
          <w:trHeight w:val="170"/>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Equity compensation plans approved by security holders</w:t>
            </w:r>
          </w:p>
        </w:tc>
        <w:tc>
          <w:tcPr>
            <w:tcW w:w="43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194,509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40,491</w:t>
            </w:r>
          </w:p>
        </w:tc>
      </w:tr>
      <w:tr>
        <w:trPr>
          <w:trHeight w:val="170"/>
        </w:trPr>
        <w:tc>
          <w:tcPr>
            <w:tcW w:w="4520" w:type="dxa"/>
            <w:vAlign w:val="bottom"/>
          </w:tcPr>
          <w:p>
            <w:pPr>
              <w:spacing w:after="0"/>
              <w:rPr>
                <w:sz w:val="20"/>
                <w:szCs w:val="20"/>
                <w:color w:val="auto"/>
              </w:rPr>
            </w:pPr>
            <w:r>
              <w:rPr>
                <w:rFonts w:ascii="Arial" w:cs="Arial" w:eastAsia="Arial" w:hAnsi="Arial"/>
                <w:sz w:val="14"/>
                <w:szCs w:val="14"/>
                <w:color w:val="auto"/>
              </w:rPr>
              <w:t>Equity compensation plans not approved by security holders</w:t>
            </w:r>
          </w:p>
        </w:tc>
        <w:tc>
          <w:tcPr>
            <w:tcW w:w="29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13,129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11.67</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4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Total</w:t>
            </w:r>
          </w:p>
        </w:tc>
        <w:tc>
          <w:tcPr>
            <w:tcW w:w="29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rPr>
              <w:t>207,638</w:t>
            </w:r>
          </w:p>
        </w:tc>
        <w:tc>
          <w:tcPr>
            <w:tcW w:w="8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20"/>
              <w:spacing w:after="0" w:line="151" w:lineRule="exact"/>
              <w:rPr>
                <w:sz w:val="20"/>
                <w:szCs w:val="20"/>
                <w:color w:val="auto"/>
              </w:rPr>
            </w:pPr>
            <w:r>
              <w:rPr>
                <w:rFonts w:ascii="Arial" w:cs="Arial" w:eastAsia="Arial" w:hAnsi="Arial"/>
                <w:sz w:val="14"/>
                <w:szCs w:val="14"/>
                <w:color w:val="auto"/>
              </w:rPr>
              <w:t>10.09</w:t>
            </w:r>
          </w:p>
        </w:tc>
        <w:tc>
          <w:tcPr>
            <w:tcW w:w="1240" w:type="dxa"/>
            <w:vAlign w:val="bottom"/>
            <w:gridSpan w:val="2"/>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rPr>
              <w:t>40,491</w:t>
            </w:r>
          </w:p>
        </w:tc>
      </w:tr>
      <w:tr>
        <w:trPr>
          <w:trHeight w:val="461"/>
        </w:trPr>
        <w:tc>
          <w:tcPr>
            <w:tcW w:w="4520" w:type="dxa"/>
            <w:vAlign w:val="bottom"/>
            <w:tcBorders>
              <w:top w:val="single" w:sz="8" w:color="CCEEFF"/>
            </w:tcBorders>
          </w:tcPr>
          <w:p>
            <w:pPr>
              <w:spacing w:after="0"/>
              <w:rPr>
                <w:sz w:val="24"/>
                <w:szCs w:val="24"/>
                <w:color w:val="auto"/>
              </w:rPr>
            </w:pPr>
          </w:p>
        </w:tc>
        <w:tc>
          <w:tcPr>
            <w:tcW w:w="2940" w:type="dxa"/>
            <w:vAlign w:val="bottom"/>
            <w:tcBorders>
              <w:top w:val="single" w:sz="8" w:color="CCEEFF"/>
            </w:tcBorders>
          </w:tcPr>
          <w:p>
            <w:pPr>
              <w:jc w:val="right"/>
              <w:ind w:right="1509"/>
              <w:spacing w:after="0"/>
              <w:rPr>
                <w:sz w:val="20"/>
                <w:szCs w:val="20"/>
                <w:color w:val="auto"/>
              </w:rPr>
            </w:pPr>
            <w:r>
              <w:rPr>
                <w:rFonts w:ascii="Arial" w:cs="Arial" w:eastAsia="Arial" w:hAnsi="Arial"/>
                <w:sz w:val="14"/>
                <w:szCs w:val="14"/>
                <w:color w:val="auto"/>
              </w:rPr>
              <w:t>-118-</w:t>
            </w: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4520" w:type="dxa"/>
            <w:vAlign w:val="bottom"/>
            <w:tcBorders>
              <w:bottom w:val="single" w:sz="8" w:color="808080"/>
            </w:tcBorders>
          </w:tcPr>
          <w:p>
            <w:pPr>
              <w:spacing w:after="0"/>
              <w:rPr>
                <w:sz w:val="7"/>
                <w:szCs w:val="7"/>
                <w:color w:val="auto"/>
              </w:rPr>
            </w:pPr>
          </w:p>
        </w:tc>
        <w:tc>
          <w:tcPr>
            <w:tcW w:w="29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3" w:name="page124"/>
    <w:bookmarkEnd w:id="12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2008 Stock Incentive Plan</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 xml:space="preserve">Stockholders of VistaGen California adopted our 2008 Plan on December 19, 2008 and we assumed the plan in connection with the Merger. In August 2015, our stockholders approved an amendment to the 2008 Plan to increase the number of shares of our common stock authorized for issuance to thereunder from 250,000 to 1.0 million shares.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Arial" w:cs="Arial" w:eastAsia="Arial" w:hAnsi="Arial"/>
          <w:sz w:val="14"/>
          <w:szCs w:val="14"/>
          <w:i w:val="1"/>
          <w:iCs w:val="1"/>
          <w:color w:val="auto"/>
        </w:rPr>
        <w:t>Code</w:t>
      </w:r>
      <w:r>
        <w:rPr>
          <w:rFonts w:ascii="Arial" w:cs="Arial" w:eastAsia="Arial" w:hAnsi="Arial"/>
          <w:sz w:val="14"/>
          <w:szCs w:val="14"/>
          <w:color w:val="auto"/>
        </w:rPr>
        <w:t>), is 1.0 million.</w:t>
      </w:r>
    </w:p>
    <w:p>
      <w:pPr>
        <w:spacing w:after="0" w:line="147" w:lineRule="exact"/>
        <w:rPr>
          <w:sz w:val="20"/>
          <w:szCs w:val="20"/>
          <w:color w:val="auto"/>
        </w:rPr>
      </w:pPr>
    </w:p>
    <w:p>
      <w:pPr>
        <w:ind w:right="260"/>
        <w:spacing w:after="0" w:line="298" w:lineRule="auto"/>
        <w:rPr>
          <w:sz w:val="20"/>
          <w:szCs w:val="20"/>
          <w:color w:val="auto"/>
        </w:rPr>
      </w:pPr>
      <w:r>
        <w:rPr>
          <w:rFonts w:ascii="Arial" w:cs="Arial" w:eastAsia="Arial" w:hAnsi="Arial"/>
          <w:sz w:val="13"/>
          <w:szCs w:val="13"/>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employees of VistaGen or any parent or subsidiary of VistaGen. Awards other than incentive stock options may be granted to employees, directors and consultants.</w:t>
      </w:r>
    </w:p>
    <w:p>
      <w:pPr>
        <w:spacing w:after="0" w:line="146"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Our Board of Directors or the Compensation Committee of the Board of Directors, referred to as the “Administrator”, administers our 2008 Plan, including selecting the award recipients, determining the number of shares to be subject to each award, the exercise or purchase price of each award and the vesting and exercise periods of each award.</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The exercise price of all incentive stock options granted under our 2008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ten years. The Administrator determines the term and exercise or purchase price of all other awards granted under our 2008 Plan.</w:t>
      </w:r>
    </w:p>
    <w:p>
      <w:pPr>
        <w:spacing w:after="0" w:line="156"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53" w:lineRule="exact"/>
        <w:rPr>
          <w:sz w:val="20"/>
          <w:szCs w:val="20"/>
          <w:color w:val="auto"/>
        </w:rPr>
      </w:pPr>
    </w:p>
    <w:p>
      <w:pPr>
        <w:ind w:left="480" w:hanging="475"/>
        <w:spacing w:after="0"/>
        <w:tabs>
          <w:tab w:leader="none" w:pos="4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by will and by the laws of descent and distribution; and</w:t>
      </w:r>
    </w:p>
    <w:p>
      <w:pPr>
        <w:spacing w:after="0" w:line="201" w:lineRule="exact"/>
        <w:rPr>
          <w:rFonts w:ascii="Arial" w:cs="Arial" w:eastAsia="Arial" w:hAnsi="Arial"/>
          <w:sz w:val="14"/>
          <w:szCs w:val="14"/>
          <w:color w:val="auto"/>
        </w:rPr>
      </w:pPr>
    </w:p>
    <w:p>
      <w:pPr>
        <w:ind w:left="480" w:right="60" w:hanging="475"/>
        <w:spacing w:after="0" w:line="283" w:lineRule="auto"/>
        <w:tabs>
          <w:tab w:leader="none" w:pos="4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during the lifetime of the participant, to the extent and in the manner authorized by the Administrator by gift or pursuant to a domestic relations order to members of the participant’s immediate family.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2008 Plan permits the designation of beneficiaries by holders of awards, including incentive stock options.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4" w:name="page125"/>
    <w:bookmarkEnd w:id="12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In the event of termination of a participant’s service for any reason other than disability or death, such participant may, but only during the period specified in the award agreement of not less than</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30 days (generally 90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that have become exercisable prior to the time of termination, will remain exercisable for twelve months from the date of termination (unless a shorter or longer period of time is determined by the Administrator).</w:t>
      </w:r>
    </w:p>
    <w:p>
      <w:pPr>
        <w:spacing w:after="0" w:line="176"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Following the date that the exemption from application of Section 162(m) of the Code ceases to apply to awards, the maximum number of shares with respect to which options and stock appreciation rights may be granted to any participant in any calendar year will be 125,000 shares of common stock. In connection with a participant’s commencement of service with us, a participant may be granted options and stock appreciation rights for up to an additional 25,000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125,000 shares of common stock. The limits described in this paragraph are subject to adjustment in the event of any change in our capital structure as described below.</w:t>
      </w:r>
    </w:p>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color w:val="auto"/>
        </w:rPr>
        <w:t>The terms and conditions of awards are determined by the Administrator, including the vesting schedule and any forfeiture provisions. Awards under the plan may vest upon the passage of time or upon the attainment of certain performance criteria. Although we do not currently have any awards outstanding that vest upon the attainment of performance criteria, the Administrator may establish criteria based on any one of, or combination of, the following:</w:t>
      </w:r>
    </w:p>
    <w:p>
      <w:pPr>
        <w:spacing w:after="0" w:line="163" w:lineRule="exact"/>
        <w:rPr>
          <w:sz w:val="20"/>
          <w:szCs w:val="20"/>
          <w:color w:val="auto"/>
        </w:rPr>
      </w:pPr>
    </w:p>
    <w:p>
      <w:pPr>
        <w:ind w:left="500" w:hanging="495"/>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increase in share price;</w:t>
      </w:r>
    </w:p>
    <w:p>
      <w:pPr>
        <w:spacing w:after="0" w:line="19" w:lineRule="exact"/>
        <w:rPr>
          <w:rFonts w:ascii="Arial" w:cs="Arial" w:eastAsia="Arial" w:hAnsi="Arial"/>
          <w:sz w:val="14"/>
          <w:szCs w:val="14"/>
          <w:color w:val="auto"/>
        </w:rPr>
      </w:pPr>
    </w:p>
    <w:p>
      <w:pPr>
        <w:ind w:left="500" w:hanging="495"/>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earnings per share;</w:t>
      </w:r>
    </w:p>
    <w:p>
      <w:pPr>
        <w:spacing w:after="0" w:line="9" w:lineRule="exact"/>
        <w:rPr>
          <w:rFonts w:ascii="Arial" w:cs="Arial" w:eastAsia="Arial" w:hAnsi="Arial"/>
          <w:sz w:val="14"/>
          <w:szCs w:val="14"/>
          <w:color w:val="auto"/>
        </w:rPr>
      </w:pPr>
    </w:p>
    <w:p>
      <w:pPr>
        <w:ind w:left="500" w:hanging="495"/>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total stockholder return;</w:t>
      </w:r>
    </w:p>
    <w:p>
      <w:pPr>
        <w:spacing w:after="0" w:line="9" w:lineRule="exact"/>
        <w:rPr>
          <w:rFonts w:ascii="Arial" w:cs="Arial" w:eastAsia="Arial" w:hAnsi="Arial"/>
          <w:sz w:val="14"/>
          <w:szCs w:val="14"/>
          <w:color w:val="auto"/>
        </w:rPr>
      </w:pPr>
    </w:p>
    <w:p>
      <w:pPr>
        <w:ind w:left="500" w:hanging="495"/>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operating margin;</w:t>
      </w:r>
    </w:p>
    <w:p>
      <w:pPr>
        <w:spacing w:after="0" w:line="9" w:lineRule="exact"/>
        <w:rPr>
          <w:rFonts w:ascii="Arial" w:cs="Arial" w:eastAsia="Arial" w:hAnsi="Arial"/>
          <w:sz w:val="14"/>
          <w:szCs w:val="14"/>
          <w:color w:val="auto"/>
        </w:rPr>
      </w:pPr>
    </w:p>
    <w:p>
      <w:pPr>
        <w:ind w:left="500" w:hanging="495"/>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gross margin;</w:t>
      </w:r>
    </w:p>
    <w:p>
      <w:pPr>
        <w:spacing w:after="0" w:line="9" w:lineRule="exact"/>
        <w:rPr>
          <w:rFonts w:ascii="Arial" w:cs="Arial" w:eastAsia="Arial" w:hAnsi="Arial"/>
          <w:sz w:val="14"/>
          <w:szCs w:val="14"/>
          <w:color w:val="auto"/>
        </w:rPr>
      </w:pPr>
    </w:p>
    <w:p>
      <w:pPr>
        <w:ind w:left="500" w:hanging="495"/>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return on equity;</w:t>
      </w:r>
    </w:p>
    <w:p>
      <w:pPr>
        <w:spacing w:after="0" w:line="9" w:lineRule="exact"/>
        <w:rPr>
          <w:rFonts w:ascii="Arial" w:cs="Arial" w:eastAsia="Arial" w:hAnsi="Arial"/>
          <w:sz w:val="14"/>
          <w:szCs w:val="14"/>
          <w:color w:val="auto"/>
        </w:rPr>
      </w:pPr>
    </w:p>
    <w:p>
      <w:pPr>
        <w:ind w:left="500" w:hanging="495"/>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return on assets</w:t>
      </w:r>
    </w:p>
    <w:p>
      <w:pPr>
        <w:spacing w:after="0" w:line="9" w:lineRule="exact"/>
        <w:rPr>
          <w:rFonts w:ascii="Arial" w:cs="Arial" w:eastAsia="Arial" w:hAnsi="Arial"/>
          <w:sz w:val="14"/>
          <w:szCs w:val="14"/>
          <w:color w:val="auto"/>
        </w:rPr>
      </w:pPr>
    </w:p>
    <w:p>
      <w:pPr>
        <w:ind w:left="500" w:hanging="495"/>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return on investment;</w:t>
      </w:r>
    </w:p>
    <w:p>
      <w:pPr>
        <w:spacing w:after="0" w:line="9" w:lineRule="exact"/>
        <w:rPr>
          <w:rFonts w:ascii="Arial" w:cs="Arial" w:eastAsia="Arial" w:hAnsi="Arial"/>
          <w:sz w:val="14"/>
          <w:szCs w:val="14"/>
          <w:color w:val="auto"/>
        </w:rPr>
      </w:pPr>
    </w:p>
    <w:p>
      <w:pPr>
        <w:ind w:left="500" w:hanging="495"/>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operating income;</w:t>
      </w:r>
    </w:p>
    <w:p>
      <w:pPr>
        <w:spacing w:after="0" w:line="9" w:lineRule="exact"/>
        <w:rPr>
          <w:rFonts w:ascii="Arial" w:cs="Arial" w:eastAsia="Arial" w:hAnsi="Arial"/>
          <w:sz w:val="14"/>
          <w:szCs w:val="14"/>
          <w:color w:val="auto"/>
        </w:rPr>
      </w:pPr>
    </w:p>
    <w:p>
      <w:pPr>
        <w:ind w:left="500" w:hanging="495"/>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net operating income;</w:t>
      </w:r>
    </w:p>
    <w:p>
      <w:pPr>
        <w:spacing w:after="0" w:line="9" w:lineRule="exact"/>
        <w:rPr>
          <w:rFonts w:ascii="Arial" w:cs="Arial" w:eastAsia="Arial" w:hAnsi="Arial"/>
          <w:sz w:val="14"/>
          <w:szCs w:val="14"/>
          <w:color w:val="auto"/>
        </w:rPr>
      </w:pPr>
    </w:p>
    <w:p>
      <w:pPr>
        <w:ind w:left="500" w:hanging="495"/>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pre-tax profit;</w:t>
      </w:r>
    </w:p>
    <w:p>
      <w:pPr>
        <w:spacing w:after="0" w:line="9" w:lineRule="exact"/>
        <w:rPr>
          <w:rFonts w:ascii="Arial" w:cs="Arial" w:eastAsia="Arial" w:hAnsi="Arial"/>
          <w:sz w:val="14"/>
          <w:szCs w:val="14"/>
          <w:color w:val="auto"/>
        </w:rPr>
      </w:pPr>
    </w:p>
    <w:p>
      <w:pPr>
        <w:ind w:left="500" w:hanging="495"/>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cash flow;</w:t>
      </w:r>
    </w:p>
    <w:p>
      <w:pPr>
        <w:spacing w:after="0" w:line="9" w:lineRule="exact"/>
        <w:rPr>
          <w:rFonts w:ascii="Arial" w:cs="Arial" w:eastAsia="Arial" w:hAnsi="Arial"/>
          <w:sz w:val="14"/>
          <w:szCs w:val="14"/>
          <w:color w:val="auto"/>
        </w:rPr>
      </w:pPr>
    </w:p>
    <w:p>
      <w:pPr>
        <w:ind w:left="500" w:hanging="495"/>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revenue;</w:t>
      </w:r>
    </w:p>
    <w:p>
      <w:pPr>
        <w:spacing w:after="0" w:line="9" w:lineRule="exact"/>
        <w:rPr>
          <w:rFonts w:ascii="Arial" w:cs="Arial" w:eastAsia="Arial" w:hAnsi="Arial"/>
          <w:sz w:val="14"/>
          <w:szCs w:val="14"/>
          <w:color w:val="auto"/>
        </w:rPr>
      </w:pPr>
    </w:p>
    <w:p>
      <w:pPr>
        <w:ind w:left="500" w:hanging="495"/>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expenses;</w:t>
      </w:r>
    </w:p>
    <w:p>
      <w:pPr>
        <w:spacing w:after="0" w:line="9" w:lineRule="exact"/>
        <w:rPr>
          <w:rFonts w:ascii="Arial" w:cs="Arial" w:eastAsia="Arial" w:hAnsi="Arial"/>
          <w:sz w:val="14"/>
          <w:szCs w:val="14"/>
          <w:color w:val="auto"/>
        </w:rPr>
      </w:pPr>
    </w:p>
    <w:p>
      <w:pPr>
        <w:ind w:left="500" w:hanging="495"/>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earnings before interest, taxes and depreciation;</w:t>
      </w:r>
    </w:p>
    <w:p>
      <w:pPr>
        <w:spacing w:after="0" w:line="9" w:lineRule="exact"/>
        <w:rPr>
          <w:rFonts w:ascii="Arial" w:cs="Arial" w:eastAsia="Arial" w:hAnsi="Arial"/>
          <w:sz w:val="14"/>
          <w:szCs w:val="14"/>
          <w:color w:val="auto"/>
        </w:rPr>
      </w:pPr>
    </w:p>
    <w:p>
      <w:pPr>
        <w:ind w:left="500" w:hanging="495"/>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economic value added; and</w:t>
      </w:r>
    </w:p>
    <w:p>
      <w:pPr>
        <w:spacing w:after="0" w:line="9" w:lineRule="exact"/>
        <w:rPr>
          <w:rFonts w:ascii="Arial" w:cs="Arial" w:eastAsia="Arial" w:hAnsi="Arial"/>
          <w:sz w:val="14"/>
          <w:szCs w:val="14"/>
          <w:color w:val="auto"/>
        </w:rPr>
      </w:pPr>
    </w:p>
    <w:p>
      <w:pPr>
        <w:ind w:left="500" w:hanging="495"/>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market share.</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25" w:name="page126"/>
    <w:bookmarkEnd w:id="12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16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Under our 2008 Plan, a Corporate Transaction is generally defined as:</w:t>
      </w:r>
    </w:p>
    <w:p>
      <w:pPr>
        <w:spacing w:after="0" w:line="180" w:lineRule="exact"/>
        <w:rPr>
          <w:sz w:val="20"/>
          <w:szCs w:val="20"/>
          <w:color w:val="auto"/>
        </w:rPr>
      </w:pPr>
    </w:p>
    <w:p>
      <w:pPr>
        <w:ind w:left="500" w:hanging="495"/>
        <w:spacing w:after="0" w:line="261" w:lineRule="auto"/>
        <w:tabs>
          <w:tab w:leader="none" w:pos="5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jc w:val="both"/>
        <w:ind w:left="500" w:hanging="495"/>
        <w:spacing w:after="0" w:line="253" w:lineRule="auto"/>
        <w:tabs>
          <w:tab w:leader="none" w:pos="5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 w:lineRule="exact"/>
        <w:rPr>
          <w:rFonts w:ascii="Arial" w:cs="Arial" w:eastAsia="Arial" w:hAnsi="Arial"/>
          <w:sz w:val="14"/>
          <w:szCs w:val="14"/>
          <w:color w:val="auto"/>
        </w:rPr>
      </w:pPr>
    </w:p>
    <w:p>
      <w:pPr>
        <w:ind w:left="500" w:hanging="495"/>
        <w:spacing w:after="0"/>
        <w:tabs>
          <w:tab w:leader="none" w:pos="5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 sale, transfer or other disposition of all or substantially all of the assets of our Corporation;</w:t>
      </w:r>
    </w:p>
    <w:p>
      <w:pPr>
        <w:spacing w:after="0" w:line="9" w:lineRule="exact"/>
        <w:rPr>
          <w:rFonts w:ascii="Arial" w:cs="Arial" w:eastAsia="Arial" w:hAnsi="Arial"/>
          <w:sz w:val="14"/>
          <w:szCs w:val="14"/>
          <w:color w:val="auto"/>
        </w:rPr>
      </w:pPr>
    </w:p>
    <w:p>
      <w:pPr>
        <w:ind w:left="500" w:hanging="495"/>
        <w:spacing w:after="0"/>
        <w:tabs>
          <w:tab w:leader="none" w:pos="5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 merger or consolidation in which our Corporation is not the surviving entity; or</w:t>
      </w:r>
    </w:p>
    <w:p>
      <w:pPr>
        <w:spacing w:after="0" w:line="9" w:lineRule="exact"/>
        <w:rPr>
          <w:rFonts w:ascii="Arial" w:cs="Arial" w:eastAsia="Arial" w:hAnsi="Arial"/>
          <w:sz w:val="14"/>
          <w:szCs w:val="14"/>
          <w:color w:val="auto"/>
        </w:rPr>
      </w:pPr>
    </w:p>
    <w:p>
      <w:pPr>
        <w:ind w:left="500" w:hanging="495"/>
        <w:spacing w:after="0"/>
        <w:tabs>
          <w:tab w:leader="none" w:pos="5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 complete liquidation or dissolution.</w:t>
      </w:r>
    </w:p>
    <w:p>
      <w:pPr>
        <w:spacing w:after="0" w:line="191" w:lineRule="exact"/>
        <w:rPr>
          <w:sz w:val="20"/>
          <w:szCs w:val="20"/>
          <w:color w:val="auto"/>
        </w:rPr>
      </w:pPr>
    </w:p>
    <w:p>
      <w:pPr>
        <w:jc w:val="both"/>
        <w:ind w:right="140"/>
        <w:spacing w:after="0" w:line="268" w:lineRule="auto"/>
        <w:rPr>
          <w:sz w:val="20"/>
          <w:szCs w:val="20"/>
          <w:color w:val="auto"/>
        </w:rPr>
      </w:pPr>
      <w:r>
        <w:rPr>
          <w:rFonts w:ascii="Arial" w:cs="Arial" w:eastAsia="Arial" w:hAnsi="Arial"/>
          <w:sz w:val="14"/>
          <w:szCs w:val="14"/>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63" w:lineRule="exact"/>
        <w:rPr>
          <w:sz w:val="20"/>
          <w:szCs w:val="20"/>
          <w:color w:val="auto"/>
        </w:rPr>
      </w:pPr>
    </w:p>
    <w:p>
      <w:pPr>
        <w:jc w:val="both"/>
        <w:ind w:right="160"/>
        <w:spacing w:after="0" w:line="263" w:lineRule="auto"/>
        <w:rPr>
          <w:sz w:val="20"/>
          <w:szCs w:val="20"/>
          <w:color w:val="auto"/>
        </w:rPr>
      </w:pPr>
      <w:r>
        <w:rPr>
          <w:rFonts w:ascii="Arial" w:cs="Arial" w:eastAsia="Arial" w:hAnsi="Arial"/>
          <w:sz w:val="14"/>
          <w:szCs w:val="14"/>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Internal Revenue Code, the rules of any applicable stock exchange or national market system, and the rules of any non-U.S. jurisdiction applicable to awards granted to residents therein, we will obtain stockholder approval of any such amendment to the 2008 Stock Plan in such a manner and to such a degree as required.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As of March 4, 2016, we have options to purchase an aggregate of 304,150 registered shares of our common stock outstanding under our 2008 Plan.</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6" w:name="page127"/>
    <w:bookmarkEnd w:id="12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1999 Stock Incentive Plan</w:t>
      </w:r>
    </w:p>
    <w:p>
      <w:pPr>
        <w:spacing w:after="0" w:line="180"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VistaGen California’s Board of Directors adopted the 1999 Plan on December 6, 1999. The 1999 Plan terminated under its own terms in December 2009, and as a result, no awards may currently be granted under the 1999 Plan. However, the options and awards that have been granted pursuant to the 1999 Plan prior to its expiration remain operative.</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1999 Plan permitted VistaGen California to make grants of incentive stock options, non-qualified stock options and restricted stock awards. VistaGen California initially reserved 22,500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163"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stockholder)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167" w:lineRule="exact"/>
        <w:rPr>
          <w:sz w:val="20"/>
          <w:szCs w:val="20"/>
          <w:color w:val="auto"/>
        </w:rPr>
      </w:pPr>
    </w:p>
    <w:p>
      <w:pPr>
        <w:ind w:right="240"/>
        <w:spacing w:after="0" w:line="290" w:lineRule="auto"/>
        <w:rPr>
          <w:sz w:val="20"/>
          <w:szCs w:val="20"/>
          <w:color w:val="auto"/>
        </w:rPr>
      </w:pPr>
      <w:r>
        <w:rPr>
          <w:rFonts w:ascii="Arial" w:cs="Arial" w:eastAsia="Arial" w:hAnsi="Arial"/>
          <w:sz w:val="13"/>
          <w:szCs w:val="13"/>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As of March 4, 2016, we have options outstanding under the 1999 Plan to purchase an aggregate of 12,229 registered shares of our common stock.</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7" w:name="page128"/>
    <w:bookmarkEnd w:id="12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Sales of Securities to Cato Holding Company</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Cato Holding Company (</w:t>
      </w:r>
      <w:r>
        <w:rPr>
          <w:rFonts w:ascii="Arial" w:cs="Arial" w:eastAsia="Arial" w:hAnsi="Arial"/>
          <w:sz w:val="14"/>
          <w:szCs w:val="14"/>
          <w:i w:val="1"/>
          <w:iCs w:val="1"/>
          <w:color w:val="auto"/>
        </w:rPr>
        <w:t>CHC</w:t>
      </w:r>
      <w:r>
        <w:rPr>
          <w:rFonts w:ascii="Arial" w:cs="Arial" w:eastAsia="Arial" w:hAnsi="Arial"/>
          <w:sz w:val="14"/>
          <w:szCs w:val="14"/>
          <w:color w:val="auto"/>
        </w:rPr>
        <w:t>), doing business as Cato BioVentures (</w:t>
      </w:r>
      <w:r>
        <w:rPr>
          <w:rFonts w:ascii="Arial" w:cs="Arial" w:eastAsia="Arial" w:hAnsi="Arial"/>
          <w:sz w:val="14"/>
          <w:szCs w:val="14"/>
          <w:i w:val="1"/>
          <w:iCs w:val="1"/>
          <w:color w:val="auto"/>
        </w:rPr>
        <w:t>CBV</w:t>
      </w:r>
      <w:r>
        <w:rPr>
          <w:rFonts w:ascii="Arial" w:cs="Arial" w:eastAsia="Arial" w:hAnsi="Arial"/>
          <w:sz w:val="14"/>
          <w:szCs w:val="14"/>
          <w:color w:val="auto"/>
        </w:rPr>
        <w:t>), the parent of Cato Research Ltd. (</w:t>
      </w:r>
      <w:r>
        <w:rPr>
          <w:rFonts w:ascii="Arial" w:cs="Arial" w:eastAsia="Arial" w:hAnsi="Arial"/>
          <w:sz w:val="14"/>
          <w:szCs w:val="14"/>
          <w:i w:val="1"/>
          <w:iCs w:val="1"/>
          <w:color w:val="auto"/>
        </w:rPr>
        <w:t>CRL)</w:t>
      </w:r>
      <w:r>
        <w:rPr>
          <w:rFonts w:ascii="Arial" w:cs="Arial" w:eastAsia="Arial" w:hAnsi="Arial"/>
          <w:sz w:val="14"/>
          <w:szCs w:val="14"/>
          <w:color w:val="auto"/>
        </w:rPr>
        <w:t xml:space="preserve">,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$310,443 (the </w:t>
      </w:r>
      <w:r>
        <w:rPr>
          <w:rFonts w:ascii="Arial" w:cs="Arial" w:eastAsia="Arial" w:hAnsi="Arial"/>
          <w:sz w:val="14"/>
          <w:szCs w:val="14"/>
          <w:i w:val="1"/>
          <w:iCs w:val="1"/>
          <w:color w:val="auto"/>
        </w:rPr>
        <w:t>2012 CHC Note</w:t>
      </w:r>
      <w:r>
        <w:rPr>
          <w:rFonts w:ascii="Arial" w:cs="Arial" w:eastAsia="Arial" w:hAnsi="Arial"/>
          <w:sz w:val="14"/>
          <w:szCs w:val="14"/>
          <w:color w:val="auto"/>
        </w:rPr>
        <w:t xml:space="preserve">) and a five-year warrant to purchase 12,500 restricted shares of the Company’s common stock at a price of $30.00 per share (the </w:t>
      </w:r>
      <w:r>
        <w:rPr>
          <w:rFonts w:ascii="Arial" w:cs="Arial" w:eastAsia="Arial" w:hAnsi="Arial"/>
          <w:sz w:val="14"/>
          <w:szCs w:val="14"/>
          <w:i w:val="1"/>
          <w:iCs w:val="1"/>
          <w:color w:val="auto"/>
        </w:rPr>
        <w:t>CHC Warrant</w:t>
      </w:r>
      <w:r>
        <w:rPr>
          <w:rFonts w:ascii="Arial" w:cs="Arial" w:eastAsia="Arial" w:hAnsi="Arial"/>
          <w:sz w:val="14"/>
          <w:szCs w:val="14"/>
          <w:color w:val="auto"/>
        </w:rPr>
        <w:t>).</w:t>
      </w:r>
    </w:p>
    <w:p>
      <w:pPr>
        <w:spacing w:after="0" w:line="167"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 xml:space="preserve">Additionally, on October 10, 2012, we issued to CRL: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4"/>
          <w:szCs w:val="14"/>
          <w:i w:val="1"/>
          <w:iCs w:val="1"/>
          <w:color w:val="auto"/>
        </w:rPr>
        <w:t>CRL Note</w:t>
      </w:r>
      <w:r>
        <w:rPr>
          <w:rFonts w:ascii="Arial" w:cs="Arial" w:eastAsia="Arial" w:hAnsi="Arial"/>
          <w:sz w:val="14"/>
          <w:szCs w:val="14"/>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Each of the CRL Note and 2012 CHC Note were scheduled to mature on March 31, 2016.</w:t>
      </w:r>
    </w:p>
    <w:p>
      <w:pPr>
        <w:spacing w:after="0" w:line="167"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In June 2015, the outstanding balance of the CHC Note, the CRL Note and all other outstanding amounts owed to CRL for CRO services were converted into shares of our Series B Preferred, and the exercise prices of the CHC Warrant and the CRL Warrant were each reduced to $7.00 per share.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Research and Development Agreement with Cato Research Ltd.</w:t>
      </w:r>
    </w:p>
    <w:p>
      <w:pPr>
        <w:spacing w:after="0" w:line="201"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During fiscal year 2007, we entered into a contract research organization arrangement with CRL related to the development of AV-101, under which we incurred expenses of $38,100 and $52,500 for the fiscal years ended March 31, 2015 and 2014,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Advances to us by Shawn Singh</w:t>
      </w:r>
    </w:p>
    <w:p>
      <w:pPr>
        <w:spacing w:after="0" w:line="20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Between September 2013 and December 2013, Mr. Singh provided short-term cash advances aggregating $64,000 to meet our short-term working capital requirements. In lieu of cash repayment of the entire amount of the advances, in December 2013, Mr. Singh elected to invest $50,000 of the balance due him in the 2013 Unit Private Placement. At March 31, 2015, we have completely repaid the remaining balance of the advances and the $50,000 promissory note issued in connection with his investment in the 2013 Unit Private Placement to Mr. Singh.</w:t>
      </w: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sectPr>
      </w:pPr>
    </w:p>
    <w:bookmarkStart w:id="128" w:name="page129"/>
    <w:bookmarkEnd w:id="12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05"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color w:val="auto"/>
        </w:rPr>
        <w:t>Our authorized capital stock consists of 30.0 million shares of our common stock, $0.001 par value per share, and 10.0 million shares of preferred stock, $0.001 par value per share. The following is a description of our common stock and certain provisions of our Articles, and our amended and restated bylaws (</w:t>
      </w:r>
      <w:r>
        <w:rPr>
          <w:rFonts w:ascii="Arial" w:cs="Arial" w:eastAsia="Arial" w:hAnsi="Arial"/>
          <w:sz w:val="13"/>
          <w:szCs w:val="13"/>
          <w:i w:val="1"/>
          <w:iCs w:val="1"/>
          <w:color w:val="auto"/>
        </w:rPr>
        <w:t>Bylaws</w:t>
      </w:r>
      <w:r>
        <w:rPr>
          <w:rFonts w:ascii="Arial" w:cs="Arial" w:eastAsia="Arial" w:hAnsi="Arial"/>
          <w:sz w:val="13"/>
          <w:szCs w:val="13"/>
          <w:color w:val="auto"/>
        </w:rPr>
        <w:t>), and certain provisions of Nevada law. This summary does not purport to be complete and is qualified in its entirety by the provisions of our Articles and our Bylaws, copies of which have been filed with the SEC as exhibits to our periodic filings under the Exchange Act.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As of March 4, 2016, there were issued and outstanding, or reserved for issuance:</w:t>
      </w:r>
    </w:p>
    <w:p>
      <w:pPr>
        <w:spacing w:after="0" w:line="201" w:lineRule="exact"/>
        <w:rPr>
          <w:sz w:val="20"/>
          <w:szCs w:val="20"/>
          <w:color w:val="auto"/>
        </w:rPr>
      </w:pPr>
    </w:p>
    <w:p>
      <w:pPr>
        <w:ind w:left="360" w:hanging="355"/>
        <w:spacing w:after="0"/>
        <w:tabs>
          <w:tab w:leader="none" w:pos="3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2,432,832 shares of common stock held by approximately 300 stockholders of record;</w:t>
      </w:r>
    </w:p>
    <w:p>
      <w:pPr>
        <w:spacing w:after="0" w:line="201" w:lineRule="exact"/>
        <w:rPr>
          <w:rFonts w:ascii="Arial" w:cs="Arial" w:eastAsia="Arial" w:hAnsi="Arial"/>
          <w:sz w:val="14"/>
          <w:szCs w:val="14"/>
          <w:color w:val="auto"/>
        </w:rPr>
      </w:pPr>
    </w:p>
    <w:p>
      <w:pPr>
        <w:ind w:left="360" w:hanging="355"/>
        <w:spacing w:after="0"/>
        <w:tabs>
          <w:tab w:leader="none" w:pos="360" w:val="left"/>
        </w:tabs>
        <w:numPr>
          <w:ilvl w:val="0"/>
          <w:numId w:val="72"/>
        </w:numPr>
        <w:rPr>
          <w:rFonts w:ascii="Arial" w:cs="Arial" w:eastAsia="Arial" w:hAnsi="Arial"/>
          <w:sz w:val="13"/>
          <w:szCs w:val="13"/>
          <w:color w:val="auto"/>
        </w:rPr>
      </w:pPr>
      <w:r>
        <w:rPr>
          <w:rFonts w:ascii="Arial" w:cs="Arial" w:eastAsia="Arial" w:hAnsi="Arial"/>
          <w:sz w:val="13"/>
          <w:szCs w:val="13"/>
          <w:color w:val="auto"/>
        </w:rPr>
        <w:t>750,000 shares of common stock reserved for issuance upon exchange of 500,000 shares our Series A Preferred, all of which is held by one institutional investor and one accredited investor;</w:t>
      </w:r>
    </w:p>
    <w:p>
      <w:pPr>
        <w:spacing w:after="0" w:line="212" w:lineRule="exact"/>
        <w:rPr>
          <w:rFonts w:ascii="Arial" w:cs="Arial" w:eastAsia="Arial" w:hAnsi="Arial"/>
          <w:sz w:val="13"/>
          <w:szCs w:val="13"/>
          <w:color w:val="auto"/>
        </w:rPr>
      </w:pPr>
    </w:p>
    <w:p>
      <w:pPr>
        <w:ind w:left="360" w:hanging="355"/>
        <w:spacing w:after="0"/>
        <w:tabs>
          <w:tab w:leader="none" w:pos="3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3,620,220 shares of common stock reserved for issuance upon exchange of our Series B Preferred held by approximately 58 investors;</w:t>
      </w:r>
    </w:p>
    <w:p>
      <w:pPr>
        <w:spacing w:after="0" w:line="201" w:lineRule="exact"/>
        <w:rPr>
          <w:rFonts w:ascii="Arial" w:cs="Arial" w:eastAsia="Arial" w:hAnsi="Arial"/>
          <w:sz w:val="14"/>
          <w:szCs w:val="14"/>
          <w:color w:val="auto"/>
        </w:rPr>
      </w:pPr>
    </w:p>
    <w:p>
      <w:pPr>
        <w:ind w:left="360" w:hanging="355"/>
        <w:spacing w:after="0"/>
        <w:tabs>
          <w:tab w:leader="none" w:pos="3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2,318,012 shares of common stock reserved for issuance upon exchange of our Series C Preferred, all of which is held by one institutional investor;</w:t>
      </w:r>
    </w:p>
    <w:p>
      <w:pPr>
        <w:spacing w:after="0" w:line="201" w:lineRule="exact"/>
        <w:rPr>
          <w:rFonts w:ascii="Arial" w:cs="Arial" w:eastAsia="Arial" w:hAnsi="Arial"/>
          <w:sz w:val="14"/>
          <w:szCs w:val="14"/>
          <w:color w:val="auto"/>
        </w:rPr>
      </w:pPr>
    </w:p>
    <w:p>
      <w:pPr>
        <w:ind w:left="360" w:hanging="355"/>
        <w:spacing w:after="0"/>
        <w:tabs>
          <w:tab w:leader="none" w:pos="3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1,707,222 shares of common stock that have been reserved for issuance upon exercise of outstanding warrants, with a weighted average exercise price of $8.23 per share; and</w:t>
      </w:r>
    </w:p>
    <w:p>
      <w:pPr>
        <w:spacing w:after="0" w:line="201" w:lineRule="exact"/>
        <w:rPr>
          <w:rFonts w:ascii="Arial" w:cs="Arial" w:eastAsia="Arial" w:hAnsi="Arial"/>
          <w:sz w:val="14"/>
          <w:szCs w:val="14"/>
          <w:color w:val="auto"/>
        </w:rPr>
      </w:pPr>
    </w:p>
    <w:p>
      <w:pPr>
        <w:ind w:left="360" w:hanging="355"/>
        <w:spacing w:after="0" w:line="283" w:lineRule="auto"/>
        <w:tabs>
          <w:tab w:leader="none" w:pos="3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316,379 shares of common stock reserved for issuance upon exercise of outstanding stock options under our 1999 Stock Incentive Plan and our 2008 Stock Incentive Plan, with a weighted average exercise price of $9.71 per share.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205" w:lineRule="exact"/>
        <w:rPr>
          <w:sz w:val="20"/>
          <w:szCs w:val="20"/>
          <w:color w:val="auto"/>
        </w:rPr>
      </w:pPr>
    </w:p>
    <w:p>
      <w:pPr>
        <w:ind w:right="380"/>
        <w:spacing w:after="0" w:line="323" w:lineRule="auto"/>
        <w:rPr>
          <w:sz w:val="20"/>
          <w:szCs w:val="20"/>
          <w:color w:val="auto"/>
        </w:rPr>
      </w:pPr>
      <w:r>
        <w:rPr>
          <w:rFonts w:ascii="Arial" w:cs="Arial" w:eastAsia="Arial" w:hAnsi="Arial"/>
          <w:sz w:val="13"/>
          <w:szCs w:val="13"/>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201" w:lineRule="exact"/>
        <w:rPr>
          <w:sz w:val="20"/>
          <w:szCs w:val="20"/>
          <w:color w:val="auto"/>
        </w:rPr>
      </w:pPr>
    </w:p>
    <w:p>
      <w:pPr>
        <w:jc w:val="both"/>
        <w:ind w:right="180"/>
        <w:spacing w:after="0" w:line="298" w:lineRule="auto"/>
        <w:rPr>
          <w:sz w:val="20"/>
          <w:szCs w:val="20"/>
          <w:color w:val="auto"/>
        </w:rPr>
      </w:pPr>
      <w:r>
        <w:rPr>
          <w:rFonts w:ascii="Arial" w:cs="Arial" w:eastAsia="Arial" w:hAnsi="Arial"/>
          <w:sz w:val="13"/>
          <w:szCs w:val="13"/>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jc w:val="both"/>
        <w:ind w:right="100"/>
        <w:spacing w:after="0" w:line="268" w:lineRule="auto"/>
        <w:rPr>
          <w:sz w:val="20"/>
          <w:szCs w:val="20"/>
          <w:color w:val="auto"/>
        </w:rPr>
      </w:pPr>
      <w:r>
        <w:rPr>
          <w:rFonts w:ascii="Arial" w:cs="Arial" w:eastAsia="Arial" w:hAnsi="Arial"/>
          <w:sz w:val="14"/>
          <w:szCs w:val="14"/>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 See “</w:t>
      </w:r>
      <w:r>
        <w:rPr>
          <w:rFonts w:ascii="Arial" w:cs="Arial" w:eastAsia="Arial" w:hAnsi="Arial"/>
          <w:sz w:val="14"/>
          <w:szCs w:val="14"/>
          <w:i w:val="1"/>
          <w:iCs w:val="1"/>
          <w:color w:val="auto"/>
        </w:rPr>
        <w:t>Dividend Policy</w:t>
      </w:r>
      <w:r>
        <w:rPr>
          <w:rFonts w:ascii="Arial" w:cs="Arial" w:eastAsia="Arial" w:hAnsi="Arial"/>
          <w:sz w:val="14"/>
          <w:szCs w:val="14"/>
          <w:color w:val="auto"/>
        </w:rPr>
        <w:t>” for more information.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29" w:name="page130"/>
    <w:bookmarkEnd w:id="12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201"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 Preemptive or Similar Rights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is not subject to conversion, redemption, sinking fund or similar provisions.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205"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Series A Preferred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180"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December 2011, our board of directors authorized the creation of a series of up to 500,000 shares of Series A Preferred. The Certificate of Designation of the Relative Rights and Preferences of the Series A Convertible Preferred Stock was filed with the Nevada Secretary of State effective December 20, 2011.</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and Rank</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At March 4, 2016, there were 500,000 shares of Series A Preferred outstanding, which shares are exchangeable at the option of the holders into an aggregate of 750,000 shares of our common stock.</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The Series A Preferred ranks prior to our common stock for purposes of liquidation preference.</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Restriction</w:t>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this limitation may be waived upon sixty-one (61) days notice to 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4"/>
          <w:szCs w:val="14"/>
          <w:i w:val="1"/>
          <w:iCs w:val="1"/>
          <w:color w:val="auto"/>
        </w:rPr>
        <w:t>Record Date</w:t>
      </w:r>
      <w:r>
        <w:rPr>
          <w:rFonts w:ascii="Arial" w:cs="Arial" w:eastAsia="Arial" w:hAnsi="Arial"/>
          <w:sz w:val="14"/>
          <w:szCs w:val="14"/>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130" w:name="page131"/>
    <w:bookmarkEnd w:id="13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180"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Except with respect to transactions upon which the Series A Preferred shall be entitled to vote separately as a class, the Series A Preferred has no voting rights. The common stock into which the Series A Preferred is exchangeable shall, upon issuance, have all of the same voting rights as other issued and outstanding shares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Series B Preferred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180" w:lineRule="exact"/>
        <w:rPr>
          <w:sz w:val="20"/>
          <w:szCs w:val="20"/>
          <w:color w:val="auto"/>
        </w:rPr>
      </w:pPr>
    </w:p>
    <w:p>
      <w:pPr>
        <w:ind w:right="20"/>
        <w:spacing w:after="0" w:line="323" w:lineRule="auto"/>
        <w:rPr>
          <w:sz w:val="20"/>
          <w:szCs w:val="20"/>
          <w:color w:val="auto"/>
        </w:rPr>
      </w:pPr>
      <w:r>
        <w:rPr>
          <w:rFonts w:ascii="Arial" w:cs="Arial" w:eastAsia="Arial" w:hAnsi="Arial"/>
          <w:sz w:val="13"/>
          <w:szCs w:val="13"/>
          <w:color w:val="auto"/>
        </w:rPr>
        <w:t>In May 2015, our board of directors authorized the creation of a series of up to 4.0 million shares of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xml:space="preserve">). The Certificate of Designation of the Relative Rights and Preferences of the Series B 10% Convertible Preferred Stock was filed with the Nevada Secretary of State on May 7, 2015 (the </w:t>
      </w:r>
      <w:r>
        <w:rPr>
          <w:rFonts w:ascii="Arial" w:cs="Arial" w:eastAsia="Arial" w:hAnsi="Arial"/>
          <w:sz w:val="13"/>
          <w:szCs w:val="13"/>
          <w:i w:val="1"/>
          <w:iCs w:val="1"/>
          <w:color w:val="auto"/>
        </w:rPr>
        <w:t>Series B Certificate of Designation</w:t>
      </w:r>
      <w:r>
        <w:rPr>
          <w:rFonts w:ascii="Arial" w:cs="Arial" w:eastAsia="Arial" w:hAnsi="Arial"/>
          <w:sz w:val="13"/>
          <w:szCs w:val="13"/>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w:t>
      </w:r>
    </w:p>
    <w:p>
      <w:pPr>
        <w:spacing w:after="0" w:line="20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Each share of Series B Preferred is convertible, at the option of the holder (</w:t>
      </w:r>
      <w:r>
        <w:rPr>
          <w:rFonts w:ascii="Arial" w:cs="Arial" w:eastAsia="Arial" w:hAnsi="Arial"/>
          <w:sz w:val="13"/>
          <w:szCs w:val="13"/>
          <w:i w:val="1"/>
          <w:iCs w:val="1"/>
          <w:color w:val="auto"/>
        </w:rPr>
        <w:t>Voluntary Conversion</w:t>
      </w:r>
      <w:r>
        <w:rPr>
          <w:rFonts w:ascii="Arial" w:cs="Arial" w:eastAsia="Arial" w:hAnsi="Arial"/>
          <w:sz w:val="13"/>
          <w:szCs w:val="13"/>
          <w:color w:val="auto"/>
        </w:rPr>
        <w:t>), into one (1) share of the Company’s common stock. All outstanding shares of Series B Preferred are also automatically convertible into common stock (</w:t>
      </w:r>
      <w:r>
        <w:rPr>
          <w:rFonts w:ascii="Arial" w:cs="Arial" w:eastAsia="Arial" w:hAnsi="Arial"/>
          <w:sz w:val="13"/>
          <w:szCs w:val="13"/>
          <w:i w:val="1"/>
          <w:iCs w:val="1"/>
          <w:color w:val="auto"/>
        </w:rPr>
        <w:t>Automatic Conversion</w:t>
      </w:r>
      <w:r>
        <w:rPr>
          <w:rFonts w:ascii="Arial" w:cs="Arial" w:eastAsia="Arial" w:hAnsi="Arial"/>
          <w:sz w:val="13"/>
          <w:szCs w:val="13"/>
          <w:color w:val="auto"/>
        </w:rPr>
        <w:t>) upon the closing or effective date of any of the following transactions or events: (i) a strategic transaction involving AV-101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At March 4, 2016, there were 3,620,220 shares of Series B Preferred outstanding, which shares are exchangeable at the option of the holder into an aggregate of 3,620,220 shares of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Restriction</w:t>
      </w:r>
    </w:p>
    <w:p>
      <w:pPr>
        <w:spacing w:after="0" w:line="201"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this limitation may be waived upon sixty-one (61) days notice to us.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Rank</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Series B Preferred ranks prior to our common stock, and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the Series A Preferred for purposes of liquidation preference.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1" w:name="page132"/>
    <w:bookmarkEnd w:id="13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Prior to either a Voluntary Conversion or Automatic Conversion, shares of Series B Preferred will accrue dividends, payable only in common stock, at a rate of 10% per annum (the </w:t>
      </w:r>
      <w:r>
        <w:rPr>
          <w:rFonts w:ascii="Arial" w:cs="Arial" w:eastAsia="Arial" w:hAnsi="Arial"/>
          <w:sz w:val="13"/>
          <w:szCs w:val="13"/>
          <w:i w:val="1"/>
          <w:iCs w:val="1"/>
          <w:color w:val="auto"/>
        </w:rPr>
        <w:t>Accrued Dividend</w:t>
      </w:r>
      <w:r>
        <w:rPr>
          <w:rFonts w:ascii="Arial" w:cs="Arial" w:eastAsia="Arial" w:hAnsi="Arial"/>
          <w:sz w:val="13"/>
          <w:szCs w:val="13"/>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 Accrued Dividend will be payable on the date of either a Voluntary Conversion or Automatic Conversion solely in that number of shares of Common Stock equal to the Accrued Dividend.</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201"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Except with respect to transactions upon which the Series B Preferred shall be entitled to vote separately as a class, the Series B Preferred shall have no voting rights. The common stock into which the Series B Preferred shall be exchangeable shall, upon issuance, have all of the same voting rights as other issued and outstanding shares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201" w:lineRule="exact"/>
        <w:rPr>
          <w:sz w:val="20"/>
          <w:szCs w:val="20"/>
          <w:color w:val="auto"/>
        </w:rPr>
      </w:pPr>
    </w:p>
    <w:p>
      <w:pPr>
        <w:spacing w:after="0" w:line="320" w:lineRule="auto"/>
        <w:rPr>
          <w:sz w:val="20"/>
          <w:szCs w:val="20"/>
          <w:color w:val="auto"/>
        </w:rPr>
      </w:pPr>
      <w:r>
        <w:rPr>
          <w:rFonts w:ascii="Arial" w:cs="Arial" w:eastAsia="Arial" w:hAnsi="Arial"/>
          <w:sz w:val="12"/>
          <w:szCs w:val="12"/>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Series C Preferred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201" w:lineRule="exact"/>
        <w:rPr>
          <w:sz w:val="20"/>
          <w:szCs w:val="20"/>
          <w:color w:val="auto"/>
        </w:rPr>
      </w:pPr>
    </w:p>
    <w:p>
      <w:pPr>
        <w:ind w:right="120"/>
        <w:spacing w:after="0" w:line="323" w:lineRule="auto"/>
        <w:rPr>
          <w:sz w:val="20"/>
          <w:szCs w:val="20"/>
          <w:color w:val="auto"/>
        </w:rPr>
      </w:pPr>
      <w:r>
        <w:rPr>
          <w:rFonts w:ascii="Arial" w:cs="Arial" w:eastAsia="Arial" w:hAnsi="Arial"/>
          <w:sz w:val="13"/>
          <w:szCs w:val="13"/>
          <w:color w:val="auto"/>
        </w:rPr>
        <w:t>In January 2016, our board of directors authorized the creation of a series of up to 3.0 million shares of Series C Convertible Preferred Stock (</w:t>
      </w:r>
      <w:r>
        <w:rPr>
          <w:rFonts w:ascii="Arial" w:cs="Arial" w:eastAsia="Arial" w:hAnsi="Arial"/>
          <w:sz w:val="13"/>
          <w:szCs w:val="13"/>
          <w:i w:val="1"/>
          <w:iCs w:val="1"/>
          <w:color w:val="auto"/>
        </w:rPr>
        <w:t>Series C Preferred</w:t>
      </w:r>
      <w:r>
        <w:rPr>
          <w:rFonts w:ascii="Arial" w:cs="Arial" w:eastAsia="Arial" w:hAnsi="Arial"/>
          <w:sz w:val="13"/>
          <w:szCs w:val="13"/>
          <w:color w:val="auto"/>
        </w:rPr>
        <w:t xml:space="preserve">). The Certificate of Designation of the Relative Rights and Preferences of the Series C Convertible Preferred Stock was filed with the Nevada Secretary of State, effective January 25, 2016 (the </w:t>
      </w:r>
      <w:r>
        <w:rPr>
          <w:rFonts w:ascii="Arial" w:cs="Arial" w:eastAsia="Arial" w:hAnsi="Arial"/>
          <w:sz w:val="13"/>
          <w:szCs w:val="13"/>
          <w:i w:val="1"/>
          <w:iCs w:val="1"/>
          <w:color w:val="auto"/>
        </w:rPr>
        <w:t>Series C Certificate of Designation</w:t>
      </w:r>
      <w:r>
        <w:rPr>
          <w:rFonts w:ascii="Arial" w:cs="Arial" w:eastAsia="Arial" w:hAnsi="Arial"/>
          <w:sz w:val="13"/>
          <w:szCs w:val="13"/>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and Rank</w:t>
      </w:r>
    </w:p>
    <w:p>
      <w:pPr>
        <w:spacing w:after="0" w:line="201" w:lineRule="exact"/>
        <w:rPr>
          <w:sz w:val="20"/>
          <w:szCs w:val="20"/>
          <w:color w:val="auto"/>
        </w:rPr>
      </w:pPr>
    </w:p>
    <w:p>
      <w:pPr>
        <w:ind w:right="140"/>
        <w:spacing w:after="0" w:line="323" w:lineRule="auto"/>
        <w:rPr>
          <w:sz w:val="20"/>
          <w:szCs w:val="20"/>
          <w:color w:val="auto"/>
        </w:rPr>
      </w:pPr>
      <w:r>
        <w:rPr>
          <w:rFonts w:ascii="Arial" w:cs="Arial" w:eastAsia="Arial" w:hAnsi="Arial"/>
          <w:sz w:val="13"/>
          <w:szCs w:val="13"/>
          <w:color w:val="auto"/>
        </w:rPr>
        <w:t xml:space="preserve">At March 4, 2016, there were 2,318,012 shares of Series C Preferred outstanding, which shares of Series C Preferred are exchangeable at the option of the holder into 2,318,012 shares of our common stock. The Series C Preferred ranks prior to our common stock for purposes of liquidation preference, and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the Series A Preferred and Series B Preferred.</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Conversion Restriction</w:t>
      </w:r>
    </w:p>
    <w:p>
      <w:pPr>
        <w:spacing w:after="0" w:line="201"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this limitation may be waived upon sixty-one (61) days notice to us.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Rights</w:t>
      </w:r>
    </w:p>
    <w:p>
      <w:pPr>
        <w:spacing w:after="0" w:line="201"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4"/>
          <w:szCs w:val="14"/>
          <w:i w:val="1"/>
          <w:iCs w:val="1"/>
          <w:color w:val="auto"/>
        </w:rPr>
        <w:t>Record Date</w:t>
      </w:r>
      <w:r>
        <w:rPr>
          <w:rFonts w:ascii="Arial" w:cs="Arial" w:eastAsia="Arial" w:hAnsi="Arial"/>
          <w:sz w:val="14"/>
          <w:szCs w:val="14"/>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2" w:name="page133"/>
    <w:bookmarkEnd w:id="13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180"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Except with respect to transactions upon which the Series C Preferred shall be entitled to vote separately as a class, the Series C Preferred has no voting rights. The common stock into which the Series C Preferred is exchangeable shall, upon issuance, have all of the same voting rights as other issued and outstanding shares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Liquidation Rights</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As of March 4, 2016, we had options to purchase 316,379 shares of our common stock outstanding pursuant to our 1999 Plan and our 2008 Plan.</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As of March 4, 2016, warrants to purchase 1,707,222 shares of our common stock were outstanding, with a weighted average exercise price of $8.23 per share.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 and Registrar</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transfer agent and registrar for our common stock is Computershare Trust Company, N.A., Jersey City, New Jersey.</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3" w:name="page134"/>
    <w:bookmarkEnd w:id="13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SHARES ELIGIBLE FOR FUTURE SALE</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Prior to this Offering, there has a limited public market for shares of our common stock. Future sales of substantial amounts of shares of our common stock, including sales of shares issued upon the exchange of outstanding preferred stock and exercise of outstanding options and warrants, in the public market after this Offering or the possibility of these issuances and sales occurring, could cause the prevailing market price for our common stock to fall or impair our ability to raise equity capital in the future.</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Upon the completion of this Offering, based on the number of shares outstanding as of March 4, 2016, we will have approximately [________] million shares of common stock outstanding, assuming</w:t>
      </w:r>
    </w:p>
    <w:p>
      <w:pPr>
        <w:spacing w:after="0" w:line="31" w:lineRule="exact"/>
        <w:rPr>
          <w:sz w:val="20"/>
          <w:szCs w:val="20"/>
          <w:color w:val="auto"/>
        </w:rPr>
      </w:pPr>
    </w:p>
    <w:p>
      <w:pPr>
        <w:ind w:right="100"/>
        <w:spacing w:after="0" w:line="284" w:lineRule="auto"/>
        <w:rPr>
          <w:sz w:val="20"/>
          <w:szCs w:val="20"/>
          <w:color w:val="auto"/>
        </w:rPr>
      </w:pPr>
      <w:r>
        <w:rPr>
          <w:rFonts w:ascii="Arial" w:cs="Arial" w:eastAsia="Arial" w:hAnsi="Arial"/>
          <w:sz w:val="13"/>
          <w:szCs w:val="13"/>
          <w:color w:val="auto"/>
        </w:rPr>
        <w:t>exercise of all outstanding options and warrants, and conversion of shares of our Series B Preferred not otherwise subject to ownership limitations. Of these outstanding shares, all shares of common stock sold by us in this Offering will be freely tradable in the public market without restriction or further registration under the Securities Act, and shares of common stock held by our affiliates, as that term is defined in Rule 144 under the Securities Act, may only be sold in compliance with the limitations described below. All remaining shares of common stock, and all shares of Series A Preferred, Series B Preferred and Series C Preferred outstanding after this Offering, will remain deemed restricted under the Federal securities laws.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144</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In general, under Rule 144 as currently in effect,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person has beneficially owned the shares proposed to be sold for at least one year, including the holding period of any prior owner other than our affiliates, then that person is entitled to sell those shares without complying with the requirements of Rule 144, subject to the availability of current public information about us.</w:t>
      </w:r>
    </w:p>
    <w:p>
      <w:pPr>
        <w:spacing w:after="0" w:line="168" w:lineRule="exact"/>
        <w:rPr>
          <w:sz w:val="20"/>
          <w:szCs w:val="20"/>
          <w:color w:val="auto"/>
        </w:rPr>
      </w:pPr>
    </w:p>
    <w:p>
      <w:pPr>
        <w:ind w:right="360"/>
        <w:spacing w:after="0" w:line="283" w:lineRule="auto"/>
        <w:rPr>
          <w:sz w:val="20"/>
          <w:szCs w:val="20"/>
          <w:color w:val="auto"/>
        </w:rPr>
      </w:pPr>
      <w:r>
        <w:rPr>
          <w:rFonts w:ascii="Arial" w:cs="Arial" w:eastAsia="Arial" w:hAnsi="Arial"/>
          <w:sz w:val="14"/>
          <w:szCs w:val="14"/>
          <w:color w:val="auto"/>
        </w:rPr>
        <w:t>In general, under Rule 144 as currently in effect, our affiliates or persons selling shares on behalf of our affiliates are entitled to sell upon the expiration of the lock-up agreements described above, within any three-month period, a number of shares that does not exceed the greater of:</w:t>
      </w:r>
    </w:p>
    <w:p>
      <w:pPr>
        <w:spacing w:after="0" w:line="131" w:lineRule="exact"/>
        <w:rPr>
          <w:sz w:val="20"/>
          <w:szCs w:val="20"/>
          <w:color w:val="auto"/>
        </w:rPr>
      </w:pPr>
    </w:p>
    <w:p>
      <w:pPr>
        <w:ind w:left="360" w:hanging="355"/>
        <w:spacing w:after="0"/>
        <w:tabs>
          <w:tab w:leader="none" w:pos="3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1% of the number of shares of common stock then outstanding; or</w:t>
      </w:r>
    </w:p>
    <w:p>
      <w:pPr>
        <w:spacing w:after="0" w:line="201" w:lineRule="exact"/>
        <w:rPr>
          <w:rFonts w:ascii="Arial" w:cs="Arial" w:eastAsia="Arial" w:hAnsi="Arial"/>
          <w:sz w:val="14"/>
          <w:szCs w:val="14"/>
          <w:color w:val="auto"/>
        </w:rPr>
      </w:pPr>
    </w:p>
    <w:p>
      <w:pPr>
        <w:ind w:left="340" w:hanging="335"/>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average weekly trading volume of the common stock during the four calendar weeks preceding the filing of a notice on Form 144 with respect to such sale.</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Lock-up Agreements and Market Standoff Provisions</w:t>
      </w:r>
    </w:p>
    <w:p>
      <w:pPr>
        <w:spacing w:after="0" w:line="205" w:lineRule="exact"/>
        <w:rPr>
          <w:sz w:val="20"/>
          <w:szCs w:val="20"/>
          <w:color w:val="auto"/>
        </w:rPr>
      </w:pPr>
    </w:p>
    <w:p>
      <w:pPr>
        <w:ind w:right="60"/>
        <w:spacing w:after="0" w:line="285" w:lineRule="auto"/>
        <w:rPr>
          <w:sz w:val="20"/>
          <w:szCs w:val="20"/>
          <w:color w:val="auto"/>
        </w:rPr>
      </w:pPr>
      <w:r>
        <w:rPr>
          <w:rFonts w:ascii="Arial" w:cs="Arial" w:eastAsia="Arial" w:hAnsi="Arial"/>
          <w:sz w:val="13"/>
          <w:szCs w:val="13"/>
          <w:color w:val="auto"/>
        </w:rPr>
        <w:t>All of our directors, executive officers and our 5% or greater stockholders are each subject to lock-up agreements with the underwriters or market standoff provisions in agreements with us that, subject to certain exceptions, prohibit them from offering, pledging, selling, contracting to sell, selling any option or contracting to purchase, purchasing any option or contracting to sell, granting any option, right or warrant to purchase, or otherwise transferring or disposing of, directly or indirectly, or entering into any swap or other arrangement that transfers to another, in whole or in part, any of the economic consequences of ownership of any shares of common stock or any securities convertible into or exercisable or exchangeable for shares of common stock for a period of 90 days after the date of this prospectus, without the prior written consent of the representatives of the underwriters or us, as the case may be. See the section titled “</w:t>
      </w:r>
      <w:r>
        <w:rPr>
          <w:rFonts w:ascii="Arial" w:cs="Arial" w:eastAsia="Arial" w:hAnsi="Arial"/>
          <w:sz w:val="13"/>
          <w:szCs w:val="13"/>
          <w:i w:val="1"/>
          <w:iCs w:val="1"/>
          <w:color w:val="auto"/>
        </w:rPr>
        <w:t>Underwriting</w:t>
      </w:r>
      <w:r>
        <w:rPr>
          <w:rFonts w:ascii="Arial" w:cs="Arial" w:eastAsia="Arial" w:hAnsi="Arial"/>
          <w:sz w:val="13"/>
          <w:szCs w:val="13"/>
          <w:color w:val="auto"/>
        </w:rPr>
        <w: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4" w:name="page135"/>
    <w:bookmarkEnd w:id="13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UNDERWRITING</w:t>
      </w:r>
    </w:p>
    <w:p>
      <w:pPr>
        <w:spacing w:after="0" w:line="205"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color w:val="auto"/>
        </w:rPr>
        <w:t>Under the terms and subject to the conditions contained in an underwriting agreement, we have agreed to sell to the underwriters named below, for which Chardan Capital Markets, LLC, and WallachBeth Capital, LLC are acting as representatives, and the underwriters named below have agreed to purchase from us, the number of shares of common stock set forth opposite their respective names below.</w:t>
      </w:r>
    </w:p>
    <w:p>
      <w:pPr>
        <w:sectPr>
          <w:pgSz w:w="11900" w:h="16838" w:orient="portrait"/>
          <w:cols w:equalWidth="0" w:num="1">
            <w:col w:w="11460"/>
          </w:cols>
          <w:pgMar w:left="220" w:top="133" w:right="219" w:bottom="1440" w:gutter="0" w:footer="0" w:header="0"/>
        </w:sect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5828665" cy="13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28665" cy="1333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Chardan Capital Markets, LLC</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WallachBeth Capital, LLC</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Number of</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2"/>
          <w:szCs w:val="12"/>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20955</wp:posOffset>
            </wp:positionV>
            <wp:extent cx="7275830" cy="1219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5830" cy="12192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250825</wp:posOffset>
            </wp:positionV>
            <wp:extent cx="7275830" cy="135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5830" cy="135255"/>
                    </a:xfrm>
                    <a:prstGeom prst="rect">
                      <a:avLst/>
                    </a:prstGeom>
                    <a:noFill/>
                  </pic:spPr>
                </pic:pic>
              </a:graphicData>
            </a:graphic>
          </wp:anchor>
        </w:drawing>
      </w:r>
    </w:p>
    <w:p>
      <w:pPr>
        <w:spacing w:after="0" w:line="766" w:lineRule="exact"/>
        <w:rPr>
          <w:sz w:val="20"/>
          <w:szCs w:val="20"/>
          <w:color w:val="auto"/>
        </w:rPr>
      </w:pPr>
    </w:p>
    <w:p>
      <w:pPr>
        <w:sectPr>
          <w:pgSz w:w="11900" w:h="16838" w:orient="portrait"/>
          <w:cols w:equalWidth="0" w:num="2">
            <w:col w:w="8920" w:space="720"/>
            <w:col w:w="1820"/>
          </w:cols>
          <w:pgMar w:left="220" w:top="133" w:right="219" w:bottom="1440" w:gutter="0" w:footer="0" w:header="0"/>
          <w:type w:val="continuous"/>
        </w:sectPr>
      </w:pPr>
    </w:p>
    <w:p>
      <w:pPr>
        <w:spacing w:after="0" w:line="1"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underwriting agreement provides that the obligation of the underwriters to purchase the shares offered hereby is subject to certain conditions and that the underwriters are obligated to purchase all of the shares offered hereby if any of the shares are purchased.</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If the underwriters sell more shares than the above number, the underwriters have an option for 45 days to buy up to an aggregate of [________] additional shares from us at the public offering price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less the underwriting commissions and discounts to cover these sales.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Commissions, Discounts and Other Compensation</w:t>
      </w:r>
    </w:p>
    <w:p>
      <w:pPr>
        <w:spacing w:after="0" w:line="184" w:lineRule="exact"/>
        <w:rPr>
          <w:sz w:val="20"/>
          <w:szCs w:val="20"/>
          <w:color w:val="auto"/>
        </w:rPr>
      </w:pPr>
    </w:p>
    <w:p>
      <w:pPr>
        <w:ind w:right="40"/>
        <w:spacing w:after="0" w:line="305" w:lineRule="auto"/>
        <w:rPr>
          <w:sz w:val="20"/>
          <w:szCs w:val="20"/>
          <w:color w:val="auto"/>
        </w:rPr>
      </w:pPr>
      <w:r>
        <w:rPr>
          <w:rFonts w:ascii="Arial" w:cs="Arial" w:eastAsia="Arial" w:hAnsi="Arial"/>
          <w:sz w:val="12"/>
          <w:szCs w:val="12"/>
          <w:color w:val="auto"/>
        </w:rPr>
        <w:t>The underwriters have advised us that they propose to offer the shares to the public at the public offering price set forth on the cover page of this prospectus and to certain dealers at that price less a concession not in excess of $ [____] per share. After this Offering, the public offering price and concession may be changed by the underwriters. No such change shall change the amount of proceeds to</w:t>
      </w:r>
    </w:p>
    <w:p>
      <w:pPr>
        <w:ind w:right="160"/>
        <w:spacing w:after="0" w:line="267" w:lineRule="auto"/>
        <w:rPr>
          <w:sz w:val="20"/>
          <w:szCs w:val="20"/>
          <w:color w:val="auto"/>
        </w:rPr>
      </w:pPr>
      <w:r>
        <w:rPr>
          <w:rFonts w:ascii="Arial" w:cs="Arial" w:eastAsia="Arial" w:hAnsi="Arial"/>
          <w:sz w:val="14"/>
          <w:szCs w:val="14"/>
          <w:color w:val="auto"/>
        </w:rPr>
        <w:t>be received by us as set forth on the cover page of this prospectus. The shares are offered by the underwriters as stated herein, subject to receipt and acceptance by the underwriters and subject to their right to reject any order in whole or in part.</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We have agreed to pay to the underwriters a fee equal to 10% of the aggregate gross proceeds of the shares sold in this Offering. This fee is to be paid by means of a discount from the offering price to purchasers in the Offering. In addition, we have agreed to reimburse the representatives for their reasonable out-of-pocket expenses incurred in connection with this Offering in an aggregate amount not to exceed $200,000 for all such expenses. We estimate that expenses payable by us in connection with this Offering, other than the underwriting discounts and commissions referred to above, will be approximately $[____].</w:t>
      </w:r>
    </w:p>
    <w:p>
      <w:pPr>
        <w:spacing w:after="0" w:line="146"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The following table summarizes the public offering price, underwriting discounts and commissions and proceeds before expenses to us assuming both no exercise and full exercise of the underwriters’ option to purchase additional shares:</w:t>
      </w:r>
    </w:p>
    <w:p>
      <w:pPr>
        <w:spacing w:after="0" w:line="127" w:lineRule="exact"/>
        <w:rPr>
          <w:sz w:val="20"/>
          <w:szCs w:val="20"/>
          <w:color w:val="auto"/>
        </w:rPr>
      </w:pPr>
    </w:p>
    <w:tbl>
      <w:tblPr>
        <w:tblLayout w:type="fixed"/>
        <w:tblInd w:w="792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Total</w:t>
            </w:r>
          </w:p>
        </w:tc>
      </w:tr>
      <w:tr>
        <w:trPr>
          <w:trHeight w:val="156"/>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left="69"/>
              <w:spacing w:after="0" w:line="156" w:lineRule="exact"/>
              <w:rPr>
                <w:sz w:val="20"/>
                <w:szCs w:val="20"/>
                <w:color w:val="auto"/>
              </w:rPr>
            </w:pPr>
            <w:r>
              <w:rPr>
                <w:rFonts w:ascii="Arial" w:cs="Arial" w:eastAsia="Arial" w:hAnsi="Arial"/>
                <w:sz w:val="14"/>
                <w:szCs w:val="14"/>
                <w:b w:val="1"/>
                <w:bCs w:val="1"/>
                <w:color w:val="auto"/>
                <w:w w:val="95"/>
              </w:rPr>
              <w:t>Without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With</w:t>
            </w:r>
          </w:p>
        </w:tc>
      </w:tr>
      <w:tr>
        <w:trPr>
          <w:trHeight w:val="170"/>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Per</w:t>
            </w:r>
          </w:p>
        </w:tc>
        <w:tc>
          <w:tcPr>
            <w:tcW w:w="140" w:type="dxa"/>
            <w:vAlign w:val="bottom"/>
          </w:tcPr>
          <w:p>
            <w:pPr>
              <w:spacing w:after="0"/>
              <w:rPr>
                <w:sz w:val="14"/>
                <w:szCs w:val="14"/>
                <w:color w:val="auto"/>
              </w:rPr>
            </w:pPr>
          </w:p>
        </w:tc>
        <w:tc>
          <w:tcPr>
            <w:tcW w:w="920" w:type="dxa"/>
            <w:vAlign w:val="bottom"/>
          </w:tcPr>
          <w:p>
            <w:pPr>
              <w:jc w:val="center"/>
              <w:ind w:left="69"/>
              <w:spacing w:after="0"/>
              <w:rPr>
                <w:sz w:val="20"/>
                <w:szCs w:val="20"/>
                <w:color w:val="auto"/>
              </w:rPr>
            </w:pPr>
            <w:r>
              <w:rPr>
                <w:rFonts w:ascii="Arial" w:cs="Arial" w:eastAsia="Arial" w:hAnsi="Arial"/>
                <w:sz w:val="14"/>
                <w:szCs w:val="14"/>
                <w:b w:val="1"/>
                <w:bCs w:val="1"/>
                <w:color w:val="auto"/>
                <w:w w:val="92"/>
              </w:rPr>
              <w:t>Over-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Over-</w:t>
            </w:r>
          </w:p>
        </w:tc>
      </w:tr>
      <w:tr>
        <w:trPr>
          <w:trHeight w:val="186"/>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6"/>
                <w:szCs w:val="16"/>
                <w:color w:val="auto"/>
              </w:rPr>
            </w:pPr>
          </w:p>
        </w:tc>
        <w:tc>
          <w:tcPr>
            <w:tcW w:w="920" w:type="dxa"/>
            <w:vAlign w:val="bottom"/>
            <w:tcBorders>
              <w:bottom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92"/>
              </w:rPr>
              <w:t>Allotment</w:t>
            </w:r>
          </w:p>
        </w:tc>
        <w:tc>
          <w:tcPr>
            <w:tcW w:w="1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Allotment</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275830" cy="1079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Underwriting discounts and commissions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Proceeds, before expenses,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75830" cy="1079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type w:val="continuous"/>
        </w:sectPr>
      </w:pPr>
    </w:p>
    <w:bookmarkStart w:id="135" w:name="page136"/>
    <w:bookmarkEnd w:id="13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Representatives’ Warrants</w:t>
      </w:r>
    </w:p>
    <w:p>
      <w:pPr>
        <w:spacing w:after="0" w:line="184"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color w:val="auto"/>
        </w:rPr>
        <w:t>We shall issue to the representatives warrants entitling the representatives to purchase up to 6% of the aggregate number of shares of common stock sold in the offering, including those sold pursuant to the underwriters’ over-allotment option. The representatives’ warrants may be exercised for a period of five years following the date of effectiveness of the Registration Statement of which this prospectus forms a part. The representatives’ warrants will have an exercise price equal to 125% of the per share price of the shares sold in this Offering.</w:t>
      </w:r>
    </w:p>
    <w:p>
      <w:pPr>
        <w:spacing w:after="0" w:line="125" w:lineRule="exact"/>
        <w:rPr>
          <w:sz w:val="20"/>
          <w:szCs w:val="20"/>
          <w:color w:val="auto"/>
        </w:rPr>
      </w:pPr>
    </w:p>
    <w:p>
      <w:pPr>
        <w:ind w:right="180"/>
        <w:spacing w:after="0" w:line="261" w:lineRule="auto"/>
        <w:rPr>
          <w:sz w:val="20"/>
          <w:szCs w:val="20"/>
          <w:color w:val="auto"/>
        </w:rPr>
      </w:pPr>
      <w:r>
        <w:rPr>
          <w:rFonts w:ascii="Arial" w:cs="Arial" w:eastAsia="Arial" w:hAnsi="Arial"/>
          <w:sz w:val="14"/>
          <w:szCs w:val="14"/>
          <w:color w:val="auto"/>
        </w:rPr>
        <w:t>The representatives’ warrants and the securities underlying such warrants are deemed to be underwriting compensation by FINRA and are therefore subject to a 180-day lock-up pursuant to FINRA Rule 5110(g)(1). The representatives (or permitted assignee under the rule) may not sell, transfer, assign, pledge or hypothecate the representatives’ warrants or the securities underlying the representatives’ warrants, nor will it engage in any hedging, short sale, derivative, put or call transaction that would result in the effective economic disposition of the representatives’ warrants or the underlying securities for a period of 180 days from the date on which the Registration Statement on Form S-1 of which this prospectus forms a part is declared effective by the SEC, except to any FINRA member participating in the Offering and their bona fide officers or partners.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Lock-up Agreements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agreed not to offer, sell, contract to sell, pledge, grant options to purchase, or otherwise dispose of any of our shares of common stock or securities exchangeable for or convertible into our shares of common stock for a period of 90 days after the date of this prospectus without the prior written consent of the representatives. This agreement does not apply to the issuance of shares upon the exercise of rights to acquire shares of common stock pursuant to any existing stock option or similar equity incentive or compensation plan. Our directors, executive officers and our 5% or greater stockholders have agreed, subject to certain exceptions, not to, directly or indirectly, sell, pledge, offer or otherwise dispose of any shares of common stock, options to acquire shares of common stock or securities exchangeable for or convertible into shares of common stock, for a period of 90 days from the date on which the Registration Statement of which this prospectus forms a part is declared effective by the SEC without the prior written consent of the representatives.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 of First Refusal</w:t>
      </w:r>
    </w:p>
    <w:p>
      <w:pPr>
        <w:spacing w:after="0" w:line="184" w:lineRule="exact"/>
        <w:rPr>
          <w:sz w:val="20"/>
          <w:szCs w:val="20"/>
          <w:color w:val="auto"/>
        </w:rPr>
      </w:pPr>
    </w:p>
    <w:p>
      <w:pPr>
        <w:spacing w:after="0" w:line="333" w:lineRule="auto"/>
        <w:rPr>
          <w:sz w:val="20"/>
          <w:szCs w:val="20"/>
          <w:color w:val="auto"/>
        </w:rPr>
      </w:pPr>
      <w:r>
        <w:rPr>
          <w:rFonts w:ascii="Arial" w:cs="Arial" w:eastAsia="Arial" w:hAnsi="Arial"/>
          <w:sz w:val="12"/>
          <w:szCs w:val="12"/>
          <w:color w:val="auto"/>
        </w:rPr>
        <w:t>Subject to certain terms and exceptions, for a period of twelve months after the date of effectiveness of the Registration Statement of which this prospectus is a part, the representatives have a right of first refusal to act as co-lead underwriters or co-book-running managers or co-placement agents (or if only one representative exercises such right, lead underwriter or book-running manager or placement agent) for each and every future public and private equity and debt offerings we do, or any successor to or any subsidiary of us, on any U.S. stock exchange during such twelve month period.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 and Contribution</w:t>
      </w:r>
    </w:p>
    <w:p>
      <w:pPr>
        <w:spacing w:after="0" w:line="184"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The underwriting agreement provides for indemnification between us and the underwriters against specified liabilities, including liabilities under the Securities Act, and for contribution by us and the underwriters to payments that may be required to be made with respect to those liabilities. We have been advised that, in the opinion of the SEC, indemnification of liabilities under the Securities Act is against public policy as expressed in the Securities Act, and is therefore, unenforceable.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Short Sales, Stabilizing Transactions and Penalty Bids</w:t>
      </w:r>
    </w:p>
    <w:p>
      <w:pPr>
        <w:spacing w:after="0" w:line="184"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In order to facilitate this Offering, persons participating in this Offering may engage in transactions that stabilize, maintain, or otherwise affect the price of shares of common stock during and after this Offering. Specifically, the underwriters may engage in the following activities in accordance with the rules of the SEC.</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136" w:name="page137"/>
    <w:bookmarkEnd w:id="13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i w:val="1"/>
          <w:iCs w:val="1"/>
          <w:color w:val="auto"/>
        </w:rPr>
        <w:t xml:space="preserve">Short sales. </w:t>
      </w:r>
      <w:r>
        <w:rPr>
          <w:rFonts w:ascii="Arial" w:cs="Arial" w:eastAsia="Arial" w:hAnsi="Arial"/>
          <w:sz w:val="14"/>
          <w:szCs w:val="14"/>
          <w:color w:val="auto"/>
        </w:rPr>
        <w:t>Short sales involve the sales by the underwriters of a greater number of shares than they are required to purchase in the Offering. Covered short sales are short sales made in an amount not</w:t>
      </w:r>
      <w:r>
        <w:rPr>
          <w:rFonts w:ascii="Arial" w:cs="Arial" w:eastAsia="Arial" w:hAnsi="Arial"/>
          <w:sz w:val="14"/>
          <w:szCs w:val="14"/>
          <w:i w:val="1"/>
          <w:iCs w:val="1"/>
          <w:color w:val="auto"/>
        </w:rPr>
        <w:t xml:space="preserve"> </w:t>
      </w:r>
      <w:r>
        <w:rPr>
          <w:rFonts w:ascii="Arial" w:cs="Arial" w:eastAsia="Arial" w:hAnsi="Arial"/>
          <w:sz w:val="14"/>
          <w:szCs w:val="14"/>
          <w:color w:val="auto"/>
        </w:rPr>
        <w:t>greater than the underwriters’ over-allotment option to purchase additional shares from us in this Offering. The underwriters may close out any covered short position by either exercising their over-allotment option to purchase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any short sales in excess of such over-allotment option. The underwriters must close out any naked short position by purchasing shares in the open market. A naked short position is more likely to be created if the underwriters are concerned that there may be downward pressure on the price of the shares of common stock in the open market after pricing that could adversely affect investors who purchase in this Offering.</w:t>
      </w:r>
    </w:p>
    <w:p>
      <w:pPr>
        <w:spacing w:after="0" w:line="152"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i w:val="1"/>
          <w:iCs w:val="1"/>
          <w:color w:val="auto"/>
        </w:rPr>
        <w:t xml:space="preserve">Stabilizing transactions. </w:t>
      </w:r>
      <w:r>
        <w:rPr>
          <w:rFonts w:ascii="Arial" w:cs="Arial" w:eastAsia="Arial" w:hAnsi="Arial"/>
          <w:sz w:val="14"/>
          <w:szCs w:val="14"/>
          <w:color w:val="auto"/>
        </w:rPr>
        <w:t>The underwriters may make bids for or purchases of the shares for the purpose of pegging, fixing, or maintaining the price of the shares, so long as stabilizing bids do not</w:t>
      </w:r>
      <w:r>
        <w:rPr>
          <w:rFonts w:ascii="Arial" w:cs="Arial" w:eastAsia="Arial" w:hAnsi="Arial"/>
          <w:sz w:val="14"/>
          <w:szCs w:val="14"/>
          <w:i w:val="1"/>
          <w:iCs w:val="1"/>
          <w:color w:val="auto"/>
        </w:rPr>
        <w:t xml:space="preserve"> </w:t>
      </w:r>
      <w:r>
        <w:rPr>
          <w:rFonts w:ascii="Arial" w:cs="Arial" w:eastAsia="Arial" w:hAnsi="Arial"/>
          <w:sz w:val="14"/>
          <w:szCs w:val="14"/>
          <w:color w:val="auto"/>
        </w:rPr>
        <w:t>exceed a specified maximum.</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4"/>
          <w:szCs w:val="14"/>
          <w:i w:val="1"/>
          <w:iCs w:val="1"/>
          <w:color w:val="auto"/>
        </w:rPr>
        <w:t xml:space="preserve">Penalty bids. </w:t>
      </w:r>
      <w:r>
        <w:rPr>
          <w:rFonts w:ascii="Arial" w:cs="Arial" w:eastAsia="Arial" w:hAnsi="Arial"/>
          <w:sz w:val="14"/>
          <w:szCs w:val="14"/>
          <w:color w:val="auto"/>
        </w:rPr>
        <w:t>If the underwriters purchase shares in the open market in a stabilizing transaction or syndicate covering transaction, they may reclaim a selling concession from the underwriters and selling</w:t>
      </w:r>
      <w:r>
        <w:rPr>
          <w:rFonts w:ascii="Arial" w:cs="Arial" w:eastAsia="Arial" w:hAnsi="Arial"/>
          <w:sz w:val="14"/>
          <w:szCs w:val="14"/>
          <w:i w:val="1"/>
          <w:iCs w:val="1"/>
          <w:color w:val="auto"/>
        </w:rPr>
        <w:t xml:space="preserve"> </w:t>
      </w:r>
      <w:r>
        <w:rPr>
          <w:rFonts w:ascii="Arial" w:cs="Arial" w:eastAsia="Arial" w:hAnsi="Arial"/>
          <w:sz w:val="14"/>
          <w:szCs w:val="14"/>
          <w:color w:val="auto"/>
        </w:rPr>
        <w:t>group members who sold those shares as part of this Offering. Stabilization and syndicate covering transactions may cause the price of the shares to be higher than it would be in the absence of these transactions. The imposition of a penalty bid might also have an effect on the price of the shares if it discourages re-sales of the shares.</w:t>
      </w:r>
    </w:p>
    <w:p>
      <w:pPr>
        <w:spacing w:after="0" w:line="142" w:lineRule="exact"/>
        <w:rPr>
          <w:sz w:val="20"/>
          <w:szCs w:val="20"/>
          <w:color w:val="auto"/>
        </w:rPr>
      </w:pPr>
    </w:p>
    <w:p>
      <w:pPr>
        <w:ind w:right="140"/>
        <w:spacing w:after="0" w:line="283" w:lineRule="auto"/>
        <w:rPr>
          <w:sz w:val="20"/>
          <w:szCs w:val="20"/>
          <w:color w:val="auto"/>
        </w:rPr>
      </w:pPr>
      <w:r>
        <w:rPr>
          <w:rFonts w:ascii="Arial" w:cs="Arial" w:eastAsia="Arial" w:hAnsi="Arial"/>
          <w:sz w:val="14"/>
          <w:szCs w:val="14"/>
          <w:color w:val="auto"/>
        </w:rPr>
        <w:t>The transactions above may occur on The NASDAQ Capital Market or otherwise. Neither we nor the underwriters make any representation or prediction as to the effect that the transactions described above may have on the price of the shares. If these transactions are commenced, they may be discontinued without notice at any time.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Discretionary Sales</w:t>
      </w:r>
    </w:p>
    <w:p>
      <w:pPr>
        <w:spacing w:after="0" w:line="184"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color w:val="auto"/>
        </w:rPr>
        <w:t>The underwriters have informed us that they do not expect to confirm sales of shares of common stock offered by this prospectus to accounts over which they exercise discretionary authority without obtaining the specific approval of the account holder.</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Distribution</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A prospectus in electronic format may be made available on the internet sites or through other online services maintained by one or more of the underwriters participating in this Offering, or by their affiliates. Other than the prospectus in electronic format, the information on any underwriters’ web site and any information contained in any other web 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Affiliations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underwriters and their affiliates may in the future provide various investment banking and other financial services for us for which services they may in the future receive, customary fees. Except for services provided in connection with this Offering, and in connection with the offering of our Series B 10% Convertible Preferred Stock, none of the underwriters has provided any investment banking or other financial services to us during the past 180 days and we do not expect to retain any of the underwriters to perform any investment banking or other financial services to us for at least 90 days after the date of this prospectus.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Offer Restrictions Outside the United States</w:t>
      </w:r>
    </w:p>
    <w:p>
      <w:pPr>
        <w:spacing w:after="0" w:line="184" w:lineRule="exact"/>
        <w:rPr>
          <w:sz w:val="20"/>
          <w:szCs w:val="20"/>
          <w:color w:val="auto"/>
        </w:rPr>
      </w:pPr>
    </w:p>
    <w:p>
      <w:pPr>
        <w:ind w:right="40"/>
        <w:spacing w:after="0" w:line="314" w:lineRule="auto"/>
        <w:rPr>
          <w:sz w:val="20"/>
          <w:szCs w:val="20"/>
          <w:color w:val="auto"/>
        </w:rPr>
      </w:pPr>
      <w:r>
        <w:rPr>
          <w:rFonts w:ascii="Arial" w:cs="Arial" w:eastAsia="Arial" w:hAnsi="Arial"/>
          <w:sz w:val="12"/>
          <w:szCs w:val="12"/>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7" w:name="page138"/>
    <w:bookmarkEnd w:id="13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Australia</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for the offeree under this prospectus.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China</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 xml:space="preserve">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w:t>
      </w:r>
      <w:r>
        <w:rPr>
          <w:rFonts w:ascii="Arial" w:cs="Arial" w:eastAsia="Arial" w:hAnsi="Arial"/>
          <w:sz w:val="14"/>
          <w:szCs w:val="14"/>
          <w:i w:val="1"/>
          <w:iCs w:val="1"/>
          <w:color w:val="auto"/>
        </w:rPr>
        <w:t>PRC</w:t>
      </w:r>
      <w:r>
        <w:rPr>
          <w:rFonts w:ascii="Arial" w:cs="Arial" w:eastAsia="Arial" w:hAnsi="Arial"/>
          <w:sz w:val="14"/>
          <w:szCs w:val="14"/>
          <w:color w:val="auto"/>
        </w:rPr>
        <w:t>). The securities may not be offered or sold directly or indirectly in the PRC to legal or natural persons other than directly to “qualified domestic institutional investors.”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European Economic Area — Belgium, Germany, Luxembourg and the Netherlands</w:t>
      </w:r>
    </w:p>
    <w:p>
      <w:pPr>
        <w:spacing w:after="0" w:line="180" w:lineRule="exact"/>
        <w:rPr>
          <w:sz w:val="20"/>
          <w:szCs w:val="20"/>
          <w:color w:val="auto"/>
        </w:rPr>
      </w:pPr>
    </w:p>
    <w:p>
      <w:pPr>
        <w:ind w:right="620"/>
        <w:spacing w:after="0" w:line="370" w:lineRule="auto"/>
        <w:rPr>
          <w:sz w:val="20"/>
          <w:szCs w:val="20"/>
          <w:color w:val="auto"/>
        </w:rPr>
      </w:pPr>
      <w:r>
        <w:rPr>
          <w:rFonts w:ascii="Arial" w:cs="Arial" w:eastAsia="Arial" w:hAnsi="Arial"/>
          <w:sz w:val="12"/>
          <w:szCs w:val="12"/>
          <w:color w:val="auto"/>
        </w:rPr>
        <w:t>The information in this document has been prepared on the basis that all offers of shares of common stock will be made pursuant to an exemption under the Directive 2003/71/EC (</w:t>
      </w:r>
      <w:r>
        <w:rPr>
          <w:rFonts w:ascii="Arial" w:cs="Arial" w:eastAsia="Arial" w:hAnsi="Arial"/>
          <w:sz w:val="12"/>
          <w:szCs w:val="12"/>
          <w:i w:val="1"/>
          <w:iCs w:val="1"/>
          <w:color w:val="auto"/>
        </w:rPr>
        <w:t>Prospectus</w:t>
      </w:r>
      <w:r>
        <w:rPr>
          <w:rFonts w:ascii="Arial" w:cs="Arial" w:eastAsia="Arial" w:hAnsi="Arial"/>
          <w:sz w:val="12"/>
          <w:szCs w:val="12"/>
          <w:color w:val="auto"/>
        </w:rPr>
        <w:t xml:space="preserve"> </w:t>
      </w:r>
      <w:r>
        <w:rPr>
          <w:rFonts w:ascii="Arial" w:cs="Arial" w:eastAsia="Arial" w:hAnsi="Arial"/>
          <w:sz w:val="12"/>
          <w:szCs w:val="12"/>
          <w:i w:val="1"/>
          <w:iCs w:val="1"/>
          <w:color w:val="auto"/>
        </w:rPr>
        <w:t>Directive</w:t>
      </w:r>
      <w:r>
        <w:rPr>
          <w:rFonts w:ascii="Arial" w:cs="Arial" w:eastAsia="Arial" w:hAnsi="Arial"/>
          <w:sz w:val="12"/>
          <w:szCs w:val="12"/>
          <w:color w:val="auto"/>
        </w:rPr>
        <w:t>), as implemented in Member States of the European Economic Area (each, a</w:t>
      </w:r>
      <w:r>
        <w:rPr>
          <w:rFonts w:ascii="Arial" w:cs="Arial" w:eastAsia="Arial" w:hAnsi="Arial"/>
          <w:sz w:val="12"/>
          <w:szCs w:val="12"/>
          <w:i w:val="1"/>
          <w:iCs w:val="1"/>
          <w:color w:val="auto"/>
        </w:rPr>
        <w:t xml:space="preserve"> Relevant Member State</w:t>
      </w:r>
      <w:r>
        <w:rPr>
          <w:rFonts w:ascii="Arial" w:cs="Arial" w:eastAsia="Arial" w:hAnsi="Arial"/>
          <w:sz w:val="12"/>
          <w:szCs w:val="12"/>
          <w:color w:val="auto"/>
        </w:rPr>
        <w:t>), from the requirement to produce a prospectus for offers of securities.</w:t>
      </w:r>
    </w:p>
    <w:p>
      <w:pPr>
        <w:spacing w:after="0" w:line="86" w:lineRule="exact"/>
        <w:rPr>
          <w:sz w:val="20"/>
          <w:szCs w:val="20"/>
          <w:color w:val="auto"/>
        </w:rPr>
      </w:pPr>
    </w:p>
    <w:p>
      <w:pPr>
        <w:ind w:right="460"/>
        <w:spacing w:after="0" w:line="283" w:lineRule="auto"/>
        <w:rPr>
          <w:sz w:val="20"/>
          <w:szCs w:val="20"/>
          <w:color w:val="auto"/>
        </w:rPr>
      </w:pPr>
      <w:r>
        <w:rPr>
          <w:rFonts w:ascii="Arial" w:cs="Arial" w:eastAsia="Arial" w:hAnsi="Arial"/>
          <w:sz w:val="14"/>
          <w:szCs w:val="14"/>
          <w:color w:val="auto"/>
        </w:rPr>
        <w:t>An offer to the public of shares of common stock has not been made, and may not be made, in a Relevant Member State except pursuant to one of the following exemptions under the Prospectus Directive as implemented in that Relevant Member State:</w:t>
      </w:r>
    </w:p>
    <w:p>
      <w:pPr>
        <w:spacing w:after="0" w:line="131" w:lineRule="exact"/>
        <w:rPr>
          <w:sz w:val="20"/>
          <w:szCs w:val="20"/>
          <w:color w:val="auto"/>
        </w:rPr>
      </w:pPr>
    </w:p>
    <w:p>
      <w:pPr>
        <w:ind w:left="480" w:hanging="475"/>
        <w:spacing w:after="0"/>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to legal entities that are authorized or regulated to operate in the financial markets or, if not so authorized or regulated, whose corporate purpose is solely to invest in securities;</w:t>
      </w:r>
    </w:p>
    <w:p>
      <w:pPr>
        <w:spacing w:after="0" w:line="179" w:lineRule="exact"/>
        <w:rPr>
          <w:rFonts w:ascii="Arial" w:cs="Arial" w:eastAsia="Arial" w:hAnsi="Arial"/>
          <w:sz w:val="14"/>
          <w:szCs w:val="14"/>
          <w:color w:val="auto"/>
        </w:rPr>
      </w:pPr>
    </w:p>
    <w:p>
      <w:pPr>
        <w:ind w:left="480" w:right="120" w:hanging="475"/>
        <w:spacing w:after="0" w:line="370" w:lineRule="auto"/>
        <w:tabs>
          <w:tab w:leader="none" w:pos="4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to any legal entity that has two or more of (i) an average of at least 250 employees during its last fiscal year; (ii) a total balance sheet of more than €43 million (as shown on its last annual unconsolidated or consolidated financial statements); and (iii) an annual net turnover of more than €50 million (as shown on its last annual unconsolidated or consolidated financial statement);</w:t>
      </w:r>
    </w:p>
    <w:p>
      <w:pPr>
        <w:spacing w:after="0" w:line="85" w:lineRule="exact"/>
        <w:rPr>
          <w:rFonts w:ascii="Arial" w:cs="Arial" w:eastAsia="Arial" w:hAnsi="Arial"/>
          <w:sz w:val="12"/>
          <w:szCs w:val="12"/>
          <w:color w:val="auto"/>
        </w:rPr>
      </w:pPr>
    </w:p>
    <w:p>
      <w:pPr>
        <w:ind w:left="480" w:right="20" w:hanging="475"/>
        <w:spacing w:after="0" w:line="283" w:lineRule="auto"/>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to fewer than 100 natural or legal persons (other than qualified investors within the meaning of Article 2(1)I of the Prospectus Directive) subject to obtaining the prior consent of the company or any underwriter for any such offer; or</w:t>
      </w:r>
    </w:p>
    <w:p>
      <w:pPr>
        <w:spacing w:after="0" w:line="131" w:lineRule="exact"/>
        <w:rPr>
          <w:rFonts w:ascii="Arial" w:cs="Arial" w:eastAsia="Arial" w:hAnsi="Arial"/>
          <w:sz w:val="14"/>
          <w:szCs w:val="14"/>
          <w:color w:val="auto"/>
        </w:rPr>
      </w:pPr>
    </w:p>
    <w:p>
      <w:pPr>
        <w:ind w:left="480" w:right="120" w:hanging="475"/>
        <w:spacing w:after="0" w:line="283" w:lineRule="auto"/>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3(2) of the Prospectus Directive, provided that no such offer of shares of common stock shall result in a requirement for the publication by the company of a prospectus pursuant to Article 3 of the Prospectus Directive.</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8" w:name="page139"/>
    <w:bookmarkEnd w:id="13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France</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This document is not being distributed in the context of a public offering of financial securities (offre au public de titres financiers) in France within the meaning of Article L.411-1 of the French Monetary and Financial Code (Code monétaire et financier) and Articles 211-1 et seq. of the General Regulation of the French Autorité des marchés financiers (</w:t>
      </w:r>
      <w:r>
        <w:rPr>
          <w:rFonts w:ascii="Arial" w:cs="Arial" w:eastAsia="Arial" w:hAnsi="Arial"/>
          <w:sz w:val="14"/>
          <w:szCs w:val="14"/>
          <w:i w:val="1"/>
          <w:iCs w:val="1"/>
          <w:color w:val="auto"/>
        </w:rPr>
        <w:t>AMF</w:t>
      </w:r>
      <w:r>
        <w:rPr>
          <w:rFonts w:ascii="Arial" w:cs="Arial" w:eastAsia="Arial" w:hAnsi="Arial"/>
          <w:sz w:val="14"/>
          <w:szCs w:val="14"/>
          <w:color w:val="auto"/>
        </w:rPr>
        <w:t>). The shares of common stock have not been offered or sold and will not be offered or sold, directly or indirectly, to the public in France.</w:t>
      </w:r>
    </w:p>
    <w:p>
      <w:pPr>
        <w:spacing w:after="0" w:line="142" w:lineRule="exact"/>
        <w:rPr>
          <w:sz w:val="20"/>
          <w:szCs w:val="20"/>
          <w:color w:val="auto"/>
        </w:rPr>
      </w:pPr>
    </w:p>
    <w:p>
      <w:pPr>
        <w:ind w:right="520"/>
        <w:spacing w:after="0" w:line="283" w:lineRule="auto"/>
        <w:rPr>
          <w:sz w:val="20"/>
          <w:szCs w:val="20"/>
          <w:color w:val="auto"/>
        </w:rPr>
      </w:pPr>
      <w:r>
        <w:rPr>
          <w:rFonts w:ascii="Arial" w:cs="Arial" w:eastAsia="Arial" w:hAnsi="Arial"/>
          <w:sz w:val="14"/>
          <w:szCs w:val="14"/>
          <w:color w:val="auto"/>
        </w:rPr>
        <w:t>This document and any other offering material relating to the shares of common stock have not been, and will not be, submitted to the AMF for approval in France and, accordingly, may not be distributed or caused to distributed, directly or indirectly, to the public in France.</w:t>
      </w:r>
    </w:p>
    <w:p>
      <w:pPr>
        <w:spacing w:after="0" w:line="131"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Such offers, sales and distributions have been and shall only be made in France to (i) qualified investors (investisseurs qualifiés) acting for their own account, as defined in and in accordance with Articles L.411-2-II-2° and D.411-1 to D.411-3, D. 744-1, D.754-1 and D.764-1 of the French Monetary and Financial Code and any implementing regulation; and/or (ii) a restricted number of non-qualified investors (cercle restreint d’investisseurs non-qualifiés) acting for their own account, as defined in and in accordance with Articles L.411-2-II-2° and D.411-4, D.744-1, D.754-1 and D.764-1 of the French Monetary and Financial Code and any implementing regulation.</w:t>
      </w:r>
    </w:p>
    <w:p>
      <w:pPr>
        <w:spacing w:after="0" w:line="146" w:lineRule="exact"/>
        <w:rPr>
          <w:sz w:val="20"/>
          <w:szCs w:val="20"/>
          <w:color w:val="auto"/>
        </w:rPr>
      </w:pPr>
    </w:p>
    <w:p>
      <w:pPr>
        <w:ind w:right="380"/>
        <w:spacing w:after="0" w:line="283" w:lineRule="auto"/>
        <w:rPr>
          <w:sz w:val="20"/>
          <w:szCs w:val="20"/>
          <w:color w:val="auto"/>
        </w:rPr>
      </w:pPr>
      <w:r>
        <w:rPr>
          <w:rFonts w:ascii="Arial" w:cs="Arial" w:eastAsia="Arial" w:hAnsi="Arial"/>
          <w:sz w:val="14"/>
          <w:szCs w:val="14"/>
          <w:color w:val="auto"/>
        </w:rPr>
        <w:t>Pursuant to Article 211-3 of the General Regulation of the AMF, investors in France are informed that the shares of common stock cannot be distributed (directly or indirectly) to the public by the investors otherwise than in accordance with Articles L.411-1, L.411-2, L.412-1 and L.621-8 to L.621-8-3 of the French Monetary and Financial Code.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Ireland</w:t>
      </w:r>
    </w:p>
    <w:p>
      <w:pPr>
        <w:spacing w:after="0" w:line="201" w:lineRule="exact"/>
        <w:rPr>
          <w:sz w:val="20"/>
          <w:szCs w:val="20"/>
          <w:color w:val="auto"/>
        </w:rPr>
      </w:pPr>
    </w:p>
    <w:p>
      <w:pPr>
        <w:ind w:right="280"/>
        <w:spacing w:after="0" w:line="290" w:lineRule="auto"/>
        <w:rPr>
          <w:sz w:val="20"/>
          <w:szCs w:val="20"/>
          <w:color w:val="auto"/>
        </w:rPr>
      </w:pPr>
      <w:r>
        <w:rPr>
          <w:rFonts w:ascii="Arial" w:cs="Arial" w:eastAsia="Arial" w:hAnsi="Arial"/>
          <w:sz w:val="13"/>
          <w:szCs w:val="13"/>
          <w:color w:val="auto"/>
        </w:rPr>
        <w:t xml:space="preserve">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 (Directive 2003/71/EC) Regulations 2005 (the </w:t>
      </w:r>
      <w:r>
        <w:rPr>
          <w:rFonts w:ascii="Arial" w:cs="Arial" w:eastAsia="Arial" w:hAnsi="Arial"/>
          <w:sz w:val="13"/>
          <w:szCs w:val="13"/>
          <w:i w:val="1"/>
          <w:iCs w:val="1"/>
          <w:color w:val="auto"/>
        </w:rPr>
        <w:t>Prospectus</w:t>
      </w:r>
      <w:r>
        <w:rPr>
          <w:rFonts w:ascii="Arial" w:cs="Arial" w:eastAsia="Arial" w:hAnsi="Arial"/>
          <w:sz w:val="13"/>
          <w:szCs w:val="13"/>
          <w:color w:val="auto"/>
        </w:rPr>
        <w:t xml:space="preserve"> </w:t>
      </w:r>
      <w:r>
        <w:rPr>
          <w:rFonts w:ascii="Arial" w:cs="Arial" w:eastAsia="Arial" w:hAnsi="Arial"/>
          <w:sz w:val="13"/>
          <w:szCs w:val="13"/>
          <w:i w:val="1"/>
          <w:iCs w:val="1"/>
          <w:color w:val="auto"/>
        </w:rPr>
        <w:t>Regulations</w:t>
      </w:r>
      <w:r>
        <w:rPr>
          <w:rFonts w:ascii="Arial" w:cs="Arial" w:eastAsia="Arial" w:hAnsi="Arial"/>
          <w:sz w:val="13"/>
          <w:szCs w:val="13"/>
          <w:color w:val="auto"/>
        </w:rPr>
        <w:t>). The shares of common stock have not been offered or sold, and will not be offered, sold or delivered directly or indirectly in Ireland by way of a public offering, except to (i) qualified</w:t>
      </w:r>
      <w:r>
        <w:rPr>
          <w:rFonts w:ascii="Arial" w:cs="Arial" w:eastAsia="Arial" w:hAnsi="Arial"/>
          <w:sz w:val="13"/>
          <w:szCs w:val="13"/>
          <w:i w:val="1"/>
          <w:iCs w:val="1"/>
          <w:color w:val="auto"/>
        </w:rPr>
        <w:t xml:space="preserve"> </w:t>
      </w:r>
      <w:r>
        <w:rPr>
          <w:rFonts w:ascii="Arial" w:cs="Arial" w:eastAsia="Arial" w:hAnsi="Arial"/>
          <w:sz w:val="13"/>
          <w:szCs w:val="13"/>
          <w:color w:val="auto"/>
        </w:rPr>
        <w:t>investors as defined in Regulation 2(l) of the Prospectus Regulations; and (ii) fewer than 100 natural or legal persons who are not qualified investors.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Israel</w:t>
      </w:r>
    </w:p>
    <w:p>
      <w:pPr>
        <w:spacing w:after="0" w:line="180"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color w:val="auto"/>
        </w:rPr>
        <w:t>The shares of common stock offered by this prospectus may not be offered or sold to any person resident in Israel or entity organized or formed in Israel, unless it is an “institutional investor,” as set forth in Section 15A(b)(1) of the Israeli Securities Law 5728-1968, or the Israeli Securities Law, and has provided the requisite certification under the First Addendum of the Israeli Securities Law, or pursuant to other exemptions available under the Israeli Securities Law.</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Italy</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 xml:space="preserve">The offering of the shares of common stock in the Republic of Italy has not been authorized by the Italian Securities and Exchange Commission (Commissione Nazionale per le Società e la Borsa, or </w:t>
      </w:r>
      <w:r>
        <w:rPr>
          <w:rFonts w:ascii="Arial" w:cs="Arial" w:eastAsia="Arial" w:hAnsi="Arial"/>
          <w:sz w:val="14"/>
          <w:szCs w:val="14"/>
          <w:i w:val="1"/>
          <w:iCs w:val="1"/>
          <w:color w:val="auto"/>
        </w:rPr>
        <w:t>CONSOB</w:t>
      </w:r>
      <w:r>
        <w:rPr>
          <w:rFonts w:ascii="Arial" w:cs="Arial" w:eastAsia="Arial" w:hAnsi="Arial"/>
          <w:sz w:val="14"/>
          <w:szCs w:val="14"/>
          <w:color w:val="auto"/>
        </w:rPr>
        <w:t>) pursuant to the Italian securities legislation and, accordingly, no offering material relating to the shares of common stock may be distributed in Italy and such securities may not be offered or</w:t>
      </w:r>
      <w:r>
        <w:rPr>
          <w:rFonts w:ascii="Arial" w:cs="Arial" w:eastAsia="Arial" w:hAnsi="Arial"/>
          <w:sz w:val="14"/>
          <w:szCs w:val="14"/>
          <w:i w:val="1"/>
          <w:iCs w:val="1"/>
          <w:color w:val="auto"/>
        </w:rPr>
        <w:t xml:space="preserve"> </w:t>
      </w:r>
      <w:r>
        <w:rPr>
          <w:rFonts w:ascii="Arial" w:cs="Arial" w:eastAsia="Arial" w:hAnsi="Arial"/>
          <w:sz w:val="14"/>
          <w:szCs w:val="14"/>
          <w:color w:val="auto"/>
        </w:rPr>
        <w:t>sold in Italy in a public offer within the meaning of Article 1.1(t) of Legislative Decree No. 58 of 24 February 1998 (</w:t>
      </w:r>
      <w:r>
        <w:rPr>
          <w:rFonts w:ascii="Arial" w:cs="Arial" w:eastAsia="Arial" w:hAnsi="Arial"/>
          <w:sz w:val="14"/>
          <w:szCs w:val="14"/>
          <w:i w:val="1"/>
          <w:iCs w:val="1"/>
          <w:color w:val="auto"/>
        </w:rPr>
        <w:t>Decree No. 58</w:t>
      </w:r>
      <w:r>
        <w:rPr>
          <w:rFonts w:ascii="Arial" w:cs="Arial" w:eastAsia="Arial" w:hAnsi="Arial"/>
          <w:sz w:val="14"/>
          <w:szCs w:val="14"/>
          <w:color w:val="auto"/>
        </w:rPr>
        <w:t>), other than:</w:t>
      </w:r>
    </w:p>
    <w:p>
      <w:pPr>
        <w:spacing w:after="0" w:line="142" w:lineRule="exact"/>
        <w:rPr>
          <w:sz w:val="20"/>
          <w:szCs w:val="20"/>
          <w:color w:val="auto"/>
        </w:rPr>
      </w:pPr>
    </w:p>
    <w:p>
      <w:pPr>
        <w:ind w:left="480" w:right="260" w:hanging="475"/>
        <w:spacing w:after="0" w:line="283" w:lineRule="auto"/>
        <w:tabs>
          <w:tab w:leader="none" w:pos="4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to Italian qualified investors, as defined in Article 100 of Decree no. 58 by reference to Article 34-ter of CONSOB Regulation no. 11971 of 14 May 1999 (</w:t>
      </w:r>
      <w:r>
        <w:rPr>
          <w:rFonts w:ascii="Arial" w:cs="Arial" w:eastAsia="Arial" w:hAnsi="Arial"/>
          <w:sz w:val="14"/>
          <w:szCs w:val="14"/>
          <w:i w:val="1"/>
          <w:iCs w:val="1"/>
          <w:color w:val="auto"/>
        </w:rPr>
        <w:t>Regulation no. 1197l</w:t>
      </w:r>
      <w:r>
        <w:rPr>
          <w:rFonts w:ascii="Arial" w:cs="Arial" w:eastAsia="Arial" w:hAnsi="Arial"/>
          <w:sz w:val="14"/>
          <w:szCs w:val="14"/>
          <w:color w:val="auto"/>
        </w:rPr>
        <w:t>) as amended (</w:t>
      </w:r>
      <w:r>
        <w:rPr>
          <w:rFonts w:ascii="Arial" w:cs="Arial" w:eastAsia="Arial" w:hAnsi="Arial"/>
          <w:sz w:val="14"/>
          <w:szCs w:val="14"/>
          <w:i w:val="1"/>
          <w:iCs w:val="1"/>
          <w:color w:val="auto"/>
        </w:rPr>
        <w:t>Qualified Investors</w:t>
      </w:r>
      <w:r>
        <w:rPr>
          <w:rFonts w:ascii="Arial" w:cs="Arial" w:eastAsia="Arial" w:hAnsi="Arial"/>
          <w:sz w:val="14"/>
          <w:szCs w:val="14"/>
          <w:color w:val="auto"/>
        </w:rPr>
        <w:t>); and</w:t>
      </w:r>
    </w:p>
    <w:p>
      <w:pPr>
        <w:spacing w:after="0" w:line="131" w:lineRule="exact"/>
        <w:rPr>
          <w:rFonts w:ascii="Arial" w:cs="Arial" w:eastAsia="Arial" w:hAnsi="Arial"/>
          <w:sz w:val="14"/>
          <w:szCs w:val="14"/>
          <w:color w:val="auto"/>
        </w:rPr>
      </w:pPr>
    </w:p>
    <w:p>
      <w:pPr>
        <w:ind w:left="480" w:right="140" w:hanging="475"/>
        <w:spacing w:after="0" w:line="268" w:lineRule="auto"/>
        <w:tabs>
          <w:tab w:leader="none" w:pos="4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 other circumstances that are exempt from the rules on public offer pursuant to Article 100 of Decree No. 58 and Article 34-ter of Regulation No. 11971 as amended. Any offer, sale or delivery of the shares of common stock or distribution of any offer document relating to the shares of common stock in Italy (excluding placements where a Qualified Investor solicits an offer from the issuer) under the paragraphs above must be:</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39" w:name="page140"/>
    <w:bookmarkEnd w:id="13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480" w:right="320" w:hanging="475"/>
        <w:spacing w:after="0" w:line="283" w:lineRule="auto"/>
        <w:tabs>
          <w:tab w:leader="none" w:pos="4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p>
      <w:pPr>
        <w:spacing w:after="0" w:line="131" w:lineRule="exact"/>
        <w:rPr>
          <w:rFonts w:ascii="Arial" w:cs="Arial" w:eastAsia="Arial" w:hAnsi="Arial"/>
          <w:sz w:val="14"/>
          <w:szCs w:val="14"/>
          <w:color w:val="auto"/>
        </w:rPr>
      </w:pPr>
    </w:p>
    <w:p>
      <w:pPr>
        <w:ind w:left="480" w:hanging="475"/>
        <w:spacing w:after="0"/>
        <w:tabs>
          <w:tab w:leader="none" w:pos="4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 compliance with all relevant Italian securities, tax and exchange controls and any other applicable laws.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Any subsequent distribution of the shares of common stock in Italy must be made in compliance with the public offer and prospectus requirement rules provided under Decree No. 58 and the Regulation No. 11971 as amended, unless an exception from those rules applies. Failure to comply with such rules may result in the sale of such shares of common stock being declared null and void and in the liability of the entity transferring the shares of common stock for any damages suffered by the investors.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Japan</w:t>
      </w:r>
    </w:p>
    <w:p>
      <w:pPr>
        <w:spacing w:after="0" w:line="180"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 xml:space="preserve">The shares of common stock have not been and will not be registered under Article 4, paragraph 1 of the Financial Instruments and Exchange Law of Japan (Law No. 25 of 1948), as amended (the </w:t>
      </w:r>
      <w:r>
        <w:rPr>
          <w:rFonts w:ascii="Arial" w:cs="Arial" w:eastAsia="Arial" w:hAnsi="Arial"/>
          <w:sz w:val="13"/>
          <w:szCs w:val="13"/>
          <w:i w:val="1"/>
          <w:iCs w:val="1"/>
          <w:color w:val="auto"/>
        </w:rPr>
        <w:t>FIEL</w:t>
      </w:r>
      <w:r>
        <w:rPr>
          <w:rFonts w:ascii="Arial" w:cs="Arial" w:eastAsia="Arial" w:hAnsi="Arial"/>
          <w:sz w:val="13"/>
          <w:szCs w:val="13"/>
          <w:color w:val="auto"/>
        </w:rPr>
        <w:t>) pursuant to an exemption from the registration requirements applicable to a private placement of securities to Qualified Institutional Investors (as defined in and in accordance with Article 2,</w:t>
      </w:r>
      <w:r>
        <w:rPr>
          <w:rFonts w:ascii="Arial" w:cs="Arial" w:eastAsia="Arial" w:hAnsi="Arial"/>
          <w:sz w:val="13"/>
          <w:szCs w:val="13"/>
          <w:i w:val="1"/>
          <w:iCs w:val="1"/>
          <w:color w:val="auto"/>
        </w:rPr>
        <w:t xml:space="preserve"> </w:t>
      </w:r>
      <w:r>
        <w:rPr>
          <w:rFonts w:ascii="Arial" w:cs="Arial" w:eastAsia="Arial" w:hAnsi="Arial"/>
          <w:sz w:val="13"/>
          <w:szCs w:val="13"/>
          <w:color w:val="auto"/>
        </w:rPr>
        <w:t>paragraph 3 of the FIEL and the regulations promulgated thereunder). Accordingly, the shares of common stock may not be offered or sold, directly or indirectly, in Japan or to, or for the benefit of, any resident of Japan other than Qualified Institutional Investors. Any Qualified Institutional Investor who acquires shares of common stock may not resell them to any person in Japan that is not a Qualified Institutional Investor, and acquisition by any such person of shares of common stock is conditional upon the execution of an agreement to that effect.</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Portugal</w:t>
      </w:r>
    </w:p>
    <w:p>
      <w:pPr>
        <w:spacing w:after="0" w:line="180" w:lineRule="exact"/>
        <w:rPr>
          <w:sz w:val="20"/>
          <w:szCs w:val="20"/>
          <w:color w:val="auto"/>
        </w:rPr>
      </w:pPr>
    </w:p>
    <w:p>
      <w:pPr>
        <w:ind w:right="220"/>
        <w:spacing w:after="0" w:line="311" w:lineRule="auto"/>
        <w:rPr>
          <w:sz w:val="20"/>
          <w:szCs w:val="20"/>
          <w:color w:val="auto"/>
        </w:rPr>
      </w:pPr>
      <w:r>
        <w:rPr>
          <w:rFonts w:ascii="Arial" w:cs="Arial" w:eastAsia="Arial" w:hAnsi="Arial"/>
          <w:sz w:val="12"/>
          <w:szCs w:val="12"/>
          <w:color w:val="auto"/>
        </w:rPr>
        <w:t>This document is not being distributed in the context of a public offer of financial securities (oferta pública de valores mobiliários) in Portugal, within the meaning of Article 109 of the Portuguese Securities Code (Código dos Valores Mobiliários). The shares of common stock have not been offered or sold and will not be offered or sold, directly or indirectly, to the public in Portugal. This document and any other offering material relating to the shares of common stock has not been, and will not be, submitted to the Portuguese Securities Market Commission (Comissão do Mercado de Valores Mobiliários)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shares of common stock in Portugal are limited to persons who are “qualified investors” (as defined in the Portuguese Securities Code). Only such investors may receive this document and they may not distribute it or the information contained in it to any other person.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Sweden</w:t>
      </w:r>
    </w:p>
    <w:p>
      <w:pPr>
        <w:spacing w:after="0" w:line="180"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This document has not been, and will not be, registered with or approved by Finansinspektionen (the Swedish Financial Supervisory Authority). Accordingly, this document may not be made available, nor may the shares of common stock be offered for sale in Sweden, other than under circumstances that are deemed not to require a prospectus under the Swedish Financial Instruments Trading Act (1991:980) (Sw. lag (1991:980) om handel med finansiella instrument). Any offering of shares of common stock in Sweden is limited to persons who are “qualified investors” (as defined in the Financial Instruments Trading Act). Only such investors may receive this document and they may not distribute it or the information contained in it to any other person.</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0" w:name="page141"/>
    <w:bookmarkEnd w:id="14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Switzerland</w:t>
      </w:r>
    </w:p>
    <w:p>
      <w:pPr>
        <w:spacing w:after="0" w:line="180" w:lineRule="exact"/>
        <w:rPr>
          <w:sz w:val="20"/>
          <w:szCs w:val="20"/>
          <w:color w:val="auto"/>
        </w:rPr>
      </w:pPr>
    </w:p>
    <w:p>
      <w:pPr>
        <w:ind w:right="260"/>
        <w:spacing w:after="0" w:line="290" w:lineRule="auto"/>
        <w:rPr>
          <w:sz w:val="20"/>
          <w:szCs w:val="20"/>
          <w:color w:val="auto"/>
        </w:rPr>
      </w:pPr>
      <w:r>
        <w:rPr>
          <w:rFonts w:ascii="Arial" w:cs="Arial" w:eastAsia="Arial" w:hAnsi="Arial"/>
          <w:sz w:val="13"/>
          <w:szCs w:val="13"/>
          <w:color w:val="auto"/>
        </w:rPr>
        <w:t>The shares of common stock may not be publicly offered in Switzerland and will not be listed on the SIX Swiss Exchange (</w:t>
      </w:r>
      <w:r>
        <w:rPr>
          <w:rFonts w:ascii="Arial" w:cs="Arial" w:eastAsia="Arial" w:hAnsi="Arial"/>
          <w:sz w:val="13"/>
          <w:szCs w:val="13"/>
          <w:i w:val="1"/>
          <w:iCs w:val="1"/>
          <w:color w:val="auto"/>
        </w:rPr>
        <w:t>SIX</w:t>
      </w:r>
      <w:r>
        <w:rPr>
          <w:rFonts w:ascii="Arial" w:cs="Arial" w:eastAsia="Arial" w:hAnsi="Arial"/>
          <w:sz w:val="13"/>
          <w:szCs w:val="13"/>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shares of common stock may be publicly distributed or otherwise made publicly available in Switzerland.</w:t>
      </w:r>
    </w:p>
    <w:p>
      <w:pPr>
        <w:spacing w:after="0" w:line="129"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Neither this document nor any other offering material relating to the shares of common stock has been or will be filed with or approved by any Swiss regulatory authority. In particular, this document will not be filed with, and the offer of shares of common stock will not be supervised by, the Swiss Financial Market Supervisory Authority (</w:t>
      </w:r>
      <w:r>
        <w:rPr>
          <w:rFonts w:ascii="Arial" w:cs="Arial" w:eastAsia="Arial" w:hAnsi="Arial"/>
          <w:sz w:val="14"/>
          <w:szCs w:val="14"/>
          <w:i w:val="1"/>
          <w:iCs w:val="1"/>
          <w:color w:val="auto"/>
        </w:rPr>
        <w:t>FINMA</w:t>
      </w:r>
      <w:r>
        <w:rPr>
          <w:rFonts w:ascii="Arial" w:cs="Arial" w:eastAsia="Arial" w:hAnsi="Arial"/>
          <w:sz w:val="14"/>
          <w:szCs w:val="14"/>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This document is personal to the recipient only and not for general circulation in Switzerland.</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Arab Emirates</w:t>
      </w:r>
    </w:p>
    <w:p>
      <w:pPr>
        <w:spacing w:after="0" w:line="180" w:lineRule="exact"/>
        <w:rPr>
          <w:sz w:val="20"/>
          <w:szCs w:val="20"/>
          <w:color w:val="auto"/>
        </w:rPr>
      </w:pPr>
    </w:p>
    <w:p>
      <w:pPr>
        <w:ind w:right="80"/>
        <w:spacing w:after="0" w:line="290" w:lineRule="auto"/>
        <w:rPr>
          <w:sz w:val="20"/>
          <w:szCs w:val="20"/>
          <w:color w:val="auto"/>
        </w:rPr>
      </w:pPr>
      <w:r>
        <w:rPr>
          <w:rFonts w:ascii="Arial" w:cs="Arial" w:eastAsia="Arial" w:hAnsi="Arial"/>
          <w:sz w:val="13"/>
          <w:szCs w:val="13"/>
          <w:color w:val="auto"/>
        </w:rPr>
        <w:t>Neither this document nor the shares of common stock have been approved, disapproved or passed on in any way by the Central Bank of the United Arab Emirates or any other governmental authority in the United Arab Emirates, nor have we received authorization or licensing from the Central Bank of the United Arab Emirates or any other governmental authority in the United Arab Emirates to market or sell the shares of common stock within the United Arab Emirates. This document does not constitute and may not be used for the purpose of an offer or invitation. No services relating to the shares of common stock, including the receipt of applications and/or the allotment or redemption of such shares, may be rendered within the United Arab Emirates by us.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No offer or invitation to subscribe for shares of common stock is valid or permitted in the Dubai International Financial Centre.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United Kingdom</w:t>
      </w:r>
    </w:p>
    <w:p>
      <w:pPr>
        <w:spacing w:after="0" w:line="180"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w:t>
      </w:r>
      <w:r>
        <w:rPr>
          <w:rFonts w:ascii="Arial" w:cs="Arial" w:eastAsia="Arial" w:hAnsi="Arial"/>
          <w:sz w:val="13"/>
          <w:szCs w:val="13"/>
          <w:i w:val="1"/>
          <w:iCs w:val="1"/>
          <w:color w:val="auto"/>
        </w:rPr>
        <w:t>FSMA</w:t>
      </w:r>
      <w:r>
        <w:rPr>
          <w:rFonts w:ascii="Arial" w:cs="Arial" w:eastAsia="Arial" w:hAnsi="Arial"/>
          <w:sz w:val="13"/>
          <w:szCs w:val="13"/>
          <w:color w:val="auto"/>
        </w:rPr>
        <w:t>)) has been published or is intended to be published in respect of the shares of common stock. This document is issued on a confidential basis to “qualified investors” (within the meaning of section 86(7) of FSMA) in the United Kingdom, and the shares of common stock may not be offered or sold in the United Kingdom by means of this document, any accompanying letter or any other document, except in circumstances that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135"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Any invitation or inducement to engage in investment activity (within the meaning of section 21 of FSMA) received in connection with the issue or sale of the shares of common stock has only been communicated or caused to be communicated and will only be communicated or caused to be communicated in the United Kingdom in circumstances in which section 21(1) of FSMA does not apply to us.</w:t>
      </w:r>
    </w:p>
    <w:p>
      <w:pPr>
        <w:spacing w:after="0" w:line="142"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w:t>
      </w:r>
      <w:r>
        <w:rPr>
          <w:rFonts w:ascii="Arial" w:cs="Arial" w:eastAsia="Arial" w:hAnsi="Arial"/>
          <w:sz w:val="14"/>
          <w:szCs w:val="14"/>
          <w:i w:val="1"/>
          <w:iCs w:val="1"/>
          <w:color w:val="auto"/>
        </w:rPr>
        <w:t>FPO</w:t>
      </w:r>
      <w:r>
        <w:rPr>
          <w:rFonts w:ascii="Arial" w:cs="Arial" w:eastAsia="Arial" w:hAnsi="Arial"/>
          <w:sz w:val="14"/>
          <w:szCs w:val="14"/>
          <w:color w:val="auto"/>
        </w:rPr>
        <w:t>);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41" w:name="page142"/>
    <w:bookmarkEnd w:id="14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LEGAL MATTERS</w:t>
      </w:r>
    </w:p>
    <w:p>
      <w:pPr>
        <w:spacing w:after="0" w:line="184" w:lineRule="exact"/>
        <w:rPr>
          <w:sz w:val="20"/>
          <w:szCs w:val="20"/>
          <w:color w:val="auto"/>
        </w:rPr>
      </w:pPr>
    </w:p>
    <w:p>
      <w:pPr>
        <w:ind w:right="120"/>
        <w:spacing w:after="0" w:line="333" w:lineRule="auto"/>
        <w:rPr>
          <w:sz w:val="20"/>
          <w:szCs w:val="20"/>
          <w:color w:val="auto"/>
        </w:rPr>
      </w:pPr>
      <w:r>
        <w:rPr>
          <w:rFonts w:ascii="Arial" w:cs="Arial" w:eastAsia="Arial" w:hAnsi="Arial"/>
          <w:sz w:val="12"/>
          <w:szCs w:val="12"/>
          <w:color w:val="auto"/>
        </w:rPr>
        <w:t>Disclosure Law Group, A Professional Corporation (</w:t>
      </w:r>
      <w:r>
        <w:rPr>
          <w:rFonts w:ascii="Arial" w:cs="Arial" w:eastAsia="Arial" w:hAnsi="Arial"/>
          <w:sz w:val="12"/>
          <w:szCs w:val="12"/>
          <w:i w:val="1"/>
          <w:iCs w:val="1"/>
          <w:color w:val="auto"/>
        </w:rPr>
        <w:t>DLG</w:t>
      </w:r>
      <w:r>
        <w:rPr>
          <w:rFonts w:ascii="Arial" w:cs="Arial" w:eastAsia="Arial" w:hAnsi="Arial"/>
          <w:sz w:val="12"/>
          <w:szCs w:val="12"/>
          <w:color w:val="auto"/>
        </w:rPr>
        <w:t>), of San Diego, California, will pass upon the validity of the shares of common stock offered hereby. A partner and an associate of DLG beneficially own an aggregate of 28,544 registered and/or restricted shares of our common stock and hold warrants to purchase an aggregate of 18,917 restricted shares of our common stock. Legal counsel to the underwriters is Zysman, Aharoni, Gayer and Sullivan &amp; Worcester LLP, New York, New York (</w:t>
      </w:r>
      <w:r>
        <w:rPr>
          <w:rFonts w:ascii="Arial" w:cs="Arial" w:eastAsia="Arial" w:hAnsi="Arial"/>
          <w:sz w:val="12"/>
          <w:szCs w:val="12"/>
          <w:i w:val="1"/>
          <w:iCs w:val="1"/>
          <w:color w:val="auto"/>
        </w:rPr>
        <w:t>ZAG</w:t>
      </w:r>
      <w:r>
        <w:rPr>
          <w:rFonts w:ascii="Arial" w:cs="Arial" w:eastAsia="Arial" w:hAnsi="Arial"/>
          <w:sz w:val="12"/>
          <w:szCs w:val="12"/>
          <w:color w:val="auto"/>
        </w:rPr>
        <w:t>-</w:t>
      </w:r>
      <w:r>
        <w:rPr>
          <w:rFonts w:ascii="Arial" w:cs="Arial" w:eastAsia="Arial" w:hAnsi="Arial"/>
          <w:sz w:val="12"/>
          <w:szCs w:val="12"/>
          <w:i w:val="1"/>
          <w:iCs w:val="1"/>
          <w:color w:val="auto"/>
        </w:rPr>
        <w:t>S&amp;W</w:t>
      </w:r>
      <w:r>
        <w:rPr>
          <w:rFonts w:ascii="Arial" w:cs="Arial" w:eastAsia="Arial" w:hAnsi="Arial"/>
          <w:sz w:val="12"/>
          <w:szCs w:val="12"/>
          <w:color w:val="auto"/>
        </w:rPr>
        <w:t>). ZAG-S&amp;W beneficially owns 3,125 restricted shares of our common stock.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EXPERTS</w:t>
      </w:r>
    </w:p>
    <w:p>
      <w:pPr>
        <w:spacing w:after="0" w:line="184" w:lineRule="exact"/>
        <w:rPr>
          <w:sz w:val="20"/>
          <w:szCs w:val="20"/>
          <w:color w:val="auto"/>
        </w:rPr>
      </w:pPr>
    </w:p>
    <w:p>
      <w:pPr>
        <w:jc w:val="both"/>
        <w:ind w:right="40"/>
        <w:spacing w:after="0" w:line="370" w:lineRule="auto"/>
        <w:rPr>
          <w:sz w:val="20"/>
          <w:szCs w:val="20"/>
          <w:color w:val="auto"/>
        </w:rPr>
      </w:pPr>
      <w:r>
        <w:rPr>
          <w:rFonts w:ascii="Arial" w:cs="Arial" w:eastAsia="Arial" w:hAnsi="Arial"/>
          <w:sz w:val="12"/>
          <w:szCs w:val="12"/>
          <w:color w:val="auto"/>
        </w:rPr>
        <w:t>The financial statements as of March 31, 2015 and 2014, and for the years then ended, included in this prospectus, have been audited by OUM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INTEREST OF NAMED EXPERTS AND COUNSEL</w:t>
      </w:r>
    </w:p>
    <w:p>
      <w:pPr>
        <w:spacing w:after="0" w:line="205"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No expert or counsel named in this prospectus as having prepared or certified any part of this prospectus or having given an opinion upon the validity of the securities being registered or upon other legal matters in connection with this Offering was employed on a contingency basis or had, or is to receive, in connection with the Offering, a substantial interest, directly or indirectly, in the registrant or any of its parents or subsidiaries. Nor was any such person connected with the registrant or any of its parents, subsidiaries as a promoter, managing or principal underwriter, voting trustee, director, officer, or employee.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WHERE YOU CAN FIND MORE INFORMATION</w:t>
      </w:r>
    </w:p>
    <w:p>
      <w:pPr>
        <w:spacing w:after="0" w:line="184"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25"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We have filed with the SEC a Registration Statement on Form S-1 under the Securities Act with respect to the shares of common stock being offered by us under this prospectus. This prospectus is part of that registration statement. This prospectus does not contain all of the information set forth in the registration statement or the exhibits to the registration statement. For further information with respect to us and the securities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142" w:name="page143"/>
    <w:bookmarkEnd w:id="14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0" w:type="dxa"/>
            <w:vAlign w:val="bottom"/>
          </w:tcPr>
          <w:p>
            <w:pPr>
              <w:jc w:val="center"/>
              <w:ind w:left="1429"/>
              <w:spacing w:after="0"/>
              <w:rPr>
                <w:sz w:val="20"/>
                <w:szCs w:val="20"/>
                <w:color w:val="auto"/>
              </w:rPr>
            </w:pPr>
            <w:r>
              <w:rPr>
                <w:rFonts w:ascii="Arial" w:cs="Arial" w:eastAsia="Arial" w:hAnsi="Arial"/>
                <w:sz w:val="14"/>
                <w:szCs w:val="14"/>
                <w:b w:val="1"/>
                <w:bCs w:val="1"/>
                <w:color w:val="auto"/>
              </w:rPr>
              <w:t>VISTAGEN THERAPEUTICS INC.</w:t>
            </w:r>
          </w:p>
        </w:tc>
        <w:tc>
          <w:tcPr>
            <w:tcW w:w="1460" w:type="dxa"/>
            <w:vAlign w:val="bottom"/>
          </w:tcPr>
          <w:p>
            <w:pPr>
              <w:spacing w:after="0"/>
              <w:rPr>
                <w:sz w:val="14"/>
                <w:szCs w:val="14"/>
                <w:color w:val="auto"/>
              </w:rPr>
            </w:pPr>
          </w:p>
        </w:tc>
      </w:tr>
      <w:tr>
        <w:trPr>
          <w:trHeight w:val="184"/>
        </w:trPr>
        <w:tc>
          <w:tcPr>
            <w:tcW w:w="10000" w:type="dxa"/>
            <w:vAlign w:val="bottom"/>
          </w:tcPr>
          <w:p>
            <w:pPr>
              <w:jc w:val="center"/>
              <w:ind w:left="1409"/>
              <w:spacing w:after="0"/>
              <w:rPr>
                <w:sz w:val="20"/>
                <w:szCs w:val="20"/>
                <w:color w:val="auto"/>
              </w:rPr>
            </w:pPr>
            <w:r>
              <w:rPr>
                <w:rFonts w:ascii="Arial" w:cs="Arial" w:eastAsia="Arial" w:hAnsi="Arial"/>
                <w:sz w:val="14"/>
                <w:szCs w:val="14"/>
                <w:b w:val="1"/>
                <w:bCs w:val="1"/>
                <w:color w:val="auto"/>
              </w:rPr>
              <w:t>INDEX TO FINANCIAL STATEMENTS</w:t>
            </w:r>
          </w:p>
        </w:tc>
        <w:tc>
          <w:tcPr>
            <w:tcW w:w="1460" w:type="dxa"/>
            <w:vAlign w:val="bottom"/>
          </w:tcPr>
          <w:p>
            <w:pPr>
              <w:spacing w:after="0"/>
              <w:rPr>
                <w:sz w:val="16"/>
                <w:szCs w:val="16"/>
                <w:color w:val="auto"/>
              </w:rPr>
            </w:pPr>
          </w:p>
        </w:tc>
      </w:tr>
      <w:tr>
        <w:trPr>
          <w:trHeight w:val="534"/>
        </w:trPr>
        <w:tc>
          <w:tcPr>
            <w:tcW w:w="10000" w:type="dxa"/>
            <w:vAlign w:val="bottom"/>
          </w:tcPr>
          <w:p>
            <w:pPr>
              <w:spacing w:after="0"/>
              <w:rPr>
                <w:sz w:val="24"/>
                <w:szCs w:val="24"/>
                <w:color w:val="auto"/>
              </w:rPr>
            </w:pPr>
          </w:p>
        </w:tc>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Page</w:t>
            </w:r>
          </w:p>
        </w:tc>
      </w:tr>
      <w:tr>
        <w:trPr>
          <w:trHeight w:val="170"/>
        </w:trPr>
        <w:tc>
          <w:tcPr>
            <w:tcW w:w="10000" w:type="dxa"/>
            <w:vAlign w:val="bottom"/>
          </w:tcPr>
          <w:p>
            <w:pPr>
              <w:spacing w:after="0"/>
              <w:rPr>
                <w:sz w:val="20"/>
                <w:szCs w:val="20"/>
                <w:color w:val="auto"/>
              </w:rPr>
            </w:pPr>
            <w:r>
              <w:rPr>
                <w:rFonts w:ascii="Arial" w:cs="Arial" w:eastAsia="Arial" w:hAnsi="Arial"/>
                <w:sz w:val="14"/>
                <w:szCs w:val="14"/>
                <w:b w:val="1"/>
                <w:bCs w:val="1"/>
                <w:color w:val="auto"/>
              </w:rPr>
              <w:t>Audited Financial Statements for the years ended March 31, 2015 and 2014</w:t>
            </w:r>
          </w:p>
        </w:tc>
        <w:tc>
          <w:tcPr>
            <w:tcW w:w="1460" w:type="dxa"/>
            <w:vAlign w:val="bottom"/>
          </w:tcPr>
          <w:p>
            <w:pPr>
              <w:spacing w:after="0"/>
              <w:rPr>
                <w:sz w:val="14"/>
                <w:szCs w:val="14"/>
                <w:color w:val="auto"/>
              </w:rPr>
            </w:pPr>
          </w:p>
        </w:tc>
      </w:tr>
      <w:tr>
        <w:trPr>
          <w:trHeight w:val="171"/>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Report of Independent Registered Public Accounting Firm</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F-2</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Consolidated Balance Sheets</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F-3</w:t>
            </w: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Consolidated Statements of Operations</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F-4</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Consolidated Statements of Cash Flows</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F-5</w:t>
            </w: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Consolidated Statements of Stockholders' Deficit</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F-6</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Notes to Consolidated Financial Statements</w:t>
            </w: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F-7</w:t>
            </w:r>
          </w:p>
        </w:tc>
      </w:tr>
      <w:tr>
        <w:trPr>
          <w:trHeight w:val="170"/>
        </w:trPr>
        <w:tc>
          <w:tcPr>
            <w:tcW w:w="100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0"/>
        </w:trPr>
        <w:tc>
          <w:tcPr>
            <w:tcW w:w="10000" w:type="dxa"/>
            <w:vAlign w:val="bottom"/>
          </w:tcPr>
          <w:p>
            <w:pPr>
              <w:spacing w:after="0"/>
              <w:rPr>
                <w:sz w:val="20"/>
                <w:szCs w:val="20"/>
                <w:color w:val="auto"/>
              </w:rPr>
            </w:pPr>
            <w:r>
              <w:rPr>
                <w:rFonts w:ascii="Arial" w:cs="Arial" w:eastAsia="Arial" w:hAnsi="Arial"/>
                <w:sz w:val="14"/>
                <w:szCs w:val="14"/>
                <w:b w:val="1"/>
                <w:bCs w:val="1"/>
                <w:color w:val="auto"/>
              </w:rPr>
              <w:t>Financial statements for the nine-month periods ended December 31, 2015 and 2014 (Unaudited)</w:t>
            </w:r>
          </w:p>
        </w:tc>
        <w:tc>
          <w:tcPr>
            <w:tcW w:w="1460" w:type="dxa"/>
            <w:vAlign w:val="bottom"/>
          </w:tcPr>
          <w:p>
            <w:pPr>
              <w:spacing w:after="0"/>
              <w:rPr>
                <w:sz w:val="14"/>
                <w:szCs w:val="14"/>
                <w:color w:val="auto"/>
              </w:rPr>
            </w:pP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Condensed Consolidated Balance Sheets at December 31, 2015 and March 31, 2015</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F-50</w:t>
            </w:r>
          </w:p>
        </w:tc>
      </w:tr>
      <w:tr>
        <w:trPr>
          <w:trHeight w:val="170"/>
        </w:trPr>
        <w:tc>
          <w:tcPr>
            <w:tcW w:w="10000" w:type="dxa"/>
            <w:vAlign w:val="bottom"/>
          </w:tcPr>
          <w:p>
            <w:pPr>
              <w:spacing w:after="0"/>
              <w:rPr>
                <w:sz w:val="20"/>
                <w:szCs w:val="20"/>
                <w:color w:val="auto"/>
              </w:rPr>
            </w:pPr>
            <w:r>
              <w:rPr>
                <w:rFonts w:ascii="Arial" w:cs="Arial" w:eastAsia="Arial" w:hAnsi="Arial"/>
                <w:sz w:val="14"/>
                <w:szCs w:val="14"/>
                <w:color w:val="auto"/>
              </w:rPr>
              <w:t>Condensed Consolidated Statements of Operations and Comprehensive Loss for the nine months ended December 31 2015 and 2014</w:t>
            </w:r>
          </w:p>
        </w:tc>
        <w:tc>
          <w:tcPr>
            <w:tcW w:w="1460" w:type="dxa"/>
            <w:vAlign w:val="bottom"/>
          </w:tcPr>
          <w:p>
            <w:pPr>
              <w:jc w:val="center"/>
              <w:spacing w:after="0"/>
              <w:rPr>
                <w:sz w:val="20"/>
                <w:szCs w:val="20"/>
                <w:color w:val="auto"/>
              </w:rPr>
            </w:pPr>
            <w:r>
              <w:rPr>
                <w:rFonts w:ascii="Arial" w:cs="Arial" w:eastAsia="Arial" w:hAnsi="Arial"/>
                <w:sz w:val="14"/>
                <w:szCs w:val="14"/>
                <w:color w:val="auto"/>
                <w:w w:val="97"/>
              </w:rPr>
              <w:t>F-51</w:t>
            </w:r>
          </w:p>
        </w:tc>
      </w:tr>
      <w:tr>
        <w:trPr>
          <w:trHeight w:val="170"/>
        </w:trPr>
        <w:tc>
          <w:tcPr>
            <w:tcW w:w="10000" w:type="dxa"/>
            <w:vAlign w:val="bottom"/>
            <w:shd w:val="clear" w:color="auto" w:fill="CCEEFF"/>
          </w:tcPr>
          <w:p>
            <w:pPr>
              <w:spacing w:after="0"/>
              <w:rPr>
                <w:sz w:val="20"/>
                <w:szCs w:val="20"/>
                <w:color w:val="auto"/>
              </w:rPr>
            </w:pPr>
            <w:r>
              <w:rPr>
                <w:rFonts w:ascii="Arial" w:cs="Arial" w:eastAsia="Arial" w:hAnsi="Arial"/>
                <w:sz w:val="14"/>
                <w:szCs w:val="14"/>
                <w:color w:val="auto"/>
              </w:rPr>
              <w:t>Condensed Consolidated Statements of Cash Flows for the nine months ended December 31, 2015 and 2014</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F-52</w:t>
            </w:r>
          </w:p>
        </w:tc>
      </w:tr>
      <w:tr>
        <w:trPr>
          <w:trHeight w:val="180"/>
        </w:trPr>
        <w:tc>
          <w:tcPr>
            <w:tcW w:w="10000" w:type="dxa"/>
            <w:vAlign w:val="bottom"/>
          </w:tcPr>
          <w:p>
            <w:pPr>
              <w:spacing w:after="0"/>
              <w:rPr>
                <w:sz w:val="20"/>
                <w:szCs w:val="20"/>
                <w:color w:val="auto"/>
              </w:rPr>
            </w:pPr>
            <w:r>
              <w:rPr>
                <w:rFonts w:ascii="Arial" w:cs="Arial" w:eastAsia="Arial" w:hAnsi="Arial"/>
                <w:sz w:val="14"/>
                <w:szCs w:val="14"/>
                <w:color w:val="auto"/>
              </w:rPr>
              <w:t>Notes to the Condensed Consolidated Financial Statements</w:t>
            </w:r>
          </w:p>
        </w:tc>
        <w:tc>
          <w:tcPr>
            <w:tcW w:w="1460" w:type="dxa"/>
            <w:vAlign w:val="bottom"/>
          </w:tcPr>
          <w:p>
            <w:pPr>
              <w:jc w:val="center"/>
              <w:spacing w:after="0"/>
              <w:rPr>
                <w:sz w:val="20"/>
                <w:szCs w:val="20"/>
                <w:color w:val="auto"/>
              </w:rPr>
            </w:pPr>
            <w:r>
              <w:rPr>
                <w:rFonts w:ascii="Arial" w:cs="Arial" w:eastAsia="Arial" w:hAnsi="Arial"/>
                <w:sz w:val="14"/>
                <w:szCs w:val="14"/>
                <w:color w:val="auto"/>
                <w:w w:val="97"/>
              </w:rPr>
              <w:t>F-53</w:t>
            </w:r>
          </w:p>
        </w:tc>
      </w:tr>
      <w:tr>
        <w:trPr>
          <w:trHeight w:val="660"/>
        </w:trPr>
        <w:tc>
          <w:tcPr>
            <w:tcW w:w="10000" w:type="dxa"/>
            <w:vAlign w:val="bottom"/>
          </w:tcPr>
          <w:p>
            <w:pPr>
              <w:jc w:val="center"/>
              <w:ind w:left="1409"/>
              <w:spacing w:after="0"/>
              <w:rPr>
                <w:sz w:val="20"/>
                <w:szCs w:val="20"/>
                <w:color w:val="auto"/>
              </w:rPr>
            </w:pPr>
            <w:r>
              <w:rPr>
                <w:rFonts w:ascii="Arial" w:cs="Arial" w:eastAsia="Arial" w:hAnsi="Arial"/>
                <w:sz w:val="14"/>
                <w:szCs w:val="14"/>
                <w:color w:val="auto"/>
                <w:w w:val="95"/>
              </w:rPr>
              <w:t>F-1</w:t>
            </w:r>
          </w:p>
        </w:tc>
        <w:tc>
          <w:tcPr>
            <w:tcW w:w="1460" w:type="dxa"/>
            <w:vAlign w:val="bottom"/>
          </w:tcPr>
          <w:p>
            <w:pPr>
              <w:spacing w:after="0"/>
              <w:rPr>
                <w:sz w:val="24"/>
                <w:szCs w:val="24"/>
                <w:color w:val="auto"/>
              </w:rPr>
            </w:pPr>
          </w:p>
        </w:tc>
      </w:tr>
      <w:tr>
        <w:trPr>
          <w:trHeight w:val="92"/>
        </w:trPr>
        <w:tc>
          <w:tcPr>
            <w:tcW w:w="1000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3" w:name="page144"/>
    <w:bookmarkEnd w:id="14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VistaGen Therapeutics, Inc.</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We have audited the accompanying consolidated balance sheets of VistaGen Therapeutics, Inc. as of March 31, 2015 and 2014 and the related consolidated statements of operations and comprehensive loss, cash flows, preferred stock, and stockholders’ deficit for the years then ended. These financial statements are the responsibility of the Company's management. Our responsibility is to express an opinion on these consolidated financial statements based on our audits.</w:t>
      </w:r>
    </w:p>
    <w:p>
      <w:pPr>
        <w:spacing w:after="0" w:line="142"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35"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consolidated financial position of VistaGen Therapeutics, Inc. at March 31, 2015 and 2014, and the consolidated results of its operations and its cash flows for the years then ended, in conformity with U.S. generally accepted accounting principles.</w:t>
      </w:r>
    </w:p>
    <w:p>
      <w:pPr>
        <w:spacing w:after="0" w:line="13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The accompanying consolidated financial statements have been prepared assuming that the Company will continue as a going concern. As discussed in Note 2 to the consolidated financial statements, the Company has not yet generated sustainable revenues, has suffered recurring losses and negative cash flows from operations and has a stockholders’ deficit, all of which raise substantial doubt about its ability to continue as a going concern. The consolidated financial statements do not include any adjustments that might result from the outcome of this uncertainty.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/s/ OUM &amp; Co. LLP</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June 29, 2015</w:t>
      </w: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144" w:name="page145"/>
    <w:bookmarkEnd w:id="14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jc w:val="center"/>
              <w:ind w:left="2669"/>
              <w:spacing w:after="0"/>
              <w:rPr>
                <w:sz w:val="20"/>
                <w:szCs w:val="20"/>
                <w:color w:val="auto"/>
              </w:rPr>
            </w:pPr>
            <w:r>
              <w:rPr>
                <w:rFonts w:ascii="Arial" w:cs="Arial" w:eastAsia="Arial" w:hAnsi="Arial"/>
                <w:sz w:val="14"/>
                <w:szCs w:val="14"/>
                <w:b w:val="1"/>
                <w:bCs w:val="1"/>
                <w:color w:val="auto"/>
              </w:rPr>
              <w:t>VISTAGEN THERAPEUTICS, INC.</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38"/>
        </w:trPr>
        <w:tc>
          <w:tcPr>
            <w:tcW w:w="8720" w:type="dxa"/>
            <w:vAlign w:val="bottom"/>
          </w:tcPr>
          <w:p>
            <w:pPr>
              <w:jc w:val="center"/>
              <w:ind w:left="2669"/>
              <w:spacing w:after="0"/>
              <w:rPr>
                <w:sz w:val="20"/>
                <w:szCs w:val="20"/>
                <w:color w:val="auto"/>
              </w:rPr>
            </w:pPr>
            <w:r>
              <w:rPr>
                <w:rFonts w:ascii="Arial" w:cs="Arial" w:eastAsia="Arial" w:hAnsi="Arial"/>
                <w:sz w:val="14"/>
                <w:szCs w:val="14"/>
                <w:b w:val="1"/>
                <w:bCs w:val="1"/>
                <w:color w:val="auto"/>
              </w:rPr>
              <w:t>CONSOLIDATED BALANCE SHEETS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8720" w:type="dxa"/>
            <w:vAlign w:val="bottom"/>
          </w:tcPr>
          <w:p>
            <w:pPr>
              <w:jc w:val="center"/>
              <w:ind w:left="2669"/>
              <w:spacing w:after="0"/>
              <w:rPr>
                <w:sz w:val="20"/>
                <w:szCs w:val="20"/>
                <w:color w:val="auto"/>
              </w:rPr>
            </w:pPr>
            <w:r>
              <w:rPr>
                <w:rFonts w:ascii="Arial" w:cs="Arial" w:eastAsia="Arial" w:hAnsi="Arial"/>
                <w:sz w:val="14"/>
                <w:szCs w:val="14"/>
                <w:b w:val="1"/>
                <w:bCs w:val="1"/>
                <w:color w:val="auto"/>
                <w:w w:val="89"/>
              </w:rPr>
              <w:t>(Amounts in dollars, except share amounts)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7"/>
        </w:trPr>
        <w:tc>
          <w:tcPr>
            <w:tcW w:w="8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r>
      <w:tr>
        <w:trPr>
          <w:trHeight w:val="186"/>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r>
      <w:tr>
        <w:trPr>
          <w:trHeight w:val="160"/>
        </w:trPr>
        <w:tc>
          <w:tcPr>
            <w:tcW w:w="8720" w:type="dxa"/>
            <w:vAlign w:val="bottom"/>
          </w:tcPr>
          <w:p>
            <w:pPr>
              <w:ind w:left="5420"/>
              <w:spacing w:after="0" w:line="160" w:lineRule="exact"/>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8720" w:type="dxa"/>
            <w:vAlign w:val="bottom"/>
          </w:tcPr>
          <w:p>
            <w:pPr>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35,700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40,500</w:t>
            </w: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105,700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40,500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117,100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176,300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Security deposits and other assets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46,900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46,900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20" w:type="dxa"/>
            <w:vAlign w:val="bottom"/>
          </w:tcPr>
          <w:p>
            <w:pPr>
              <w:ind w:left="520"/>
              <w:spacing w:after="0"/>
              <w:rPr>
                <w:sz w:val="20"/>
                <w:szCs w:val="20"/>
                <w:color w:val="auto"/>
              </w:rPr>
            </w:pPr>
            <w:r>
              <w:rPr>
                <w:rFonts w:ascii="Arial" w:cs="Arial" w:eastAsia="Arial" w:hAnsi="Arial"/>
                <w:sz w:val="14"/>
                <w:szCs w:val="14"/>
                <w:color w:val="auto"/>
              </w:rPr>
              <w:t>Total assets</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269,700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263,700</w:t>
            </w:r>
          </w:p>
        </w:tc>
      </w:tr>
      <w:tr>
        <w:trPr>
          <w:trHeight w:val="20"/>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8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720" w:type="dxa"/>
            <w:vAlign w:val="bottom"/>
          </w:tcPr>
          <w:p>
            <w:pPr>
              <w:ind w:left="4120"/>
              <w:spacing w:after="0"/>
              <w:rPr>
                <w:sz w:val="20"/>
                <w:szCs w:val="20"/>
                <w:color w:val="auto"/>
              </w:rPr>
            </w:pPr>
            <w:r>
              <w:rPr>
                <w:rFonts w:ascii="Arial" w:cs="Arial" w:eastAsia="Arial" w:hAnsi="Arial"/>
                <w:sz w:val="14"/>
                <w:szCs w:val="14"/>
                <w:b w:val="1"/>
                <w:bCs w:val="1"/>
                <w:color w:val="auto"/>
              </w:rPr>
              <w:t>LIABILITIES AND STOCKHOLDERS’ 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2,251,100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2,443,900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 expenses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1,206,500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625,600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Advance from officer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3,600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Current maturities of senior secured convertible promissory notes and accrued interest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4,146,100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Current portion of notes payable, net of discount of $474,500 at March 31, 2014 and accrued 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4,117,000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1,442,300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Current portion of notes payable to related parties, net of discount of $54,500 at March 31, 2015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and accrued 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1,508,800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290,400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Convertible promissory notes and accrued interest, net of discount of $180,000 at March 31, 2015 and</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ind w:left="280"/>
              <w:spacing w:after="0"/>
              <w:rPr>
                <w:sz w:val="20"/>
                <w:szCs w:val="20"/>
                <w:color w:val="auto"/>
              </w:rPr>
            </w:pPr>
            <w:r>
              <w:rPr>
                <w:rFonts w:ascii="Arial" w:cs="Arial" w:eastAsia="Arial" w:hAnsi="Arial"/>
                <w:sz w:val="14"/>
                <w:szCs w:val="14"/>
                <w:color w:val="auto"/>
              </w:rPr>
              <w:t>$697,400 at March 31, 2014, respectively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4,157,600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396,000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8720" w:type="dxa"/>
            <w:vAlign w:val="bottom"/>
          </w:tcPr>
          <w:p>
            <w:pPr>
              <w:ind w:left="520"/>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17,388,100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5,205,700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Non-current liabilities:</w:t>
            </w:r>
          </w:p>
        </w:tc>
        <w:tc>
          <w:tcPr>
            <w:tcW w:w="1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Senior secured convertible promissory notes, net of discount of $0 at March 31, 2015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$2,085,900 at March 31, 2014, respectively, and accrued interest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296,200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1,929,800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Notes payable, net of discount of $0 at March 31, 2015 and $848,100 at March 31, 2014,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and accrued interest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1,797,600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Notes payable to related parties, net of discount of $103,200 at March 31, 2014 and accrued interest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1,057,100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Warrant liability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3,008,500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2,973,900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Deferred rent liability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83,000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97,400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20" w:type="dxa"/>
            <w:vAlign w:val="bottom"/>
          </w:tcPr>
          <w:p>
            <w:pPr>
              <w:ind w:left="380"/>
              <w:spacing w:after="0"/>
              <w:rPr>
                <w:sz w:val="20"/>
                <w:szCs w:val="20"/>
                <w:color w:val="auto"/>
              </w:rPr>
            </w:pPr>
            <w:r>
              <w:rPr>
                <w:rFonts w:ascii="Arial" w:cs="Arial" w:eastAsia="Arial" w:hAnsi="Arial"/>
                <w:sz w:val="14"/>
                <w:szCs w:val="14"/>
                <w:color w:val="auto"/>
              </w:rPr>
              <w:t>Total non-current liabilities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3,424,400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7,857,900</w:t>
            </w: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8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20,812,500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13,063,600</w:t>
            </w:r>
          </w:p>
        </w:tc>
      </w:tr>
      <w:tr>
        <w:trPr>
          <w:trHeight w:val="170"/>
        </w:trPr>
        <w:tc>
          <w:tcPr>
            <w:tcW w:w="87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8720" w:type="dxa"/>
            <w:vAlign w:val="bottom"/>
          </w:tcPr>
          <w:p>
            <w:pPr>
              <w:spacing w:after="0" w:line="160" w:lineRule="exact"/>
              <w:rPr>
                <w:sz w:val="20"/>
                <w:szCs w:val="20"/>
                <w:color w:val="auto"/>
              </w:rPr>
            </w:pPr>
            <w:r>
              <w:rPr>
                <w:rFonts w:ascii="Arial" w:cs="Arial" w:eastAsia="Arial" w:hAnsi="Arial"/>
                <w:sz w:val="14"/>
                <w:szCs w:val="14"/>
                <w:color w:val="auto"/>
              </w:rPr>
              <w:t>Preferred stock, $0.001 par value; 10,000,000 shares, including 500,000 Series A shares, authorized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at March 31, 2015 and March 31, 2014, respectively; 500,000 Series A shares issued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8720" w:type="dxa"/>
            <w:vAlign w:val="bottom"/>
          </w:tcPr>
          <w:p>
            <w:pPr>
              <w:spacing w:after="0"/>
              <w:rPr>
                <w:sz w:val="20"/>
                <w:szCs w:val="20"/>
                <w:color w:val="auto"/>
              </w:rPr>
            </w:pPr>
            <w:r>
              <w:rPr>
                <w:rFonts w:ascii="Arial" w:cs="Arial" w:eastAsia="Arial" w:hAnsi="Arial"/>
                <w:sz w:val="14"/>
                <w:szCs w:val="14"/>
                <w:color w:val="auto"/>
              </w:rPr>
              <w:t>outstanding at March 31, 2015 and March 31, 2014, respectively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500</w:t>
            </w:r>
          </w:p>
        </w:tc>
      </w:tr>
      <w:tr>
        <w:trPr>
          <w:trHeight w:val="171"/>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Common stock, $0.001 par value; 10,000,000 shares authorized at March 31, 2015 and March 31, 2014,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respectively; 1,677,110 shares and 1,310,093 shares issued at March 31, 2015 and March 31,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2014, respectively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67,945,800</w:t>
            </w: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62,001,400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Treasury stock, at cost, 135,665 shares of common stock held at March 31, 2015 and March 31, 2014,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respectively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(3,968,100)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(3,968,100)</w:t>
            </w:r>
          </w:p>
        </w:tc>
      </w:tr>
      <w:tr>
        <w:trPr>
          <w:trHeight w:val="170"/>
        </w:trPr>
        <w:tc>
          <w:tcPr>
            <w:tcW w:w="8720" w:type="dxa"/>
            <w:vAlign w:val="bottom"/>
          </w:tcPr>
          <w:p>
            <w:pPr>
              <w:ind w:left="260"/>
              <w:spacing w:after="0"/>
              <w:rPr>
                <w:sz w:val="20"/>
                <w:szCs w:val="20"/>
                <w:color w:val="auto"/>
              </w:rPr>
            </w:pPr>
            <w:r>
              <w:rPr>
                <w:rFonts w:ascii="Arial" w:cs="Arial" w:eastAsia="Arial" w:hAnsi="Arial"/>
                <w:sz w:val="14"/>
                <w:szCs w:val="14"/>
                <w:color w:val="auto"/>
              </w:rPr>
              <w:t>Note receivable from sale of common 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(198,100)</w:t>
            </w:r>
          </w:p>
        </w:tc>
      </w:tr>
      <w:tr>
        <w:trPr>
          <w:trHeight w:val="170"/>
        </w:trPr>
        <w:tc>
          <w:tcPr>
            <w:tcW w:w="87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(84,522,700)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(70,636,900)</w:t>
            </w:r>
          </w:p>
        </w:tc>
      </w:tr>
      <w:tr>
        <w:trPr>
          <w:trHeight w:val="21"/>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20" w:type="dxa"/>
            <w:vAlign w:val="bottom"/>
          </w:tcPr>
          <w:p>
            <w:pPr>
              <w:ind w:left="520"/>
              <w:spacing w:after="0"/>
              <w:rPr>
                <w:sz w:val="20"/>
                <w:szCs w:val="20"/>
                <w:color w:val="auto"/>
              </w:rPr>
            </w:pPr>
            <w:r>
              <w:rPr>
                <w:rFonts w:ascii="Arial" w:cs="Arial" w:eastAsia="Arial" w:hAnsi="Arial"/>
                <w:sz w:val="14"/>
                <w:szCs w:val="14"/>
                <w:color w:val="auto"/>
              </w:rPr>
              <w:t>Total stockholders’ 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(20,542,800)</w:t>
            </w: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(12,799,900)</w:t>
            </w:r>
          </w:p>
        </w:tc>
      </w:tr>
      <w:tr>
        <w:trPr>
          <w:trHeight w:val="21"/>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8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liabilities and stockholders’ deficit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269,700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263,700</w:t>
            </w:r>
          </w:p>
        </w:tc>
      </w:tr>
      <w:tr>
        <w:trPr>
          <w:trHeight w:val="20"/>
        </w:trPr>
        <w:tc>
          <w:tcPr>
            <w:tcW w:w="8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5" w:name="page146"/>
    <w:bookmarkEnd w:id="14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6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VISTAGEN THERAPEUTICS, INC.</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780" w:type="dxa"/>
            <w:vAlign w:val="bottom"/>
          </w:tcPr>
          <w:p>
            <w:pPr>
              <w:spacing w:after="0"/>
              <w:rPr>
                <w:sz w:val="24"/>
                <w:szCs w:val="24"/>
                <w:color w:val="auto"/>
              </w:rPr>
            </w:pPr>
          </w:p>
        </w:tc>
        <w:tc>
          <w:tcPr>
            <w:tcW w:w="6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CONSOLIDATED STATEMENTS OF OPERATIONS AND COMPREHENSIVE LOSS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780" w:type="dxa"/>
            <w:vAlign w:val="bottom"/>
          </w:tcPr>
          <w:p>
            <w:pPr>
              <w:spacing w:after="0"/>
              <w:rPr>
                <w:sz w:val="16"/>
                <w:szCs w:val="16"/>
                <w:color w:val="auto"/>
              </w:rPr>
            </w:pPr>
          </w:p>
        </w:tc>
        <w:tc>
          <w:tcPr>
            <w:tcW w:w="6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(Amounts in dollars, except share amounts)</w:t>
            </w:r>
          </w:p>
        </w:tc>
        <w:tc>
          <w:tcPr>
            <w:tcW w:w="238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2780" w:type="dxa"/>
            <w:vAlign w:val="bottom"/>
          </w:tcPr>
          <w:p>
            <w:pPr>
              <w:spacing w:after="0"/>
              <w:rPr>
                <w:sz w:val="20"/>
                <w:szCs w:val="20"/>
                <w:color w:val="auto"/>
              </w:rPr>
            </w:pPr>
            <w:r>
              <w:rPr>
                <w:rFonts w:ascii="Arial" w:cs="Arial" w:eastAsia="Arial" w:hAnsi="Arial"/>
                <w:sz w:val="14"/>
                <w:szCs w:val="14"/>
                <w:color w:val="auto"/>
              </w:rPr>
              <w:t>Operating expenses:</w:t>
            </w:r>
          </w:p>
        </w:tc>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Research and development</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2,432,700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2,480,600</w:t>
            </w: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4,344,400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2,548,300</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operating expenses</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6,777,100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5,028,900</w:t>
            </w:r>
          </w:p>
        </w:tc>
        <w:tc>
          <w:tcPr>
            <w:tcW w:w="0" w:type="dxa"/>
            <w:vAlign w:val="bottom"/>
          </w:tcPr>
          <w:p>
            <w:pPr>
              <w:spacing w:after="0"/>
              <w:rPr>
                <w:sz w:val="1"/>
                <w:szCs w:val="1"/>
                <w:color w:val="auto"/>
              </w:rPr>
            </w:pPr>
          </w:p>
        </w:tc>
      </w:tr>
      <w:tr>
        <w:trPr>
          <w:trHeight w:val="21"/>
        </w:trPr>
        <w:tc>
          <w:tcPr>
            <w:tcW w:w="278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80" w:type="dxa"/>
            <w:vAlign w:val="bottom"/>
          </w:tcPr>
          <w:p>
            <w:pPr>
              <w:spacing w:after="0"/>
              <w:rPr>
                <w:sz w:val="20"/>
                <w:szCs w:val="20"/>
                <w:color w:val="auto"/>
              </w:rPr>
            </w:pPr>
            <w:r>
              <w:rPr>
                <w:rFonts w:ascii="Arial" w:cs="Arial" w:eastAsia="Arial" w:hAnsi="Arial"/>
                <w:sz w:val="14"/>
                <w:szCs w:val="14"/>
                <w:color w:val="auto"/>
              </w:rPr>
              <w:t>Loss from operations</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(6,777,100)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(5,028,900)</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Interest expense, net</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(4,548,700)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(1,503,000)</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warrant liability</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(34,600)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3,566,900</w:t>
            </w: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Loss on extinguishment of debt</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(2,388,000)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expense</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(135,000)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780" w:type="dxa"/>
            <w:vAlign w:val="bottom"/>
            <w:shd w:val="clear" w:color="auto" w:fill="CCEEFF"/>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8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(13,883,400)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(2,965,000)</w:t>
            </w:r>
          </w:p>
        </w:tc>
        <w:tc>
          <w:tcPr>
            <w:tcW w:w="0" w:type="dxa"/>
            <w:vAlign w:val="bottom"/>
          </w:tcPr>
          <w:p>
            <w:pPr>
              <w:spacing w:after="0"/>
              <w:rPr>
                <w:sz w:val="1"/>
                <w:szCs w:val="1"/>
                <w:color w:val="auto"/>
              </w:rPr>
            </w:pPr>
          </w:p>
        </w:tc>
      </w:tr>
      <w:tr>
        <w:trPr>
          <w:trHeight w:val="172"/>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70"/>
        </w:trPr>
        <w:tc>
          <w:tcPr>
            <w:tcW w:w="2780" w:type="dxa"/>
            <w:vAlign w:val="bottom"/>
            <w:tcBorders>
              <w:top w:val="single" w:sz="8" w:color="CCEEFF"/>
            </w:tcBorders>
          </w:tcPr>
          <w:p>
            <w:pPr>
              <w:spacing w:after="0"/>
              <w:rPr>
                <w:sz w:val="14"/>
                <w:szCs w:val="14"/>
                <w:color w:val="auto"/>
              </w:rPr>
            </w:pPr>
          </w:p>
        </w:tc>
        <w:tc>
          <w:tcPr>
            <w:tcW w:w="606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Net loss and comprehensive loss</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(13,885,800)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(2,967,700)</w:t>
            </w:r>
          </w:p>
        </w:tc>
        <w:tc>
          <w:tcPr>
            <w:tcW w:w="0" w:type="dxa"/>
            <w:vAlign w:val="bottom"/>
          </w:tcPr>
          <w:p>
            <w:pPr>
              <w:spacing w:after="0"/>
              <w:rPr>
                <w:sz w:val="1"/>
                <w:szCs w:val="1"/>
                <w:color w:val="auto"/>
              </w:rPr>
            </w:pPr>
          </w:p>
        </w:tc>
      </w:tr>
      <w:tr>
        <w:trPr>
          <w:trHeight w:val="153"/>
        </w:trPr>
        <w:tc>
          <w:tcPr>
            <w:tcW w:w="2780" w:type="dxa"/>
            <w:vAlign w:val="bottom"/>
            <w:tcBorders>
              <w:top w:val="single" w:sz="8" w:color="CCEEFF"/>
            </w:tcBorders>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Basic net loss per common share</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(10.53)</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53"/>
        </w:trPr>
        <w:tc>
          <w:tcPr>
            <w:tcW w:w="2780" w:type="dxa"/>
            <w:vAlign w:val="bottom"/>
            <w:tcBorders>
              <w:top w:val="single" w:sz="8" w:color="CCEEFF"/>
            </w:tcBorders>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Diluted net loss per common share</w:t>
            </w:r>
          </w:p>
        </w:tc>
        <w:tc>
          <w:tcPr>
            <w:tcW w:w="6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(10.61)</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54"/>
        </w:trPr>
        <w:tc>
          <w:tcPr>
            <w:tcW w:w="2780" w:type="dxa"/>
            <w:vAlign w:val="bottom"/>
            <w:tcBorders>
              <w:top w:val="single" w:sz="8" w:color="CCEEFF"/>
            </w:tcBorders>
          </w:tcPr>
          <w:p>
            <w:pPr>
              <w:spacing w:after="0"/>
              <w:rPr>
                <w:sz w:val="13"/>
                <w:szCs w:val="13"/>
                <w:color w:val="auto"/>
              </w:rPr>
            </w:pPr>
          </w:p>
        </w:tc>
        <w:tc>
          <w:tcPr>
            <w:tcW w:w="6060" w:type="dxa"/>
            <w:vAlign w:val="bottom"/>
            <w:tcBorders>
              <w:top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w w:val="99"/>
              </w:rPr>
              <w:t>Weighted average shares used in computing</w:t>
            </w:r>
          </w:p>
        </w:tc>
        <w:tc>
          <w:tcPr>
            <w:tcW w:w="6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Basic net loss per common share</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1,318,797</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1,098,742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780" w:type="dxa"/>
            <w:vAlign w:val="bottom"/>
            <w:shd w:val="clear" w:color="auto" w:fill="CCEEFF"/>
          </w:tcPr>
          <w:p>
            <w:pPr>
              <w:spacing w:after="0"/>
              <w:rPr>
                <w:sz w:val="13"/>
                <w:szCs w:val="13"/>
                <w:color w:val="auto"/>
              </w:rPr>
            </w:pPr>
          </w:p>
        </w:tc>
        <w:tc>
          <w:tcPr>
            <w:tcW w:w="6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60"/>
              <w:spacing w:after="0"/>
              <w:rPr>
                <w:sz w:val="20"/>
                <w:szCs w:val="20"/>
                <w:color w:val="auto"/>
              </w:rPr>
            </w:pPr>
            <w:r>
              <w:rPr>
                <w:rFonts w:ascii="Arial" w:cs="Arial" w:eastAsia="Arial" w:hAnsi="Arial"/>
                <w:sz w:val="14"/>
                <w:szCs w:val="14"/>
                <w:color w:val="auto"/>
              </w:rPr>
              <w:t>Diluted net loss per common share</w:t>
            </w:r>
          </w:p>
        </w:tc>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1,318,797</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1,099,216</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780" w:type="dxa"/>
            <w:vAlign w:val="bottom"/>
          </w:tcPr>
          <w:p>
            <w:pPr>
              <w:spacing w:after="0"/>
              <w:rPr>
                <w:sz w:val="24"/>
                <w:szCs w:val="24"/>
                <w:color w:val="auto"/>
              </w:rPr>
            </w:pPr>
          </w:p>
        </w:tc>
        <w:tc>
          <w:tcPr>
            <w:tcW w:w="630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See accompanying notes to consolidated financial statements.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780" w:type="dxa"/>
            <w:vAlign w:val="bottom"/>
          </w:tcPr>
          <w:p>
            <w:pPr>
              <w:spacing w:after="0"/>
              <w:rPr>
                <w:sz w:val="24"/>
                <w:szCs w:val="24"/>
                <w:color w:val="auto"/>
              </w:rPr>
            </w:pPr>
          </w:p>
        </w:tc>
        <w:tc>
          <w:tcPr>
            <w:tcW w:w="63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F-4</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780" w:type="dxa"/>
            <w:vAlign w:val="bottom"/>
            <w:tcBorders>
              <w:bottom w:val="single" w:sz="8" w:color="808080"/>
            </w:tcBorders>
          </w:tcPr>
          <w:p>
            <w:pPr>
              <w:spacing w:after="0"/>
              <w:rPr>
                <w:sz w:val="7"/>
                <w:szCs w:val="7"/>
                <w:color w:val="auto"/>
              </w:rPr>
            </w:pPr>
          </w:p>
        </w:tc>
        <w:tc>
          <w:tcPr>
            <w:tcW w:w="60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6" w:name="page147"/>
    <w:bookmarkEnd w:id="14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jc w:val="center"/>
              <w:ind w:left="3269"/>
              <w:spacing w:after="0"/>
              <w:rPr>
                <w:sz w:val="20"/>
                <w:szCs w:val="20"/>
                <w:color w:val="auto"/>
              </w:rPr>
            </w:pPr>
            <w:r>
              <w:rPr>
                <w:rFonts w:ascii="Arial" w:cs="Arial" w:eastAsia="Arial" w:hAnsi="Arial"/>
                <w:sz w:val="14"/>
                <w:szCs w:val="14"/>
                <w:b w:val="1"/>
                <w:bCs w:val="1"/>
                <w:color w:val="auto"/>
              </w:rPr>
              <w:t>VISTAGEN THERAPEUTICS, INC.</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8120" w:type="dxa"/>
            <w:vAlign w:val="bottom"/>
          </w:tcPr>
          <w:p>
            <w:pPr>
              <w:jc w:val="center"/>
              <w:ind w:left="3269"/>
              <w:spacing w:after="0"/>
              <w:rPr>
                <w:sz w:val="20"/>
                <w:szCs w:val="20"/>
                <w:color w:val="auto"/>
              </w:rPr>
            </w:pPr>
            <w:r>
              <w:rPr>
                <w:rFonts w:ascii="Arial" w:cs="Arial" w:eastAsia="Arial" w:hAnsi="Arial"/>
                <w:sz w:val="14"/>
                <w:szCs w:val="14"/>
                <w:b w:val="1"/>
                <w:bCs w:val="1"/>
                <w:color w:val="auto"/>
              </w:rPr>
              <w:t>CONSOLIDATED STATEMENTS OF CASH FLOWS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120" w:type="dxa"/>
            <w:vAlign w:val="bottom"/>
          </w:tcPr>
          <w:p>
            <w:pPr>
              <w:jc w:val="center"/>
              <w:ind w:left="3269"/>
              <w:spacing w:after="0"/>
              <w:rPr>
                <w:sz w:val="20"/>
                <w:szCs w:val="20"/>
                <w:color w:val="auto"/>
              </w:rPr>
            </w:pPr>
            <w:r>
              <w:rPr>
                <w:rFonts w:ascii="Arial" w:cs="Arial" w:eastAsia="Arial" w:hAnsi="Arial"/>
                <w:sz w:val="14"/>
                <w:szCs w:val="14"/>
                <w:b w:val="1"/>
                <w:bCs w:val="1"/>
                <w:color w:val="auto"/>
                <w:w w:val="92"/>
              </w:rPr>
              <w:t>(Amounts in dollars)</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w w:val="98"/>
              </w:rPr>
              <w:t>Fiscal Years Ended March 31,</w:t>
            </w:r>
          </w:p>
        </w:tc>
        <w:tc>
          <w:tcPr>
            <w:tcW w:w="0" w:type="dxa"/>
            <w:vAlign w:val="bottom"/>
          </w:tcPr>
          <w:p>
            <w:pPr>
              <w:spacing w:after="0"/>
              <w:rPr>
                <w:sz w:val="1"/>
                <w:szCs w:val="1"/>
                <w:color w:val="auto"/>
              </w:rPr>
            </w:pPr>
          </w:p>
        </w:tc>
      </w:tr>
      <w:tr>
        <w:trPr>
          <w:trHeight w:val="172"/>
        </w:trPr>
        <w:tc>
          <w:tcPr>
            <w:tcW w:w="8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(13,885,800)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(2,967,700)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59,100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54,600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Amortization of discounts on convertible and promissory notes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3,372,000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640,000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warrant liability</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34,600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(3,566,900)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2,460,100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1,137,300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Expense related to modification of warrants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98,400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204,300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Non-cash rent and relocation expense</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(14,400)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56,800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income on note receivable for stock purchase</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Loss on settlement of note receivable for stock purchase</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134,900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Fair value of common stock granted for services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469,000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Fair value of warrants granted for services and interest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44,500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60,700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currency fluctuation</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(63,600)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(48,600)</w:t>
            </w:r>
          </w:p>
        </w:tc>
        <w:tc>
          <w:tcPr>
            <w:tcW w:w="0" w:type="dxa"/>
            <w:vAlign w:val="bottom"/>
          </w:tcPr>
          <w:p>
            <w:pPr>
              <w:spacing w:after="0"/>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Loss on extinguishment of debt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2,388,000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520"/>
              <w:spacing w:after="0"/>
              <w:rPr>
                <w:sz w:val="20"/>
                <w:szCs w:val="20"/>
                <w:color w:val="auto"/>
              </w:rPr>
            </w:pPr>
            <w:r>
              <w:rPr>
                <w:rFonts w:ascii="Arial" w:cs="Arial" w:eastAsia="Arial" w:hAnsi="Arial"/>
                <w:sz w:val="14"/>
                <w:szCs w:val="14"/>
                <w:color w:val="auto"/>
              </w:rPr>
              <w:t>Prepaid expenses and other current assets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107,400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92,700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Security deposits and other assets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(17,900)</w:t>
            </w:r>
          </w:p>
        </w:tc>
        <w:tc>
          <w:tcPr>
            <w:tcW w:w="0" w:type="dxa"/>
            <w:vAlign w:val="bottom"/>
          </w:tcPr>
          <w:p>
            <w:pPr>
              <w:spacing w:after="0"/>
              <w:rPr>
                <w:sz w:val="1"/>
                <w:szCs w:val="1"/>
                <w:color w:val="auto"/>
              </w:rPr>
            </w:pPr>
          </w:p>
        </w:tc>
      </w:tr>
      <w:tr>
        <w:trPr>
          <w:trHeight w:val="170"/>
        </w:trPr>
        <w:tc>
          <w:tcPr>
            <w:tcW w:w="8120" w:type="dxa"/>
            <w:vAlign w:val="bottom"/>
          </w:tcPr>
          <w:p>
            <w:pPr>
              <w:ind w:left="520"/>
              <w:spacing w:after="0"/>
              <w:rPr>
                <w:sz w:val="20"/>
                <w:szCs w:val="20"/>
                <w:color w:val="auto"/>
              </w:rPr>
            </w:pPr>
            <w:r>
              <w:rPr>
                <w:rFonts w:ascii="Arial" w:cs="Arial" w:eastAsia="Arial" w:hAnsi="Arial"/>
                <w:sz w:val="14"/>
                <w:szCs w:val="14"/>
                <w:color w:val="auto"/>
              </w:rPr>
              <w:t>Accounts payable and accrued expenses, including accrued interest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2,024,100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2,229,900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operating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(2,768,900)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(2,126,000)</w:t>
            </w:r>
          </w:p>
        </w:tc>
        <w:tc>
          <w:tcPr>
            <w:tcW w:w="0" w:type="dxa"/>
            <w:vAlign w:val="bottom"/>
          </w:tcPr>
          <w:p>
            <w:pPr>
              <w:spacing w:after="0"/>
              <w:rPr>
                <w:sz w:val="1"/>
                <w:szCs w:val="1"/>
                <w:color w:val="auto"/>
              </w:rPr>
            </w:pPr>
          </w:p>
        </w:tc>
      </w:tr>
      <w:tr>
        <w:trPr>
          <w:trHeight w:val="170"/>
        </w:trPr>
        <w:tc>
          <w:tcPr>
            <w:tcW w:w="81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Purchases of equipment, net</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in investing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170"/>
        </w:trPr>
        <w:tc>
          <w:tcPr>
            <w:tcW w:w="812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Net proceeds from issuance of common stock and warrants, including Units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3,146,600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1,075,500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exercise of modified warrants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264,200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Proceeds from sale of note and warrant to Platinum</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Advance from officer</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64,000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Repayment of capital lease obligations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(3,900)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(7,600)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Repayment of notes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(303,800)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(148,600)</w:t>
            </w:r>
          </w:p>
        </w:tc>
        <w:tc>
          <w:tcPr>
            <w:tcW w:w="0" w:type="dxa"/>
            <w:vAlign w:val="bottom"/>
          </w:tcPr>
          <w:p>
            <w:pPr>
              <w:spacing w:after="0"/>
              <w:rPr>
                <w:sz w:val="1"/>
                <w:szCs w:val="1"/>
                <w:color w:val="auto"/>
              </w:rPr>
            </w:pPr>
          </w:p>
        </w:tc>
      </w:tr>
      <w:tr>
        <w:trPr>
          <w:trHeight w:val="21"/>
        </w:trPr>
        <w:tc>
          <w:tcPr>
            <w:tcW w:w="8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20" w:type="dxa"/>
            <w:vAlign w:val="bottom"/>
          </w:tcPr>
          <w:p>
            <w:pPr>
              <w:ind w:left="380"/>
              <w:spacing w:after="0"/>
              <w:rPr>
                <w:sz w:val="20"/>
                <w:szCs w:val="20"/>
                <w:color w:val="auto"/>
              </w:rPr>
            </w:pPr>
            <w:r>
              <w:rPr>
                <w:rFonts w:ascii="Arial" w:cs="Arial" w:eastAsia="Arial" w:hAnsi="Arial"/>
                <w:sz w:val="14"/>
                <w:szCs w:val="14"/>
                <w:color w:val="auto"/>
              </w:rPr>
              <w:t>Net cash provided by financing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2,838,900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1,497,500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Net increase (decrease) in cash and cash equivalents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(638,100)</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638,100</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end of period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812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spacing w:after="0"/>
              <w:rPr>
                <w:sz w:val="20"/>
                <w:szCs w:val="20"/>
                <w:color w:val="auto"/>
              </w:rPr>
            </w:pPr>
            <w:r>
              <w:rPr>
                <w:rFonts w:ascii="Arial" w:cs="Arial" w:eastAsia="Arial" w:hAnsi="Arial"/>
                <w:sz w:val="14"/>
                <w:szCs w:val="14"/>
                <w:color w:val="auto"/>
              </w:rPr>
              <w:t>Supplemental disclosure of cash flow activities: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paid for interest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35,700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21,000</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Cash paid for income taxes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2,400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spacing w:after="0"/>
              <w:rPr>
                <w:sz w:val="20"/>
                <w:szCs w:val="20"/>
                <w:color w:val="auto"/>
              </w:rPr>
            </w:pPr>
            <w:r>
              <w:rPr>
                <w:rFonts w:ascii="Arial" w:cs="Arial" w:eastAsia="Arial" w:hAnsi="Arial"/>
                <w:sz w:val="14"/>
                <w:szCs w:val="14"/>
                <w:color w:val="auto"/>
              </w:rPr>
              <w:t>Supplemental disclosure of noncash activities:</w:t>
            </w: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Insurance premiums settled by issuing note payable</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105,300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98,300</w:t>
            </w: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payable settled by issuance of stock or notes payable and stock</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438,400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120" w:type="dxa"/>
            <w:vAlign w:val="bottom"/>
          </w:tcPr>
          <w:p>
            <w:pPr>
              <w:ind w:left="260"/>
              <w:spacing w:after="0"/>
              <w:rPr>
                <w:sz w:val="20"/>
                <w:szCs w:val="20"/>
                <w:color w:val="auto"/>
              </w:rPr>
            </w:pPr>
            <w:r>
              <w:rPr>
                <w:rFonts w:ascii="Arial" w:cs="Arial" w:eastAsia="Arial" w:hAnsi="Arial"/>
                <w:sz w:val="14"/>
                <w:szCs w:val="14"/>
                <w:color w:val="auto"/>
              </w:rPr>
              <w:t>Recognition of warrant liability upon issuance to Platinum of July 2013</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Senior Secured Convertible Note</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146,800</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47" w:name="page148"/>
    <w:bookmarkEnd w:id="147"/>
    <w:p>
      <w:pPr>
        <w:spacing w:after="0" w:line="62" w:lineRule="exact"/>
        <w:rPr>
          <w:sz w:val="20"/>
          <w:szCs w:val="20"/>
          <w:color w:val="auto"/>
        </w:rPr>
      </w:pPr>
    </w:p>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DEFICIT</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Fiscal Years Ended march 31, 2015 and 2014</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(Amounts in dollars,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Note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Receivable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r>
      <w:tr>
        <w:trPr>
          <w:trHeight w:val="186"/>
        </w:trPr>
        <w:tc>
          <w:tcPr>
            <w:tcW w:w="1280" w:type="dxa"/>
            <w:vAlign w:val="bottom"/>
          </w:tcPr>
          <w:p>
            <w:pPr>
              <w:spacing w:after="0"/>
              <w:rPr>
                <w:sz w:val="16"/>
                <w:szCs w:val="16"/>
                <w:color w:val="auto"/>
              </w:rPr>
            </w:pPr>
          </w:p>
        </w:tc>
        <w:tc>
          <w:tcPr>
            <w:tcW w:w="186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Series A Preferred Stock</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Common Stock</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from Sale of</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6"/>
                <w:szCs w:val="16"/>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r>
      <w:tr>
        <w:trPr>
          <w:trHeight w:val="172"/>
        </w:trPr>
        <w:tc>
          <w:tcPr>
            <w:tcW w:w="1280" w:type="dxa"/>
            <w:vAlign w:val="bottom"/>
          </w:tcPr>
          <w:p>
            <w:pPr>
              <w:spacing w:after="0"/>
              <w:rPr>
                <w:sz w:val="14"/>
                <w:szCs w:val="14"/>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20"/>
                <w:szCs w:val="20"/>
                <w:color w:val="auto"/>
              </w:rPr>
            </w:pPr>
            <w:r>
              <w:rPr>
                <w:rFonts w:ascii="Arial" w:cs="Arial" w:eastAsia="Arial" w:hAnsi="Arial"/>
                <w:sz w:val="14"/>
                <w:szCs w:val="14"/>
                <w:b w:val="1"/>
                <w:bCs w:val="1"/>
                <w:color w:val="auto"/>
                <w:w w:val="98"/>
              </w:rPr>
              <w:t>Amount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r>
      <w:tr>
        <w:trPr>
          <w:trHeight w:val="170"/>
        </w:trPr>
        <w:tc>
          <w:tcPr>
            <w:tcW w:w="12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28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Balances at March</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5"/>
        </w:trPr>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31, 2013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500,000</w:t>
            </w:r>
          </w:p>
        </w:tc>
        <w:tc>
          <w:tcPr>
            <w:tcW w:w="820" w:type="dxa"/>
            <w:vAlign w:val="bottom"/>
            <w:gridSpan w:val="2"/>
            <w:shd w:val="clear" w:color="auto" w:fill="CCEEFF"/>
          </w:tcPr>
          <w:p>
            <w:pPr>
              <w:jc w:val="right"/>
              <w:ind w:right="569"/>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w w:val="85"/>
              </w:rPr>
              <w:t>500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1,174,092</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1,200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59,288,300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(3,968,100)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(209,100)</w:t>
            </w:r>
          </w:p>
        </w:tc>
        <w:tc>
          <w:tcPr>
            <w:tcW w:w="140" w:type="dxa"/>
            <w:vAlign w:val="bottom"/>
            <w:shd w:val="clear" w:color="auto" w:fill="CCEEFF"/>
          </w:tcPr>
          <w:p>
            <w:pPr>
              <w:jc w:val="right"/>
              <w:ind w:right="23"/>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8"/>
              </w:rPr>
              <w:t>(67,669,200)</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8"/>
              </w:rPr>
              <w:t>(12,556,400)</w:t>
            </w:r>
          </w:p>
        </w:tc>
      </w:tr>
      <w:tr>
        <w:trPr>
          <w:trHeight w:val="170"/>
        </w:trPr>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12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Share-based</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1,137,300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1,137,300</w:t>
            </w:r>
          </w:p>
        </w:tc>
      </w:tr>
      <w:tr>
        <w:trPr>
          <w:trHeight w:val="160"/>
        </w:trPr>
        <w:tc>
          <w:tcPr>
            <w:tcW w:w="1280" w:type="dxa"/>
            <w:vAlign w:val="bottom"/>
          </w:tcPr>
          <w:p>
            <w:pPr>
              <w:spacing w:after="0" w:line="160" w:lineRule="exact"/>
              <w:rPr>
                <w:sz w:val="20"/>
                <w:szCs w:val="20"/>
                <w:color w:val="auto"/>
              </w:rPr>
            </w:pPr>
            <w:r>
              <w:rPr>
                <w:rFonts w:ascii="Arial" w:cs="Arial" w:eastAsia="Arial" w:hAnsi="Arial"/>
                <w:sz w:val="14"/>
                <w:szCs w:val="14"/>
                <w:color w:val="auto"/>
              </w:rPr>
              <w:t>Proceeds from sale</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of common stock</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for cash, including</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exercises of</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warrants under</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Discount Warrant</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1280" w:type="dxa"/>
            <w:vAlign w:val="bottom"/>
          </w:tcPr>
          <w:p>
            <w:pPr>
              <w:spacing w:after="0"/>
              <w:rPr>
                <w:sz w:val="20"/>
                <w:szCs w:val="20"/>
                <w:color w:val="auto"/>
              </w:rPr>
            </w:pPr>
            <w:r>
              <w:rPr>
                <w:rFonts w:ascii="Arial" w:cs="Arial" w:eastAsia="Arial" w:hAnsi="Arial"/>
                <w:sz w:val="14"/>
                <w:szCs w:val="14"/>
                <w:color w:val="auto"/>
              </w:rPr>
              <w:t>Exercise Program</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32,751</w:t>
            </w:r>
          </w:p>
        </w:tc>
        <w:tc>
          <w:tcPr>
            <w:tcW w:w="54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335,900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335,900</w:t>
            </w:r>
          </w:p>
        </w:tc>
      </w:tr>
      <w:tr>
        <w:trPr>
          <w:trHeight w:val="160"/>
        </w:trPr>
        <w:tc>
          <w:tcPr>
            <w:tcW w:w="12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Beneficial</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conversion feature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on note issued to</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Platinum in July</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2013</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100,700</w:t>
            </w:r>
          </w:p>
        </w:tc>
      </w:tr>
      <w:tr>
        <w:trPr>
          <w:trHeight w:val="160"/>
        </w:trPr>
        <w:tc>
          <w:tcPr>
            <w:tcW w:w="1280" w:type="dxa"/>
            <w:vAlign w:val="bottom"/>
          </w:tcPr>
          <w:p>
            <w:pPr>
              <w:spacing w:after="0" w:line="160" w:lineRule="exact"/>
              <w:rPr>
                <w:sz w:val="20"/>
                <w:szCs w:val="20"/>
                <w:color w:val="auto"/>
              </w:rPr>
            </w:pPr>
            <w:r>
              <w:rPr>
                <w:rFonts w:ascii="Arial" w:cs="Arial" w:eastAsia="Arial" w:hAnsi="Arial"/>
                <w:sz w:val="14"/>
                <w:szCs w:val="14"/>
                <w:color w:val="auto"/>
              </w:rPr>
              <w:t>Payment on note</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receivable from</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1280" w:type="dxa"/>
            <w:vAlign w:val="bottom"/>
          </w:tcPr>
          <w:p>
            <w:pPr>
              <w:spacing w:after="0"/>
              <w:rPr>
                <w:sz w:val="20"/>
                <w:szCs w:val="20"/>
                <w:color w:val="auto"/>
              </w:rPr>
            </w:pPr>
            <w:r>
              <w:rPr>
                <w:rFonts w:ascii="Arial" w:cs="Arial" w:eastAsia="Arial" w:hAnsi="Arial"/>
                <w:sz w:val="14"/>
                <w:szCs w:val="14"/>
                <w:color w:val="auto"/>
              </w:rPr>
              <w:t>sale of stock</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11,000</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11,000</w:t>
            </w:r>
          </w:p>
        </w:tc>
      </w:tr>
      <w:tr>
        <w:trPr>
          <w:trHeight w:val="160"/>
        </w:trPr>
        <w:tc>
          <w:tcPr>
            <w:tcW w:w="12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Allocated proceeds</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from sale of Units</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for cash under 2013</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Unit Private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Placement,</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including beneficial</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conversion feature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100,750</w:t>
            </w:r>
          </w:p>
        </w:tc>
        <w:tc>
          <w:tcPr>
            <w:tcW w:w="5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838,100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838,200</w:t>
            </w:r>
          </w:p>
        </w:tc>
      </w:tr>
      <w:tr>
        <w:trPr>
          <w:trHeight w:val="160"/>
        </w:trPr>
        <w:tc>
          <w:tcPr>
            <w:tcW w:w="1280" w:type="dxa"/>
            <w:vAlign w:val="bottom"/>
          </w:tcPr>
          <w:p>
            <w:pPr>
              <w:spacing w:after="0" w:line="160" w:lineRule="exact"/>
              <w:rPr>
                <w:sz w:val="20"/>
                <w:szCs w:val="20"/>
                <w:color w:val="auto"/>
              </w:rPr>
            </w:pPr>
            <w:r>
              <w:rPr>
                <w:rFonts w:ascii="Arial" w:cs="Arial" w:eastAsia="Arial" w:hAnsi="Arial"/>
                <w:sz w:val="14"/>
                <w:szCs w:val="14"/>
                <w:color w:val="auto"/>
              </w:rPr>
              <w:t>Allocated proceeds</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from sale of Units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for cash under 2014</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Unit Private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Placement,</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including beneficial</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2,500</w:t>
            </w:r>
          </w:p>
        </w:tc>
        <w:tc>
          <w:tcPr>
            <w:tcW w:w="54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36,000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36,000</w:t>
            </w:r>
          </w:p>
        </w:tc>
      </w:tr>
      <w:tr>
        <w:trPr>
          <w:trHeight w:val="160"/>
        </w:trPr>
        <w:tc>
          <w:tcPr>
            <w:tcW w:w="12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Incremental fair</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value of warrant</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modifications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204,300</w:t>
            </w:r>
          </w:p>
        </w:tc>
      </w:tr>
      <w:tr>
        <w:trPr>
          <w:trHeight w:val="160"/>
        </w:trPr>
        <w:tc>
          <w:tcPr>
            <w:tcW w:w="1280" w:type="dxa"/>
            <w:vAlign w:val="bottom"/>
          </w:tcPr>
          <w:p>
            <w:pPr>
              <w:spacing w:after="0" w:line="160" w:lineRule="exact"/>
              <w:rPr>
                <w:sz w:val="20"/>
                <w:szCs w:val="20"/>
                <w:color w:val="auto"/>
              </w:rPr>
            </w:pPr>
            <w:r>
              <w:rPr>
                <w:rFonts w:ascii="Arial" w:cs="Arial" w:eastAsia="Arial" w:hAnsi="Arial"/>
                <w:sz w:val="14"/>
                <w:szCs w:val="14"/>
                <w:color w:val="auto"/>
              </w:rPr>
              <w:t>Fair value of</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warrants issued to</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Morrison &amp;</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Foerster, Cato</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Research Ltd. and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University Health</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Network in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connection with</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accrued interest on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1280" w:type="dxa"/>
            <w:vAlign w:val="bottom"/>
          </w:tcPr>
          <w:p>
            <w:pPr>
              <w:spacing w:after="0"/>
              <w:rPr>
                <w:sz w:val="20"/>
                <w:szCs w:val="20"/>
                <w:color w:val="auto"/>
              </w:rPr>
            </w:pPr>
            <w:r>
              <w:rPr>
                <w:rFonts w:ascii="Arial" w:cs="Arial" w:eastAsia="Arial" w:hAnsi="Arial"/>
                <w:sz w:val="14"/>
                <w:szCs w:val="14"/>
                <w:color w:val="auto"/>
              </w:rPr>
              <w:t>underlying notes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60,800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60,800</w:t>
            </w:r>
          </w:p>
        </w:tc>
      </w:tr>
      <w:tr>
        <w:trPr>
          <w:trHeight w:val="160"/>
        </w:trPr>
        <w:tc>
          <w:tcPr>
            <w:tcW w:w="12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Net loss for fiscal</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2"/>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year 2014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(2,967,700)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(2,967,700)</w:t>
            </w:r>
          </w:p>
        </w:tc>
      </w:tr>
      <w:tr>
        <w:trPr>
          <w:trHeight w:val="170"/>
        </w:trPr>
        <w:tc>
          <w:tcPr>
            <w:tcW w:w="128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56"/>
        </w:trPr>
        <w:tc>
          <w:tcPr>
            <w:tcW w:w="128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Balances at March</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5"/>
        </w:trPr>
        <w:tc>
          <w:tcPr>
            <w:tcW w:w="1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31, 2014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500,000</w:t>
            </w:r>
          </w:p>
        </w:tc>
        <w:tc>
          <w:tcPr>
            <w:tcW w:w="820" w:type="dxa"/>
            <w:vAlign w:val="bottom"/>
            <w:gridSpan w:val="2"/>
            <w:shd w:val="clear" w:color="auto" w:fill="CCEEFF"/>
          </w:tcPr>
          <w:p>
            <w:pPr>
              <w:jc w:val="right"/>
              <w:ind w:right="569"/>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w w:val="85"/>
              </w:rPr>
              <w:t>500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1,310,093</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1,300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62,001,400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(3,968,100)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(198,100)</w:t>
            </w:r>
          </w:p>
        </w:tc>
        <w:tc>
          <w:tcPr>
            <w:tcW w:w="140" w:type="dxa"/>
            <w:vAlign w:val="bottom"/>
            <w:shd w:val="clear" w:color="auto" w:fill="CCEEFF"/>
          </w:tcPr>
          <w:p>
            <w:pPr>
              <w:jc w:val="right"/>
              <w:ind w:right="23"/>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8"/>
              </w:rPr>
              <w:t>(70,636,900)</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8"/>
              </w:rPr>
              <w:t>(12,799,900)</w:t>
            </w:r>
          </w:p>
        </w:tc>
      </w:tr>
      <w:tr>
        <w:trPr>
          <w:trHeight w:val="170"/>
        </w:trPr>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12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Allocated proceeds</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from sale of Units</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for cash under 2014</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Unit Private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Placement,</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including beneficial</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conversion feature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280,350</w:t>
            </w:r>
          </w:p>
        </w:tc>
        <w:tc>
          <w:tcPr>
            <w:tcW w:w="5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2,746,800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2,747,100</w:t>
            </w:r>
          </w:p>
        </w:tc>
      </w:tr>
      <w:tr>
        <w:trPr>
          <w:trHeight w:val="160"/>
        </w:trPr>
        <w:tc>
          <w:tcPr>
            <w:tcW w:w="1280" w:type="dxa"/>
            <w:vAlign w:val="bottom"/>
          </w:tcPr>
          <w:p>
            <w:pPr>
              <w:spacing w:after="0" w:line="160" w:lineRule="exact"/>
              <w:rPr>
                <w:sz w:val="20"/>
                <w:szCs w:val="20"/>
                <w:color w:val="auto"/>
              </w:rPr>
            </w:pPr>
            <w:r>
              <w:rPr>
                <w:rFonts w:ascii="Arial" w:cs="Arial" w:eastAsia="Arial" w:hAnsi="Arial"/>
                <w:sz w:val="14"/>
                <w:szCs w:val="14"/>
                <w:color w:val="auto"/>
              </w:rPr>
              <w:t>Share-based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compensation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1280" w:type="dxa"/>
            <w:vAlign w:val="bottom"/>
          </w:tcPr>
          <w:p>
            <w:pPr>
              <w:spacing w:after="0"/>
              <w:rPr>
                <w:sz w:val="20"/>
                <w:szCs w:val="20"/>
                <w:color w:val="auto"/>
              </w:rPr>
            </w:pPr>
            <w:r>
              <w:rPr>
                <w:rFonts w:ascii="Arial" w:cs="Arial" w:eastAsia="Arial" w:hAnsi="Arial"/>
                <w:sz w:val="14"/>
                <w:szCs w:val="14"/>
                <w:color w:val="auto"/>
              </w:rPr>
              <w:t>expense</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2,460,100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2,460,100</w:t>
            </w:r>
          </w:p>
        </w:tc>
      </w:tr>
      <w:tr>
        <w:trPr>
          <w:trHeight w:val="160"/>
        </w:trPr>
        <w:tc>
          <w:tcPr>
            <w:tcW w:w="12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Payment on and</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settlement of note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receivable from</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sale of stock</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198,100</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198,100</w:t>
            </w:r>
          </w:p>
        </w:tc>
      </w:tr>
      <w:tr>
        <w:trPr>
          <w:trHeight w:val="160"/>
        </w:trPr>
        <w:tc>
          <w:tcPr>
            <w:tcW w:w="1280" w:type="dxa"/>
            <w:vAlign w:val="bottom"/>
          </w:tcPr>
          <w:p>
            <w:pPr>
              <w:spacing w:after="0" w:line="160" w:lineRule="exact"/>
              <w:rPr>
                <w:sz w:val="20"/>
                <w:szCs w:val="20"/>
                <w:color w:val="auto"/>
              </w:rPr>
            </w:pPr>
            <w:r>
              <w:rPr>
                <w:rFonts w:ascii="Arial" w:cs="Arial" w:eastAsia="Arial" w:hAnsi="Arial"/>
                <w:sz w:val="14"/>
                <w:szCs w:val="14"/>
                <w:color w:val="auto"/>
              </w:rPr>
              <w:t>Incremental fair</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value of modified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1280" w:type="dxa"/>
            <w:vAlign w:val="bottom"/>
          </w:tcPr>
          <w:p>
            <w:pPr>
              <w:spacing w:after="0"/>
              <w:rPr>
                <w:sz w:val="20"/>
                <w:szCs w:val="20"/>
                <w:color w:val="auto"/>
              </w:rPr>
            </w:pPr>
            <w:r>
              <w:rPr>
                <w:rFonts w:ascii="Arial" w:cs="Arial" w:eastAsia="Arial" w:hAnsi="Arial"/>
                <w:sz w:val="14"/>
                <w:szCs w:val="14"/>
                <w:color w:val="auto"/>
              </w:rPr>
              <w:t>warrants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98,400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98,400</w:t>
            </w:r>
          </w:p>
        </w:tc>
      </w:tr>
      <w:tr>
        <w:trPr>
          <w:trHeight w:val="160"/>
        </w:trPr>
        <w:tc>
          <w:tcPr>
            <w:tcW w:w="12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Fair Value of</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common stock</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issued for services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71,667</w:t>
            </w:r>
          </w:p>
        </w:tc>
        <w:tc>
          <w:tcPr>
            <w:tcW w:w="5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635,600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635,700</w:t>
            </w:r>
          </w:p>
        </w:tc>
      </w:tr>
      <w:tr>
        <w:trPr>
          <w:trHeight w:val="160"/>
        </w:trPr>
        <w:tc>
          <w:tcPr>
            <w:tcW w:w="1280" w:type="dxa"/>
            <w:vAlign w:val="bottom"/>
          </w:tcPr>
          <w:p>
            <w:pPr>
              <w:spacing w:after="0" w:line="160" w:lineRule="exact"/>
              <w:rPr>
                <w:sz w:val="20"/>
                <w:szCs w:val="20"/>
                <w:color w:val="auto"/>
              </w:rPr>
            </w:pPr>
            <w:r>
              <w:rPr>
                <w:rFonts w:ascii="Arial" w:cs="Arial" w:eastAsia="Arial" w:hAnsi="Arial"/>
                <w:sz w:val="14"/>
                <w:szCs w:val="14"/>
                <w:color w:val="auto"/>
              </w:rPr>
              <w:t>Fair value of</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common stock and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warrants issued in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settlement of</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technology license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1280" w:type="dxa"/>
            <w:vAlign w:val="bottom"/>
          </w:tcPr>
          <w:p>
            <w:pPr>
              <w:spacing w:after="0"/>
              <w:rPr>
                <w:sz w:val="20"/>
                <w:szCs w:val="20"/>
                <w:color w:val="auto"/>
              </w:rPr>
            </w:pPr>
            <w:r>
              <w:rPr>
                <w:rFonts w:ascii="Arial" w:cs="Arial" w:eastAsia="Arial" w:hAnsi="Arial"/>
                <w:sz w:val="14"/>
                <w:szCs w:val="14"/>
                <w:color w:val="auto"/>
              </w:rPr>
              <w:t>expenses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15,000</w:t>
            </w:r>
          </w:p>
        </w:tc>
        <w:tc>
          <w:tcPr>
            <w:tcW w:w="540" w:type="dxa"/>
            <w:vAlign w:val="bottom"/>
          </w:tcPr>
          <w:p>
            <w:pPr>
              <w:spacing w:after="0"/>
              <w:rPr>
                <w:sz w:val="15"/>
                <w:szCs w:val="15"/>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230,200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230,200</w:t>
            </w:r>
          </w:p>
        </w:tc>
      </w:tr>
      <w:tr>
        <w:trPr>
          <w:trHeight w:val="160"/>
        </w:trPr>
        <w:tc>
          <w:tcPr>
            <w:tcW w:w="12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Fair value of</w:t>
            </w:r>
          </w:p>
        </w:tc>
        <w:tc>
          <w:tcPr>
            <w:tcW w:w="104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line="160"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line="160" w:lineRule="exact"/>
              <w:rPr>
                <w:sz w:val="20"/>
                <w:szCs w:val="20"/>
                <w:color w:val="auto"/>
              </w:rPr>
            </w:pPr>
            <w:r>
              <w:rPr>
                <w:rFonts w:ascii="Arial" w:cs="Arial" w:eastAsia="Arial" w:hAnsi="Arial"/>
                <w:sz w:val="14"/>
                <w:szCs w:val="14"/>
                <w:color w:val="auto"/>
              </w:rPr>
              <w:t>44,400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6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line="16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line="160" w:lineRule="exact"/>
              <w:rPr>
                <w:sz w:val="20"/>
                <w:szCs w:val="20"/>
                <w:color w:val="auto"/>
              </w:rPr>
            </w:pPr>
            <w:r>
              <w:rPr>
                <w:rFonts w:ascii="Arial" w:cs="Arial" w:eastAsia="Arial" w:hAnsi="Arial"/>
                <w:sz w:val="14"/>
                <w:szCs w:val="14"/>
                <w:color w:val="auto"/>
              </w:rPr>
              <w:t>44,400</w:t>
            </w: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warrants issued to</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Morrison &amp;</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Foerster, Cato</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09"/>
        </w:trPr>
        <w:tc>
          <w:tcPr>
            <w:tcW w:w="1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bl>
    <w:p>
      <w:pPr>
        <w:sectPr>
          <w:pgSz w:w="11900" w:h="16900" w:orient="portrait"/>
          <w:cols w:equalWidth="0" w:num="1">
            <w:col w:w="11460"/>
          </w:cols>
          <w:pgMar w:left="220" w:top="133" w:right="219" w:bottom="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Research Ltd. and</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University Health</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Network in</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connection with</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accrued interest on</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underlying notes</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0"/>
        </w:trPr>
        <w:tc>
          <w:tcPr>
            <w:tcW w:w="1280" w:type="dxa"/>
            <w:vAlign w:val="bottom"/>
          </w:tcPr>
          <w:p>
            <w:pPr>
              <w:spacing w:after="0" w:line="160" w:lineRule="exact"/>
              <w:rPr>
                <w:sz w:val="20"/>
                <w:szCs w:val="20"/>
                <w:color w:val="auto"/>
              </w:rPr>
            </w:pPr>
            <w:r>
              <w:rPr>
                <w:rFonts w:ascii="Arial" w:cs="Arial" w:eastAsia="Arial" w:hAnsi="Arial"/>
                <w:sz w:val="14"/>
                <w:szCs w:val="14"/>
                <w:color w:val="auto"/>
              </w:rPr>
              <w:t>Effect of</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amendments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2013 Unit Notes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and warrants,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including</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repurchase of</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280" w:type="dxa"/>
            <w:vAlign w:val="bottom"/>
          </w:tcPr>
          <w:p>
            <w:pPr>
              <w:spacing w:after="0"/>
              <w:rPr>
                <w:sz w:val="20"/>
                <w:szCs w:val="20"/>
                <w:color w:val="auto"/>
              </w:rPr>
            </w:pPr>
            <w:r>
              <w:rPr>
                <w:rFonts w:ascii="Arial" w:cs="Arial" w:eastAsia="Arial" w:hAnsi="Arial"/>
                <w:sz w:val="14"/>
                <w:szCs w:val="14"/>
                <w:color w:val="auto"/>
              </w:rPr>
              <w:t>beneficial</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1280" w:type="dxa"/>
            <w:vAlign w:val="bottom"/>
          </w:tcPr>
          <w:p>
            <w:pPr>
              <w:spacing w:after="0"/>
              <w:rPr>
                <w:sz w:val="20"/>
                <w:szCs w:val="20"/>
                <w:color w:val="auto"/>
              </w:rPr>
            </w:pPr>
            <w:r>
              <w:rPr>
                <w:rFonts w:ascii="Arial" w:cs="Arial" w:eastAsia="Arial" w:hAnsi="Arial"/>
                <w:sz w:val="14"/>
                <w:szCs w:val="14"/>
                <w:color w:val="auto"/>
              </w:rPr>
              <w:t>conversion feature</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109,300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4"/>
                <w:szCs w:val="14"/>
                <w:color w:val="auto"/>
              </w:rPr>
              <w:t>109,300</w:t>
            </w:r>
          </w:p>
        </w:tc>
      </w:tr>
      <w:tr>
        <w:trPr>
          <w:trHeight w:val="160"/>
        </w:trPr>
        <w:tc>
          <w:tcPr>
            <w:tcW w:w="12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Effect of</w:t>
            </w: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amendments of</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Platinum Senior</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w w:val="99"/>
              </w:rPr>
              <w:t>Secured Promissory</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Notes, including</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repurchase of</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beneficial</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1"/>
        </w:trPr>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conversion feature</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(380,400)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(380,400)</w:t>
            </w:r>
          </w:p>
        </w:tc>
      </w:tr>
      <w:tr>
        <w:trPr>
          <w:trHeight w:val="160"/>
        </w:trPr>
        <w:tc>
          <w:tcPr>
            <w:tcW w:w="1280" w:type="dxa"/>
            <w:vAlign w:val="bottom"/>
          </w:tcPr>
          <w:p>
            <w:pPr>
              <w:spacing w:after="0" w:line="160" w:lineRule="exact"/>
              <w:rPr>
                <w:sz w:val="20"/>
                <w:szCs w:val="20"/>
                <w:color w:val="auto"/>
              </w:rPr>
            </w:pPr>
            <w:r>
              <w:rPr>
                <w:rFonts w:ascii="Arial" w:cs="Arial" w:eastAsia="Arial" w:hAnsi="Arial"/>
                <w:sz w:val="14"/>
                <w:szCs w:val="14"/>
                <w:color w:val="auto"/>
              </w:rPr>
              <w:t>Net loss for fiscal</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1280" w:type="dxa"/>
            <w:vAlign w:val="bottom"/>
          </w:tcPr>
          <w:p>
            <w:pPr>
              <w:spacing w:after="0"/>
              <w:rPr>
                <w:sz w:val="20"/>
                <w:szCs w:val="20"/>
                <w:color w:val="auto"/>
              </w:rPr>
            </w:pPr>
            <w:r>
              <w:rPr>
                <w:rFonts w:ascii="Arial" w:cs="Arial" w:eastAsia="Arial" w:hAnsi="Arial"/>
                <w:sz w:val="14"/>
                <w:szCs w:val="14"/>
                <w:color w:val="auto"/>
              </w:rPr>
              <w:t>year 2015</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(13,885,800)</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color w:val="auto"/>
              </w:rPr>
              <w:t>(13,885,800)</w:t>
            </w:r>
          </w:p>
        </w:tc>
      </w:tr>
      <w:tr>
        <w:trPr>
          <w:trHeight w:val="170"/>
        </w:trPr>
        <w:tc>
          <w:tcPr>
            <w:tcW w:w="128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6"/>
        </w:trPr>
        <w:tc>
          <w:tcPr>
            <w:tcW w:w="1280" w:type="dxa"/>
            <w:vAlign w:val="bottom"/>
          </w:tcPr>
          <w:p>
            <w:pPr>
              <w:spacing w:after="0" w:line="156" w:lineRule="exact"/>
              <w:rPr>
                <w:sz w:val="20"/>
                <w:szCs w:val="20"/>
                <w:color w:val="auto"/>
              </w:rPr>
            </w:pPr>
            <w:r>
              <w:rPr>
                <w:rFonts w:ascii="Arial" w:cs="Arial" w:eastAsia="Arial" w:hAnsi="Arial"/>
                <w:sz w:val="14"/>
                <w:szCs w:val="14"/>
                <w:b w:val="1"/>
                <w:bCs w:val="1"/>
                <w:color w:val="auto"/>
              </w:rPr>
              <w:t>Balances at March</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1280" w:type="dxa"/>
            <w:vAlign w:val="bottom"/>
          </w:tcPr>
          <w:p>
            <w:pPr>
              <w:spacing w:after="0"/>
              <w:rPr>
                <w:sz w:val="20"/>
                <w:szCs w:val="20"/>
                <w:color w:val="auto"/>
              </w:rPr>
            </w:pPr>
            <w:r>
              <w:rPr>
                <w:rFonts w:ascii="Arial" w:cs="Arial" w:eastAsia="Arial" w:hAnsi="Arial"/>
                <w:sz w:val="14"/>
                <w:szCs w:val="14"/>
                <w:b w:val="1"/>
                <w:bCs w:val="1"/>
                <w:color w:val="auto"/>
              </w:rPr>
              <w:t>31, 2015</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500,000</w:t>
            </w: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500</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1,677,110</w:t>
            </w:r>
          </w:p>
        </w:tc>
        <w:tc>
          <w:tcPr>
            <w:tcW w:w="340" w:type="dxa"/>
            <w:vAlign w:val="bottom"/>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1,700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67,945,800</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(3,968,100)  $</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  (84,522,700)</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  (20,542,800)</w:t>
            </w:r>
          </w:p>
        </w:tc>
      </w:tr>
      <w:tr>
        <w:trPr>
          <w:trHeight w:val="20"/>
        </w:trPr>
        <w:tc>
          <w:tcPr>
            <w:tcW w:w="1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8" w:right="219" w:bottom="1440" w:gutter="0" w:footer="0" w:header="0"/>
        </w:sectPr>
      </w:pPr>
    </w:p>
    <w:bookmarkStart w:id="149" w:name="page150"/>
    <w:bookmarkEnd w:id="14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Description of Business</w:t>
      </w:r>
    </w:p>
    <w:p>
      <w:pPr>
        <w:spacing w:after="0" w:line="205"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VistaGen Therapeutics, Inc., a Nevada corporation, is a clinical-stage biopharmaceutical company committed to developing and commercializing product candidates for patients with depression, other diseases and disorders related to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xml:space="preserve">), and cancer. Our principal executive offices are located at 343 Allerton Avenue, South San Francisco, California 94080, and our telephone number is (650) 577-3600. Our website address is </w:t>
      </w:r>
      <w:r>
        <w:rPr>
          <w:rFonts w:ascii="Arial" w:cs="Arial" w:eastAsia="Arial" w:hAnsi="Arial"/>
          <w:sz w:val="14"/>
          <w:szCs w:val="14"/>
          <w:i w:val="1"/>
          <w:iCs w:val="1"/>
          <w:color w:val="auto"/>
        </w:rPr>
        <w:t>www.vistagen.com</w:t>
      </w:r>
      <w:r>
        <w:rPr>
          <w:rFonts w:ascii="Arial" w:cs="Arial" w:eastAsia="Arial" w:hAnsi="Arial"/>
          <w:sz w:val="14"/>
          <w:szCs w:val="14"/>
          <w:color w:val="auto"/>
        </w:rPr>
        <w:t>. Unless the context otherwise requires, the words “</w:t>
      </w:r>
      <w:r>
        <w:rPr>
          <w:rFonts w:ascii="Arial" w:cs="Arial" w:eastAsia="Arial" w:hAnsi="Arial"/>
          <w:sz w:val="14"/>
          <w:szCs w:val="14"/>
          <w:i w:val="1"/>
          <w:iCs w:val="1"/>
          <w:color w:val="auto"/>
        </w:rPr>
        <w:t>VistaGen Therapeutics, Inc.</w:t>
      </w:r>
      <w:r>
        <w:rPr>
          <w:rFonts w:ascii="Arial" w:cs="Arial" w:eastAsia="Arial" w:hAnsi="Arial"/>
          <w:sz w:val="14"/>
          <w:szCs w:val="14"/>
          <w:color w:val="auto"/>
        </w:rPr>
        <w:t>” “</w:t>
      </w:r>
      <w:r>
        <w:rPr>
          <w:rFonts w:ascii="Arial" w:cs="Arial" w:eastAsia="Arial" w:hAnsi="Arial"/>
          <w:sz w:val="14"/>
          <w:szCs w:val="14"/>
          <w:i w:val="1"/>
          <w:iCs w:val="1"/>
          <w:color w:val="auto"/>
        </w:rPr>
        <w:t>VistaGen</w:t>
      </w:r>
      <w:r>
        <w:rPr>
          <w:rFonts w:ascii="Arial" w:cs="Arial" w:eastAsia="Arial" w:hAnsi="Arial"/>
          <w:sz w:val="14"/>
          <w:szCs w:val="14"/>
          <w:color w:val="auto"/>
        </w:rPr>
        <w:t>,” “</w:t>
      </w:r>
      <w:r>
        <w:rPr>
          <w:rFonts w:ascii="Arial" w:cs="Arial" w:eastAsia="Arial" w:hAnsi="Arial"/>
          <w:sz w:val="14"/>
          <w:szCs w:val="14"/>
          <w:i w:val="1"/>
          <w:iCs w:val="1"/>
          <w:color w:val="auto"/>
        </w:rPr>
        <w:t>we</w:t>
      </w:r>
      <w:r>
        <w:rPr>
          <w:rFonts w:ascii="Arial" w:cs="Arial" w:eastAsia="Arial" w:hAnsi="Arial"/>
          <w:sz w:val="14"/>
          <w:szCs w:val="14"/>
          <w:color w:val="auto"/>
        </w:rPr>
        <w:t>,” “</w:t>
      </w:r>
      <w:r>
        <w:rPr>
          <w:rFonts w:ascii="Arial" w:cs="Arial" w:eastAsia="Arial" w:hAnsi="Arial"/>
          <w:sz w:val="14"/>
          <w:szCs w:val="14"/>
          <w:i w:val="1"/>
          <w:iCs w:val="1"/>
          <w:color w:val="auto"/>
        </w:rPr>
        <w:t>the Company</w:t>
      </w:r>
      <w:r>
        <w:rPr>
          <w:rFonts w:ascii="Arial" w:cs="Arial" w:eastAsia="Arial" w:hAnsi="Arial"/>
          <w:sz w:val="14"/>
          <w:szCs w:val="14"/>
          <w:color w:val="auto"/>
        </w:rPr>
        <w:t>,” “</w:t>
      </w:r>
      <w:r>
        <w:rPr>
          <w:rFonts w:ascii="Arial" w:cs="Arial" w:eastAsia="Arial" w:hAnsi="Arial"/>
          <w:sz w:val="14"/>
          <w:szCs w:val="14"/>
          <w:i w:val="1"/>
          <w:iCs w:val="1"/>
          <w:color w:val="auto"/>
        </w:rPr>
        <w:t>us</w:t>
      </w:r>
      <w:r>
        <w:rPr>
          <w:rFonts w:ascii="Arial" w:cs="Arial" w:eastAsia="Arial" w:hAnsi="Arial"/>
          <w:sz w:val="14"/>
          <w:szCs w:val="14"/>
          <w:color w:val="auto"/>
        </w:rPr>
        <w:t>” and “</w:t>
      </w:r>
      <w:r>
        <w:rPr>
          <w:rFonts w:ascii="Arial" w:cs="Arial" w:eastAsia="Arial" w:hAnsi="Arial"/>
          <w:sz w:val="14"/>
          <w:szCs w:val="14"/>
          <w:i w:val="1"/>
          <w:iCs w:val="1"/>
          <w:color w:val="auto"/>
        </w:rPr>
        <w:t>our</w:t>
      </w:r>
      <w:r>
        <w:rPr>
          <w:rFonts w:ascii="Arial" w:cs="Arial" w:eastAsia="Arial" w:hAnsi="Arial"/>
          <w:sz w:val="14"/>
          <w:szCs w:val="14"/>
          <w:color w:val="auto"/>
        </w:rPr>
        <w:t>” refer to VistaGen Therapeutics, Inc., a Nevada corporation.</w:t>
      </w:r>
    </w:p>
    <w:p>
      <w:pPr>
        <w:spacing w:after="0" w:line="167"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VistaGen Therapeutics, Inc., a California corporation incorporated on May 26, 1998 (</w:t>
      </w:r>
      <w:r>
        <w:rPr>
          <w:rFonts w:ascii="Arial" w:cs="Arial" w:eastAsia="Arial" w:hAnsi="Arial"/>
          <w:sz w:val="14"/>
          <w:szCs w:val="14"/>
          <w:i w:val="1"/>
          <w:iCs w:val="1"/>
          <w:color w:val="auto"/>
        </w:rPr>
        <w:t>VistaGen California</w:t>
      </w:r>
      <w:r>
        <w:rPr>
          <w:rFonts w:ascii="Arial" w:cs="Arial" w:eastAsia="Arial" w:hAnsi="Arial"/>
          <w:sz w:val="14"/>
          <w:szCs w:val="14"/>
          <w:color w:val="auto"/>
        </w:rPr>
        <w:t>), is our wholly-owned subsidiary. Pursuant to a strategic merger transaction on May 11, 2011, we acquired all outstanding shares of VistaGen California in exchange for 341,823 shares of our common stock (</w:t>
      </w:r>
      <w:r>
        <w:rPr>
          <w:rFonts w:ascii="Arial" w:cs="Arial" w:eastAsia="Arial" w:hAnsi="Arial"/>
          <w:sz w:val="14"/>
          <w:szCs w:val="14"/>
          <w:i w:val="1"/>
          <w:iCs w:val="1"/>
          <w:color w:val="auto"/>
        </w:rPr>
        <w:t>Merger</w:t>
      </w:r>
      <w:r>
        <w:rPr>
          <w:rFonts w:ascii="Arial" w:cs="Arial" w:eastAsia="Arial" w:hAnsi="Arial"/>
          <w:sz w:val="14"/>
          <w:szCs w:val="14"/>
          <w:color w:val="auto"/>
        </w:rPr>
        <w:t>), and assumed all of VistaGen California’s pre-Merger obligations. The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67"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Our lead product candidate, AV-101, is an orally-active small molecule prodrug in Phase 2 development for Major Depressive Disorder (</w:t>
      </w:r>
      <w:r>
        <w:rPr>
          <w:rFonts w:ascii="Arial" w:cs="Arial" w:eastAsia="Arial" w:hAnsi="Arial"/>
          <w:sz w:val="13"/>
          <w:szCs w:val="13"/>
          <w:i w:val="1"/>
          <w:iCs w:val="1"/>
          <w:color w:val="auto"/>
        </w:rPr>
        <w:t>MDD</w:t>
      </w:r>
      <w:r>
        <w:rPr>
          <w:rFonts w:ascii="Arial" w:cs="Arial" w:eastAsia="Arial" w:hAnsi="Arial"/>
          <w:sz w:val="13"/>
          <w:szCs w:val="13"/>
          <w:color w:val="auto"/>
        </w:rPr>
        <w:t>). AV-101’s mechanism of action (MOA), as an N-methyl-D-aspartate receptor (</w:t>
      </w:r>
      <w:r>
        <w:rPr>
          <w:rFonts w:ascii="Arial" w:cs="Arial" w:eastAsia="Arial" w:hAnsi="Arial"/>
          <w:sz w:val="13"/>
          <w:szCs w:val="13"/>
          <w:i w:val="1"/>
          <w:iCs w:val="1"/>
          <w:color w:val="auto"/>
        </w:rPr>
        <w:t>NMDAR</w:t>
      </w:r>
      <w:r>
        <w:rPr>
          <w:rFonts w:ascii="Arial" w:cs="Arial" w:eastAsia="Arial" w:hAnsi="Arial"/>
          <w:sz w:val="13"/>
          <w:szCs w:val="13"/>
          <w:color w:val="auto"/>
        </w:rPr>
        <w:t>) antagonist binding selectively at the glycine-binding (</w:t>
      </w:r>
      <w:r>
        <w:rPr>
          <w:rFonts w:ascii="Arial" w:cs="Arial" w:eastAsia="Arial" w:hAnsi="Arial"/>
          <w:sz w:val="13"/>
          <w:szCs w:val="13"/>
          <w:i w:val="1"/>
          <w:iCs w:val="1"/>
          <w:color w:val="auto"/>
        </w:rPr>
        <w:t>GlyB</w:t>
      </w:r>
      <w:r>
        <w:rPr>
          <w:rFonts w:ascii="Arial" w:cs="Arial" w:eastAsia="Arial" w:hAnsi="Arial"/>
          <w:sz w:val="13"/>
          <w:szCs w:val="13"/>
          <w:color w:val="auto"/>
        </w:rPr>
        <w:t>) co-agonist site of the NMDAR, is fundamentally different from all currently-approved antidepressants. In three preclinical studies utilizing well-validated animal models of depression, AV-101 was shown to induce fast-acting, dose-dependent, persistent and statistically significant antidepressant-like responses, following a single treatment, which were equivalent to response seen with a single sub-anesthetic dose of ketamine. In the same studies, fluoxetine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Following our two successful randomized, double-blind, placebo-controlled Phase 1 safety studies funded by the U.S. National Institutes of Health (</w:t>
      </w:r>
      <w:r>
        <w:rPr>
          <w:rFonts w:ascii="Arial" w:cs="Arial" w:eastAsia="Arial" w:hAnsi="Arial"/>
          <w:sz w:val="14"/>
          <w:szCs w:val="14"/>
          <w:i w:val="1"/>
          <w:iCs w:val="1"/>
          <w:color w:val="auto"/>
        </w:rPr>
        <w:t>NIH</w:t>
      </w:r>
      <w:r>
        <w:rPr>
          <w:rFonts w:ascii="Arial" w:cs="Arial" w:eastAsia="Arial" w:hAnsi="Arial"/>
          <w:sz w:val="14"/>
          <w:szCs w:val="14"/>
          <w:color w:val="auto"/>
        </w:rPr>
        <w:t>), AV-101 is the only small molecule product candidate known to management that is (A) in Phase 2 clinical development as a monotherapy for MDD, (B) designed to modulate the NMDAR through antagonistic binding at the GlyB co-agonist site of the NMDAR and (C) orally-active in human subjects.</w:t>
      </w:r>
    </w:p>
    <w:p>
      <w:pPr>
        <w:spacing w:after="0" w:line="142"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In February 2015, we entered a Cooperative Research and Development Agreement (</w:t>
      </w:r>
      <w:r>
        <w:rPr>
          <w:rFonts w:ascii="Arial" w:cs="Arial" w:eastAsia="Arial" w:hAnsi="Arial"/>
          <w:sz w:val="14"/>
          <w:szCs w:val="14"/>
          <w:i w:val="1"/>
          <w:iCs w:val="1"/>
          <w:color w:val="auto"/>
        </w:rPr>
        <w:t>CRADA</w:t>
      </w:r>
      <w:r>
        <w:rPr>
          <w:rFonts w:ascii="Arial" w:cs="Arial" w:eastAsia="Arial" w:hAnsi="Arial"/>
          <w:sz w:val="14"/>
          <w:szCs w:val="14"/>
          <w:color w:val="auto"/>
        </w:rPr>
        <w:t>) with the U.S. National Institute of Mental Health (</w:t>
      </w:r>
      <w:r>
        <w:rPr>
          <w:rFonts w:ascii="Arial" w:cs="Arial" w:eastAsia="Arial" w:hAnsi="Arial"/>
          <w:sz w:val="14"/>
          <w:szCs w:val="14"/>
          <w:i w:val="1"/>
          <w:iCs w:val="1"/>
          <w:color w:val="auto"/>
        </w:rPr>
        <w:t>NIMH</w:t>
      </w:r>
      <w:r>
        <w:rPr>
          <w:rFonts w:ascii="Arial" w:cs="Arial" w:eastAsia="Arial" w:hAnsi="Arial"/>
          <w:sz w:val="14"/>
          <w:szCs w:val="14"/>
          <w:color w:val="auto"/>
        </w:rPr>
        <w:t>), part of the NIH. Under this agreement, we will collaborate with the NIH on a Phase 2 clinical study of AV-101 in subjects with treatment resistant MDD. Pursuant to the CRADA, this study will be conducted and fully-funded by the NIMH. It is contemplated that this clinical study will begin this year under the direction of Dr. Carlos Zarate, Jr., the NIMH’s Chief of Experimental Therapeutics &amp; Pathophysiology Branch and of the Section on Neurobiology and Treatment of Mood and Anxiety Disorders.</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addition to developing AV-101 for MDD and other CNS indications, we are using our stem cell technology platform for drug rescue –to identify and develop proprietary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xml:space="preserve">) for our internal drug candidate pipeline by leveraging our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bioassay systems, prior investment by pharmaceutical companies and others to discover, optimize and test for efficacy NCEs terminated before FDA approval due to unexpected toxicity and medicinal chemistry. Our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bioassay system uses our human pluripotent stem cell (</w:t>
      </w:r>
      <w:r>
        <w:rPr>
          <w:rFonts w:ascii="Arial" w:cs="Arial" w:eastAsia="Arial" w:hAnsi="Arial"/>
          <w:sz w:val="14"/>
          <w:szCs w:val="14"/>
          <w:i w:val="1"/>
          <w:iCs w:val="1"/>
          <w:color w:val="auto"/>
        </w:rPr>
        <w:t>hPSC</w:t>
      </w:r>
      <w:r>
        <w:rPr>
          <w:rFonts w:ascii="Arial" w:cs="Arial" w:eastAsia="Arial" w:hAnsi="Arial"/>
          <w:sz w:val="14"/>
          <w:szCs w:val="14"/>
          <w:color w:val="auto"/>
        </w:rPr>
        <w:t xml:space="preserve">)-derived cardiomyocytes, or heart cells. Our </w:t>
      </w:r>
      <w:r>
        <w:rPr>
          <w:rFonts w:ascii="Arial" w:cs="Arial" w:eastAsia="Arial" w:hAnsi="Arial"/>
          <w:sz w:val="14"/>
          <w:szCs w:val="14"/>
          <w:i w:val="1"/>
          <w:iCs w:val="1"/>
          <w:color w:val="auto"/>
        </w:rPr>
        <w:t>LiverSafe</w:t>
      </w:r>
      <w:r>
        <w:rPr>
          <w:rFonts w:ascii="Arial" w:cs="Arial" w:eastAsia="Arial" w:hAnsi="Arial"/>
          <w:sz w:val="14"/>
          <w:szCs w:val="14"/>
          <w:color w:val="auto"/>
        </w:rPr>
        <w:t xml:space="preserve"> 3D™bioassay system uses our stem cell-derived hepatocytes, or liver cells. We believe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 and </w:t>
      </w:r>
      <w:r>
        <w:rPr>
          <w:rFonts w:ascii="Arial" w:cs="Arial" w:eastAsia="Arial" w:hAnsi="Arial"/>
          <w:sz w:val="14"/>
          <w:szCs w:val="14"/>
          <w:i w:val="1"/>
          <w:iCs w:val="1"/>
          <w:color w:val="auto"/>
        </w:rPr>
        <w:t>LiverSafe</w:t>
      </w:r>
      <w:r>
        <w:rPr>
          <w:rFonts w:ascii="Arial" w:cs="Arial" w:eastAsia="Arial" w:hAnsi="Arial"/>
          <w:sz w:val="14"/>
          <w:szCs w:val="14"/>
          <w:color w:val="auto"/>
        </w:rPr>
        <w:t xml:space="preserve"> 3D offer a new paradigm for evaluating and predicting potential heart and liver toxicity of NCEs, including potential drug rescue NCEs, early in development, long before costly, high risk animal studies and human clinical trials. We intend to develop each optimized drug rescue NCE internally to establish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preclinical proof-of-concept (</w:t>
      </w:r>
      <w:r>
        <w:rPr>
          <w:rFonts w:ascii="Arial" w:cs="Arial" w:eastAsia="Arial" w:hAnsi="Arial"/>
          <w:sz w:val="14"/>
          <w:szCs w:val="14"/>
          <w:i w:val="1"/>
          <w:iCs w:val="1"/>
          <w:color w:val="auto"/>
        </w:rPr>
        <w:t>POC</w:t>
      </w:r>
      <w:r>
        <w:rPr>
          <w:rFonts w:ascii="Arial" w:cs="Arial" w:eastAsia="Arial" w:hAnsi="Arial"/>
          <w:sz w:val="14"/>
          <w:szCs w:val="14"/>
          <w:color w:val="auto"/>
        </w:rPr>
        <w:t xml:space="preserve">), as to both efficacy and safety, using both established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models, as well as in </w:t>
      </w:r>
      <w:r>
        <w:rPr>
          <w:rFonts w:ascii="Arial" w:cs="Arial" w:eastAsia="Arial" w:hAnsi="Arial"/>
          <w:sz w:val="14"/>
          <w:szCs w:val="14"/>
          <w:i w:val="1"/>
          <w:iCs w:val="1"/>
          <w:color w:val="auto"/>
        </w:rPr>
        <w:t xml:space="preserve">CardioSafe </w:t>
      </w:r>
      <w:r>
        <w:rPr>
          <w:rFonts w:ascii="Arial" w:cs="Arial" w:eastAsia="Arial" w:hAnsi="Arial"/>
          <w:sz w:val="14"/>
          <w:szCs w:val="14"/>
          <w:color w:val="auto"/>
        </w:rPr>
        <w:t>3D and, when available,</w:t>
      </w:r>
      <w:r>
        <w:rPr>
          <w:rFonts w:ascii="Arial" w:cs="Arial" w:eastAsia="Arial" w:hAnsi="Arial"/>
          <w:sz w:val="14"/>
          <w:szCs w:val="14"/>
          <w:i w:val="1"/>
          <w:iCs w:val="1"/>
          <w:color w:val="auto"/>
        </w:rPr>
        <w:t xml:space="preserve"> LiverSafe </w:t>
      </w:r>
      <w:r>
        <w:rPr>
          <w:rFonts w:ascii="Arial" w:cs="Arial" w:eastAsia="Arial" w:hAnsi="Arial"/>
          <w:sz w:val="14"/>
          <w:szCs w:val="14"/>
          <w:color w:val="auto"/>
        </w:rPr>
        <w:t>3D.</w:t>
      </w:r>
    </w:p>
    <w:p>
      <w:pPr>
        <w:spacing w:after="0" w:line="152" w:lineRule="exact"/>
        <w:rPr>
          <w:sz w:val="20"/>
          <w:szCs w:val="20"/>
          <w:color w:val="auto"/>
        </w:rPr>
      </w:pPr>
    </w:p>
    <w:p>
      <w:pPr>
        <w:ind w:right="140"/>
        <w:spacing w:after="0" w:line="298" w:lineRule="auto"/>
        <w:rPr>
          <w:sz w:val="20"/>
          <w:szCs w:val="20"/>
          <w:color w:val="auto"/>
        </w:rPr>
      </w:pPr>
      <w:r>
        <w:rPr>
          <w:rFonts w:ascii="Arial" w:cs="Arial" w:eastAsia="Arial" w:hAnsi="Arial"/>
          <w:sz w:val="13"/>
          <w:szCs w:val="13"/>
          <w:color w:val="auto"/>
        </w:rPr>
        <w:t>Although we have previously generated approximately $16.4 million of revenue from grant awards and collaborations, we currently have no commercially available, revenue-generating products and, since inception, we have devoted substantially all of our time and efforts to development of AV-101 for CNS indications and our human pluripotent stem cell technology research and development programs, including, customized bioassay system development, creating, protecting and patenting intellectual property, recruiting personnel and raising working capital.</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0" w:name="page151"/>
    <w:bookmarkEnd w:id="15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and Going Concern</w:t>
      </w:r>
    </w:p>
    <w:p>
      <w:pPr>
        <w:spacing w:after="0" w:line="205"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auto"/>
        </w:rPr>
        <w:t xml:space="preserve">Effective August 14, 2014, we consummated a 1-for-20 reverse split of our authorized, and issued and outstanding shares of common stock (the </w:t>
      </w:r>
      <w:r>
        <w:rPr>
          <w:rFonts w:ascii="Arial" w:cs="Arial" w:eastAsia="Arial" w:hAnsi="Arial"/>
          <w:sz w:val="14"/>
          <w:szCs w:val="14"/>
          <w:i w:val="1"/>
          <w:iCs w:val="1"/>
          <w:color w:val="auto"/>
        </w:rPr>
        <w:t>Stock Consolidation</w:t>
      </w:r>
      <w:r>
        <w:rPr>
          <w:rFonts w:ascii="Arial" w:cs="Arial" w:eastAsia="Arial" w:hAnsi="Arial"/>
          <w:sz w:val="14"/>
          <w:szCs w:val="14"/>
          <w:color w:val="auto"/>
        </w:rPr>
        <w:t xml:space="preserve">). Each reference to shares of common stock or the price per share of common stock in these financial statements is post-Stock Consolidation, and reflects the 1-for-20 adjustment as a result of the Stock Consolidation. See Note 8, </w:t>
      </w:r>
      <w:r>
        <w:rPr>
          <w:rFonts w:ascii="Arial" w:cs="Arial" w:eastAsia="Arial" w:hAnsi="Arial"/>
          <w:sz w:val="14"/>
          <w:szCs w:val="14"/>
          <w:i w:val="1"/>
          <w:iCs w:val="1"/>
          <w:color w:val="auto"/>
        </w:rPr>
        <w:t>Capital Stock</w:t>
      </w:r>
      <w:r>
        <w:rPr>
          <w:rFonts w:ascii="Arial" w:cs="Arial" w:eastAsia="Arial" w:hAnsi="Arial"/>
          <w:sz w:val="14"/>
          <w:szCs w:val="14"/>
          <w:color w:val="auto"/>
        </w:rPr>
        <w:t>, for more information regarding the Stock Consolidation.</w:t>
      </w:r>
    </w:p>
    <w:p>
      <w:pPr>
        <w:spacing w:after="0" w:line="163"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The accompanying Consolidated Financial Statements have been prepared assuming that we will continue as a going concern. As a developing-technology company having not yet developed commercial products or achieved sustainable revenues, we have experienced recurring losses and negative cash flows from operations resulting in a deficit of $84.5 million accumulated from inception through March 31, 2015. We expect losses and negative cash flows from operations to continue for the foreseeable future as we engage in further potential development of AV-101 and launch and execute our drug rescue programs and pursue potential drug development and regenerative medicine opportunities.</w:t>
      </w:r>
    </w:p>
    <w:p>
      <w:pPr>
        <w:spacing w:after="0" w:line="167"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Since our inception in May 1998 through March 31, 2015, we have financed our operations and technology acquisitions primarily through the issuance and sale of equity and debt securities, including convertible promissory notes and short-term promissory notes, for cash proceeds of approximately $29.0 million, as well as from an aggregate of approximately $16.4 million of government research grant awards, strategic collaboration payments and other revenues. Additionally, we have issued equity securities with an approximate value at issuance of $13.5 million in non-cash settlements of certain liabilities, including liabilities for professional services rendered to us or as compensation for such services.</w:t>
      </w:r>
    </w:p>
    <w:p>
      <w:pPr>
        <w:spacing w:after="0" w:line="16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Between late-March 2014 and March 31, 2015, we entered into securities purchase agreements with accredited investors and institutions, including Platinum, pursuant to which we sold units to such accredited investors, in private placement transactions (</w:t>
      </w:r>
      <w:r>
        <w:rPr>
          <w:rFonts w:ascii="Arial" w:cs="Arial" w:eastAsia="Arial" w:hAnsi="Arial"/>
          <w:sz w:val="14"/>
          <w:szCs w:val="14"/>
          <w:i w:val="1"/>
          <w:iCs w:val="1"/>
          <w:color w:val="auto"/>
        </w:rPr>
        <w:t>2014 Units</w:t>
      </w:r>
      <w:r>
        <w:rPr>
          <w:rFonts w:ascii="Arial" w:cs="Arial" w:eastAsia="Arial" w:hAnsi="Arial"/>
          <w:sz w:val="14"/>
          <w:szCs w:val="14"/>
          <w:color w:val="auto"/>
        </w:rPr>
        <w:t xml:space="preserve"> or </w:t>
      </w:r>
      <w:r>
        <w:rPr>
          <w:rFonts w:ascii="Arial" w:cs="Arial" w:eastAsia="Arial" w:hAnsi="Arial"/>
          <w:sz w:val="14"/>
          <w:szCs w:val="14"/>
          <w:i w:val="1"/>
          <w:iCs w:val="1"/>
          <w:color w:val="auto"/>
        </w:rPr>
        <w:t>2014 Unit Private Placement</w:t>
      </w:r>
      <w:r>
        <w:rPr>
          <w:rFonts w:ascii="Arial" w:cs="Arial" w:eastAsia="Arial" w:hAnsi="Arial"/>
          <w:sz w:val="14"/>
          <w:szCs w:val="14"/>
          <w:color w:val="auto"/>
        </w:rPr>
        <w:t>), for aggregate cash proceeds of approximately $3.1 million, consisting of (i) 2014 Unit Notes in the aggregate face amount of approximately $3.1 million which matured between March 31, 2015 and April 30, 2015, or were automatically convertible into securities we might issue upon the consummation of a Qualified Financing, as defined, (ii) an aggregate of 282,850 restricted shares of our common stock (</w:t>
      </w:r>
      <w:r>
        <w:rPr>
          <w:rFonts w:ascii="Arial" w:cs="Arial" w:eastAsia="Arial" w:hAnsi="Arial"/>
          <w:sz w:val="14"/>
          <w:szCs w:val="14"/>
          <w:i w:val="1"/>
          <w:iCs w:val="1"/>
          <w:color w:val="auto"/>
        </w:rPr>
        <w:t>2014 Unit Stock)</w:t>
      </w:r>
      <w:r>
        <w:rPr>
          <w:rFonts w:ascii="Arial" w:cs="Arial" w:eastAsia="Arial" w:hAnsi="Arial"/>
          <w:sz w:val="14"/>
          <w:szCs w:val="14"/>
          <w:color w:val="auto"/>
        </w:rPr>
        <w:t>; and (iii) warrants exercisable through December 31, 2016 to purchase an aggregate of 282,850 restricted shares of our common stock at an exercise price of $10.00 per share (</w:t>
      </w:r>
      <w:r>
        <w:rPr>
          <w:rFonts w:ascii="Arial" w:cs="Arial" w:eastAsia="Arial" w:hAnsi="Arial"/>
          <w:sz w:val="14"/>
          <w:szCs w:val="14"/>
          <w:i w:val="1"/>
          <w:iCs w:val="1"/>
          <w:color w:val="auto"/>
        </w:rPr>
        <w:t>2014 Unit Warrants).</w:t>
      </w:r>
      <w:r>
        <w:rPr>
          <w:rFonts w:ascii="Arial" w:cs="Arial" w:eastAsia="Arial" w:hAnsi="Arial"/>
          <w:sz w:val="14"/>
          <w:szCs w:val="14"/>
          <w:color w:val="auto"/>
        </w:rPr>
        <w:t xml:space="preserve"> At March 31, 2015, we did not have sufficient cash and cash equivalents to enable us to fund our planned operations, including expected cash expenditures of approximately $7 million over the next twelve months, including expenditures required to prepare for further clinical trials of AV-101.</w:t>
      </w:r>
    </w:p>
    <w:p>
      <w:pPr>
        <w:spacing w:after="0" w:line="173"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 xml:space="preserve">As described more completely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between April 1 and May 14, 2015, we continued the 2014 Unit Private Placement, pursuant to which we sold to accredited investors 2014 Units, for aggregate cash proceeds of $280,000, consisting of: (i) 10% convertible promissory notes maturing between April 30, 2015 and May 15, 2015, in the aggregate face amount of $280,000, (ii) an aggregate of 33,000 shares of our restricted common stock, and (iii) warrants exercisable through December 31, 2016 to purchase an aggregate of 24,250 restricted shares of our common stock at an exercise price of $10.00 per share. As also described more completely in Note 16, Subsequent Events, during May 2015, we entered into an agreement with Platinum (</w:t>
      </w:r>
      <w:r>
        <w:rPr>
          <w:rFonts w:ascii="Arial" w:cs="Arial" w:eastAsia="Arial" w:hAnsi="Arial"/>
          <w:sz w:val="14"/>
          <w:szCs w:val="14"/>
          <w:i w:val="1"/>
          <w:iCs w:val="1"/>
          <w:color w:val="auto"/>
        </w:rPr>
        <w:t>Platinum Agreement</w:t>
      </w:r>
      <w:r>
        <w:rPr>
          <w:rFonts w:ascii="Arial" w:cs="Arial" w:eastAsia="Arial" w:hAnsi="Arial"/>
          <w:sz w:val="14"/>
          <w:szCs w:val="14"/>
          <w:color w:val="auto"/>
        </w:rPr>
        <w:t>), pursuant to which, Platinum has, among other things:</w:t>
      </w:r>
    </w:p>
    <w:p>
      <w:pPr>
        <w:spacing w:after="0" w:line="168" w:lineRule="exact"/>
        <w:rPr>
          <w:sz w:val="20"/>
          <w:szCs w:val="20"/>
          <w:color w:val="auto"/>
        </w:rPr>
      </w:pPr>
    </w:p>
    <w:p>
      <w:pPr>
        <w:ind w:left="160" w:right="20" w:hanging="155"/>
        <w:spacing w:after="0" w:line="283" w:lineRule="auto"/>
        <w:tabs>
          <w:tab w:leader="none" w:pos="1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Converted the approximately $4.5 million outstanding balance (principal and accrued but unpaid interest) of the Senior Notes we issued to Platinum into 641,335 shares of our newly-created Series B 10%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 , thereby cancelling approximately $4.5 million of our outstanding indebtedness;</w:t>
      </w:r>
    </w:p>
    <w:p>
      <w:pPr>
        <w:spacing w:after="0" w:line="152" w:lineRule="exact"/>
        <w:rPr>
          <w:rFonts w:ascii="Arial" w:cs="Arial" w:eastAsia="Arial" w:hAnsi="Arial"/>
          <w:sz w:val="14"/>
          <w:szCs w:val="14"/>
          <w:color w:val="auto"/>
        </w:rPr>
      </w:pPr>
    </w:p>
    <w:p>
      <w:pPr>
        <w:ind w:left="160" w:right="140" w:hanging="155"/>
        <w:spacing w:after="0" w:line="283" w:lineRule="auto"/>
        <w:tabs>
          <w:tab w:leader="none" w:pos="1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Released all of its security interests in our assets and those of our subsidiaries by terminating the Amended and Restated Security Agreement, IP Security Agreement and Negative Covenant, which we had entered into with Platinum in October 2012;</w:t>
      </w:r>
    </w:p>
    <w:p>
      <w:pPr>
        <w:spacing w:after="0" w:line="152" w:lineRule="exact"/>
        <w:rPr>
          <w:rFonts w:ascii="Arial" w:cs="Arial" w:eastAsia="Arial" w:hAnsi="Arial"/>
          <w:sz w:val="14"/>
          <w:szCs w:val="14"/>
          <w:color w:val="auto"/>
        </w:rPr>
      </w:pPr>
    </w:p>
    <w:p>
      <w:pPr>
        <w:ind w:left="160" w:right="160" w:hanging="155"/>
        <w:spacing w:after="0" w:line="268" w:lineRule="auto"/>
        <w:tabs>
          <w:tab w:leader="none" w:pos="1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Converted the approximately $1.3 million outstanding balance (principal and accrued but unpaid interest) of the convertible promissory notes we issued to Platinum in the 2014 Unit Private Placement (</w:t>
      </w:r>
      <w:r>
        <w:rPr>
          <w:rFonts w:ascii="Arial" w:cs="Arial" w:eastAsia="Arial" w:hAnsi="Arial"/>
          <w:sz w:val="14"/>
          <w:szCs w:val="14"/>
          <w:i w:val="1"/>
          <w:iCs w:val="1"/>
          <w:color w:val="auto"/>
        </w:rPr>
        <w:t>2014 Unit Notes</w:t>
      </w:r>
      <w:r>
        <w:rPr>
          <w:rFonts w:ascii="Arial" w:cs="Arial" w:eastAsia="Arial" w:hAnsi="Arial"/>
          <w:sz w:val="14"/>
          <w:szCs w:val="14"/>
          <w:color w:val="auto"/>
        </w:rPr>
        <w:t>) into 240,305 shares of Series B Preferred and five-year warrants to purchase 240,305 shares of our common stock at a fixed exercise price of $7.00 per share (</w:t>
      </w:r>
      <w:r>
        <w:rPr>
          <w:rFonts w:ascii="Arial" w:cs="Arial" w:eastAsia="Arial" w:hAnsi="Arial"/>
          <w:sz w:val="14"/>
          <w:szCs w:val="14"/>
          <w:i w:val="1"/>
          <w:iCs w:val="1"/>
          <w:color w:val="auto"/>
        </w:rPr>
        <w:t>Series B</w:t>
      </w:r>
      <w:r>
        <w:rPr>
          <w:rFonts w:ascii="Arial" w:cs="Arial" w:eastAsia="Arial" w:hAnsi="Arial"/>
          <w:sz w:val="14"/>
          <w:szCs w:val="14"/>
          <w:color w:val="auto"/>
        </w:rPr>
        <w:t xml:space="preserve"> </w:t>
      </w:r>
      <w:r>
        <w:rPr>
          <w:rFonts w:ascii="Arial" w:cs="Arial" w:eastAsia="Arial" w:hAnsi="Arial"/>
          <w:sz w:val="14"/>
          <w:szCs w:val="14"/>
          <w:i w:val="1"/>
          <w:iCs w:val="1"/>
          <w:color w:val="auto"/>
        </w:rPr>
        <w:t>Warrants</w:t>
      </w:r>
      <w:r>
        <w:rPr>
          <w:rFonts w:ascii="Arial" w:cs="Arial" w:eastAsia="Arial" w:hAnsi="Arial"/>
          <w:sz w:val="14"/>
          <w:szCs w:val="14"/>
          <w:color w:val="auto"/>
        </w:rPr>
        <w:t>), thereby cancelling approximately $1.3 million of our outstanding indebtedness;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1" w:name="page152"/>
    <w:bookmarkEnd w:id="15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jc w:val="both"/>
        <w:ind w:left="160" w:right="240" w:hanging="155"/>
        <w:spacing w:after="0" w:line="268" w:lineRule="auto"/>
        <w:tabs>
          <w:tab w:leader="none" w:pos="1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Purchased approximately $1.5 million (principal and accrued but unpaid interest) of outstanding 2014 Unit Notes we issued to various other investors from the respective holders thereof (</w:t>
      </w:r>
      <w:r>
        <w:rPr>
          <w:rFonts w:ascii="Arial" w:cs="Arial" w:eastAsia="Arial" w:hAnsi="Arial"/>
          <w:sz w:val="14"/>
          <w:szCs w:val="14"/>
          <w:i w:val="1"/>
          <w:iCs w:val="1"/>
          <w:color w:val="auto"/>
        </w:rPr>
        <w:t>Investor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2014 Unit Notes </w:t>
      </w:r>
      <w:r>
        <w:rPr>
          <w:rFonts w:ascii="Arial" w:cs="Arial" w:eastAsia="Arial" w:hAnsi="Arial"/>
          <w:sz w:val="14"/>
          <w:szCs w:val="14"/>
          <w:color w:val="auto"/>
        </w:rPr>
        <w:t>) and converted the entire outstanding balance of the Investor 2014 Unit Notes into 265,699 shares of Series B Preferred and Series B Warrants to purchase 265,699 shares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thereby cancelling approximately $1.5 million of our outstanding indebtedness; and</w:t>
      </w:r>
    </w:p>
    <w:p>
      <w:pPr>
        <w:spacing w:after="0" w:line="163" w:lineRule="exact"/>
        <w:rPr>
          <w:rFonts w:ascii="Arial" w:cs="Arial" w:eastAsia="Arial" w:hAnsi="Arial"/>
          <w:sz w:val="14"/>
          <w:szCs w:val="14"/>
          <w:color w:val="auto"/>
        </w:rPr>
      </w:pPr>
    </w:p>
    <w:p>
      <w:pPr>
        <w:ind w:left="160" w:hanging="155"/>
        <w:spacing w:after="0" w:line="283" w:lineRule="auto"/>
        <w:tabs>
          <w:tab w:leader="none" w:pos="1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Entered into a Securities Purchase Agreement (</w:t>
      </w:r>
      <w:r>
        <w:rPr>
          <w:rFonts w:ascii="Arial" w:cs="Arial" w:eastAsia="Arial" w:hAnsi="Arial"/>
          <w:sz w:val="14"/>
          <w:szCs w:val="14"/>
          <w:i w:val="1"/>
          <w:iCs w:val="1"/>
          <w:color w:val="auto"/>
        </w:rPr>
        <w:t>SPA</w:t>
      </w:r>
      <w:r>
        <w:rPr>
          <w:rFonts w:ascii="Arial" w:cs="Arial" w:eastAsia="Arial" w:hAnsi="Arial"/>
          <w:sz w:val="14"/>
          <w:szCs w:val="14"/>
          <w:color w:val="auto"/>
        </w:rPr>
        <w:t>) to purchase, for $1.0 million, a total of 142,857 shares of Series B Preferred and a Series B Warrant (</w:t>
      </w:r>
      <w:r>
        <w:rPr>
          <w:rFonts w:ascii="Arial" w:cs="Arial" w:eastAsia="Arial" w:hAnsi="Arial"/>
          <w:sz w:val="14"/>
          <w:szCs w:val="14"/>
          <w:i w:val="1"/>
          <w:iCs w:val="1"/>
          <w:color w:val="auto"/>
        </w:rPr>
        <w:t>Series B Preferred Unit</w:t>
      </w:r>
      <w:r>
        <w:rPr>
          <w:rFonts w:ascii="Arial" w:cs="Arial" w:eastAsia="Arial" w:hAnsi="Arial"/>
          <w:sz w:val="14"/>
          <w:szCs w:val="14"/>
          <w:color w:val="auto"/>
        </w:rPr>
        <w:t>) to purchase 142,857 shares of our common stock, on or before June 11, 2015 (a portion of which purchase was consummated on June 19, 2015).</w:t>
      </w:r>
    </w:p>
    <w:p>
      <w:pPr>
        <w:spacing w:after="0" w:line="131"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color w:val="auto"/>
        </w:rPr>
        <w:t xml:space="preserve">As further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xml:space="preserve">, effective May 20, 2015, holders of the remaining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 Between May 26, 2015 and June 25, 2015, we sold to accredited investors and institutions an aggregate of $557,500 of units in our Series B Preferred Unit offering, which units consist of Series B Preferred and Series B Warrants (together </w:t>
      </w:r>
      <w:r>
        <w:rPr>
          <w:rFonts w:ascii="Arial" w:cs="Arial" w:eastAsia="Arial" w:hAnsi="Arial"/>
          <w:sz w:val="13"/>
          <w:szCs w:val="13"/>
          <w:i w:val="1"/>
          <w:iCs w:val="1"/>
          <w:color w:val="auto"/>
        </w:rPr>
        <w:t>Series B Preferred Units</w:t>
      </w:r>
      <w:r>
        <w:rPr>
          <w:rFonts w:ascii="Arial" w:cs="Arial" w:eastAsia="Arial" w:hAnsi="Arial"/>
          <w:sz w:val="13"/>
          <w:szCs w:val="13"/>
          <w:color w:val="auto"/>
        </w:rPr>
        <w:t>),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 xml:space="preserve">Additionally, as further described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xml:space="preserve">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strategic adjustments) into 831,577 shares of Series B Preferred stock.</w:t>
      </w:r>
    </w:p>
    <w:p>
      <w:pPr>
        <w:spacing w:after="0" w:line="163"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Since March 31, 2015, we have eliminated approximately $14.9 million of promissory notes, other debt and certain adjustments thereto that was either already due and payable or would have otherwise matured prior to March 31, 2016, through conversion into our Series B Preferred stock and, with respect to a portion of the indebtedness converted, warrants to purchase common stock. Together with the cash proceeds from our Series B Preferred Unit Offering, our working capital position has improved significantly since March 31, 2015. We will, however, need to raise additional capital to fund our operations and execute our business plan over the next year and thereafter.</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3"/>
          <w:szCs w:val="13"/>
          <w:color w:val="auto"/>
        </w:rPr>
        <w:t>We believe that our participation in potential strategic collaborations, including potential transactions involving AV-101 such as our February 2015 Cooperative Research and Development Agreement with the U.S. National Institutes of Health (NIH) for an NIH-funded and sponsored Phase 2 study of AV-101 in major depressive disorder, may provide resources to support a portion of our future cash needs and working capital requirements. When and as necessary, we will seek to raise a material amount of financing through a combination of additional private placements and/or registered public offerings of our securities, which may include both debt and equity securities, stem cell technology-based research and development collaborations, stem cell technology and drug candidate license fees, and government grant awards and collaborations. Our future working capital requirements will depend on many factors, including, without limitation, the scope and nature of strategic opportunities related to our success in clinical trials of and further developing AV-101 as a treatment for major depressive disorder and/or other conditions; our stem cell technology platform, including drug rescue and cell therapy research and development efforts and the success of such programs, our ability to obtain government grant awards and our ability to enter into strategic collaborations with institutions on terms acceptable to us. To further advance the clinical development of AV-101 and potential drug rescue applications of our stem cell technology platform, as well as support our operating activities, we plan to continue to carefully manage our routine operating costs, including salaries and benefits, regulatory and public company consulting, contract research and development, legal, accounting and other professional services and working capital costs.</w:t>
      </w:r>
    </w:p>
    <w:p>
      <w:pPr>
        <w:spacing w:after="0" w:line="158"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These Consolidated Financial Statements do not include any adjustments that might result from the outcome of this uncertainty.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2" w:name="page153"/>
    <w:bookmarkEnd w:id="15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Summary of Significant Accounting Policies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preparation of financial statements in conformity with U.S. generally accepted accounting principles “</w:t>
      </w:r>
      <w:r>
        <w:rPr>
          <w:rFonts w:ascii="Arial" w:cs="Arial" w:eastAsia="Arial" w:hAnsi="Arial"/>
          <w:sz w:val="14"/>
          <w:szCs w:val="14"/>
          <w:i w:val="1"/>
          <w:iCs w:val="1"/>
          <w:color w:val="auto"/>
        </w:rPr>
        <w:t>U.S. GAAP</w:t>
      </w:r>
      <w:r>
        <w:rPr>
          <w:rFonts w:ascii="Arial" w:cs="Arial" w:eastAsia="Arial" w:hAnsi="Arial"/>
          <w:sz w:val="14"/>
          <w:szCs w:val="14"/>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201" w:lineRule="exact"/>
        <w:rPr>
          <w:sz w:val="20"/>
          <w:szCs w:val="20"/>
          <w:color w:val="auto"/>
        </w:rPr>
      </w:pPr>
    </w:p>
    <w:p>
      <w:pPr>
        <w:ind w:right="400"/>
        <w:spacing w:after="0" w:line="283" w:lineRule="auto"/>
        <w:rPr>
          <w:sz w:val="20"/>
          <w:szCs w:val="20"/>
          <w:color w:val="auto"/>
        </w:rPr>
      </w:pPr>
      <w:r>
        <w:rPr>
          <w:rFonts w:ascii="Arial" w:cs="Arial" w:eastAsia="Arial" w:hAnsi="Arial"/>
          <w:sz w:val="14"/>
          <w:szCs w:val="14"/>
          <w:color w:val="auto"/>
        </w:rPr>
        <w:t>The accompanying consolidated financial statements include the Company’s accounts, and the accounts of VistaGen California’s wholly-owned inactive subsidiaries, Artemis Neurosciences and VistaStem Canada.</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are considered to be highly liquid investments with maturities of three months or less at the date of purchase.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201"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or Disposal of Long-Lived Assets</w:t>
      </w:r>
    </w:p>
    <w:p>
      <w:pPr>
        <w:spacing w:after="0" w:line="201" w:lineRule="exact"/>
        <w:rPr>
          <w:sz w:val="20"/>
          <w:szCs w:val="20"/>
          <w:color w:val="auto"/>
        </w:rPr>
      </w:pPr>
    </w:p>
    <w:p>
      <w:pPr>
        <w:ind w:right="20"/>
        <w:spacing w:after="0" w:line="290" w:lineRule="auto"/>
        <w:rPr>
          <w:sz w:val="20"/>
          <w:szCs w:val="20"/>
          <w:color w:val="auto"/>
        </w:rPr>
      </w:pPr>
      <w:r>
        <w:rPr>
          <w:rFonts w:ascii="Arial" w:cs="Arial" w:eastAsia="Arial" w:hAnsi="Arial"/>
          <w:sz w:val="13"/>
          <w:szCs w:val="13"/>
          <w:color w:val="auto"/>
        </w:rPr>
        <w:t>We evaluate our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we record an impairment loss in the amount by which the carrying value of the assets exceeds their fair value. If the assets are determined to be recoverable, but the useful lives are shorter than originally estimated, we depreciate or amortize the net book value of the assets over the newly determined remaining useful lives. We have not recorded any impairment charges to date.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Although we do not currently have any such arrangements, we have historically generated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153" w:name="page154"/>
    <w:bookmarkEnd w:id="15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20"/>
        <w:spacing w:after="0" w:line="370"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07" w:lineRule="exact"/>
        <w:rPr>
          <w:sz w:val="20"/>
          <w:szCs w:val="20"/>
          <w:color w:val="auto"/>
        </w:rPr>
      </w:pPr>
    </w:p>
    <w:p>
      <w:pPr>
        <w:ind w:left="160" w:hanging="155"/>
        <w:spacing w:after="0" w:line="280" w:lineRule="auto"/>
        <w:tabs>
          <w:tab w:leader="none" w:pos="1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during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59" w:lineRule="exact"/>
        <w:rPr>
          <w:rFonts w:ascii="Arial" w:cs="Arial" w:eastAsia="Arial" w:hAnsi="Arial"/>
          <w:sz w:val="13"/>
          <w:szCs w:val="13"/>
          <w:color w:val="auto"/>
        </w:rPr>
      </w:pPr>
    </w:p>
    <w:p>
      <w:pPr>
        <w:ind w:left="160" w:right="200" w:hanging="155"/>
        <w:spacing w:after="0" w:line="290" w:lineRule="auto"/>
        <w:tabs>
          <w:tab w:leader="none" w:pos="1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 and, in the case of development and/or regulatory milestone payments, when the applicable event triggering such a payment has occurred.</w:t>
      </w:r>
    </w:p>
    <w:p>
      <w:pPr>
        <w:spacing w:after="0" w:line="150" w:lineRule="exact"/>
        <w:rPr>
          <w:rFonts w:ascii="Arial" w:cs="Arial" w:eastAsia="Arial" w:hAnsi="Arial"/>
          <w:sz w:val="13"/>
          <w:szCs w:val="13"/>
          <w:color w:val="auto"/>
        </w:rPr>
      </w:pPr>
    </w:p>
    <w:p>
      <w:pPr>
        <w:ind w:left="160" w:right="600" w:hanging="155"/>
        <w:spacing w:after="0" w:line="283" w:lineRule="auto"/>
        <w:tabs>
          <w:tab w:leader="none" w:pos="1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Government grants, which support our research efforts on specific projects, generally provide for reimbursement of approved costs as defined in the terms of grant awards. Grant revenue is recognized when associated project costs are incurred.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201"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201"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54" w:name="page155"/>
    <w:bookmarkEnd w:id="15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201"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201" w:lineRule="exact"/>
        <w:rPr>
          <w:sz w:val="20"/>
          <w:szCs w:val="20"/>
          <w:color w:val="auto"/>
        </w:rPr>
      </w:pPr>
    </w:p>
    <w:p>
      <w:pPr>
        <w:jc w:val="both"/>
        <w:ind w:right="220"/>
        <w:spacing w:after="0" w:line="268" w:lineRule="auto"/>
        <w:rPr>
          <w:sz w:val="20"/>
          <w:szCs w:val="20"/>
          <w:color w:val="auto"/>
        </w:rPr>
      </w:pPr>
      <w:r>
        <w:rPr>
          <w:rFonts w:ascii="Arial" w:cs="Arial" w:eastAsia="Arial" w:hAnsi="Arial"/>
          <w:sz w:val="14"/>
          <w:szCs w:val="14"/>
          <w:color w:val="auto"/>
        </w:rPr>
        <w:t>Financial instruments, which potentially subject us to concentrations of credit risk, consist principally of cash and cash equivalents. Our investment policies limit any such investments to short-term, low-risk investments. We deposit cash and cash equivalents with quality financial institutions and are insured to the maximum of federal limitations. Balances in these accounts may exceed federally insured limits at times.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 Liability</w:t>
      </w:r>
    </w:p>
    <w:p>
      <w:pPr>
        <w:spacing w:after="0" w:line="180"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We have issued to Platinum Long Term Growth VII, LLC, our largest investor (</w:t>
      </w:r>
      <w:r>
        <w:rPr>
          <w:rFonts w:ascii="Arial" w:cs="Arial" w:eastAsia="Arial" w:hAnsi="Arial"/>
          <w:sz w:val="13"/>
          <w:szCs w:val="13"/>
          <w:i w:val="1"/>
          <w:iCs w:val="1"/>
          <w:color w:val="auto"/>
        </w:rPr>
        <w:t>Platinum</w:t>
      </w:r>
      <w:r>
        <w:rPr>
          <w:rFonts w:ascii="Arial" w:cs="Arial" w:eastAsia="Arial" w:hAnsi="Arial"/>
          <w:sz w:val="13"/>
          <w:szCs w:val="13"/>
          <w:color w:val="auto"/>
        </w:rPr>
        <w:t xml:space="preserve">),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3"/>
          <w:szCs w:val="13"/>
          <w:i w:val="1"/>
          <w:iCs w:val="1"/>
          <w:color w:val="auto"/>
        </w:rPr>
        <w:t>Platinum Warrants</w:t>
      </w:r>
      <w:r>
        <w:rPr>
          <w:rFonts w:ascii="Arial" w:cs="Arial" w:eastAsia="Arial" w:hAnsi="Arial"/>
          <w:sz w:val="13"/>
          <w:szCs w:val="13"/>
          <w:color w:val="auto"/>
        </w:rPr>
        <w:t xml:space="preserve">). The Platinum Warrants contain an exercise price adjustment feature that will lower the exercise price of the warrants in the event we subsequently issue equity instruments at a price lower than the exercise price of the Platinum Warrants. We account for the Platinum Warrants as non-cash liabilities and estimate their fair value as described in Note 4, </w:t>
      </w:r>
      <w:r>
        <w:rPr>
          <w:rFonts w:ascii="Arial" w:cs="Arial" w:eastAsia="Arial" w:hAnsi="Arial"/>
          <w:sz w:val="13"/>
          <w:szCs w:val="13"/>
          <w:i w:val="1"/>
          <w:iCs w:val="1"/>
          <w:color w:val="auto"/>
        </w:rPr>
        <w:t xml:space="preserve">Fair Value Measurements, </w:t>
      </w:r>
      <w:r>
        <w:rPr>
          <w:rFonts w:ascii="Arial" w:cs="Arial" w:eastAsia="Arial" w:hAnsi="Arial"/>
          <w:sz w:val="13"/>
          <w:szCs w:val="13"/>
          <w:color w:val="auto"/>
        </w:rPr>
        <w:t>Note 8,</w:t>
      </w:r>
      <w:r>
        <w:rPr>
          <w:rFonts w:ascii="Arial" w:cs="Arial" w:eastAsia="Arial" w:hAnsi="Arial"/>
          <w:sz w:val="13"/>
          <w:szCs w:val="13"/>
          <w:i w:val="1"/>
          <w:iCs w:val="1"/>
          <w:color w:val="auto"/>
        </w:rPr>
        <w:t xml:space="preserve"> Convertible Promissory Notes and Other Notes Payable</w:t>
      </w:r>
      <w:r>
        <w:rPr>
          <w:rFonts w:ascii="Arial" w:cs="Arial" w:eastAsia="Arial" w:hAnsi="Arial"/>
          <w:sz w:val="13"/>
          <w:szCs w:val="13"/>
          <w:color w:val="auto"/>
        </w:rPr>
        <w:t>, and Note 9</w:t>
      </w:r>
      <w:r>
        <w:rPr>
          <w:rFonts w:ascii="Arial" w:cs="Arial" w:eastAsia="Arial" w:hAnsi="Arial"/>
          <w:sz w:val="13"/>
          <w:szCs w:val="13"/>
          <w:i w:val="1"/>
          <w:iCs w:val="1"/>
          <w:color w:val="auto"/>
        </w:rPr>
        <w:t>, Capital Stock</w:t>
      </w:r>
      <w:r>
        <w:rPr>
          <w:rFonts w:ascii="Arial" w:cs="Arial" w:eastAsia="Arial" w:hAnsi="Arial"/>
          <w:sz w:val="13"/>
          <w:szCs w:val="13"/>
          <w:color w:val="auto"/>
        </w:rPr>
        <w:t>. We compute the fair value of the warrant liability at each reporting period and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 As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during May 2015, we entered into an agreement with Platinum pursuant to which Platinum agreed to amend the Platinum Warrants to fix the exercise price thereof at $7.00 per share</w:t>
      </w:r>
      <w:r>
        <w:rPr>
          <w:rFonts w:ascii="Arial" w:cs="Arial" w:eastAsia="Arial" w:hAnsi="Arial"/>
          <w:sz w:val="13"/>
          <w:szCs w:val="13"/>
          <w:i w:val="1"/>
          <w:iCs w:val="1"/>
          <w:color w:val="auto"/>
        </w:rPr>
        <w:t xml:space="preserve"> </w:t>
      </w:r>
      <w:r>
        <w:rPr>
          <w:rFonts w:ascii="Arial" w:cs="Arial" w:eastAsia="Arial" w:hAnsi="Arial"/>
          <w:sz w:val="13"/>
          <w:szCs w:val="13"/>
          <w:color w:val="auto"/>
        </w:rPr>
        <w:t>and eliminate the exercise price reset features and fix the number of shares of our common stock issuable thereunder. This amendment will result in the elimination of the warrant liability with respect to the Platinum Warrants during the first quarter of our fiscal year ended March 31, 2016.</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Comprehensive Loss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We have no components of other comprehensive loss other than net loss, and accordingly our comprehensive loss is equivalent to our net loss for the periods presented.</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per Common Share</w:t>
      </w: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adjust the numerator for the change in the fair value of the warrant liability attributable to the outstanding Platinum Warrants, only if dilutive, and increase the denominator to include the number of potentially dilutive common shares assumed to be outstanding during the period using the treasury stock method. As a result of our net loss for both periods presented, potentially dilutive securities were excluded from the computation of diluted loss per share, as their effect would be antidilutive.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49"/>
        </w:trPr>
        <w:tc>
          <w:tcPr>
            <w:tcW w:w="834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7440" w:type="dxa"/>
            <w:vAlign w:val="bottom"/>
          </w:tcPr>
          <w:p>
            <w:pPr>
              <w:jc w:val="center"/>
              <w:ind w:left="2149"/>
              <w:spacing w:after="0"/>
              <w:rPr>
                <w:sz w:val="20"/>
                <w:szCs w:val="20"/>
                <w:color w:val="auto"/>
              </w:rPr>
            </w:pPr>
            <w:r>
              <w:rPr>
                <w:rFonts w:ascii="Arial" w:cs="Arial" w:eastAsia="Arial" w:hAnsi="Arial"/>
                <w:sz w:val="14"/>
                <w:szCs w:val="14"/>
                <w:b w:val="1"/>
                <w:bCs w:val="1"/>
                <w:color w:val="auto"/>
              </w:rPr>
              <w:t>VISTAGEN THERAPEUTICS, INC.</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7440" w:type="dxa"/>
            <w:vAlign w:val="bottom"/>
          </w:tcPr>
          <w:p>
            <w:pPr>
              <w:jc w:val="center"/>
              <w:ind w:left="2169"/>
              <w:spacing w:after="0"/>
              <w:rPr>
                <w:sz w:val="20"/>
                <w:szCs w:val="20"/>
                <w:color w:val="auto"/>
              </w:rPr>
            </w:pPr>
            <w:r>
              <w:rPr>
                <w:rFonts w:ascii="Arial" w:cs="Arial" w:eastAsia="Arial" w:hAnsi="Arial"/>
                <w:sz w:val="14"/>
                <w:szCs w:val="14"/>
                <w:b w:val="1"/>
                <w:bCs w:val="1"/>
                <w:color w:val="auto"/>
              </w:rPr>
              <w:t>NOTES TO CONSOLIDATED FINANCIAL STATEMENTS</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8340" w:type="dxa"/>
            <w:vAlign w:val="bottom"/>
            <w:gridSpan w:val="2"/>
          </w:tcPr>
          <w:p>
            <w:pPr>
              <w:spacing w:after="0"/>
              <w:rPr>
                <w:sz w:val="20"/>
                <w:szCs w:val="20"/>
                <w:color w:val="auto"/>
              </w:rPr>
            </w:pPr>
            <w:r>
              <w:rPr>
                <w:rFonts w:ascii="Arial" w:cs="Arial" w:eastAsia="Arial" w:hAnsi="Arial"/>
                <w:sz w:val="14"/>
                <w:szCs w:val="14"/>
                <w:color w:val="auto"/>
              </w:rPr>
              <w:t>Basic and diluted net loss attributable to common stockholders per share was computed as follows: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Fiscal Years Ended March 31,</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40" w:type="dxa"/>
            <w:vAlign w:val="bottom"/>
            <w:gridSpan w:val="2"/>
          </w:tcPr>
          <w:p>
            <w:pPr>
              <w:spacing w:after="0"/>
              <w:rPr>
                <w:sz w:val="20"/>
                <w:szCs w:val="20"/>
                <w:color w:val="auto"/>
              </w:rPr>
            </w:pPr>
            <w:r>
              <w:rPr>
                <w:rFonts w:ascii="Arial" w:cs="Arial" w:eastAsia="Arial" w:hAnsi="Arial"/>
                <w:sz w:val="14"/>
                <w:szCs w:val="14"/>
                <w:color w:val="auto"/>
              </w:rPr>
              <w:t>Numerator:</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spacing w:after="0"/>
              <w:rPr>
                <w:sz w:val="14"/>
                <w:szCs w:val="14"/>
                <w:color w:val="auto"/>
              </w:rPr>
            </w:pPr>
          </w:p>
        </w:tc>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common stockholders for basic earnings per share</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(13,885,800)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(2,967,700)</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7440" w:type="dxa"/>
            <w:vAlign w:val="bottom"/>
          </w:tcPr>
          <w:p>
            <w:pPr>
              <w:ind w:left="20"/>
              <w:spacing w:after="0"/>
              <w:rPr>
                <w:sz w:val="20"/>
                <w:szCs w:val="20"/>
                <w:color w:val="auto"/>
              </w:rPr>
            </w:pPr>
            <w:r>
              <w:rPr>
                <w:rFonts w:ascii="Arial" w:cs="Arial" w:eastAsia="Arial" w:hAnsi="Arial"/>
                <w:sz w:val="14"/>
                <w:szCs w:val="14"/>
                <w:color w:val="auto"/>
                <w:w w:val="98"/>
              </w:rPr>
              <w:t>less: change in fair value of warrant liability attributable to Exchange, Investment and Bridge Warrants issued to Platinum</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(105,200)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(1,219,500)</w:t>
            </w: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7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40" w:type="dxa"/>
            <w:vAlign w:val="bottom"/>
            <w:gridSpan w:val="2"/>
          </w:tcPr>
          <w:p>
            <w:pPr>
              <w:ind w:left="460"/>
              <w:spacing w:after="0"/>
              <w:rPr>
                <w:sz w:val="20"/>
                <w:szCs w:val="20"/>
                <w:color w:val="auto"/>
              </w:rPr>
            </w:pPr>
            <w:r>
              <w:rPr>
                <w:rFonts w:ascii="Arial" w:cs="Arial" w:eastAsia="Arial" w:hAnsi="Arial"/>
                <w:sz w:val="14"/>
                <w:szCs w:val="14"/>
                <w:color w:val="auto"/>
              </w:rPr>
              <w:t>Net loss for diluted earnings per share attributable to common stockholders</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(13,991,000)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(4,187,200)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340" w:type="dxa"/>
            <w:vAlign w:val="bottom"/>
            <w:gridSpan w:val="2"/>
          </w:tcPr>
          <w:p>
            <w:pPr>
              <w:spacing w:after="0"/>
              <w:rPr>
                <w:sz w:val="20"/>
                <w:szCs w:val="20"/>
                <w:color w:val="auto"/>
              </w:rPr>
            </w:pPr>
            <w:r>
              <w:rPr>
                <w:rFonts w:ascii="Arial" w:cs="Arial" w:eastAsia="Arial" w:hAnsi="Arial"/>
                <w:sz w:val="14"/>
                <w:szCs w:val="14"/>
                <w:color w:val="auto"/>
              </w:rPr>
              <w:t>Denominator:</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Weighted average basic common shares outstanding</w:t>
            </w: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1,318,797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1,098,742</w:t>
            </w:r>
          </w:p>
        </w:tc>
        <w:tc>
          <w:tcPr>
            <w:tcW w:w="0" w:type="dxa"/>
            <w:vAlign w:val="bottom"/>
          </w:tcPr>
          <w:p>
            <w:pPr>
              <w:spacing w:after="0"/>
              <w:rPr>
                <w:sz w:val="1"/>
                <w:szCs w:val="1"/>
                <w:color w:val="auto"/>
              </w:rPr>
            </w:pPr>
          </w:p>
        </w:tc>
      </w:tr>
      <w:tr>
        <w:trPr>
          <w:trHeight w:val="170"/>
        </w:trPr>
        <w:tc>
          <w:tcPr>
            <w:tcW w:w="8340" w:type="dxa"/>
            <w:vAlign w:val="bottom"/>
            <w:gridSpan w:val="2"/>
          </w:tcPr>
          <w:p>
            <w:pPr>
              <w:ind w:left="460"/>
              <w:spacing w:after="0"/>
              <w:rPr>
                <w:sz w:val="20"/>
                <w:szCs w:val="20"/>
                <w:color w:val="auto"/>
              </w:rPr>
            </w:pPr>
            <w:r>
              <w:rPr>
                <w:rFonts w:ascii="Arial" w:cs="Arial" w:eastAsia="Arial" w:hAnsi="Arial"/>
                <w:sz w:val="14"/>
                <w:szCs w:val="14"/>
                <w:color w:val="auto"/>
              </w:rPr>
              <w:t>Assumed conversion of dilutive securities:</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74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00" w:type="dxa"/>
            <w:vAlign w:val="bottom"/>
          </w:tcPr>
          <w:p>
            <w:pPr>
              <w:spacing w:after="0"/>
              <w:rPr>
                <w:sz w:val="14"/>
                <w:szCs w:val="14"/>
                <w:color w:val="auto"/>
              </w:rPr>
            </w:pPr>
          </w:p>
        </w:tc>
        <w:tc>
          <w:tcPr>
            <w:tcW w:w="7440" w:type="dxa"/>
            <w:vAlign w:val="bottom"/>
          </w:tcPr>
          <w:p>
            <w:pPr>
              <w:ind w:left="20"/>
              <w:spacing w:after="0"/>
              <w:rPr>
                <w:sz w:val="20"/>
                <w:szCs w:val="20"/>
                <w:color w:val="auto"/>
              </w:rPr>
            </w:pPr>
            <w:r>
              <w:rPr>
                <w:rFonts w:ascii="Arial" w:cs="Arial" w:eastAsia="Arial" w:hAnsi="Arial"/>
                <w:sz w:val="14"/>
                <w:szCs w:val="14"/>
                <w:color w:val="auto"/>
              </w:rPr>
              <w:t>Potentially dilutive common shares assumed converted</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7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Denominator for diluted earnings per share - adjusted weighted average shares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1,318,797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1,099,216</w:t>
            </w:r>
          </w:p>
        </w:tc>
        <w:tc>
          <w:tcPr>
            <w:tcW w:w="0" w:type="dxa"/>
            <w:vAlign w:val="bottom"/>
          </w:tcPr>
          <w:p>
            <w:pPr>
              <w:spacing w:after="0"/>
              <w:rPr>
                <w:sz w:val="1"/>
                <w:szCs w:val="1"/>
                <w:color w:val="auto"/>
              </w:rPr>
            </w:pPr>
          </w:p>
        </w:tc>
      </w:tr>
      <w:tr>
        <w:trPr>
          <w:trHeight w:val="153"/>
        </w:trPr>
        <w:tc>
          <w:tcPr>
            <w:tcW w:w="900" w:type="dxa"/>
            <w:vAlign w:val="bottom"/>
            <w:tcBorders>
              <w:top w:val="single" w:sz="8" w:color="CCEEFF"/>
            </w:tcBorders>
          </w:tcPr>
          <w:p>
            <w:pPr>
              <w:spacing w:after="0"/>
              <w:rPr>
                <w:sz w:val="13"/>
                <w:szCs w:val="13"/>
                <w:color w:val="auto"/>
              </w:rPr>
            </w:pPr>
          </w:p>
        </w:tc>
        <w:tc>
          <w:tcPr>
            <w:tcW w:w="744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7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340" w:type="dxa"/>
            <w:vAlign w:val="bottom"/>
            <w:gridSpan w:val="2"/>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(10.53)</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340" w:type="dxa"/>
            <w:vAlign w:val="bottom"/>
            <w:gridSpan w:val="2"/>
          </w:tcPr>
          <w:p>
            <w:pPr>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(10.61)</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440" w:type="dxa"/>
            <w:vAlign w:val="bottom"/>
            <w:vMerge w:val="restart"/>
          </w:tcPr>
          <w:p>
            <w:pPr>
              <w:jc w:val="center"/>
              <w:ind w:left="2149"/>
              <w:spacing w:after="0"/>
              <w:rPr>
                <w:sz w:val="20"/>
                <w:szCs w:val="20"/>
                <w:color w:val="auto"/>
              </w:rPr>
            </w:pPr>
            <w:r>
              <w:rPr>
                <w:rFonts w:ascii="Arial" w:cs="Arial" w:eastAsia="Arial" w:hAnsi="Arial"/>
                <w:sz w:val="14"/>
                <w:szCs w:val="14"/>
                <w:color w:val="auto"/>
                <w:w w:val="90"/>
              </w:rPr>
              <w:t>F-13</w:t>
            </w: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90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900" w:type="dxa"/>
            <w:vAlign w:val="bottom"/>
            <w:tcBorders>
              <w:bottom w:val="single" w:sz="8" w:color="808080"/>
            </w:tcBorders>
          </w:tcPr>
          <w:p>
            <w:pPr>
              <w:spacing w:after="0"/>
              <w:rPr>
                <w:sz w:val="7"/>
                <w:szCs w:val="7"/>
                <w:color w:val="auto"/>
              </w:rPr>
            </w:pPr>
          </w:p>
        </w:tc>
        <w:tc>
          <w:tcPr>
            <w:tcW w:w="744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56" w:name="page157"/>
    <w:bookmarkEnd w:id="15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Potentially dilutive securities excluded in determining diluted net loss per common share for the fiscal years ended March 31, 2015 and 2014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4"/>
          </w:tcPr>
          <w:p>
            <w:pPr>
              <w:ind w:left="340"/>
              <w:spacing w:after="0"/>
              <w:rPr>
                <w:sz w:val="20"/>
                <w:szCs w:val="20"/>
                <w:color w:val="auto"/>
              </w:rPr>
            </w:pPr>
            <w:r>
              <w:rPr>
                <w:rFonts w:ascii="Arial" w:cs="Arial" w:eastAsia="Arial" w:hAnsi="Arial"/>
                <w:sz w:val="14"/>
                <w:szCs w:val="14"/>
                <w:b w:val="1"/>
                <w:bCs w:val="1"/>
                <w:color w:val="auto"/>
              </w:rPr>
              <w:t>Fiscal Years Ended March 31,</w:t>
            </w:r>
          </w:p>
        </w:tc>
      </w:tr>
      <w:tr>
        <w:trPr>
          <w:trHeight w:val="172"/>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Series A preferred stock issued and outstanding </w:t>
            </w:r>
            <w:r>
              <w:rPr>
                <w:rFonts w:ascii="Arial" w:cs="Arial" w:eastAsia="Arial" w:hAnsi="Arial"/>
                <w:sz w:val="19"/>
                <w:szCs w:val="19"/>
                <w:color w:val="auto"/>
                <w:vertAlign w:val="superscript"/>
              </w:rPr>
              <w:t>(1)</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750,000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Warrant shares issuable to Platinum upon exercise of common stock warrants by Platinum</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upon exchange of Series A Preferred under the terms of the October 11, 2012 Note</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Exchange and Purchase Agreement</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375,000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375,000</w:t>
            </w:r>
          </w:p>
        </w:tc>
      </w:tr>
      <w:tr>
        <w:trPr>
          <w:trHeight w:val="170"/>
        </w:trPr>
        <w:tc>
          <w:tcPr>
            <w:tcW w:w="872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Outstanding options under the 2008 and 1999 Stock Incentive Plans</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207,638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212,486</w:t>
            </w:r>
          </w:p>
        </w:tc>
      </w:tr>
      <w:tr>
        <w:trPr>
          <w:trHeight w:val="170"/>
        </w:trPr>
        <w:tc>
          <w:tcPr>
            <w:tcW w:w="872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Outstanding warrants to purchase common stock</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1,544,474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854,782</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10% convertible Exchange Note and Investment Notes issued to Platinum in October 2012,</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9"/>
        </w:trPr>
        <w:tc>
          <w:tcPr>
            <w:tcW w:w="8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February 2013 and March 2013, including accrued interest through March 31, 2015</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2"/>
        </w:trPr>
        <w:tc>
          <w:tcPr>
            <w:tcW w:w="8720" w:type="dxa"/>
            <w:vAlign w:val="bottom"/>
            <w:shd w:val="clear" w:color="auto" w:fill="CCEEFF"/>
          </w:tcPr>
          <w:p>
            <w:pPr>
              <w:spacing w:after="0" w:line="182" w:lineRule="exact"/>
              <w:rPr>
                <w:sz w:val="20"/>
                <w:szCs w:val="20"/>
                <w:color w:val="auto"/>
              </w:rPr>
            </w:pPr>
            <w:r>
              <w:rPr>
                <w:rFonts w:ascii="Arial" w:cs="Arial" w:eastAsia="Arial" w:hAnsi="Arial"/>
                <w:sz w:val="14"/>
                <w:szCs w:val="14"/>
                <w:color w:val="auto"/>
              </w:rPr>
              <w:t xml:space="preserve">and 2014, respectively </w:t>
            </w:r>
            <w:r>
              <w:rPr>
                <w:rFonts w:ascii="Arial" w:cs="Arial" w:eastAsia="Arial" w:hAnsi="Arial"/>
                <w:sz w:val="19"/>
                <w:szCs w:val="19"/>
                <w:color w:val="auto"/>
                <w:vertAlign w:val="superscript"/>
              </w:rPr>
              <w:t>(2)</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414,615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374,798</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10% convertible note issued to Platinum on July 26, 2013, including accrued interest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through March 31, 2015 and 2014, respectively</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29,620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26,776</w:t>
            </w: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8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10% convertible notes issued as a component of Unit Private Placements, including accrued interest through March 31, 2014</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3"/>
        </w:trPr>
        <w:tc>
          <w:tcPr>
            <w:tcW w:w="8720" w:type="dxa"/>
            <w:vAlign w:val="bottom"/>
            <w:shd w:val="clear" w:color="auto" w:fill="CCEEFF"/>
          </w:tcPr>
          <w:p>
            <w:pPr>
              <w:spacing w:after="0" w:line="182" w:lineRule="exact"/>
              <w:rPr>
                <w:sz w:val="20"/>
                <w:szCs w:val="20"/>
                <w:color w:val="auto"/>
              </w:rPr>
            </w:pPr>
            <w:r>
              <w:rPr>
                <w:rFonts w:ascii="Arial" w:cs="Arial" w:eastAsia="Arial" w:hAnsi="Arial"/>
                <w:sz w:val="14"/>
                <w:szCs w:val="14"/>
                <w:color w:val="auto"/>
              </w:rPr>
              <w:t xml:space="preserve">accrued interest through March 31, 2015 and 2014, respectively </w:t>
            </w:r>
            <w:r>
              <w:rPr>
                <w:rFonts w:ascii="Arial" w:cs="Arial" w:eastAsia="Arial" w:hAnsi="Arial"/>
                <w:sz w:val="19"/>
                <w:szCs w:val="19"/>
                <w:color w:val="auto"/>
                <w:vertAlign w:val="superscript"/>
              </w:rPr>
              <w:t>(3)</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433,758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109,341</w:t>
            </w:r>
          </w:p>
        </w:tc>
      </w:tr>
      <w:tr>
        <w:trPr>
          <w:trHeight w:val="170"/>
        </w:trPr>
        <w:tc>
          <w:tcPr>
            <w:tcW w:w="87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3,755,105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2,703,183</w:t>
            </w:r>
          </w:p>
        </w:tc>
      </w:tr>
      <w:tr>
        <w:trPr>
          <w:trHeight w:val="150"/>
        </w:trPr>
        <w:tc>
          <w:tcPr>
            <w:tcW w:w="8720" w:type="dxa"/>
            <w:vAlign w:val="bottom"/>
            <w:tcBorders>
              <w:top w:val="single" w:sz="8" w:color="CCEEFF"/>
            </w:tcBorders>
          </w:tcPr>
          <w:p>
            <w:pPr>
              <w:spacing w:after="0" w:line="150" w:lineRule="exact"/>
              <w:rPr>
                <w:sz w:val="20"/>
                <w:szCs w:val="20"/>
                <w:color w:val="auto"/>
              </w:rPr>
            </w:pPr>
            <w:r>
              <w:rPr>
                <w:rFonts w:ascii="Arial" w:cs="Arial" w:eastAsia="Arial" w:hAnsi="Arial"/>
                <w:sz w:val="14"/>
                <w:szCs w:val="14"/>
                <w:color w:val="auto"/>
              </w:rPr>
              <w:t>____________</w:t>
            </w:r>
          </w:p>
        </w:tc>
        <w:tc>
          <w:tcPr>
            <w:tcW w:w="12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bl>
    <w:p>
      <w:pPr>
        <w:ind w:left="160" w:hanging="155"/>
        <w:spacing w:after="0" w:line="190" w:lineRule="auto"/>
        <w:tabs>
          <w:tab w:leader="none" w:pos="160" w:val="left"/>
        </w:tabs>
        <w:numPr>
          <w:ilvl w:val="0"/>
          <w:numId w:val="80"/>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October 11, 2012 Note Exchange and Purchase Agreement with Platinum</w:t>
      </w:r>
    </w:p>
    <w:p>
      <w:pPr>
        <w:spacing w:after="0" w:line="2"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80"/>
        </w:numPr>
        <w:rPr>
          <w:rFonts w:ascii="Arial" w:cs="Arial" w:eastAsia="Arial" w:hAnsi="Arial"/>
          <w:sz w:val="19"/>
          <w:szCs w:val="19"/>
          <w:color w:val="auto"/>
          <w:vertAlign w:val="superscript"/>
        </w:rPr>
      </w:pPr>
      <w:r>
        <w:rPr>
          <w:rFonts w:ascii="Arial" w:cs="Arial" w:eastAsia="Arial" w:hAnsi="Arial"/>
          <w:sz w:val="13"/>
          <w:szCs w:val="13"/>
          <w:color w:val="auto"/>
        </w:rPr>
        <w:t>Assumes conversion under the terms of the October 11, 2012 Note Exchange and Purchase Agreement with Platinum and the terms of the individual notes</w:t>
      </w:r>
    </w:p>
    <w:p>
      <w:pPr>
        <w:spacing w:after="0" w:line="1"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80"/>
        </w:numPr>
        <w:rPr>
          <w:rFonts w:ascii="Arial" w:cs="Arial" w:eastAsia="Arial" w:hAnsi="Arial"/>
          <w:sz w:val="19"/>
          <w:szCs w:val="19"/>
          <w:color w:val="auto"/>
          <w:vertAlign w:val="superscript"/>
        </w:rPr>
      </w:pPr>
      <w:r>
        <w:rPr>
          <w:rFonts w:ascii="Arial" w:cs="Arial" w:eastAsia="Arial" w:hAnsi="Arial"/>
          <w:sz w:val="13"/>
          <w:szCs w:val="13"/>
          <w:color w:val="auto"/>
        </w:rPr>
        <w:t>Excludes effect of conversion premium upon conversion into securities which may be issued in a Qualified Financing, as defined in the notes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7" w:name="page158"/>
    <w:bookmarkEnd w:id="15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91"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In May 2014, the Financial Accounting Standards Board (</w:t>
      </w:r>
      <w:r>
        <w:rPr>
          <w:rFonts w:ascii="Arial" w:cs="Arial" w:eastAsia="Arial" w:hAnsi="Arial"/>
          <w:sz w:val="14"/>
          <w:szCs w:val="14"/>
          <w:i w:val="1"/>
          <w:iCs w:val="1"/>
          <w:color w:val="auto"/>
        </w:rPr>
        <w:t>FASB</w:t>
      </w:r>
      <w:r>
        <w:rPr>
          <w:rFonts w:ascii="Arial" w:cs="Arial" w:eastAsia="Arial" w:hAnsi="Arial"/>
          <w:sz w:val="14"/>
          <w:szCs w:val="14"/>
          <w:color w:val="auto"/>
        </w:rPr>
        <w:t>) issued Accounting Standards Update (</w:t>
      </w:r>
      <w:r>
        <w:rPr>
          <w:rFonts w:ascii="Arial" w:cs="Arial" w:eastAsia="Arial" w:hAnsi="Arial"/>
          <w:sz w:val="14"/>
          <w:szCs w:val="14"/>
          <w:i w:val="1"/>
          <w:iCs w:val="1"/>
          <w:color w:val="auto"/>
        </w:rPr>
        <w:t>ASU</w:t>
      </w:r>
      <w:r>
        <w:rPr>
          <w:rFonts w:ascii="Arial" w:cs="Arial" w:eastAsia="Arial" w:hAnsi="Arial"/>
          <w:sz w:val="14"/>
          <w:szCs w:val="14"/>
          <w:color w:val="auto"/>
        </w:rPr>
        <w:t xml:space="preserve">)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which supersedes the revenue recognition requirements in ASC 605, Revenue Recognition.</w:t>
      </w:r>
      <w:r>
        <w:rPr>
          <w:rFonts w:ascii="Arial" w:cs="Arial" w:eastAsia="Arial" w:hAnsi="Arial"/>
          <w:sz w:val="14"/>
          <w:szCs w:val="14"/>
          <w:i w:val="1"/>
          <w:iCs w:val="1"/>
          <w:color w:val="auto"/>
        </w:rPr>
        <w:t>,</w:t>
      </w:r>
      <w:r>
        <w:rPr>
          <w:rFonts w:ascii="Arial" w:cs="Arial" w:eastAsia="Arial" w:hAnsi="Arial"/>
          <w:sz w:val="14"/>
          <w:szCs w:val="14"/>
          <w:color w:val="auto"/>
        </w:rPr>
        <w:t xml:space="preserve"> The amendment in this ASU provides guidance on revenue recognition to depict the transfer of promised goods or services to customers in an amount that reflects the consideration to which the entity expects to be entitled in exchange for those goods or services. The core principle of this update provides guidance to identify the performance obligations under the contract(s) with a customer and how to allocate the transaction price to the performance obligations in the contract. It further provides guidance to recognize revenue when (or as) the entity satisfies a performance obligation. The ASU is effective for public entities for annual and interim periods beginning after December 15, 2016 (the first quarter of our fiscal year ending March 31, 2018). In April 2015, the FASB proposed to defer for one year the effective date of the new revenue standard, with an option that would permit companies to adopt the standard as early as the original effective date. Early adoption prior to the original effective date is not permitted. We have not determined the potential effects of adopting this ASU on our consolidated financial statements.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 xml:space="preserve">In June 2014, the FASB issued ASU No. 2014-10, </w:t>
      </w:r>
      <w:r>
        <w:rPr>
          <w:rFonts w:ascii="Arial" w:cs="Arial" w:eastAsia="Arial" w:hAnsi="Arial"/>
          <w:sz w:val="14"/>
          <w:szCs w:val="14"/>
          <w:i w:val="1"/>
          <w:iCs w:val="1"/>
          <w:color w:val="auto"/>
        </w:rPr>
        <w:t>Development Stage Entities (Topic 915): Elimination of Certain Financial Reporting Requirements, Including an Amendment to Variable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Entities Guidance in Topic 810, Consolidation</w:t>
      </w:r>
      <w:r>
        <w:rPr>
          <w:rFonts w:ascii="Arial" w:cs="Arial" w:eastAsia="Arial" w:hAnsi="Arial"/>
          <w:sz w:val="14"/>
          <w:szCs w:val="14"/>
          <w:color w:val="auto"/>
        </w:rPr>
        <w:t>. The amendments in this ASU remove all incremental financial reporting requirements for development stage entities. Among other changes, this ASU no</w:t>
      </w:r>
      <w:r>
        <w:rPr>
          <w:rFonts w:ascii="Arial" w:cs="Arial" w:eastAsia="Arial" w:hAnsi="Arial"/>
          <w:sz w:val="14"/>
          <w:szCs w:val="14"/>
          <w:i w:val="1"/>
          <w:iCs w:val="1"/>
          <w:color w:val="auto"/>
        </w:rPr>
        <w:t xml:space="preserve"> </w:t>
      </w:r>
      <w:r>
        <w:rPr>
          <w:rFonts w:ascii="Arial" w:cs="Arial" w:eastAsia="Arial" w:hAnsi="Arial"/>
          <w:sz w:val="14"/>
          <w:szCs w:val="14"/>
          <w:color w:val="auto"/>
        </w:rPr>
        <w:t>longer requires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with early adoption permitted. We have adopted ASU 2014-10 effective with our fiscal year beginning April 1, 2014 and, accordingly, have eliminated inception-to-date information in the accompanying Consolidated Statements of Operations and Comprehensive Loss and Consolidated Statements of Cash Flows.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3"/>
          <w:szCs w:val="13"/>
          <w:color w:val="auto"/>
        </w:rPr>
        <w:t xml:space="preserve">In August 2014, the FASB issued ASU No. 2014-15, </w:t>
      </w:r>
      <w:r>
        <w:rPr>
          <w:rFonts w:ascii="Arial" w:cs="Arial" w:eastAsia="Arial" w:hAnsi="Arial"/>
          <w:sz w:val="13"/>
          <w:szCs w:val="13"/>
          <w:i w:val="1"/>
          <w:iCs w:val="1"/>
          <w:color w:val="auto"/>
        </w:rPr>
        <w:t>Presentation of Financial Statements—Going Concern (Subtopic 205-40): Disclosure of Uncertainties about an Entity’s Ability to Continue as a</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Going Concern. </w:t>
      </w:r>
      <w:r>
        <w:rPr>
          <w:rFonts w:ascii="Arial" w:cs="Arial" w:eastAsia="Arial" w:hAnsi="Arial"/>
          <w:sz w:val="13"/>
          <w:szCs w:val="13"/>
          <w:color w:val="auto"/>
        </w:rPr>
        <w:t>The amendments in this ASU define when and how an entity is required to disclose going concern uncertainties, which must be evaluated each interim and annual period. Specifically,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the ASU requires management to determine whether substantial doubt exists regarding the entity’s going concern presumption. Substantial doubt about an entity’s ability to continue as a going concern exists when relevant conditions and events, considered in the aggregate, indicate that it is probable (as defined under ASC 450, </w:t>
      </w:r>
      <w:r>
        <w:rPr>
          <w:rFonts w:ascii="Arial" w:cs="Arial" w:eastAsia="Arial" w:hAnsi="Arial"/>
          <w:sz w:val="13"/>
          <w:szCs w:val="13"/>
          <w:i w:val="1"/>
          <w:iCs w:val="1"/>
          <w:color w:val="auto"/>
        </w:rPr>
        <w:t>Contingencies</w:t>
      </w:r>
      <w:r>
        <w:rPr>
          <w:rFonts w:ascii="Arial" w:cs="Arial" w:eastAsia="Arial" w:hAnsi="Arial"/>
          <w:sz w:val="13"/>
          <w:szCs w:val="13"/>
          <w:color w:val="auto"/>
        </w:rPr>
        <w:t xml:space="preserve">) that the entity will be unable to meet its obligations as they become due within one year after the date that the financial statements are issued or are available to be issued. If substantial doubt exists, certain disclosures are required, the extent of which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ASU 2014-15 is effective for annual periods ending after December 15, 2016, and interim and annual periods thereafter. Early application is permitted. In their opinion on our audited financial statements for our fiscal year ended March 31, 2015, our auditors indicated that there was substantial doubt about our ability to continue as a going concern. Although we have not yet adopted ASU 2014-15, we have indicated in Note 2, </w:t>
      </w:r>
      <w:r>
        <w:rPr>
          <w:rFonts w:ascii="Arial" w:cs="Arial" w:eastAsia="Arial" w:hAnsi="Arial"/>
          <w:sz w:val="13"/>
          <w:szCs w:val="13"/>
          <w:i w:val="1"/>
          <w:iCs w:val="1"/>
          <w:color w:val="auto"/>
        </w:rPr>
        <w:t>Basis of Presentation and Going Concern</w:t>
      </w:r>
      <w:r>
        <w:rPr>
          <w:rFonts w:ascii="Arial" w:cs="Arial" w:eastAsia="Arial" w:hAnsi="Arial"/>
          <w:sz w:val="13"/>
          <w:szCs w:val="13"/>
          <w:color w:val="auto"/>
        </w:rPr>
        <w:t>, steps we have taken to eliminate certain of our indebtedness and raise additional financing that is expected to permit us to continue our operations for at least one year. Upon our adoption of ASU 2014-15, assuming conditions at such time indicate there is substantial doubt about our ability to continue as a going concern, or that such doubt has been alleviated, we will conform our disclosure to comply with the guidance contained in ASU 2014-15.</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58" w:name="page159"/>
    <w:bookmarkEnd w:id="15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Fair Value Measurements</w:t>
      </w:r>
    </w:p>
    <w:p>
      <w:pPr>
        <w:spacing w:after="0" w:line="191" w:lineRule="exact"/>
        <w:rPr>
          <w:sz w:val="20"/>
          <w:szCs w:val="20"/>
          <w:color w:val="auto"/>
        </w:rPr>
      </w:pPr>
    </w:p>
    <w:p>
      <w:pPr>
        <w:ind w:right="80"/>
        <w:spacing w:after="0" w:line="285" w:lineRule="auto"/>
        <w:rPr>
          <w:sz w:val="20"/>
          <w:szCs w:val="20"/>
          <w:color w:val="auto"/>
        </w:rPr>
      </w:pPr>
      <w:r>
        <w:rPr>
          <w:rFonts w:ascii="Arial" w:cs="Arial" w:eastAsia="Arial" w:hAnsi="Arial"/>
          <w:sz w:val="13"/>
          <w:szCs w:val="13"/>
          <w:color w:val="auto"/>
        </w:rPr>
        <w:t>We follow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56" w:lineRule="exact"/>
        <w:rPr>
          <w:sz w:val="20"/>
          <w:szCs w:val="20"/>
          <w:color w:val="auto"/>
        </w:rPr>
      </w:pPr>
    </w:p>
    <w:p>
      <w:pPr>
        <w:ind w:left="660" w:right="360" w:hanging="250"/>
        <w:spacing w:after="0" w:line="283" w:lineRule="auto"/>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 Quoted prices (unadjusted) in active markets that are accessible at the measurement date for assets or liabilities. The fair value hierarchy gives the highest priority to Level 1</w:t>
      </w:r>
      <w:r>
        <w:rPr>
          <w:rFonts w:ascii="Arial" w:cs="Arial" w:eastAsia="Arial" w:hAnsi="Arial"/>
          <w:sz w:val="14"/>
          <w:szCs w:val="14"/>
          <w:i w:val="1"/>
          <w:iCs w:val="1"/>
          <w:color w:val="auto"/>
        </w:rPr>
        <w:t xml:space="preserve"> </w:t>
      </w:r>
      <w:r>
        <w:rPr>
          <w:rFonts w:ascii="Arial" w:cs="Arial" w:eastAsia="Arial" w:hAnsi="Arial"/>
          <w:sz w:val="14"/>
          <w:szCs w:val="14"/>
          <w:color w:val="auto"/>
        </w:rPr>
        <w:t>inputs.</w:t>
      </w:r>
    </w:p>
    <w:p>
      <w:pPr>
        <w:spacing w:after="0" w:line="152" w:lineRule="exact"/>
        <w:rPr>
          <w:rFonts w:ascii="Arial" w:cs="Arial" w:eastAsia="Arial" w:hAnsi="Arial"/>
          <w:sz w:val="14"/>
          <w:szCs w:val="14"/>
          <w:color w:val="auto"/>
        </w:rPr>
      </w:pPr>
    </w:p>
    <w:p>
      <w:pPr>
        <w:ind w:left="660" w:right="20" w:hanging="250"/>
        <w:spacing w:after="0" w:line="283" w:lineRule="auto"/>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 Inputs other than Level 1 that are observable, either directly or indirectly, such as quoted prices for similar assets or liabilities; quoted prices in markets that are not active; or other</w:t>
      </w:r>
      <w:r>
        <w:rPr>
          <w:rFonts w:ascii="Arial" w:cs="Arial" w:eastAsia="Arial" w:hAnsi="Arial"/>
          <w:sz w:val="14"/>
          <w:szCs w:val="14"/>
          <w:i w:val="1"/>
          <w:iCs w:val="1"/>
          <w:color w:val="auto"/>
        </w:rPr>
        <w:t xml:space="preserve"> </w:t>
      </w:r>
      <w:r>
        <w:rPr>
          <w:rFonts w:ascii="Arial" w:cs="Arial" w:eastAsia="Arial" w:hAnsi="Arial"/>
          <w:sz w:val="14"/>
          <w:szCs w:val="14"/>
          <w:color w:val="auto"/>
        </w:rPr>
        <w:t>inputs that are observable or can be corroborated by observable market data for substantially the full term of the assets or liabilities.</w:t>
      </w:r>
    </w:p>
    <w:p>
      <w:pPr>
        <w:spacing w:after="0" w:line="152" w:lineRule="exact"/>
        <w:rPr>
          <w:rFonts w:ascii="Arial" w:cs="Arial" w:eastAsia="Arial" w:hAnsi="Arial"/>
          <w:sz w:val="14"/>
          <w:szCs w:val="14"/>
          <w:color w:val="auto"/>
        </w:rPr>
      </w:pPr>
    </w:p>
    <w:p>
      <w:pPr>
        <w:ind w:left="660" w:right="280" w:hanging="250"/>
        <w:spacing w:after="0" w:line="283" w:lineRule="auto"/>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i w:val="1"/>
          <w:iCs w:val="1"/>
          <w:color w:val="auto"/>
        </w:rPr>
        <w:t xml:space="preserve">Level 3 </w:t>
      </w:r>
      <w:r>
        <w:rPr>
          <w:rFonts w:ascii="Arial" w:cs="Arial" w:eastAsia="Arial" w:hAnsi="Arial"/>
          <w:sz w:val="14"/>
          <w:szCs w:val="14"/>
          <w:color w:val="auto"/>
        </w:rPr>
        <w:t>— Unobservable inputs (</w:t>
      </w:r>
      <w:r>
        <w:rPr>
          <w:rFonts w:ascii="Arial" w:cs="Arial" w:eastAsia="Arial" w:hAnsi="Arial"/>
          <w:sz w:val="14"/>
          <w:szCs w:val="14"/>
          <w:i w:val="1"/>
          <w:iCs w:val="1"/>
          <w:color w:val="auto"/>
        </w:rPr>
        <w:t xml:space="preserve">i.e., </w:t>
      </w:r>
      <w:r>
        <w:rPr>
          <w:rFonts w:ascii="Arial" w:cs="Arial" w:eastAsia="Arial" w:hAnsi="Arial"/>
          <w:sz w:val="14"/>
          <w:szCs w:val="14"/>
          <w:color w:val="auto"/>
        </w:rPr>
        <w:t>inputs that reflect the reporting entity’s own assumptions about the assumptions that market participants would use in estimating the fair value of an</w:t>
      </w:r>
      <w:r>
        <w:rPr>
          <w:rFonts w:ascii="Arial" w:cs="Arial" w:eastAsia="Arial" w:hAnsi="Arial"/>
          <w:sz w:val="14"/>
          <w:szCs w:val="14"/>
          <w:i w:val="1"/>
          <w:iCs w:val="1"/>
          <w:color w:val="auto"/>
        </w:rPr>
        <w:t xml:space="preserve"> </w:t>
      </w:r>
      <w:r>
        <w:rPr>
          <w:rFonts w:ascii="Arial" w:cs="Arial" w:eastAsia="Arial" w:hAnsi="Arial"/>
          <w:sz w:val="14"/>
          <w:szCs w:val="14"/>
          <w:color w:val="auto"/>
        </w:rPr>
        <w:t>asset or liability) are used when little or no market data is available. The fair value hierarchy gives the lowest priority to Level 3 inputs.</w:t>
      </w:r>
    </w:p>
    <w:p>
      <w:pPr>
        <w:spacing w:after="0" w:line="153" w:lineRule="exact"/>
        <w:rPr>
          <w:sz w:val="20"/>
          <w:szCs w:val="20"/>
          <w:color w:val="auto"/>
        </w:rPr>
      </w:pPr>
    </w:p>
    <w:p>
      <w:pPr>
        <w:ind w:right="240"/>
        <w:spacing w:after="0" w:line="26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 xml:space="preserve">We do not use derivative instruments for hedging of market risks or for trading or speculative purposes. In conjunction with the Senior Secured Convertible Promissory Notes issued to Platinum between October 2012 and July 2013 and the related Platinum Warrants (see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xml:space="preserve">), and the contingently issuable Series A Exchange Warrant (see Note 9, </w:t>
      </w:r>
      <w:r>
        <w:rPr>
          <w:rFonts w:ascii="Arial" w:cs="Arial" w:eastAsia="Arial" w:hAnsi="Arial"/>
          <w:sz w:val="14"/>
          <w:szCs w:val="14"/>
          <w:i w:val="1"/>
          <w:iCs w:val="1"/>
          <w:color w:val="auto"/>
        </w:rPr>
        <w:t>Capital Stock</w:t>
      </w:r>
      <w:r>
        <w:rPr>
          <w:rFonts w:ascii="Arial" w:cs="Arial" w:eastAsia="Arial" w:hAnsi="Arial"/>
          <w:sz w:val="14"/>
          <w:szCs w:val="14"/>
          <w:color w:val="auto"/>
        </w:rPr>
        <w:t>), we determined that the warrants included certain exercise price adjustment features requiring the warrants to be treated as liabilities, which were recorded at their issuance-date estimated fair values. We determined the fair value of the warrant liabilities using a Monte Carlo simulation model with Level 3 inputs. Inputs used to determine fair value include the remaining contractual term of the notes,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income or expense in the Consolidated Statements of Operations and Comprehensive Loss for the fiscal years ended March 31, 2015 and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80" w:type="dxa"/>
            <w:vAlign w:val="bottom"/>
          </w:tcPr>
          <w:p>
            <w:pPr>
              <w:spacing w:after="0"/>
              <w:rPr>
                <w:sz w:val="20"/>
                <w:szCs w:val="20"/>
                <w:color w:val="auto"/>
              </w:rPr>
            </w:pPr>
            <w:r>
              <w:rPr>
                <w:rFonts w:ascii="Arial" w:cs="Arial" w:eastAsia="Arial" w:hAnsi="Arial"/>
                <w:sz w:val="14"/>
                <w:szCs w:val="14"/>
                <w:color w:val="auto"/>
                <w:w w:val="94"/>
              </w:rPr>
              <w:t>The fair value hierarchy for liabilities measured at fair value on a recurring basis is as follows:</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4"/>
        </w:trPr>
        <w:tc>
          <w:tcPr>
            <w:tcW w:w="5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2"/>
              </w:rPr>
              <w:t>Fair Value Measurements at Reporting Date Using</w:t>
            </w:r>
          </w:p>
        </w:tc>
      </w:tr>
      <w:tr>
        <w:trPr>
          <w:trHeight w:val="156"/>
        </w:trPr>
        <w:tc>
          <w:tcPr>
            <w:tcW w:w="5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89"/>
              </w:rPr>
              <w:t>Quoted Prices in</w:t>
            </w: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left="9"/>
              <w:spacing w:after="0"/>
              <w:rPr>
                <w:sz w:val="20"/>
                <w:szCs w:val="20"/>
                <w:color w:val="auto"/>
              </w:rPr>
            </w:pPr>
            <w:r>
              <w:rPr>
                <w:rFonts w:ascii="Arial" w:cs="Arial" w:eastAsia="Arial" w:hAnsi="Arial"/>
                <w:sz w:val="14"/>
                <w:szCs w:val="14"/>
                <w:b w:val="1"/>
                <w:bCs w:val="1"/>
                <w:color w:val="auto"/>
                <w:w w:val="95"/>
              </w:rPr>
              <w:t>Active Markets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r>
      <w:tr>
        <w:trPr>
          <w:trHeight w:val="170"/>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00" w:type="dxa"/>
            <w:vAlign w:val="bottom"/>
          </w:tcPr>
          <w:p>
            <w:pPr>
              <w:jc w:val="center"/>
              <w:ind w:left="9"/>
              <w:spacing w:after="0"/>
              <w:rPr>
                <w:sz w:val="20"/>
                <w:szCs w:val="20"/>
                <w:color w:val="auto"/>
              </w:rPr>
            </w:pPr>
            <w:r>
              <w:rPr>
                <w:rFonts w:ascii="Arial" w:cs="Arial" w:eastAsia="Arial" w:hAnsi="Arial"/>
                <w:sz w:val="14"/>
                <w:szCs w:val="14"/>
                <w:b w:val="1"/>
                <w:bCs w:val="1"/>
                <w:color w:val="auto"/>
                <w:w w:val="96"/>
              </w:rPr>
              <w:t>for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Unobservable</w:t>
            </w:r>
          </w:p>
        </w:tc>
      </w:tr>
      <w:tr>
        <w:trPr>
          <w:trHeight w:val="170"/>
        </w:trPr>
        <w:tc>
          <w:tcPr>
            <w:tcW w:w="5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Inputs</w:t>
            </w:r>
          </w:p>
        </w:tc>
      </w:tr>
      <w:tr>
        <w:trPr>
          <w:trHeight w:val="186"/>
        </w:trPr>
        <w:tc>
          <w:tcPr>
            <w:tcW w:w="5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6"/>
                <w:szCs w:val="16"/>
                <w:color w:val="auto"/>
              </w:rPr>
            </w:pPr>
          </w:p>
        </w:tc>
        <w:tc>
          <w:tcPr>
            <w:tcW w:w="1100" w:type="dxa"/>
            <w:vAlign w:val="bottom"/>
          </w:tcPr>
          <w:p>
            <w:pPr>
              <w:jc w:val="center"/>
              <w:ind w:left="9"/>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r>
      <w:tr>
        <w:trPr>
          <w:trHeight w:val="172"/>
        </w:trPr>
        <w:tc>
          <w:tcPr>
            <w:tcW w:w="5480" w:type="dxa"/>
            <w:vAlign w:val="bottom"/>
          </w:tcPr>
          <w:p>
            <w:pPr>
              <w:spacing w:after="0"/>
              <w:rPr>
                <w:sz w:val="20"/>
                <w:szCs w:val="20"/>
                <w:color w:val="auto"/>
              </w:rPr>
            </w:pPr>
            <w:r>
              <w:rPr>
                <w:rFonts w:ascii="Arial" w:cs="Arial" w:eastAsia="Arial" w:hAnsi="Arial"/>
                <w:sz w:val="14"/>
                <w:szCs w:val="14"/>
                <w:color w:val="auto"/>
              </w:rPr>
              <w:t>March 31, 2015:</w:t>
            </w:r>
          </w:p>
        </w:tc>
        <w:tc>
          <w:tcPr>
            <w:tcW w:w="6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Warrant liability</w:t>
            </w:r>
          </w:p>
        </w:tc>
        <w:tc>
          <w:tcPr>
            <w:tcW w:w="7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1320" w:type="dxa"/>
            <w:vAlign w:val="bottom"/>
            <w:gridSpan w:val="2"/>
            <w:shd w:val="clear" w:color="auto" w:fill="CCEEFF"/>
          </w:tcPr>
          <w:p>
            <w:pPr>
              <w:jc w:val="right"/>
              <w:ind w:right="949"/>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4"/>
              </w:rPr>
              <w:t>-</w:t>
            </w: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3,008,500</w:t>
            </w:r>
          </w:p>
        </w:tc>
      </w:tr>
      <w:tr>
        <w:trPr>
          <w:trHeight w:val="153"/>
        </w:trPr>
        <w:tc>
          <w:tcPr>
            <w:tcW w:w="5480" w:type="dxa"/>
            <w:vAlign w:val="bottom"/>
            <w:tcBorders>
              <w:top w:val="single" w:sz="8" w:color="CCEEFF"/>
            </w:tcBorders>
          </w:tcPr>
          <w:p>
            <w:pPr>
              <w:spacing w:after="0" w:line="153" w:lineRule="exact"/>
              <w:rPr>
                <w:sz w:val="20"/>
                <w:szCs w:val="20"/>
                <w:color w:val="auto"/>
              </w:rPr>
            </w:pPr>
            <w:r>
              <w:rPr>
                <w:rFonts w:ascii="Arial" w:cs="Arial" w:eastAsia="Arial" w:hAnsi="Arial"/>
                <w:sz w:val="14"/>
                <w:szCs w:val="14"/>
                <w:color w:val="auto"/>
              </w:rPr>
              <w:t>March 31, 2014:</w:t>
            </w:r>
          </w:p>
        </w:tc>
        <w:tc>
          <w:tcPr>
            <w:tcW w:w="6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5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Warrant liability</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2,973,900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2,973,900</w:t>
            </w:r>
          </w:p>
        </w:tc>
      </w:tr>
      <w:tr>
        <w:trPr>
          <w:trHeight w:val="461"/>
        </w:trPr>
        <w:tc>
          <w:tcPr>
            <w:tcW w:w="54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ind w:left="120"/>
              <w:spacing w:after="0"/>
              <w:rPr>
                <w:sz w:val="20"/>
                <w:szCs w:val="20"/>
                <w:color w:val="auto"/>
              </w:rPr>
            </w:pPr>
            <w:r>
              <w:rPr>
                <w:rFonts w:ascii="Arial" w:cs="Arial" w:eastAsia="Arial" w:hAnsi="Arial"/>
                <w:sz w:val="14"/>
                <w:szCs w:val="14"/>
                <w:color w:val="auto"/>
              </w:rPr>
              <w:t>F-16</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54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59" w:name="page160"/>
    <w:bookmarkEnd w:id="15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During the fiscal years ended March 31, 2015 and 2014, there were no significant changes to the valuation models used for purposes of determining the fair value of the Level 3 warrant liability.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80" w:type="dxa"/>
            <w:vAlign w:val="bottom"/>
          </w:tcPr>
          <w:p>
            <w:pPr>
              <w:spacing w:after="0"/>
              <w:rPr>
                <w:sz w:val="20"/>
                <w:szCs w:val="20"/>
                <w:color w:val="auto"/>
              </w:rPr>
            </w:pPr>
            <w:r>
              <w:rPr>
                <w:rFonts w:ascii="Arial" w:cs="Arial" w:eastAsia="Arial" w:hAnsi="Arial"/>
                <w:sz w:val="14"/>
                <w:szCs w:val="14"/>
                <w:color w:val="auto"/>
              </w:rPr>
              <w:t>The changes in Level 3 liabilities measured at fair value on a recurring basis are as follows: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48"/>
        </w:trPr>
        <w:tc>
          <w:tcPr>
            <w:tcW w:w="10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Measurements</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Using Significant</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Unobservable</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Inputs</w:t>
            </w:r>
          </w:p>
        </w:tc>
      </w:tr>
      <w:tr>
        <w:trPr>
          <w:trHeight w:val="186"/>
        </w:trPr>
        <w:tc>
          <w:tcPr>
            <w:tcW w:w="10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r>
      <w:tr>
        <w:trPr>
          <w:trHeight w:val="172"/>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Warrant Liability</w:t>
            </w:r>
          </w:p>
        </w:tc>
        <w:tc>
          <w:tcPr>
            <w:tcW w:w="100" w:type="dxa"/>
            <w:vAlign w:val="bottom"/>
          </w:tcPr>
          <w:p>
            <w:pPr>
              <w:spacing w:after="0"/>
              <w:rPr>
                <w:sz w:val="14"/>
                <w:szCs w:val="14"/>
                <w:color w:val="auto"/>
              </w:rPr>
            </w:pP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Balance at March 31, 2013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6,394,000</w:t>
            </w:r>
          </w:p>
        </w:tc>
      </w:t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Recognition of warrant liability upon issuance of Senior Secured Convertible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Promissory Note and warrant to Platinum on July 26, 2013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146,800</w:t>
            </w:r>
          </w:p>
        </w:tc>
      </w:tr>
      <w:tr>
        <w:trPr>
          <w:trHeight w:val="172"/>
        </w:trPr>
        <w:tc>
          <w:tcPr>
            <w:tcW w:w="10080" w:type="dxa"/>
            <w:vAlign w:val="bottom"/>
          </w:tcPr>
          <w:p>
            <w:pPr>
              <w:spacing w:after="0"/>
              <w:rPr>
                <w:sz w:val="20"/>
                <w:szCs w:val="20"/>
                <w:color w:val="auto"/>
              </w:rPr>
            </w:pPr>
            <w:r>
              <w:rPr>
                <w:rFonts w:ascii="Arial" w:cs="Arial" w:eastAsia="Arial" w:hAnsi="Arial"/>
                <w:sz w:val="14"/>
                <w:szCs w:val="14"/>
                <w:color w:val="auto"/>
              </w:rPr>
              <w:t>Mark to market gain included in net loss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(3,566,900)</w:t>
            </w: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Balance at March 31, 2014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2,973,900</w:t>
            </w:r>
          </w:p>
        </w:tc>
      </w:tr>
      <w:tr>
        <w:trPr>
          <w:trHeight w:val="172"/>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Mark to market loss included in net loss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34,600</w:t>
            </w:r>
          </w:p>
        </w:tc>
      </w:tr>
      <w:tr>
        <w:trPr>
          <w:trHeight w:val="170"/>
        </w:trPr>
        <w:tc>
          <w:tcPr>
            <w:tcW w:w="100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10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March 31, 2015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81" w:lineRule="exact"/>
        <w:rPr>
          <w:sz w:val="20"/>
          <w:szCs w:val="20"/>
          <w:color w:val="auto"/>
        </w:rPr>
      </w:pPr>
    </w:p>
    <w:p>
      <w:pPr>
        <w:ind w:right="480"/>
        <w:spacing w:after="0" w:line="298" w:lineRule="auto"/>
        <w:rPr>
          <w:sz w:val="20"/>
          <w:szCs w:val="20"/>
          <w:color w:val="auto"/>
        </w:rPr>
      </w:pPr>
      <w:r>
        <w:rPr>
          <w:rFonts w:ascii="Arial" w:cs="Arial" w:eastAsia="Arial" w:hAnsi="Arial"/>
          <w:sz w:val="13"/>
          <w:szCs w:val="13"/>
          <w:color w:val="auto"/>
        </w:rPr>
        <w:t xml:space="preserve">As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No assets or other liabilities were measured on a recurring basis at fair value at March 31, 2015 or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20"/>
                <w:szCs w:val="20"/>
                <w:color w:val="auto"/>
              </w:rPr>
            </w:pPr>
            <w:r>
              <w:rPr>
                <w:rFonts w:ascii="Arial" w:cs="Arial" w:eastAsia="Arial" w:hAnsi="Arial"/>
                <w:sz w:val="14"/>
                <w:szCs w:val="14"/>
                <w:b w:val="1"/>
                <w:bCs w:val="1"/>
                <w:color w:val="auto"/>
              </w:rPr>
              <w:t>5. Prepaid Expenses and Other Current Assets</w:t>
            </w:r>
          </w:p>
        </w:tc>
        <w:tc>
          <w:tcPr>
            <w:tcW w:w="4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4680" w:type="dxa"/>
            <w:vAlign w:val="bottom"/>
          </w:tcPr>
          <w:p>
            <w:pPr>
              <w:spacing w:after="0"/>
              <w:rPr>
                <w:sz w:val="20"/>
                <w:szCs w:val="20"/>
                <w:color w:val="auto"/>
              </w:rPr>
            </w:pPr>
            <w:r>
              <w:rPr>
                <w:rFonts w:ascii="Arial" w:cs="Arial" w:eastAsia="Arial" w:hAnsi="Arial"/>
                <w:sz w:val="14"/>
                <w:szCs w:val="14"/>
                <w:color w:val="auto"/>
              </w:rPr>
              <w:t>Prepaid expenses and other current assets consist of the following:</w:t>
            </w:r>
          </w:p>
        </w:tc>
        <w:tc>
          <w:tcPr>
            <w:tcW w:w="4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4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46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46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Insurance</w:t>
            </w:r>
          </w:p>
        </w:tc>
        <w:tc>
          <w:tcPr>
            <w:tcW w:w="490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8"/>
              </w:rPr>
              <w:t>27,300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21,800</w:t>
            </w:r>
          </w:p>
        </w:tc>
      </w:tr>
      <w:tr>
        <w:trPr>
          <w:trHeight w:val="170"/>
        </w:trPr>
        <w:tc>
          <w:tcPr>
            <w:tcW w:w="4680" w:type="dxa"/>
            <w:vAlign w:val="bottom"/>
          </w:tcPr>
          <w:p>
            <w:pPr>
              <w:spacing w:after="0"/>
              <w:rPr>
                <w:sz w:val="20"/>
                <w:szCs w:val="20"/>
                <w:color w:val="auto"/>
              </w:rPr>
            </w:pPr>
            <w:r>
              <w:rPr>
                <w:rFonts w:ascii="Arial" w:cs="Arial" w:eastAsia="Arial" w:hAnsi="Arial"/>
                <w:sz w:val="14"/>
                <w:szCs w:val="14"/>
                <w:color w:val="auto"/>
              </w:rPr>
              <w:t>Legal fees</w:t>
            </w:r>
          </w:p>
        </w:tc>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3,400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3,400</w:t>
            </w:r>
          </w:p>
        </w:tc>
      </w:tr>
      <w:tr>
        <w:trPr>
          <w:trHeight w:val="170"/>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Interest receivable on note receivable from sale</w:t>
            </w:r>
          </w:p>
        </w:tc>
        <w:tc>
          <w:tcPr>
            <w:tcW w:w="4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680" w:type="dxa"/>
            <w:vAlign w:val="bottom"/>
          </w:tcPr>
          <w:p>
            <w:pPr>
              <w:spacing w:after="0"/>
              <w:rPr>
                <w:sz w:val="20"/>
                <w:szCs w:val="20"/>
                <w:color w:val="auto"/>
              </w:rPr>
            </w:pPr>
            <w:r>
              <w:rPr>
                <w:rFonts w:ascii="Arial" w:cs="Arial" w:eastAsia="Arial" w:hAnsi="Arial"/>
                <w:sz w:val="14"/>
                <w:szCs w:val="14"/>
                <w:color w:val="auto"/>
              </w:rPr>
              <w:t>of common stock</w:t>
            </w:r>
          </w:p>
        </w:tc>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2,800</w:t>
            </w:r>
          </w:p>
        </w:tc>
      </w:tr>
      <w:tr>
        <w:trPr>
          <w:trHeight w:val="172"/>
        </w:trPr>
        <w:tc>
          <w:tcPr>
            <w:tcW w:w="4680" w:type="dxa"/>
            <w:vAlign w:val="bottom"/>
            <w:shd w:val="clear" w:color="auto" w:fill="CCEEFF"/>
          </w:tcPr>
          <w:p>
            <w:pPr>
              <w:spacing w:after="0"/>
              <w:rPr>
                <w:sz w:val="20"/>
                <w:szCs w:val="20"/>
                <w:color w:val="auto"/>
              </w:rPr>
            </w:pPr>
            <w:r>
              <w:rPr>
                <w:rFonts w:ascii="Arial" w:cs="Arial" w:eastAsia="Arial" w:hAnsi="Arial"/>
                <w:sz w:val="14"/>
                <w:szCs w:val="14"/>
                <w:color w:val="auto"/>
              </w:rPr>
              <w:t>Technology license fees and all other</w:t>
            </w:r>
          </w:p>
        </w:tc>
        <w:tc>
          <w:tcPr>
            <w:tcW w:w="4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12,500</w:t>
            </w:r>
          </w:p>
        </w:tc>
      </w:tr>
      <w:tr>
        <w:trPr>
          <w:trHeight w:val="170"/>
        </w:trPr>
        <w:tc>
          <w:tcPr>
            <w:tcW w:w="4680" w:type="dxa"/>
            <w:vAlign w:val="bottom"/>
            <w:tcBorders>
              <w:top w:val="single" w:sz="8" w:color="CCEEFF"/>
            </w:tcBorders>
          </w:tcPr>
          <w:p>
            <w:pPr>
              <w:spacing w:after="0"/>
              <w:rPr>
                <w:sz w:val="14"/>
                <w:szCs w:val="14"/>
                <w:color w:val="auto"/>
              </w:rPr>
            </w:pPr>
          </w:p>
        </w:tc>
        <w:tc>
          <w:tcPr>
            <w:tcW w:w="416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4680" w:type="dxa"/>
            <w:vAlign w:val="bottom"/>
            <w:shd w:val="clear" w:color="auto" w:fill="CCEEFF"/>
          </w:tcPr>
          <w:p>
            <w:pPr>
              <w:spacing w:after="0"/>
              <w:rPr>
                <w:sz w:val="18"/>
                <w:szCs w:val="18"/>
                <w:color w:val="auto"/>
              </w:rPr>
            </w:pPr>
          </w:p>
        </w:tc>
        <w:tc>
          <w:tcPr>
            <w:tcW w:w="4900" w:type="dxa"/>
            <w:vAlign w:val="bottom"/>
            <w:gridSpan w:val="2"/>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8"/>
              </w:rPr>
              <w:t>35,700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40,500</w:t>
            </w:r>
          </w:p>
        </w:tc>
      </w:tr>
      <w:tr>
        <w:trPr>
          <w:trHeight w:val="461"/>
        </w:trPr>
        <w:tc>
          <w:tcPr>
            <w:tcW w:w="4680" w:type="dxa"/>
            <w:vAlign w:val="bottom"/>
            <w:tcBorders>
              <w:top w:val="single" w:sz="8" w:color="CCEEFF"/>
            </w:tcBorders>
          </w:tcPr>
          <w:p>
            <w:pPr>
              <w:spacing w:after="0"/>
              <w:rPr>
                <w:sz w:val="24"/>
                <w:szCs w:val="24"/>
                <w:color w:val="auto"/>
              </w:rPr>
            </w:pPr>
          </w:p>
        </w:tc>
        <w:tc>
          <w:tcPr>
            <w:tcW w:w="4160" w:type="dxa"/>
            <w:vAlign w:val="bottom"/>
            <w:tcBorders>
              <w:top w:val="single" w:sz="8" w:color="CCEEFF"/>
            </w:tcBorders>
          </w:tcPr>
          <w:p>
            <w:pPr>
              <w:ind w:left="920"/>
              <w:spacing w:after="0"/>
              <w:rPr>
                <w:sz w:val="20"/>
                <w:szCs w:val="20"/>
                <w:color w:val="auto"/>
              </w:rPr>
            </w:pPr>
            <w:r>
              <w:rPr>
                <w:rFonts w:ascii="Arial" w:cs="Arial" w:eastAsia="Arial" w:hAnsi="Arial"/>
                <w:sz w:val="14"/>
                <w:szCs w:val="14"/>
                <w:color w:val="auto"/>
              </w:rPr>
              <w:t>F-17</w:t>
            </w:r>
          </w:p>
        </w:tc>
        <w:tc>
          <w:tcPr>
            <w:tcW w:w="7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4680" w:type="dxa"/>
            <w:vAlign w:val="bottom"/>
            <w:tcBorders>
              <w:bottom w:val="single" w:sz="8" w:color="808080"/>
            </w:tcBorders>
          </w:tcPr>
          <w:p>
            <w:pPr>
              <w:spacing w:after="0"/>
              <w:rPr>
                <w:sz w:val="7"/>
                <w:szCs w:val="7"/>
                <w:color w:val="auto"/>
              </w:rPr>
            </w:pPr>
          </w:p>
        </w:tc>
        <w:tc>
          <w:tcPr>
            <w:tcW w:w="416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49"/>
        </w:trPr>
        <w:tc>
          <w:tcPr>
            <w:tcW w:w="336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5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5720" w:type="dxa"/>
            <w:vAlign w:val="bottom"/>
            <w:gridSpan w:val="2"/>
          </w:tcPr>
          <w:p>
            <w:pPr>
              <w:jc w:val="right"/>
              <w:ind w:right="2220"/>
              <w:spacing w:after="0"/>
              <w:rPr>
                <w:sz w:val="20"/>
                <w:szCs w:val="20"/>
                <w:color w:val="auto"/>
              </w:rPr>
            </w:pPr>
            <w:r>
              <w:rPr>
                <w:rFonts w:ascii="Arial" w:cs="Arial" w:eastAsia="Arial" w:hAnsi="Arial"/>
                <w:sz w:val="14"/>
                <w:szCs w:val="14"/>
                <w:b w:val="1"/>
                <w:bCs w:val="1"/>
                <w:color w:val="auto"/>
              </w:rPr>
              <w:t>VISTAGEN THERAPEUTICS, INC.</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6. Property and Equipment</w:t>
            </w:r>
          </w:p>
        </w:tc>
        <w:tc>
          <w:tcPr>
            <w:tcW w:w="572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rPr>
              <w:t>NOTES TO CONSOLIDATED FINANCIAL STATEMENTS</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360" w:type="dxa"/>
            <w:vAlign w:val="bottom"/>
            <w:gridSpan w:val="2"/>
            <w:vMerge w:val="continue"/>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3360" w:type="dxa"/>
            <w:vAlign w:val="bottom"/>
            <w:gridSpan w:val="2"/>
          </w:tcPr>
          <w:p>
            <w:pPr>
              <w:spacing w:after="0"/>
              <w:rPr>
                <w:sz w:val="20"/>
                <w:szCs w:val="20"/>
                <w:color w:val="auto"/>
              </w:rPr>
            </w:pPr>
            <w:r>
              <w:rPr>
                <w:rFonts w:ascii="Arial" w:cs="Arial" w:eastAsia="Arial" w:hAnsi="Arial"/>
                <w:sz w:val="14"/>
                <w:szCs w:val="14"/>
                <w:color w:val="auto"/>
              </w:rPr>
              <w:t>Property and equipment consists of the following:</w:t>
            </w:r>
          </w:p>
        </w:tc>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Laboratory equipment</w:t>
            </w:r>
          </w:p>
        </w:tc>
        <w:tc>
          <w:tcPr>
            <w:tcW w:w="5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653,600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653,600</w:t>
            </w:r>
          </w:p>
        </w:tc>
        <w:tc>
          <w:tcPr>
            <w:tcW w:w="0" w:type="dxa"/>
            <w:vAlign w:val="bottom"/>
          </w:tcPr>
          <w:p>
            <w:pPr>
              <w:spacing w:after="0"/>
              <w:rPr>
                <w:sz w:val="1"/>
                <w:szCs w:val="1"/>
                <w:color w:val="auto"/>
              </w:rPr>
            </w:pPr>
          </w:p>
        </w:tc>
      </w:tr>
      <w:tr>
        <w:trPr>
          <w:trHeight w:val="170"/>
        </w:trPr>
        <w:tc>
          <w:tcPr>
            <w:tcW w:w="3360" w:type="dxa"/>
            <w:vAlign w:val="bottom"/>
            <w:gridSpan w:val="2"/>
          </w:tcPr>
          <w:p>
            <w:pPr>
              <w:spacing w:after="0"/>
              <w:rPr>
                <w:sz w:val="20"/>
                <w:szCs w:val="20"/>
                <w:color w:val="auto"/>
              </w:rPr>
            </w:pPr>
            <w:r>
              <w:rPr>
                <w:rFonts w:ascii="Arial" w:cs="Arial" w:eastAsia="Arial" w:hAnsi="Arial"/>
                <w:sz w:val="14"/>
                <w:szCs w:val="14"/>
                <w:color w:val="auto"/>
              </w:rPr>
              <w:t>Tenant improvements</w:t>
            </w: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26,900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26,900</w:t>
            </w:r>
          </w:p>
        </w:tc>
        <w:tc>
          <w:tcPr>
            <w:tcW w:w="0" w:type="dxa"/>
            <w:vAlign w:val="bottom"/>
          </w:tcPr>
          <w:p>
            <w:pPr>
              <w:spacing w:after="0"/>
              <w:rPr>
                <w:sz w:val="1"/>
                <w:szCs w:val="1"/>
                <w:color w:val="auto"/>
              </w:rPr>
            </w:pPr>
          </w:p>
        </w:tc>
      </w:tr>
      <w:tr>
        <w:trPr>
          <w:trHeight w:val="170"/>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Computers and network equipment</w:t>
            </w:r>
          </w:p>
        </w:tc>
        <w:tc>
          <w:tcPr>
            <w:tcW w:w="5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32,200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32,200</w:t>
            </w:r>
          </w:p>
        </w:tc>
        <w:tc>
          <w:tcPr>
            <w:tcW w:w="0" w:type="dxa"/>
            <w:vAlign w:val="bottom"/>
          </w:tcPr>
          <w:p>
            <w:pPr>
              <w:spacing w:after="0"/>
              <w:rPr>
                <w:sz w:val="1"/>
                <w:szCs w:val="1"/>
                <w:color w:val="auto"/>
              </w:rPr>
            </w:pPr>
          </w:p>
        </w:tc>
      </w:tr>
      <w:tr>
        <w:trPr>
          <w:trHeight w:val="170"/>
        </w:trPr>
        <w:tc>
          <w:tcPr>
            <w:tcW w:w="3360" w:type="dxa"/>
            <w:vAlign w:val="bottom"/>
            <w:gridSpan w:val="2"/>
          </w:tcPr>
          <w:p>
            <w:pPr>
              <w:spacing w:after="0"/>
              <w:rPr>
                <w:sz w:val="20"/>
                <w:szCs w:val="20"/>
                <w:color w:val="auto"/>
              </w:rPr>
            </w:pPr>
            <w:r>
              <w:rPr>
                <w:rFonts w:ascii="Arial" w:cs="Arial" w:eastAsia="Arial" w:hAnsi="Arial"/>
                <w:sz w:val="14"/>
                <w:szCs w:val="14"/>
                <w:color w:val="auto"/>
              </w:rPr>
              <w:t>Office furniture and equipment</w:t>
            </w: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69,500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69,500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5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782,200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782,200</w:t>
            </w: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depreciation and amortization</w:t>
            </w:r>
          </w:p>
        </w:tc>
        <w:tc>
          <w:tcPr>
            <w:tcW w:w="5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(665,100)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(605,900)</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2460" w:type="dxa"/>
            <w:vAlign w:val="bottom"/>
            <w:tcBorders>
              <w:top w:val="single" w:sz="8" w:color="CCEEFF"/>
            </w:tcBorders>
          </w:tcPr>
          <w:p>
            <w:pPr>
              <w:spacing w:after="0"/>
              <w:rPr>
                <w:sz w:val="14"/>
                <w:szCs w:val="14"/>
                <w:color w:val="auto"/>
              </w:rPr>
            </w:pPr>
          </w:p>
        </w:tc>
        <w:tc>
          <w:tcPr>
            <w:tcW w:w="54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5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117,100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176,300</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 xml:space="preserve">In connection with the issuance of Senior Secured Convertible Promissory Notes to Platinum beginning in October 2012, we entered into a Security Agreement with Platinum under which the repayment of all amounts due under the terms of the various Senior Secured Convertible Promissory Notes is secured by all of our assets, including our tangible and intangible personal property, licenses, patent licenses, trademarks and trademark licenses (see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xml:space="preserve">). As described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during May 2015, we entered into an agreement with Platinum pursuant to which Platinum converted all of the Senior Secured Convertible Promissory Notes it held into shares of our newly created Series B Preferred stock and terminated its security interests in our assets.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20"/>
                <w:szCs w:val="20"/>
                <w:color w:val="auto"/>
              </w:rPr>
            </w:pPr>
            <w:r>
              <w:rPr>
                <w:rFonts w:ascii="Arial" w:cs="Arial" w:eastAsia="Arial" w:hAnsi="Arial"/>
                <w:sz w:val="14"/>
                <w:szCs w:val="14"/>
                <w:b w:val="1"/>
                <w:bCs w:val="1"/>
                <w:color w:val="auto"/>
              </w:rPr>
              <w:t>7. Accrued Expenses</w:t>
            </w:r>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3660" w:type="dxa"/>
            <w:vAlign w:val="bottom"/>
          </w:tcPr>
          <w:p>
            <w:pPr>
              <w:spacing w:after="0"/>
              <w:rPr>
                <w:sz w:val="20"/>
                <w:szCs w:val="20"/>
                <w:color w:val="auto"/>
              </w:rPr>
            </w:pPr>
            <w:r>
              <w:rPr>
                <w:rFonts w:ascii="Arial" w:cs="Arial" w:eastAsia="Arial" w:hAnsi="Arial"/>
                <w:sz w:val="14"/>
                <w:szCs w:val="14"/>
                <w:color w:val="auto"/>
              </w:rPr>
              <w:t>Accrued expenses consist of:</w:t>
            </w:r>
          </w:p>
        </w:tc>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36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36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36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Accrued professional services</w:t>
            </w:r>
          </w:p>
        </w:tc>
        <w:tc>
          <w:tcPr>
            <w:tcW w:w="5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213,800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135,700</w:t>
            </w:r>
          </w:p>
        </w:tc>
      </w:tr>
      <w:tr>
        <w:trPr>
          <w:trHeight w:val="170"/>
        </w:trPr>
        <w:tc>
          <w:tcPr>
            <w:tcW w:w="3660" w:type="dxa"/>
            <w:vAlign w:val="bottom"/>
          </w:tcPr>
          <w:p>
            <w:pPr>
              <w:spacing w:after="0"/>
              <w:rPr>
                <w:sz w:val="20"/>
                <w:szCs w:val="20"/>
                <w:color w:val="auto"/>
              </w:rPr>
            </w:pPr>
            <w:r>
              <w:rPr>
                <w:rFonts w:ascii="Arial" w:cs="Arial" w:eastAsia="Arial" w:hAnsi="Arial"/>
                <w:sz w:val="14"/>
                <w:szCs w:val="14"/>
                <w:color w:val="auto"/>
              </w:rPr>
              <w:t>Accrued compensation</w:t>
            </w:r>
          </w:p>
        </w:tc>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990,700</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489,900</w:t>
            </w:r>
          </w:p>
        </w:tc>
      </w:tr>
      <w:tr>
        <w:trPr>
          <w:trHeight w:val="172"/>
        </w:trPr>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All other</w:t>
            </w:r>
          </w:p>
        </w:tc>
        <w:tc>
          <w:tcPr>
            <w:tcW w:w="5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3660" w:type="dxa"/>
            <w:vAlign w:val="bottom"/>
            <w:tcBorders>
              <w:top w:val="single" w:sz="8" w:color="CCEEFF"/>
            </w:tcBorders>
          </w:tcPr>
          <w:p>
            <w:pPr>
              <w:spacing w:after="0"/>
              <w:rPr>
                <w:sz w:val="14"/>
                <w:szCs w:val="14"/>
                <w:color w:val="auto"/>
              </w:rPr>
            </w:pPr>
          </w:p>
        </w:tc>
        <w:tc>
          <w:tcPr>
            <w:tcW w:w="51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366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1,206,500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625,600</w:t>
            </w:r>
          </w:p>
        </w:tc>
      </w:tr>
      <w:tr>
        <w:trPr>
          <w:trHeight w:val="653"/>
        </w:trPr>
        <w:tc>
          <w:tcPr>
            <w:tcW w:w="3660" w:type="dxa"/>
            <w:vAlign w:val="bottom"/>
            <w:tcBorders>
              <w:top w:val="single" w:sz="8" w:color="CCEEFF"/>
            </w:tcBorders>
          </w:tcPr>
          <w:p>
            <w:pPr>
              <w:spacing w:after="0"/>
              <w:rPr>
                <w:sz w:val="24"/>
                <w:szCs w:val="24"/>
                <w:color w:val="auto"/>
              </w:rPr>
            </w:pPr>
          </w:p>
        </w:tc>
        <w:tc>
          <w:tcPr>
            <w:tcW w:w="5180" w:type="dxa"/>
            <w:vAlign w:val="bottom"/>
            <w:tcBorders>
              <w:top w:val="single" w:sz="8" w:color="CCEEFF"/>
            </w:tcBorders>
          </w:tcPr>
          <w:p>
            <w:pPr>
              <w:ind w:left="1940"/>
              <w:spacing w:after="0"/>
              <w:rPr>
                <w:sz w:val="20"/>
                <w:szCs w:val="20"/>
                <w:color w:val="auto"/>
              </w:rPr>
            </w:pPr>
            <w:r>
              <w:rPr>
                <w:rFonts w:ascii="Arial" w:cs="Arial" w:eastAsia="Arial" w:hAnsi="Arial"/>
                <w:sz w:val="14"/>
                <w:szCs w:val="14"/>
                <w:color w:val="auto"/>
              </w:rPr>
              <w:t>F-18</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3660" w:type="dxa"/>
            <w:vAlign w:val="bottom"/>
            <w:tcBorders>
              <w:bottom w:val="single" w:sz="8" w:color="808080"/>
            </w:tcBorders>
          </w:tcPr>
          <w:p>
            <w:pPr>
              <w:spacing w:after="0"/>
              <w:rPr>
                <w:sz w:val="7"/>
                <w:szCs w:val="7"/>
                <w:color w:val="auto"/>
              </w:rPr>
            </w:pPr>
          </w:p>
        </w:tc>
        <w:tc>
          <w:tcPr>
            <w:tcW w:w="51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49"/>
        </w:trPr>
        <w:tc>
          <w:tcPr>
            <w:tcW w:w="334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VISTAGEN THERAPEUTICS, INC.</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8. Convertible Promissory Notes and Other Notes Payable</w:t>
            </w:r>
          </w:p>
        </w:tc>
        <w:tc>
          <w:tcPr>
            <w:tcW w:w="4120" w:type="dxa"/>
            <w:vAlign w:val="bottom"/>
            <w:gridSpan w:val="11"/>
          </w:tcPr>
          <w:p>
            <w:pPr>
              <w:jc w:val="right"/>
              <w:ind w:right="49"/>
              <w:spacing w:after="0"/>
              <w:rPr>
                <w:sz w:val="20"/>
                <w:szCs w:val="20"/>
                <w:color w:val="auto"/>
              </w:rPr>
            </w:pPr>
            <w:r>
              <w:rPr>
                <w:rFonts w:ascii="Arial" w:cs="Arial" w:eastAsia="Arial" w:hAnsi="Arial"/>
                <w:sz w:val="14"/>
                <w:szCs w:val="14"/>
                <w:b w:val="1"/>
                <w:bCs w:val="1"/>
                <w:color w:val="auto"/>
              </w:rPr>
              <w:t>NOTES TO CONSOLIDATED FINANCIAL STATEMENTS</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8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7500" w:type="dxa"/>
            <w:vAlign w:val="bottom"/>
            <w:gridSpan w:val="13"/>
          </w:tcPr>
          <w:p>
            <w:pPr>
              <w:spacing w:after="0"/>
              <w:rPr>
                <w:sz w:val="20"/>
                <w:szCs w:val="20"/>
                <w:color w:val="auto"/>
              </w:rPr>
            </w:pPr>
            <w:r>
              <w:rPr>
                <w:rFonts w:ascii="Arial" w:cs="Arial" w:eastAsia="Arial" w:hAnsi="Arial"/>
                <w:sz w:val="14"/>
                <w:szCs w:val="14"/>
                <w:color w:val="auto"/>
                <w:w w:val="99"/>
              </w:rPr>
              <w:t>The following table summarizes the components of the Company’s convertible promissory notes and other notes payable:</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2015</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2"/>
              </w:rPr>
              <w:t>March 31, 2014</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420"/>
              <w:spacing w:after="0" w:line="160" w:lineRule="exact"/>
              <w:rPr>
                <w:sz w:val="20"/>
                <w:szCs w:val="20"/>
                <w:color w:val="auto"/>
              </w:rPr>
            </w:pPr>
            <w:r>
              <w:rPr>
                <w:rFonts w:ascii="Arial" w:cs="Arial" w:eastAsia="Arial" w:hAnsi="Arial"/>
                <w:sz w:val="14"/>
                <w:szCs w:val="14"/>
                <w:color w:val="auto"/>
              </w:rPr>
              <w:t>Principal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line="160" w:lineRule="exact"/>
              <w:rPr>
                <w:sz w:val="20"/>
                <w:szCs w:val="20"/>
                <w:color w:val="auto"/>
              </w:rPr>
            </w:pPr>
            <w:r>
              <w:rPr>
                <w:rFonts w:ascii="Arial" w:cs="Arial" w:eastAsia="Arial" w:hAnsi="Arial"/>
                <w:sz w:val="14"/>
                <w:szCs w:val="14"/>
                <w:color w:val="auto"/>
                <w:w w:val="93"/>
              </w:rPr>
              <w:t>Accrued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460"/>
              <w:spacing w:after="0" w:line="160" w:lineRule="exact"/>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460"/>
              <w:spacing w:after="0" w:line="160" w:lineRule="exact"/>
              <w:rPr>
                <w:sz w:val="20"/>
                <w:szCs w:val="20"/>
                <w:color w:val="auto"/>
              </w:rPr>
            </w:pPr>
            <w:r>
              <w:rPr>
                <w:rFonts w:ascii="Arial" w:cs="Arial" w:eastAsia="Arial" w:hAnsi="Arial"/>
                <w:sz w:val="14"/>
                <w:szCs w:val="14"/>
                <w:color w:val="auto"/>
              </w:rPr>
              <w:t>Accrued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Balance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0"/>
        </w:trPr>
        <w:tc>
          <w:tcPr>
            <w:tcW w:w="3340" w:type="dxa"/>
            <w:vAlign w:val="bottom"/>
            <w:gridSpan w:val="2"/>
          </w:tcPr>
          <w:p>
            <w:pPr>
              <w:ind w:left="260"/>
              <w:spacing w:after="0" w:line="160" w:lineRule="exact"/>
              <w:rPr>
                <w:sz w:val="20"/>
                <w:szCs w:val="20"/>
                <w:color w:val="auto"/>
              </w:rPr>
            </w:pPr>
            <w:r>
              <w:rPr>
                <w:rFonts w:ascii="Arial" w:cs="Arial" w:eastAsia="Arial" w:hAnsi="Arial"/>
                <w:sz w:val="14"/>
                <w:szCs w:val="14"/>
                <w:b w:val="1"/>
                <w:bCs w:val="1"/>
                <w:i w:val="1"/>
                <w:iCs w:val="1"/>
                <w:color w:val="auto"/>
              </w:rPr>
              <w:t>Senior Secured 10% Convertible Promissory</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Notes issued to Platinum:</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Exchange Note issued on October 11, 2012</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1,272,600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360,200</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1,632,800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1,272,600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1,476,000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Investment Note issued on October 11, 2012</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141,500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641,500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79,900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579,900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Investment Note issued on October 19, 2012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640,100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78,600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578,600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Investment Note issued on February 22, 2013</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59,100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309,100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29,400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279,400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Investment Note issued on March 12, 2013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922,600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84,100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834,100</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3,272,600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873,500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4,146,100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3,272,600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475,400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3,748,000</w:t>
            </w: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40" w:type="dxa"/>
            <w:vAlign w:val="bottom"/>
            <w:gridSpan w:val="2"/>
          </w:tcPr>
          <w:p>
            <w:pPr>
              <w:ind w:left="380"/>
              <w:spacing w:after="0" w:line="160" w:lineRule="exact"/>
              <w:rPr>
                <w:sz w:val="20"/>
                <w:szCs w:val="20"/>
                <w:color w:val="auto"/>
              </w:rPr>
            </w:pPr>
            <w:r>
              <w:rPr>
                <w:rFonts w:ascii="Arial" w:cs="Arial" w:eastAsia="Arial" w:hAnsi="Arial"/>
                <w:sz w:val="14"/>
                <w:szCs w:val="14"/>
                <w:color w:val="auto"/>
              </w:rPr>
              <w:t>Convertible promissory note issued on July 26,</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20"/>
                <w:szCs w:val="20"/>
                <w:color w:val="auto"/>
              </w:rPr>
            </w:pPr>
            <w:r>
              <w:rPr>
                <w:rFonts w:ascii="Arial" w:cs="Arial" w:eastAsia="Arial" w:hAnsi="Arial"/>
                <w:sz w:val="14"/>
                <w:szCs w:val="14"/>
                <w:color w:val="auto"/>
              </w:rPr>
              <w:t>2013</w:t>
            </w: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46,200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296,200</w:t>
            </w: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17,700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267,700</w:t>
            </w: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Senior notes</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3,522,600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4,442,300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3,522,600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4,015,700</w:t>
            </w: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Aggregate note discount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(2,085,900)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(2,085,900)</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Net Senior notes</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3,522,600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919,700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4,442,300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1,436,700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493,100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1,929,800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(3,272,600)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(873,500)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(4,146,100)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Senior notes - non-current portion and discount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46,200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296,200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1,436,700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493,100</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1,929,800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900" w:type="dxa"/>
            <w:vAlign w:val="bottom"/>
            <w:tcBorders>
              <w:bottom w:val="single" w:sz="8" w:color="auto"/>
            </w:tcBorders>
            <w:shd w:val="clear" w:color="auto" w:fill="CCEEFF"/>
          </w:tcPr>
          <w:p>
            <w:pPr>
              <w:spacing w:after="0"/>
              <w:rPr>
                <w:sz w:val="13"/>
                <w:szCs w:val="13"/>
                <w:color w:val="auto"/>
              </w:rPr>
            </w:pPr>
          </w:p>
        </w:tc>
        <w:tc>
          <w:tcPr>
            <w:tcW w:w="24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w w:val="96"/>
              </w:rPr>
              <w:t>10% Convertible Promissory Notes (Unit Notes)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2013 Unit Notes, due 7/31/14</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1,007,500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35,700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1,043,200</w:t>
            </w:r>
          </w:p>
        </w:tc>
        <w:tc>
          <w:tcPr>
            <w:tcW w:w="0" w:type="dxa"/>
            <w:vAlign w:val="bottom"/>
          </w:tcPr>
          <w:p>
            <w:pPr>
              <w:spacing w:after="0"/>
              <w:rPr>
                <w:sz w:val="1"/>
                <w:szCs w:val="1"/>
                <w:color w:val="auto"/>
              </w:rPr>
            </w:pPr>
          </w:p>
        </w:tc>
      </w:tr>
      <w:tr>
        <w:trPr>
          <w:trHeight w:val="160"/>
        </w:trPr>
        <w:tc>
          <w:tcPr>
            <w:tcW w:w="3340" w:type="dxa"/>
            <w:vAlign w:val="bottom"/>
            <w:gridSpan w:val="2"/>
          </w:tcPr>
          <w:p>
            <w:pPr>
              <w:ind w:left="380"/>
              <w:spacing w:after="0" w:line="160" w:lineRule="exact"/>
              <w:rPr>
                <w:sz w:val="20"/>
                <w:szCs w:val="20"/>
                <w:color w:val="auto"/>
              </w:rPr>
            </w:pPr>
            <w:r>
              <w:rPr>
                <w:rFonts w:ascii="Arial" w:cs="Arial" w:eastAsia="Arial" w:hAnsi="Arial"/>
                <w:sz w:val="14"/>
                <w:szCs w:val="14"/>
                <w:color w:val="auto"/>
                <w:w w:val="99"/>
              </w:rPr>
              <w:t>2014 Unit Notes, including amended notes, due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20"/>
                <w:szCs w:val="20"/>
                <w:color w:val="auto"/>
              </w:rPr>
            </w:pPr>
            <w:r>
              <w:rPr>
                <w:rFonts w:ascii="Arial" w:cs="Arial" w:eastAsia="Arial" w:hAnsi="Arial"/>
                <w:sz w:val="14"/>
                <w:szCs w:val="14"/>
                <w:color w:val="auto"/>
              </w:rPr>
              <w:t>3/31/15</w:t>
            </w:r>
          </w:p>
        </w:tc>
        <w:tc>
          <w:tcPr>
            <w:tcW w:w="2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4,066,900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270,700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4,337,600</w:t>
            </w: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50,200</w:t>
            </w: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4,066,900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4,337,600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1,057,500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35,900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1,093,400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Note discounts</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(180,000)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(180,000)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(697,400)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(697,400)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convertible notes (all current)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3,886,900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270,700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4,157,600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360,100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396,000</w:t>
            </w:r>
          </w:p>
        </w:tc>
        <w:tc>
          <w:tcPr>
            <w:tcW w:w="0" w:type="dxa"/>
            <w:vAlign w:val="bottom"/>
          </w:tcPr>
          <w:p>
            <w:pPr>
              <w:spacing w:after="0"/>
              <w:rPr>
                <w:sz w:val="1"/>
                <w:szCs w:val="1"/>
                <w:color w:val="auto"/>
              </w:rPr>
            </w:pPr>
          </w:p>
        </w:tc>
      </w:tr>
      <w:tr>
        <w:trPr>
          <w:trHeight w:val="154"/>
        </w:trPr>
        <w:tc>
          <w:tcPr>
            <w:tcW w:w="900" w:type="dxa"/>
            <w:vAlign w:val="bottom"/>
            <w:tcBorders>
              <w:top w:val="single" w:sz="8" w:color="CCEEFF"/>
              <w:bottom w:val="single" w:sz="8" w:color="auto"/>
            </w:tcBorders>
          </w:tcPr>
          <w:p>
            <w:pPr>
              <w:spacing w:after="0"/>
              <w:rPr>
                <w:sz w:val="13"/>
                <w:szCs w:val="13"/>
                <w:color w:val="auto"/>
              </w:rPr>
            </w:pPr>
          </w:p>
        </w:tc>
        <w:tc>
          <w:tcPr>
            <w:tcW w:w="2440" w:type="dxa"/>
            <w:vAlign w:val="bottom"/>
            <w:tcBorders>
              <w:top w:val="single" w:sz="8" w:color="CCEEFF"/>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140" w:type="dxa"/>
            <w:vAlign w:val="bottom"/>
            <w:tcBorders>
              <w:top w:val="single" w:sz="8" w:color="CCEEFF"/>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CCEEFF"/>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CCEEFF"/>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CCEEFF"/>
              <w:bottom w:val="single" w:sz="8" w:color="auto"/>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CCEEFF"/>
              <w:bottom w:val="single" w:sz="8" w:color="auto"/>
            </w:tcBorders>
          </w:tcPr>
          <w:p>
            <w:pPr>
              <w:spacing w:after="0"/>
              <w:rPr>
                <w:sz w:val="13"/>
                <w:szCs w:val="13"/>
                <w:color w:val="auto"/>
              </w:rPr>
            </w:pPr>
          </w:p>
        </w:tc>
        <w:tc>
          <w:tcPr>
            <w:tcW w:w="80" w:type="dxa"/>
            <w:vAlign w:val="bottom"/>
            <w:tcBorders>
              <w:top w:val="single" w:sz="8" w:color="CCEEFF"/>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rPr>
              <w:t>Notes Payable to unrelated parties: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7.5% Notes payable to service providers for</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w w:val="98"/>
              </w:rPr>
              <w:t>accounts payable converted to notes payable: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Burr, Pilger, Mayer</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90,400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103,500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90,400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97,200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Desjardins</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156,300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24,100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180,400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178,600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14,100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192,700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McCarthy Tetrault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319,700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365,700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360,900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24,800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385,700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August 2012 Morrison &amp; Foerster Note A</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918,200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193,200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1,111,400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918,200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87,900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1,006,100</w:t>
            </w: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line="171" w:lineRule="exact"/>
              <w:rPr>
                <w:sz w:val="20"/>
                <w:szCs w:val="20"/>
                <w:color w:val="auto"/>
              </w:rPr>
            </w:pPr>
            <w:r>
              <w:rPr>
                <w:rFonts w:ascii="Arial" w:cs="Arial" w:eastAsia="Arial" w:hAnsi="Arial"/>
                <w:sz w:val="14"/>
                <w:szCs w:val="14"/>
                <w:color w:val="auto"/>
              </w:rPr>
              <w:t xml:space="preserve">August 2012 Morrison &amp; Foerster Note B </w:t>
            </w:r>
            <w:r>
              <w:rPr>
                <w:rFonts w:ascii="Arial" w:cs="Arial" w:eastAsia="Arial" w:hAnsi="Arial"/>
                <w:sz w:val="19"/>
                <w:szCs w:val="19"/>
                <w:color w:val="auto"/>
                <w:vertAlign w:val="superscript"/>
              </w:rPr>
              <w:t>(1)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1,379,400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333,100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1,712,500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1,379,400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195,200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1,574,600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line="171" w:lineRule="exact"/>
              <w:rPr>
                <w:sz w:val="20"/>
                <w:szCs w:val="20"/>
                <w:color w:val="auto"/>
              </w:rPr>
            </w:pPr>
            <w:r>
              <w:rPr>
                <w:rFonts w:ascii="Arial" w:cs="Arial" w:eastAsia="Arial" w:hAnsi="Arial"/>
                <w:sz w:val="14"/>
                <w:szCs w:val="14"/>
                <w:color w:val="auto"/>
              </w:rPr>
              <w:t xml:space="preserve">University Health Network </w:t>
            </w:r>
            <w:r>
              <w:rPr>
                <w:rFonts w:ascii="Arial" w:cs="Arial" w:eastAsia="Arial" w:hAnsi="Arial"/>
                <w:sz w:val="19"/>
                <w:szCs w:val="19"/>
                <w:color w:val="auto"/>
                <w:vertAlign w:val="superscript"/>
              </w:rPr>
              <w:t>(1)</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549,500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101,800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651,300</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549,500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60,600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610,100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3,413,500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711,300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4,124,800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3,477,000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3,866,400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Note discount</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(474,500)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(474,500)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(848,100)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(848,100)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2,939,000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711,300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3,650,300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2,628,900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389,400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3,018,300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(3,413,500)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(711,300)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(4,124,800)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(1,130,100)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(133,600)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(1,263,700)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 and discount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(474,500)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(474,500)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1,498,800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1,754,600</w:t>
            </w:r>
          </w:p>
        </w:tc>
        <w:tc>
          <w:tcPr>
            <w:tcW w:w="0" w:type="dxa"/>
            <w:vAlign w:val="bottom"/>
          </w:tcPr>
          <w:p>
            <w:pPr>
              <w:spacing w:after="0"/>
              <w:rPr>
                <w:sz w:val="1"/>
                <w:szCs w:val="1"/>
                <w:color w:val="auto"/>
              </w:rPr>
            </w:pPr>
          </w:p>
        </w:tc>
      </w:tr>
      <w:tr>
        <w:trPr>
          <w:trHeight w:val="153"/>
        </w:trPr>
        <w:tc>
          <w:tcPr>
            <w:tcW w:w="900" w:type="dxa"/>
            <w:vAlign w:val="bottom"/>
            <w:tcBorders>
              <w:top w:val="single" w:sz="8" w:color="CCEEFF"/>
            </w:tcBorders>
          </w:tcPr>
          <w:p>
            <w:pPr>
              <w:spacing w:after="0"/>
              <w:rPr>
                <w:sz w:val="13"/>
                <w:szCs w:val="13"/>
                <w:color w:val="auto"/>
              </w:rPr>
            </w:pPr>
          </w:p>
        </w:tc>
        <w:tc>
          <w:tcPr>
            <w:tcW w:w="24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5.75% and 10.25% Notes payable to insurance</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520"/>
              <w:spacing w:after="0"/>
              <w:rPr>
                <w:sz w:val="20"/>
                <w:szCs w:val="20"/>
                <w:color w:val="auto"/>
              </w:rPr>
            </w:pPr>
            <w:r>
              <w:rPr>
                <w:rFonts w:ascii="Arial" w:cs="Arial" w:eastAsia="Arial" w:hAnsi="Arial"/>
                <w:sz w:val="14"/>
                <w:szCs w:val="14"/>
                <w:color w:val="auto"/>
              </w:rPr>
              <w:t>premium financing company (current)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5,800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5,800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4,900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4,900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10% Notes payable to vendors for accounts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payable converted to notes payable</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378,300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51,500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429,800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119,400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34,700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154,100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(378,300)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(51,500)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(429,800)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(119,400)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(34,700)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(154,100)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900" w:type="dxa"/>
            <w:vAlign w:val="bottom"/>
            <w:tcBorders>
              <w:top w:val="single" w:sz="8" w:color="CCEEFF"/>
            </w:tcBorders>
          </w:tcPr>
          <w:p>
            <w:pPr>
              <w:spacing w:after="0"/>
              <w:rPr>
                <w:sz w:val="13"/>
                <w:szCs w:val="13"/>
                <w:color w:val="auto"/>
              </w:rPr>
            </w:pPr>
          </w:p>
        </w:tc>
        <w:tc>
          <w:tcPr>
            <w:tcW w:w="24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7.0% Note payable (August 2012)</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58,800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7,900</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66,700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58,800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62,600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(23,200)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(7,900)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(31,100)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(15,800)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(3,800)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(19,600)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7.0% Notes payable - non-current portion</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43,000</w:t>
            </w:r>
          </w:p>
        </w:tc>
        <w:tc>
          <w:tcPr>
            <w:tcW w:w="0" w:type="dxa"/>
            <w:vAlign w:val="bottom"/>
          </w:tcPr>
          <w:p>
            <w:pPr>
              <w:spacing w:after="0"/>
              <w:rPr>
                <w:sz w:val="1"/>
                <w:szCs w:val="1"/>
                <w:color w:val="auto"/>
              </w:rPr>
            </w:pPr>
          </w:p>
        </w:tc>
      </w:tr>
      <w:tr>
        <w:trPr>
          <w:trHeight w:val="153"/>
        </w:trPr>
        <w:tc>
          <w:tcPr>
            <w:tcW w:w="900" w:type="dxa"/>
            <w:vAlign w:val="bottom"/>
            <w:tcBorders>
              <w:top w:val="single" w:sz="8" w:color="CCEEFF"/>
            </w:tcBorders>
          </w:tcPr>
          <w:p>
            <w:pPr>
              <w:spacing w:after="0"/>
              <w:rPr>
                <w:sz w:val="13"/>
                <w:szCs w:val="13"/>
                <w:color w:val="auto"/>
              </w:rPr>
            </w:pPr>
          </w:p>
        </w:tc>
        <w:tc>
          <w:tcPr>
            <w:tcW w:w="24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notes payable to unrelated parties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3,856,400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770,700</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4,627,100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3,660,100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427,900</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4,088,000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(3,820,800)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(770,700)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(4,591,500)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(1,270,200)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(172,100)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(1,442,300)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2,389,900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2,645,700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discount (current at March 31, 2015)</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(848,100)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(848,100)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Net non-current portion</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35,600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1,541,800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1,797,600</w:t>
            </w:r>
          </w:p>
        </w:tc>
        <w:tc>
          <w:tcPr>
            <w:tcW w:w="0" w:type="dxa"/>
            <w:vAlign w:val="bottom"/>
          </w:tcPr>
          <w:p>
            <w:pPr>
              <w:spacing w:after="0"/>
              <w:rPr>
                <w:sz w:val="1"/>
                <w:szCs w:val="1"/>
                <w:color w:val="auto"/>
              </w:rPr>
            </w:pPr>
          </w:p>
        </w:tc>
      </w:tr>
      <w:tr>
        <w:trPr>
          <w:trHeight w:val="176"/>
        </w:trPr>
        <w:tc>
          <w:tcPr>
            <w:tcW w:w="900" w:type="dxa"/>
            <w:vAlign w:val="bottom"/>
            <w:tcBorders>
              <w:top w:val="single" w:sz="8" w:color="CCEEFF"/>
              <w:bottom w:val="single" w:sz="8" w:color="auto"/>
            </w:tcBorders>
          </w:tcPr>
          <w:p>
            <w:pPr>
              <w:spacing w:after="0"/>
              <w:rPr>
                <w:sz w:val="15"/>
                <w:szCs w:val="15"/>
                <w:color w:val="auto"/>
              </w:rPr>
            </w:pPr>
          </w:p>
        </w:tc>
        <w:tc>
          <w:tcPr>
            <w:tcW w:w="2440" w:type="dxa"/>
            <w:vAlign w:val="bottom"/>
            <w:tcBorders>
              <w:top w:val="single" w:sz="8" w:color="CCEEFF"/>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CEEFF"/>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b w:val="1"/>
                <w:bCs w:val="1"/>
                <w:i w:val="1"/>
                <w:iCs w:val="1"/>
                <w:color w:val="auto"/>
              </w:rPr>
              <w:t>Notes payable to related parties: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October 2012 7.5% Note to Cato Holding Co.</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349,500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293,600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30,800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324,400</w:t>
            </w:r>
          </w:p>
        </w:tc>
        <w:tc>
          <w:tcPr>
            <w:tcW w:w="0" w:type="dxa"/>
            <w:vAlign w:val="bottom"/>
          </w:tcPr>
          <w:p>
            <w:pPr>
              <w:spacing w:after="0"/>
              <w:rPr>
                <w:sz w:val="1"/>
                <w:szCs w:val="1"/>
                <w:color w:val="auto"/>
              </w:rPr>
            </w:pPr>
          </w:p>
        </w:tc>
      </w:tr>
      <w:tr>
        <w:trPr>
          <w:trHeight w:val="159"/>
        </w:trPr>
        <w:tc>
          <w:tcPr>
            <w:tcW w:w="3340" w:type="dxa"/>
            <w:vAlign w:val="bottom"/>
            <w:gridSpan w:val="2"/>
          </w:tcPr>
          <w:p>
            <w:pPr>
              <w:ind w:left="380"/>
              <w:spacing w:after="0" w:line="159" w:lineRule="exact"/>
              <w:rPr>
                <w:sz w:val="20"/>
                <w:szCs w:val="20"/>
                <w:color w:val="auto"/>
              </w:rPr>
            </w:pPr>
            <w:r>
              <w:rPr>
                <w:rFonts w:ascii="Arial" w:cs="Arial" w:eastAsia="Arial" w:hAnsi="Arial"/>
                <w:sz w:val="14"/>
                <w:szCs w:val="14"/>
                <w:color w:val="auto"/>
                <w:w w:val="99"/>
              </w:rPr>
              <w:t>October 2012 7.5% Note to Cato Research Ltd.</w:t>
            </w:r>
          </w:p>
        </w:tc>
        <w:tc>
          <w:tcPr>
            <w:tcW w:w="240" w:type="dxa"/>
            <w:vAlign w:val="bottom"/>
          </w:tcPr>
          <w:p>
            <w:pPr>
              <w:spacing w:after="0"/>
              <w:rPr>
                <w:sz w:val="13"/>
                <w:szCs w:val="13"/>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1,009,000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204,800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1,213,800</w:t>
            </w:r>
          </w:p>
        </w:tc>
        <w:tc>
          <w:tcPr>
            <w:tcW w:w="200" w:type="dxa"/>
            <w:vAlign w:val="bottom"/>
          </w:tcPr>
          <w:p>
            <w:pPr>
              <w:spacing w:after="0"/>
              <w:rPr>
                <w:sz w:val="13"/>
                <w:szCs w:val="13"/>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1,009,000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117,300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1,126,300</w:t>
            </w:r>
          </w:p>
        </w:tc>
        <w:tc>
          <w:tcPr>
            <w:tcW w:w="0" w:type="dxa"/>
            <w:vAlign w:val="bottom"/>
          </w:tcPr>
          <w:p>
            <w:pPr>
              <w:spacing w:after="0"/>
              <w:rPr>
                <w:sz w:val="1"/>
                <w:szCs w:val="1"/>
                <w:color w:val="auto"/>
              </w:rPr>
            </w:pPr>
          </w:p>
        </w:tc>
      </w:tr>
      <w:tr>
        <w:trPr>
          <w:trHeight w:val="139"/>
        </w:trPr>
        <w:tc>
          <w:tcPr>
            <w:tcW w:w="900" w:type="dxa"/>
            <w:vAlign w:val="bottom"/>
          </w:tcPr>
          <w:p>
            <w:pPr>
              <w:spacing w:after="0"/>
              <w:rPr>
                <w:sz w:val="20"/>
                <w:szCs w:val="20"/>
                <w:color w:val="auto"/>
              </w:rPr>
            </w:pPr>
            <w:r>
              <w:rPr>
                <w:rFonts w:ascii="Arial" w:cs="Arial" w:eastAsia="Arial" w:hAnsi="Arial"/>
                <w:sz w:val="10"/>
                <w:szCs w:val="10"/>
                <w:color w:val="auto"/>
              </w:rPr>
              <w:t>(1)</w:t>
            </w: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1,302,600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1,563,300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1,302,600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1,450,700</w:t>
            </w:r>
          </w:p>
        </w:tc>
        <w:tc>
          <w:tcPr>
            <w:tcW w:w="0" w:type="dxa"/>
            <w:vAlign w:val="bottom"/>
          </w:tcPr>
          <w:p>
            <w:pPr>
              <w:spacing w:after="0"/>
              <w:rPr>
                <w:sz w:val="1"/>
                <w:szCs w:val="1"/>
                <w:color w:val="auto"/>
              </w:rPr>
            </w:pPr>
          </w:p>
        </w:tc>
      </w:tr>
      <w:tr>
        <w:trPr>
          <w:trHeight w:val="170"/>
        </w:trPr>
        <w:tc>
          <w:tcPr>
            <w:tcW w:w="3340" w:type="dxa"/>
            <w:vAlign w:val="bottom"/>
            <w:gridSpan w:val="2"/>
          </w:tcPr>
          <w:p>
            <w:pPr>
              <w:ind w:left="260"/>
              <w:spacing w:after="0"/>
              <w:rPr>
                <w:sz w:val="20"/>
                <w:szCs w:val="20"/>
                <w:color w:val="auto"/>
              </w:rPr>
            </w:pPr>
            <w:r>
              <w:rPr>
                <w:rFonts w:ascii="Arial" w:cs="Arial" w:eastAsia="Arial" w:hAnsi="Arial"/>
                <w:sz w:val="14"/>
                <w:szCs w:val="14"/>
                <w:color w:val="auto"/>
              </w:rPr>
              <w:t>Note discount</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(54,500)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(54,500)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(103,200)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(103,200)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notes payable to related parties</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1,248,100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1,508,800</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1,199,400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1,347,500</w:t>
            </w:r>
          </w:p>
        </w:tc>
        <w:tc>
          <w:tcPr>
            <w:tcW w:w="0" w:type="dxa"/>
            <w:vAlign w:val="bottom"/>
          </w:tcPr>
          <w:p>
            <w:pPr>
              <w:spacing w:after="0"/>
              <w:rPr>
                <w:sz w:val="1"/>
                <w:szCs w:val="1"/>
                <w:color w:val="auto"/>
              </w:rPr>
            </w:pPr>
          </w:p>
        </w:tc>
      </w:tr>
      <w:tr>
        <w:trPr>
          <w:trHeight w:val="21"/>
        </w:trPr>
        <w:tc>
          <w:tcPr>
            <w:tcW w:w="9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40" w:type="dxa"/>
            <w:vAlign w:val="bottom"/>
            <w:gridSpan w:val="2"/>
          </w:tcPr>
          <w:p>
            <w:pPr>
              <w:ind w:left="640"/>
              <w:spacing w:after="0"/>
              <w:rPr>
                <w:sz w:val="20"/>
                <w:szCs w:val="20"/>
                <w:color w:val="auto"/>
              </w:rPr>
            </w:pPr>
            <w:r>
              <w:rPr>
                <w:rFonts w:ascii="Arial" w:cs="Arial" w:eastAsia="Arial" w:hAnsi="Arial"/>
                <w:sz w:val="14"/>
                <w:szCs w:val="14"/>
                <w:color w:val="auto"/>
              </w:rPr>
              <w:t>less: current portion</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(1,248,100)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(260,700)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(1,508,800)</w:t>
            </w:r>
          </w:p>
        </w:tc>
        <w:tc>
          <w:tcPr>
            <w:tcW w:w="2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(259,600)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(30,800)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(290,400)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non-current portion and discount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939,800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117,300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1,057,100</w:t>
            </w:r>
          </w:p>
        </w:tc>
        <w:tc>
          <w:tcPr>
            <w:tcW w:w="0" w:type="dxa"/>
            <w:vAlign w:val="bottom"/>
          </w:tcPr>
          <w:p>
            <w:pPr>
              <w:spacing w:after="0"/>
              <w:rPr>
                <w:sz w:val="1"/>
                <w:szCs w:val="1"/>
                <w:color w:val="auto"/>
              </w:rPr>
            </w:pPr>
          </w:p>
        </w:tc>
      </w:tr>
      <w:tr>
        <w:trPr>
          <w:trHeight w:val="150"/>
        </w:trPr>
        <w:tc>
          <w:tcPr>
            <w:tcW w:w="3340" w:type="dxa"/>
            <w:vAlign w:val="bottom"/>
            <w:tcBorders>
              <w:top w:val="single" w:sz="8" w:color="CCEEFF"/>
            </w:tcBorders>
            <w:gridSpan w:val="2"/>
          </w:tcPr>
          <w:p>
            <w:pPr>
              <w:ind w:left="520"/>
              <w:spacing w:after="0" w:line="150" w:lineRule="exact"/>
              <w:rPr>
                <w:sz w:val="20"/>
                <w:szCs w:val="20"/>
                <w:color w:val="auto"/>
              </w:rPr>
            </w:pPr>
            <w:r>
              <w:rPr>
                <w:rFonts w:ascii="Arial" w:cs="Arial" w:eastAsia="Arial" w:hAnsi="Arial"/>
                <w:sz w:val="14"/>
                <w:szCs w:val="14"/>
                <w:color w:val="auto"/>
              </w:rPr>
              <w:t>____________</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bl>
    <w:p>
      <w:pPr>
        <w:ind w:left="660" w:hanging="144"/>
        <w:spacing w:after="0" w:line="225" w:lineRule="auto"/>
        <w:tabs>
          <w:tab w:leader="none" w:pos="660" w:val="left"/>
        </w:tabs>
        <w:numPr>
          <w:ilvl w:val="0"/>
          <w:numId w:val="82"/>
        </w:numPr>
        <w:rPr>
          <w:rFonts w:ascii="Arial" w:cs="Arial" w:eastAsia="Arial" w:hAnsi="Arial"/>
          <w:sz w:val="16"/>
          <w:szCs w:val="16"/>
          <w:color w:val="auto"/>
          <w:vertAlign w:val="superscript"/>
        </w:rPr>
      </w:pPr>
      <w:r>
        <w:rPr>
          <w:rFonts w:ascii="Arial" w:cs="Arial" w:eastAsia="Arial" w:hAnsi="Arial"/>
          <w:sz w:val="12"/>
          <w:szCs w:val="12"/>
          <w:color w:val="auto"/>
        </w:rPr>
        <w:t>Note and interest payable solely in restricted shares of the Company's common stock.</w:t>
      </w:r>
    </w:p>
    <w:p>
      <w:pPr>
        <w:sectPr>
          <w:pgSz w:w="11900" w:h="16838" w:orient="portrait"/>
          <w:cols w:equalWidth="0" w:num="1">
            <w:col w:w="11460"/>
          </w:cols>
          <w:pgMar w:left="220" w:top="118" w:right="219" w:bottom="417"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281545" cy="196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417" w:gutter="0" w:footer="0" w:header="0"/>
          <w:type w:val="continuous"/>
        </w:sectPr>
      </w:pPr>
    </w:p>
    <w:bookmarkStart w:id="162" w:name="page163"/>
    <w:bookmarkEnd w:id="16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Significant changes in our convertible promissory notes and other promissory notes during the fiscal years ended March 31, 2015 and 2014 are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Convertible Notes Issued in Connection with 2014 Unit Private Placement</w:t>
      </w:r>
    </w:p>
    <w:p>
      <w:pPr>
        <w:spacing w:after="0" w:line="205"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 xml:space="preserve">As described more completely in the section entitled </w:t>
      </w:r>
      <w:r>
        <w:rPr>
          <w:rFonts w:ascii="Arial" w:cs="Arial" w:eastAsia="Arial" w:hAnsi="Arial"/>
          <w:sz w:val="13"/>
          <w:szCs w:val="13"/>
          <w:i w:val="1"/>
          <w:iCs w:val="1"/>
          <w:color w:val="auto"/>
        </w:rPr>
        <w:t>2014 Unit Private Placement</w:t>
      </w:r>
      <w:r>
        <w:rPr>
          <w:rFonts w:ascii="Arial" w:cs="Arial" w:eastAsia="Arial" w:hAnsi="Arial"/>
          <w:sz w:val="13"/>
          <w:szCs w:val="13"/>
          <w:color w:val="auto"/>
        </w:rPr>
        <w:t xml:space="preserve"> in Note 9,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between late March 2014 and March 31, 2015, we issued to accredited investors 10% convertible notes (the </w:t>
      </w:r>
      <w:r>
        <w:rPr>
          <w:rFonts w:ascii="Arial" w:cs="Arial" w:eastAsia="Arial" w:hAnsi="Arial"/>
          <w:sz w:val="13"/>
          <w:szCs w:val="13"/>
          <w:i w:val="1"/>
          <w:iCs w:val="1"/>
          <w:color w:val="auto"/>
        </w:rPr>
        <w:t>2014Unit Notes</w:t>
      </w:r>
      <w:r>
        <w:rPr>
          <w:rFonts w:ascii="Arial" w:cs="Arial" w:eastAsia="Arial" w:hAnsi="Arial"/>
          <w:sz w:val="13"/>
          <w:szCs w:val="13"/>
          <w:color w:val="auto"/>
        </w:rPr>
        <w:t xml:space="preserve">) in the aggregate face amount of $3,113,500, including an aggregate face amount of $1,250,000 of such notes issued to Platinum and 2014 Unit Notes in the aggregate principal amount of $50,000 issued prior to March 31, 2014, in connection with our private placement offering of Units. (See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additional notes issued in connection with the 2014 Unit Private Placement after March 31, 2015.) The 2014 Unit Notes mature on March 31, 2015 (</w:t>
      </w:r>
      <w:r>
        <w:rPr>
          <w:rFonts w:ascii="Arial" w:cs="Arial" w:eastAsia="Arial" w:hAnsi="Arial"/>
          <w:sz w:val="13"/>
          <w:szCs w:val="13"/>
          <w:i w:val="1"/>
          <w:iCs w:val="1"/>
          <w:color w:val="auto"/>
        </w:rPr>
        <w:t>Maturity</w:t>
      </w:r>
      <w:r>
        <w:rPr>
          <w:rFonts w:ascii="Arial" w:cs="Arial" w:eastAsia="Arial" w:hAnsi="Arial"/>
          <w:sz w:val="13"/>
          <w:szCs w:val="13"/>
          <w:color w:val="auto"/>
        </w:rPr>
        <w:t xml:space="preserve">) and the outstanding principal of the 2014 Unit Notes and their related accrued interest (the </w:t>
      </w:r>
      <w:r>
        <w:rPr>
          <w:rFonts w:ascii="Arial" w:cs="Arial" w:eastAsia="Arial" w:hAnsi="Arial"/>
          <w:sz w:val="13"/>
          <w:szCs w:val="13"/>
          <w:i w:val="1"/>
          <w:iCs w:val="1"/>
          <w:color w:val="auto"/>
        </w:rPr>
        <w:t>Outstanding Balance</w:t>
      </w:r>
      <w:r>
        <w:rPr>
          <w:rFonts w:ascii="Arial" w:cs="Arial" w:eastAsia="Arial" w:hAnsi="Arial"/>
          <w:sz w:val="13"/>
          <w:szCs w:val="13"/>
          <w:color w:val="auto"/>
        </w:rPr>
        <w:t xml:space="preserve">) is convertible into shares of our common stock at a conversion price of $10.00 per share at or prior to Maturity, at the option of the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3"/>
          <w:szCs w:val="13"/>
          <w:i w:val="1"/>
          <w:iCs w:val="1"/>
          <w:color w:val="auto"/>
        </w:rPr>
        <w:t>Qualified Financing</w:t>
      </w:r>
      <w:r>
        <w:rPr>
          <w:rFonts w:ascii="Arial" w:cs="Arial" w:eastAsia="Arial" w:hAnsi="Arial"/>
          <w:sz w:val="13"/>
          <w:szCs w:val="13"/>
          <w:color w:val="auto"/>
        </w:rPr>
        <w:t xml:space="preserve">), the Outstanding Balance of the 2014 Unit Notes will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 Under certain circumstances, the holders of the 2014 Unit Notes may request payment in cash in lieu of automatic conversion into the securities of the Qualified Financing. See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regarding the conversion of the Outstanding Balance of all of the 2014 Unit Notes pursuant to a private placement financing in May 2015.</w:t>
      </w:r>
    </w:p>
    <w:p>
      <w:pPr>
        <w:spacing w:after="0" w:line="161" w:lineRule="exact"/>
        <w:rPr>
          <w:sz w:val="20"/>
          <w:szCs w:val="20"/>
          <w:color w:val="auto"/>
        </w:rPr>
      </w:pPr>
    </w:p>
    <w:p>
      <w:pPr>
        <w:ind w:right="20"/>
        <w:spacing w:after="0" w:line="304" w:lineRule="auto"/>
        <w:rPr>
          <w:sz w:val="20"/>
          <w:szCs w:val="20"/>
          <w:color w:val="auto"/>
        </w:rPr>
      </w:pPr>
      <w:r>
        <w:rPr>
          <w:rFonts w:ascii="Arial" w:cs="Arial" w:eastAsia="Arial" w:hAnsi="Arial"/>
          <w:sz w:val="12"/>
          <w:szCs w:val="12"/>
          <w:color w:val="auto"/>
        </w:rPr>
        <w:t>We allocated the proceeds from the sale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 an embedded conversion feature, most of which had an intrinsic value at the issuance date, which value we treated as an additional discount attributable to such 2014 Unit Notes, subject to limitations on the absolute amount of discount attributable to each 2014 Unit Note. We recorded a corresponding credit to additional paid-in capital, an equity account, attributable to the beneficial conversion feature. We amortize the aggregate discount attributable to the 2014 Unit Notes using the effective interest method over the respective term of each 2014 Unit Note. Because the discount on a 2014 Unit Note may be as great as 99% of its initial face value, and because we must amortize such discount over the period from issuance to maturity, which has generally been less than one year, or in the case of such notes issued after December 31, 2014, less than one calendar quarter, the calculated effective interest rate may be very high. Based on the amounts of their respective discounts and the term between issuance and maturity, the effective interest rates attributable to the 2014 Unit Notes range from approximately 38% to over 10,000%, with the weighted average effective interest rate in excess of 3,000%. During November 2014, we repaid the $10,000 face amount of a 2014 Unit Note issued in October 2014.</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Secured Convertible Promissory Notes issued to Platinum</w:t>
      </w:r>
    </w:p>
    <w:p>
      <w:pPr>
        <w:spacing w:after="0" w:line="205"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color w:val="auto"/>
        </w:rPr>
        <w:t>In July and August 2012, we issued to Platinum senior secured convertible promissory notes in the aggregate principal amount of $1,250,000. Each note accrued interest at the rate of 10% per annum and was due and payable on July 2, 2015. The notes were each mandatorily convertible into securities that we might have issued in an equity, equity-based, or debt financing, or series of financings, subsequent to the issuance of the notes resulting in gross proceeds to us of at least $3,000,000, excluding any additional investment by Platinum.</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63" w:name="page164"/>
    <w:bookmarkEnd w:id="16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On October 11, 2012, we entered into a Note Exchange and Purchase Agreement (</w:t>
      </w:r>
      <w:r>
        <w:rPr>
          <w:rFonts w:ascii="Arial" w:cs="Arial" w:eastAsia="Arial" w:hAnsi="Arial"/>
          <w:sz w:val="14"/>
          <w:szCs w:val="14"/>
          <w:i w:val="1"/>
          <w:iCs w:val="1"/>
          <w:color w:val="auto"/>
        </w:rPr>
        <w:t>NEPA Agreement</w:t>
      </w:r>
      <w:r>
        <w:rPr>
          <w:rFonts w:ascii="Arial" w:cs="Arial" w:eastAsia="Arial" w:hAnsi="Arial"/>
          <w:sz w:val="14"/>
          <w:szCs w:val="14"/>
          <w:color w:val="auto"/>
        </w:rPr>
        <w:t xml:space="preserve">) with Platinum in which the senior secured notes issued in July 2012 and August 2012 and the related accrued interest, were consolidated into and exchanged for a single senior secured convertible note in the amount of $1,272,577 (the </w:t>
      </w:r>
      <w:r>
        <w:rPr>
          <w:rFonts w:ascii="Arial" w:cs="Arial" w:eastAsia="Arial" w:hAnsi="Arial"/>
          <w:sz w:val="14"/>
          <w:szCs w:val="14"/>
          <w:i w:val="1"/>
          <w:iCs w:val="1"/>
          <w:color w:val="auto"/>
        </w:rPr>
        <w:t>Exchange Note</w:t>
      </w:r>
      <w:r>
        <w:rPr>
          <w:rFonts w:ascii="Arial" w:cs="Arial" w:eastAsia="Arial" w:hAnsi="Arial"/>
          <w:sz w:val="14"/>
          <w:szCs w:val="14"/>
          <w:color w:val="auto"/>
        </w:rPr>
        <w:t xml:space="preserve">) and Platinum agreed to purchase four additional 10% senior secured convertible promissory notes in the aggregate principal amount of $2.0 million (the </w:t>
      </w:r>
      <w:r>
        <w:rPr>
          <w:rFonts w:ascii="Arial" w:cs="Arial" w:eastAsia="Arial" w:hAnsi="Arial"/>
          <w:sz w:val="14"/>
          <w:szCs w:val="14"/>
          <w:i w:val="1"/>
          <w:iCs w:val="1"/>
          <w:color w:val="auto"/>
        </w:rPr>
        <w:t>Investment Notes</w:t>
      </w:r>
      <w:r>
        <w:rPr>
          <w:rFonts w:ascii="Arial" w:cs="Arial" w:eastAsia="Arial" w:hAnsi="Arial"/>
          <w:sz w:val="14"/>
          <w:szCs w:val="14"/>
          <w:color w:val="auto"/>
        </w:rPr>
        <w:t>), issuable over four separate $500,000 tranches between October 2012 and December 2012. The NEPA Agreement was subsequently amended as to timing of subsequent note purchases, but between October 2012 and March 2013, we issued and Platinum purchased an aggregate of $2.0 million of Investment Notes. We also entered into a Security Agreement with Platinum to secure repayment of all obligations due and payable under the terms of the Exchange Note and the Investment Notes.</w:t>
      </w:r>
    </w:p>
    <w:p>
      <w:pPr>
        <w:spacing w:after="0" w:line="171"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 xml:space="preserve">The Exchange Note and each Investment Note (together, </w:t>
      </w:r>
      <w:r>
        <w:rPr>
          <w:rFonts w:ascii="Arial" w:cs="Arial" w:eastAsia="Arial" w:hAnsi="Arial"/>
          <w:sz w:val="13"/>
          <w:szCs w:val="13"/>
          <w:i w:val="1"/>
          <w:iCs w:val="1"/>
          <w:color w:val="auto"/>
        </w:rPr>
        <w:t>SeniorNotes</w:t>
      </w:r>
      <w:r>
        <w:rPr>
          <w:rFonts w:ascii="Arial" w:cs="Arial" w:eastAsia="Arial" w:hAnsi="Arial"/>
          <w:sz w:val="13"/>
          <w:szCs w:val="13"/>
          <w:color w:val="auto"/>
        </w:rPr>
        <w:t xml:space="preserve">) accrue interest at a rate of 10% per annum and, subject to certain limitations and exceptions set forth in the Senior Notes, unless voluntarily converted earlier by Platinum, will be due and payable in restricted shares of our common stock on October 11, 2015, or three years following the date of issuance, as determined by the terms of the Investment Notes. Subject to certain terms and conditions, at maturity, all principal and accrued interest under the Senior Notes will be repaid through our issuance of restricted shares of our common stock to Platinum. Subject to certain potential adjustments set forth in the Senior Notes, the number of restricted shares of common stock issuable as payment in full for each of the Notes at maturity will be calculated by dividing the outstanding Senior Note balance plus accrued interest by $10.00 per share. Prior to maturity, the outstanding principal and any accrued interest on the Exchange Note and each of the Investment Notes is convertible, in whole or in part, at Platinum’s option into shares of our common stock at a conversion price of $10.00 per share, subject to certain adjustments. Refer to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the conversion of the Senior Notes and accrued interest into shares of Series B Preferred stock during May 2015.</w:t>
      </w:r>
    </w:p>
    <w:p>
      <w:pPr>
        <w:spacing w:after="0" w:line="159" w:lineRule="exact"/>
        <w:rPr>
          <w:sz w:val="20"/>
          <w:szCs w:val="20"/>
          <w:color w:val="auto"/>
        </w:rPr>
      </w:pPr>
    </w:p>
    <w:p>
      <w:pPr>
        <w:ind w:right="160"/>
        <w:spacing w:after="0" w:line="280" w:lineRule="auto"/>
        <w:rPr>
          <w:sz w:val="20"/>
          <w:szCs w:val="20"/>
          <w:color w:val="auto"/>
        </w:rPr>
      </w:pPr>
      <w:r>
        <w:rPr>
          <w:rFonts w:ascii="Arial" w:cs="Arial" w:eastAsia="Arial" w:hAnsi="Arial"/>
          <w:sz w:val="13"/>
          <w:szCs w:val="13"/>
          <w:color w:val="auto"/>
        </w:rPr>
        <w:t xml:space="preserve">As additional consideration for the purchase of the Investment Notes, we issued to Platinum warrants to purchase an aggregate of 100,000 shares of our common stock, issuable in separate tranches together with each Investment Note. We issued four warrants to Platinum between October 2012 and March 2013 (each an </w:t>
      </w:r>
      <w:r>
        <w:rPr>
          <w:rFonts w:ascii="Arial" w:cs="Arial" w:eastAsia="Arial" w:hAnsi="Arial"/>
          <w:sz w:val="13"/>
          <w:szCs w:val="13"/>
          <w:i w:val="1"/>
          <w:iCs w:val="1"/>
          <w:color w:val="auto"/>
        </w:rPr>
        <w:t>Investment Warrant</w:t>
      </w:r>
      <w:r>
        <w:rPr>
          <w:rFonts w:ascii="Arial" w:cs="Arial" w:eastAsia="Arial" w:hAnsi="Arial"/>
          <w:sz w:val="13"/>
          <w:szCs w:val="13"/>
          <w:color w:val="auto"/>
        </w:rPr>
        <w:t>) to purchase an aggregate of 100,000 shares of our restricted common stock. Additionally, we issued Platinum a warrant to purchase 63,629 shares of our common stock in connection with the issuance of the Exchange Note (</w:t>
      </w:r>
      <w:r>
        <w:rPr>
          <w:rFonts w:ascii="Arial" w:cs="Arial" w:eastAsia="Arial" w:hAnsi="Arial"/>
          <w:sz w:val="13"/>
          <w:szCs w:val="13"/>
          <w:i w:val="1"/>
          <w:iCs w:val="1"/>
          <w:color w:val="auto"/>
        </w:rPr>
        <w:t>Exchange Warrant</w:t>
      </w:r>
      <w:r>
        <w:rPr>
          <w:rFonts w:ascii="Arial" w:cs="Arial" w:eastAsia="Arial" w:hAnsi="Arial"/>
          <w:sz w:val="13"/>
          <w:szCs w:val="13"/>
          <w:color w:val="auto"/>
        </w:rPr>
        <w:t>). At issuance, the Exchange Warrant and each Investment Warrant had a term of five-years and an exercise price of $30.00 per share, subject to certain adjustments. Effective on May 24, 2013, we entered into an Amendment and Waiver agreement with Platinum pursuant to which we agreed to reduce the exercise price of the Exchange Warrant and the Investment Warrants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certain issuances and prospective issuances of our securities, including issuances pursuant to the prospective Autilion Financing and other private placement transactions, at a price of less than $30.00 per share.</w:t>
      </w:r>
    </w:p>
    <w:p>
      <w:pPr>
        <w:spacing w:after="0" w:line="159"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On July 26, 2013, we issued an additional senior secured convertible promissory note in the principal amount of $250,000 to Platinum (</w:t>
      </w:r>
      <w:r>
        <w:rPr>
          <w:rFonts w:ascii="Arial" w:cs="Arial" w:eastAsia="Arial" w:hAnsi="Arial"/>
          <w:sz w:val="13"/>
          <w:szCs w:val="13"/>
          <w:i w:val="1"/>
          <w:iCs w:val="1"/>
          <w:color w:val="auto"/>
        </w:rPr>
        <w:t>July 2013 Note</w:t>
      </w:r>
      <w:r>
        <w:rPr>
          <w:rFonts w:ascii="Arial" w:cs="Arial" w:eastAsia="Arial" w:hAnsi="Arial"/>
          <w:sz w:val="13"/>
          <w:szCs w:val="13"/>
          <w:color w:val="auto"/>
        </w:rPr>
        <w:t>). The July 2013 Note matures on July 26, 2016 and is otherwise in the same form as the earlier Investment Notes, bearing interest at 10% per annum and being payable in restricted shares of our common stock and convertible, in whole or in part, at Platinum’s option into shares of our restricted common stock at a conversion price of $10.00 per share, subject to certain adjustments. The conversion feature in the July 2013 Note constituted a beneficial conversion feature at the date of issuance. As additional consideration for the purchase of the July 2013 Note, we also issued to Platinum a five-year warrant to purchase 12,500 shares of our restricted common stock at an exercise price of $10.00 per share (</w:t>
      </w:r>
      <w:r>
        <w:rPr>
          <w:rFonts w:ascii="Arial" w:cs="Arial" w:eastAsia="Arial" w:hAnsi="Arial"/>
          <w:sz w:val="13"/>
          <w:szCs w:val="13"/>
          <w:i w:val="1"/>
          <w:iCs w:val="1"/>
          <w:color w:val="auto"/>
        </w:rPr>
        <w:t>July 2013 Warrant</w:t>
      </w:r>
      <w:r>
        <w:rPr>
          <w:rFonts w:ascii="Arial" w:cs="Arial" w:eastAsia="Arial" w:hAnsi="Arial"/>
          <w:sz w:val="13"/>
          <w:szCs w:val="13"/>
          <w:color w:val="auto"/>
        </w:rPr>
        <w:t>). The fair value of the July 2013 Warrant was estimated to be $11.74 per share, or $146,800, at its issuance date using a Monte Carlo simulation model and the following assumptions: market price of common stock: $15.00 per share; exercise price: $10.00 per share; risk-free interest rate: 1.36%; volatility: 96.9%; term: 5.0 years; and dividend rate 0.0%. We recorded the fair value of the July 2013 Warrant at the date of issuance as a liability and as a corresponding discount to the July 2013 Note.</w:t>
      </w:r>
    </w:p>
    <w:p>
      <w:pPr>
        <w:spacing w:after="0" w:line="159" w:lineRule="exact"/>
        <w:rPr>
          <w:sz w:val="20"/>
          <w:szCs w:val="20"/>
          <w:color w:val="auto"/>
        </w:rPr>
      </w:pPr>
    </w:p>
    <w:p>
      <w:pPr>
        <w:ind w:right="180"/>
        <w:spacing w:after="0" w:line="290" w:lineRule="auto"/>
        <w:rPr>
          <w:sz w:val="20"/>
          <w:szCs w:val="20"/>
          <w:color w:val="auto"/>
        </w:rPr>
      </w:pPr>
      <w:r>
        <w:rPr>
          <w:rFonts w:ascii="Arial" w:cs="Arial" w:eastAsia="Arial" w:hAnsi="Arial"/>
          <w:sz w:val="13"/>
          <w:szCs w:val="13"/>
          <w:color w:val="auto"/>
        </w:rPr>
        <w:t>The conversion option embedded in the July 2013 Note resulted in a beneficial conversion feature having intrinsic value of $100,700 at issuance. We recorded the issuance-date intrinsic value of the beneficial conversion feature as an additional component of the discount attributable to the July 2013 Note. The aggregate discount attributable to the July 2013 Note was $247,500, resulting in an issuance date carrying value of $2,500. As with the Investment Notes, we amortize the aggregate discount attributable to each note using the effective interest method over the respective term of each note. Considering the amount of the discount and the term of the note, the effective interest rate of the July 2013 Note was determined to be 159%.</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4" w:name="page165"/>
    <w:bookmarkEnd w:id="16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 xml:space="preserve">Subject to limited exceptions, the Exchange Warrant, each of the Investment Warrants and the July 2013 Warrant include certain exercise price reset and anti-dilution protection features in the event that we issue other securities during the five-year term of the warrants at a price less than $10.00 per share, as amended for the Exchange Warrant and the Investment Warrants. As a result of these provisions, the Exchange Warrant, the Investment Warrants and the July 2013 Warrant do not meet the criteria set forth in ASC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xml:space="preserve">, to be treated as equity instruments. Consequently, we initially recorded the Exchange Warrant, each of the Investment Warrants and the July 2013 Warrant as liabilities at their fair value and adjust them at the end of each reporting period. (See Note 4, </w:t>
      </w:r>
      <w:r>
        <w:rPr>
          <w:rFonts w:ascii="Arial" w:cs="Arial" w:eastAsia="Arial" w:hAnsi="Arial"/>
          <w:sz w:val="14"/>
          <w:szCs w:val="14"/>
          <w:i w:val="1"/>
          <w:iCs w:val="1"/>
          <w:color w:val="auto"/>
        </w:rPr>
        <w:t>Fair Value Measurements</w:t>
      </w:r>
      <w:r>
        <w:rPr>
          <w:rFonts w:ascii="Arial" w:cs="Arial" w:eastAsia="Arial" w:hAnsi="Arial"/>
          <w:sz w:val="14"/>
          <w:szCs w:val="14"/>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Conversion and Warrant Amendment Agreement with Platinum</w:t>
      </w: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July 18, 2014, we entered into an Amended and Restated Note Conversion Agreement and Warrant Amendment with Platinum (</w:t>
      </w:r>
      <w:r>
        <w:rPr>
          <w:rFonts w:ascii="Arial" w:cs="Arial" w:eastAsia="Arial" w:hAnsi="Arial"/>
          <w:sz w:val="13"/>
          <w:szCs w:val="13"/>
          <w:i w:val="1"/>
          <w:iCs w:val="1"/>
          <w:color w:val="auto"/>
        </w:rPr>
        <w:t>Amendment</w:t>
      </w:r>
      <w:r>
        <w:rPr>
          <w:rFonts w:ascii="Arial" w:cs="Arial" w:eastAsia="Arial" w:hAnsi="Arial"/>
          <w:sz w:val="13"/>
          <w:szCs w:val="13"/>
          <w:color w:val="auto"/>
        </w:rPr>
        <w:t>), pursuant to which Platinum agreed to convert into our unregistered equity securities all Senior Secured Convertible Promissory Notes (</w:t>
      </w:r>
      <w:r>
        <w:rPr>
          <w:rFonts w:ascii="Arial" w:cs="Arial" w:eastAsia="Arial" w:hAnsi="Arial"/>
          <w:sz w:val="13"/>
          <w:szCs w:val="13"/>
          <w:i w:val="1"/>
          <w:iCs w:val="1"/>
          <w:color w:val="auto"/>
        </w:rPr>
        <w:t>Senior Notes</w:t>
      </w:r>
      <w:r>
        <w:rPr>
          <w:rFonts w:ascii="Arial" w:cs="Arial" w:eastAsia="Arial" w:hAnsi="Arial"/>
          <w:sz w:val="13"/>
          <w:szCs w:val="13"/>
          <w:color w:val="auto"/>
        </w:rPr>
        <w:t>) held by Platinum, including accrued but unpaid interest thereon (</w:t>
      </w:r>
      <w:r>
        <w:rPr>
          <w:rFonts w:ascii="Arial" w:cs="Arial" w:eastAsia="Arial" w:hAnsi="Arial"/>
          <w:sz w:val="13"/>
          <w:szCs w:val="13"/>
          <w:i w:val="1"/>
          <w:iCs w:val="1"/>
          <w:color w:val="auto"/>
        </w:rPr>
        <w:t>Outstanding Balance</w:t>
      </w:r>
      <w:r>
        <w:rPr>
          <w:rFonts w:ascii="Arial" w:cs="Arial" w:eastAsia="Arial" w:hAnsi="Arial"/>
          <w:sz w:val="13"/>
          <w:szCs w:val="13"/>
          <w:color w:val="auto"/>
        </w:rPr>
        <w:t>), in the aggregate amount of approximately $4.2 million at the date of the agreement, upon our consummation on or before August 31, 2014 (</w:t>
      </w:r>
      <w:r>
        <w:rPr>
          <w:rFonts w:ascii="Arial" w:cs="Arial" w:eastAsia="Arial" w:hAnsi="Arial"/>
          <w:sz w:val="13"/>
          <w:szCs w:val="13"/>
          <w:i w:val="1"/>
          <w:iCs w:val="1"/>
          <w:color w:val="auto"/>
        </w:rPr>
        <w:t>Closing Date</w:t>
      </w:r>
      <w:r>
        <w:rPr>
          <w:rFonts w:ascii="Arial" w:cs="Arial" w:eastAsia="Arial" w:hAnsi="Arial"/>
          <w:sz w:val="13"/>
          <w:szCs w:val="13"/>
          <w:color w:val="auto"/>
        </w:rPr>
        <w:t>), of either (i) a private equity financing resulting in aggregate gross proceeds of at least $36.0 million (</w:t>
      </w:r>
      <w:r>
        <w:rPr>
          <w:rFonts w:ascii="Arial" w:cs="Arial" w:eastAsia="Arial" w:hAnsi="Arial"/>
          <w:sz w:val="13"/>
          <w:szCs w:val="13"/>
          <w:i w:val="1"/>
          <w:iCs w:val="1"/>
          <w:color w:val="auto"/>
        </w:rPr>
        <w:t>Private Financing</w:t>
      </w:r>
      <w:r>
        <w:rPr>
          <w:rFonts w:ascii="Arial" w:cs="Arial" w:eastAsia="Arial" w:hAnsi="Arial"/>
          <w:sz w:val="13"/>
          <w:szCs w:val="13"/>
          <w:color w:val="auto"/>
        </w:rPr>
        <w:t>), or (ii) a public offering of our equity securities registered with the SEC resulting in gross proceeds of at least $10.0 million (</w:t>
      </w:r>
      <w:r>
        <w:rPr>
          <w:rFonts w:ascii="Arial" w:cs="Arial" w:eastAsia="Arial" w:hAnsi="Arial"/>
          <w:sz w:val="13"/>
          <w:szCs w:val="13"/>
          <w:i w:val="1"/>
          <w:iCs w:val="1"/>
          <w:color w:val="auto"/>
        </w:rPr>
        <w:t>Public Offering</w:t>
      </w:r>
      <w:r>
        <w:rPr>
          <w:rFonts w:ascii="Arial" w:cs="Arial" w:eastAsia="Arial" w:hAnsi="Arial"/>
          <w:sz w:val="13"/>
          <w:szCs w:val="13"/>
          <w:color w:val="auto"/>
        </w:rPr>
        <w:t xml:space="preserve">) (the Private Financing and Public Offering are referred to in this discussion as a </w:t>
      </w:r>
      <w:r>
        <w:rPr>
          <w:rFonts w:ascii="Arial" w:cs="Arial" w:eastAsia="Arial" w:hAnsi="Arial"/>
          <w:sz w:val="13"/>
          <w:szCs w:val="13"/>
          <w:i w:val="1"/>
          <w:iCs w:val="1"/>
          <w:color w:val="auto"/>
        </w:rPr>
        <w:t>Platinum Qualified Financing</w:t>
      </w:r>
      <w:r>
        <w:rPr>
          <w:rFonts w:ascii="Arial" w:cs="Arial" w:eastAsia="Arial" w:hAnsi="Arial"/>
          <w:sz w:val="13"/>
          <w:szCs w:val="13"/>
          <w:color w:val="auto"/>
        </w:rPr>
        <w:t>). In August and September 2014, we amended the Amendment to extend the Closing Date until October 31, 2014.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 class of Series B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at the lower of $10.00 per share or the lowest per-share price in the Public Offering.</w:t>
      </w:r>
    </w:p>
    <w:p>
      <w:pPr>
        <w:spacing w:after="0" w:line="159" w:lineRule="exact"/>
        <w:rPr>
          <w:sz w:val="20"/>
          <w:szCs w:val="20"/>
          <w:color w:val="auto"/>
        </w:rPr>
      </w:pPr>
    </w:p>
    <w:p>
      <w:pPr>
        <w:spacing w:after="0" w:line="290" w:lineRule="auto"/>
        <w:rPr>
          <w:sz w:val="20"/>
          <w:szCs w:val="20"/>
          <w:color w:val="auto"/>
        </w:rPr>
      </w:pPr>
      <w:r>
        <w:rPr>
          <w:rFonts w:ascii="Arial" w:cs="Arial" w:eastAsia="Arial" w:hAnsi="Arial"/>
          <w:sz w:val="13"/>
          <w:szCs w:val="13"/>
          <w:color w:val="auto"/>
        </w:rPr>
        <w:t>Additionally, pursuant to the terms and conditions of the Amendment, in the event we had consummated a Platinum Qualified Financing on or before the Closing Date, the exercise price of the Platinum Warrants we have issued to Platinum in connection with the Senior Notes, and warrants that we may still issue pursuant to the Note Exchange and Purchase Agreement between us and Platinum, dated October 11, 2012 (</w:t>
      </w:r>
      <w:r>
        <w:rPr>
          <w:rFonts w:ascii="Arial" w:cs="Arial" w:eastAsia="Arial" w:hAnsi="Arial"/>
          <w:sz w:val="13"/>
          <w:szCs w:val="13"/>
          <w:i w:val="1"/>
          <w:iCs w:val="1"/>
          <w:color w:val="auto"/>
        </w:rPr>
        <w:t>NEPA</w:t>
      </w:r>
      <w:r>
        <w:rPr>
          <w:rFonts w:ascii="Arial" w:cs="Arial" w:eastAsia="Arial" w:hAnsi="Arial"/>
          <w:sz w:val="13"/>
          <w:szCs w:val="13"/>
          <w:color w:val="auto"/>
        </w:rPr>
        <w:t>), if any, would have been fixed at the lower of $10.00 per share or the purchase price of common stock sold in the Platinum Qualified Financing. Finally, the anti-dilutive provisions contained in the Platinum Warrants, other than typical adjustments for stock splits, combinations and dividends, would have been terminated as of the Closing Date.</w:t>
      </w:r>
    </w:p>
    <w:p>
      <w:pPr>
        <w:spacing w:after="0" w:line="151" w:lineRule="exact"/>
        <w:rPr>
          <w:sz w:val="20"/>
          <w:szCs w:val="20"/>
          <w:color w:val="auto"/>
        </w:rPr>
      </w:pPr>
    </w:p>
    <w:p>
      <w:pPr>
        <w:jc w:val="both"/>
        <w:ind w:right="340"/>
        <w:spacing w:after="0" w:line="298" w:lineRule="auto"/>
        <w:rPr>
          <w:sz w:val="20"/>
          <w:szCs w:val="20"/>
          <w:color w:val="auto"/>
        </w:rPr>
      </w:pPr>
      <w:r>
        <w:rPr>
          <w:rFonts w:ascii="Arial" w:cs="Arial" w:eastAsia="Arial" w:hAnsi="Arial"/>
          <w:sz w:val="13"/>
          <w:szCs w:val="13"/>
          <w:color w:val="auto"/>
        </w:rPr>
        <w:t xml:space="preserve">Through March 31, 2015, we did not request Platinum to extend the Closing Date of the Amendment or enter into any other agreement with Platinum regarding the conversion of the Senior Notes, fixing the exercise price of the Platinum Warrants or terminating the anti-dilution provisions of the Platinum Warrants. Refer to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regarding the conversion of the Senior Notes and accrued interest into shares of Series B Preferred stock and modifications made to the exercise price and anti-dilution provisions of the Platinum Warrants in May 2015.</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At the execution of the Amendment, we determined that the Amendment resulted in a modification of the Senior Notes that should be accounted for as an extinguishment of debt. Considering, among</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other factors, the cash flows and conversion features of the Senior Notes as modified by the Amendment, market interest rates for debt of similar quality and the relative probabilities of conversion of</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the Senior Notes into either shares of our common stock or Series B Preferred upon consummation of a Qualified Financing, we determined that the fair values of the Senior Notes at July 18, 2014,</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aggregating $6,475,000, represented a substantial premium over their aggregate $4,138,700 face values plus accrued interest. In accordance with the provisions of ASC 470-20, </w:t>
      </w:r>
      <w:r>
        <w:rPr>
          <w:rFonts w:ascii="Arial" w:cs="Arial" w:eastAsia="Arial" w:hAnsi="Arial"/>
          <w:sz w:val="13"/>
          <w:szCs w:val="13"/>
          <w:i w:val="1"/>
          <w:iCs w:val="1"/>
          <w:color w:val="auto"/>
        </w:rPr>
        <w:t>Debt with Conversion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and Other Options, </w:t>
      </w:r>
      <w:r>
        <w:rPr>
          <w:rFonts w:ascii="Arial" w:cs="Arial" w:eastAsia="Arial" w:hAnsi="Arial"/>
          <w:sz w:val="12"/>
          <w:szCs w:val="12"/>
          <w:color w:val="auto"/>
        </w:rPr>
        <w:t>we recognized the premium in excess of the face value and accrued interest, $2,336,300, as a non-cash component of loss on extinguishment of debt in the accompanying Condensed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Consolidated Statements of Operations and Comprehensive (Loss) Income with a credit to additional paid-in capital, an equity account. Consequently, we recorded the liability for the Senior Notes at</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their face values plus accrued interest. We recognized the difference between the pre-modification carrying values of the notes and their face values, an aggregate of $1,983,700, as an additional non-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cash charge to loss on extinguishment of debt in the accompanying Condensed Consolidated Statement of Operations and Comprehensive (Loss) Income. Certain of the Senior Notes contained a</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beneficial conversion feature at the time they were originally issued. We have accounted for the repurchase of the beneficial conversion feature at the time of the modification, an aggregate of</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$2,716,600, as a reduction to the loss on extinguishment of debt in the accompanying Condensed Consolidated Statements of Operations and Comprehensive (Loss) Income, with a corresponding</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reduction to additional paid-in capital. The net amount of the loss on extinguishment of debt related to the amendment of the Senior Notes recognized in the accompanying Condensed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Statements of Operations and Comprehensive (Loss) Income for the nine months ended December 31, 2014 is $1,603,400.</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5" w:name="page166"/>
    <w:bookmarkEnd w:id="16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00"/>
        <w:spacing w:after="0" w:line="281" w:lineRule="auto"/>
        <w:rPr>
          <w:sz w:val="20"/>
          <w:szCs w:val="20"/>
          <w:color w:val="auto"/>
        </w:rPr>
      </w:pPr>
      <w:r>
        <w:rPr>
          <w:rFonts w:ascii="Arial" w:cs="Arial" w:eastAsia="Arial" w:hAnsi="Arial"/>
          <w:sz w:val="13"/>
          <w:szCs w:val="13"/>
          <w:color w:val="auto"/>
        </w:rPr>
        <w:t>At the date of its issuance, we recorded the fair value of the Exchange Warrant as a liability and as a corresponding charge to loss on early extinguishment of debt. We recorded the fair value of each Investment Warrant and the July 2013 Warrant at the date of issuance as a liability and as a corresponding discount to the related note. Subject to limitations of the absolute amount of discount attributable to each Investment Note and the July 2013 Note, we treated the issuance-date intrinsic value of the beneficial conversion feature embedded in each Investment Note and the July 2013 Note as an additional component of the discount attributable to such note and recorded a corresponding discount attributable to the beneficial conversion feature for each note. Prior to the Amendment, at which time the remaining unamortized discount was written off in our determination of the loss on extinguishment of debt, we had amortized the aggregate discount attributable to each of the Investment Notes and the July 2013 Note using the effective interest method over the respective term of each note. The effective interest rate of the Exchange Note was 10.0% at inception and the effective interest rate at inception for each of the Investment Notes and the July 2013 Note was 159.1% .</w:t>
      </w:r>
    </w:p>
    <w:p>
      <w:pPr>
        <w:spacing w:after="0" w:line="159"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 xml:space="preserve">We re-measure the fair value of the Exchange Warrant, the Investment Warrants and the July 2013 Warrant (collectively, the </w:t>
      </w:r>
      <w:r>
        <w:rPr>
          <w:rFonts w:ascii="Arial" w:cs="Arial" w:eastAsia="Arial" w:hAnsi="Arial"/>
          <w:sz w:val="14"/>
          <w:szCs w:val="14"/>
          <w:i w:val="1"/>
          <w:iCs w:val="1"/>
          <w:color w:val="auto"/>
        </w:rPr>
        <w:t>Platinum Warrants</w:t>
      </w:r>
      <w:r>
        <w:rPr>
          <w:rFonts w:ascii="Arial" w:cs="Arial" w:eastAsia="Arial" w:hAnsi="Arial"/>
          <w:sz w:val="14"/>
          <w:szCs w:val="14"/>
          <w:color w:val="auto"/>
        </w:rPr>
        <w:t>) at each quarterly reporting period. As of March 31, 2015 and 2014, we measured the fair value of such warrants at an aggregate of $810,100 and $915,300, respectively. The aggregate decrease in fair value between March 31, 2014 and March 31, 2015 of $105,200 and the aggregate decrease in fair value between March 31, 2013 and March 31, 2014 of $1,219,500 is reflected in the Change in Warrant Liability in the accompanying Consolidated Statement of Operations and Comprehensive Income for the years ended March 31, 2015 and 2014,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Convertible Notes Issued in Connection with 2013 Unit Private Placement</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 xml:space="preserve">As described more completely in the section entitled 2013 Unit Private Placement in Note 9, </w:t>
      </w:r>
      <w:r>
        <w:rPr>
          <w:rFonts w:ascii="Arial" w:cs="Arial" w:eastAsia="Arial" w:hAnsi="Arial"/>
          <w:sz w:val="14"/>
          <w:szCs w:val="14"/>
          <w:i w:val="1"/>
          <w:iCs w:val="1"/>
          <w:color w:val="auto"/>
        </w:rPr>
        <w:t>Capital Stock,</w:t>
      </w:r>
      <w:r>
        <w:rPr>
          <w:rFonts w:ascii="Arial" w:cs="Arial" w:eastAsia="Arial" w:hAnsi="Arial"/>
          <w:sz w:val="14"/>
          <w:szCs w:val="14"/>
          <w:color w:val="auto"/>
        </w:rPr>
        <w:t xml:space="preserve"> between August 2013 and March 2014, we issued to accredited investors 10% convertible promissory notes (the </w:t>
      </w:r>
      <w:r>
        <w:rPr>
          <w:rFonts w:ascii="Arial" w:cs="Arial" w:eastAsia="Arial" w:hAnsi="Arial"/>
          <w:sz w:val="14"/>
          <w:szCs w:val="14"/>
          <w:i w:val="1"/>
          <w:iCs w:val="1"/>
          <w:color w:val="auto"/>
        </w:rPr>
        <w:t>2013 Unit Notes</w:t>
      </w:r>
      <w:r>
        <w:rPr>
          <w:rFonts w:ascii="Arial" w:cs="Arial" w:eastAsia="Arial" w:hAnsi="Arial"/>
          <w:sz w:val="14"/>
          <w:szCs w:val="14"/>
          <w:color w:val="auto"/>
        </w:rPr>
        <w:t>) in an aggregate face amount of $1,007,500 in connection with our private placement of Units. The maturity date of the 2013 Unit Notes was July 30, 2014 and each 2013 Unit Note and its related accrued interest was convertible into shares of our common stock at a fixed conversion price of $10.00 per share at or prior to maturity, at the option of the accredited investor.</w:t>
      </w:r>
    </w:p>
    <w:p>
      <w:pPr>
        <w:spacing w:after="0" w:line="16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We allocated the proceeds from the sale of the units to the 2013 Unit Notes, the common stock and the warrants comprising the Units based on the relative fair value of the individual securities in each Unit on the dates of the Unit sales. Based on the short-duration of the 2013 Unit Notes and their other terms, we determined that the fair value of the 2013 Unit Notes at the date of issuance was equal to their face value. Accordingly, we recorded an initial discount attributable to each 2013 Unit Note for an amount representing the difference between the face value of the 2013 Unit Note and its relative value. Additionally, the 2013 Unit Notes contain an embedded conversion feature, certain of which had an intrinsic value at the issuance date, which value we treated as an additional discount attributable to such 2013 Unit Notes, subject to limitations on the absolute amount of discount attributable to each 2013 Unit Note. We recorded a corresponding credit to additional paid-in capital, an equity account in the Consolidated Balance Sheet, attributable to the beneficial conversion feature. We amortized the aggregate discount attributable to each of the 2013 Unit Notes using the effective interest method over the respective term of each 2013 Unit Note. Based on their respective discounts, the weighted average effective interest rate attributable to the 2013 Unit Notes at issuance was 464.1%.</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 of 2013 Unit Notes and Warrants</w:t>
      </w:r>
    </w:p>
    <w:p>
      <w:pPr>
        <w:spacing w:after="0" w:line="205" w:lineRule="exact"/>
        <w:rPr>
          <w:sz w:val="20"/>
          <w:szCs w:val="20"/>
          <w:color w:val="auto"/>
        </w:rPr>
      </w:pPr>
    </w:p>
    <w:p>
      <w:pPr>
        <w:spacing w:after="0" w:line="302" w:lineRule="auto"/>
        <w:rPr>
          <w:sz w:val="20"/>
          <w:szCs w:val="20"/>
          <w:color w:val="auto"/>
        </w:rPr>
      </w:pPr>
      <w:r>
        <w:rPr>
          <w:rFonts w:ascii="Arial" w:cs="Arial" w:eastAsia="Arial" w:hAnsi="Arial"/>
          <w:sz w:val="12"/>
          <w:szCs w:val="12"/>
          <w:color w:val="auto"/>
        </w:rPr>
        <w:t>Effective May 31, 2014, we entered into note and warrant amendment agreements with substantially all holders of our 2013 Unit Notes and 2013 Unit Warrants, each of whom agreed to (i) modify certain terms of their 2013 Unit Note to conform to the corresponding terms of the 2014 Unit Notes, including an extension of the maturity date of their 2013 Unit Note from July 30, 2014 to March 31, 2015, as well as adoption of the automatic conversion and 25% conversion premium features related to consummation of a Qualified Financing, as described previously (</w:t>
      </w:r>
      <w:r>
        <w:rPr>
          <w:rFonts w:ascii="Arial" w:cs="Arial" w:eastAsia="Arial" w:hAnsi="Arial"/>
          <w:sz w:val="12"/>
          <w:szCs w:val="12"/>
          <w:i w:val="1"/>
          <w:iCs w:val="1"/>
          <w:color w:val="auto"/>
        </w:rPr>
        <w:t>Amended 2013 Unit Notes</w:t>
      </w:r>
      <w:r>
        <w:rPr>
          <w:rFonts w:ascii="Arial" w:cs="Arial" w:eastAsia="Arial" w:hAnsi="Arial"/>
          <w:sz w:val="12"/>
          <w:szCs w:val="12"/>
          <w:color w:val="auto"/>
        </w:rPr>
        <w:t>), and</w:t>
      </w:r>
    </w:p>
    <w:p>
      <w:pPr>
        <w:ind w:right="80" w:firstLine="5"/>
        <w:spacing w:after="0" w:line="257" w:lineRule="auto"/>
        <w:tabs>
          <w:tab w:leader="none" w:pos="209" w:val="left"/>
        </w:tabs>
        <w:numPr>
          <w:ilvl w:val="0"/>
          <w:numId w:val="83"/>
        </w:numPr>
        <w:rPr>
          <w:rFonts w:ascii="Arial" w:cs="Arial" w:eastAsia="Arial" w:hAnsi="Arial"/>
          <w:sz w:val="14"/>
          <w:szCs w:val="14"/>
          <w:color w:val="auto"/>
        </w:rPr>
      </w:pPr>
      <w:r>
        <w:rPr>
          <w:rFonts w:ascii="Arial" w:cs="Arial" w:eastAsia="Arial" w:hAnsi="Arial"/>
          <w:sz w:val="14"/>
          <w:szCs w:val="14"/>
          <w:color w:val="auto"/>
        </w:rPr>
        <w:t>modify certain terms of their 2013 Unit Warrants, including the exercise price and expiration date, to conform to the corresponding terms of the 2014 Unit Warrants (</w:t>
      </w:r>
      <w:r>
        <w:rPr>
          <w:rFonts w:ascii="Arial" w:cs="Arial" w:eastAsia="Arial" w:hAnsi="Arial"/>
          <w:sz w:val="14"/>
          <w:szCs w:val="14"/>
          <w:i w:val="1"/>
          <w:iCs w:val="1"/>
          <w:color w:val="auto"/>
        </w:rPr>
        <w:t>Amended 2013 Unit Warrants</w:t>
      </w:r>
      <w:r>
        <w:rPr>
          <w:rFonts w:ascii="Arial" w:cs="Arial" w:eastAsia="Arial" w:hAnsi="Arial"/>
          <w:sz w:val="14"/>
          <w:szCs w:val="14"/>
          <w:color w:val="auto"/>
        </w:rPr>
        <w:t>). Holders of 2013 Unit Notes having an aggregate initial face amount of $895,000 agreed to such amendments. The maturity date of 2013 Unit Notes payable to holders who did not agree to amend their 2013 Unit Note and 2013 Unit Warrant remained July 30, 2014 and the $20.00 per share exercise price and July 30, 2016 expiration date of the 2013 Unit Warrants held by such holders remains unchanged. Between April 1, 2014 and August 15, 2014, we repaid 2013 Unit Notes having an initial face value of $ 112,500 and since the later date, no un-amended 2013 Unit Notes remain outstanding.</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6" w:name="page167"/>
    <w:bookmarkEnd w:id="16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20"/>
        <w:spacing w:after="0" w:line="302" w:lineRule="auto"/>
        <w:rPr>
          <w:sz w:val="20"/>
          <w:szCs w:val="20"/>
          <w:color w:val="auto"/>
        </w:rPr>
      </w:pPr>
      <w:r>
        <w:rPr>
          <w:rFonts w:ascii="Arial" w:cs="Arial" w:eastAsia="Arial" w:hAnsi="Arial"/>
          <w:sz w:val="12"/>
          <w:szCs w:val="12"/>
          <w:color w:val="auto"/>
        </w:rPr>
        <w:t xml:space="preserve">We determined that the modification of the 2013 Unit Notes and the 2013 Unit Warrants should be accounted for as an extinguishment of debt. Considering the cash flows and the non-contingent and contingent beneficial conversion features of the Amended 2013 Notes and other factors, including market interest rates for unsecured debt of similar quality and the probability of their conversion to securities in a Qualified Financing, we determined that the fair values of the Amended 2013 Unit Notes, aggregating $1,394,000, represented a substantial premium over their aggregate $943,400 face values. In accordance with the provisions of ASC 470-20, </w:t>
      </w:r>
      <w:r>
        <w:rPr>
          <w:rFonts w:ascii="Arial" w:cs="Arial" w:eastAsia="Arial" w:hAnsi="Arial"/>
          <w:sz w:val="12"/>
          <w:szCs w:val="12"/>
          <w:i w:val="1"/>
          <w:iCs w:val="1"/>
          <w:color w:val="auto"/>
        </w:rPr>
        <w:t>Debt with Conversion and Other Options,</w:t>
      </w:r>
      <w:r>
        <w:rPr>
          <w:rFonts w:ascii="Arial" w:cs="Arial" w:eastAsia="Arial" w:hAnsi="Arial"/>
          <w:sz w:val="12"/>
          <w:szCs w:val="12"/>
          <w:color w:val="auto"/>
        </w:rPr>
        <w:t xml:space="preserve"> we recognized the premium in excess of the face value, $450,600, as a credit to additional paid-in capital, an equity account. Consequently, we recorded the liability for the Amended 2013 Unit Notes at their face values. We recognized the difference between the pre-modification carrying values of the notes and their fair values, an aggregate of $867,500, as a non-cash charge to loss on extinguishment of debt in the accompanying Condensed Consolidated Statement of Operations and Comprehensive Loss. As described in greater detail in Note 9, </w:t>
      </w:r>
      <w:r>
        <w:rPr>
          <w:rFonts w:ascii="Arial" w:cs="Arial" w:eastAsia="Arial" w:hAnsi="Arial"/>
          <w:sz w:val="12"/>
          <w:szCs w:val="12"/>
          <w:i w:val="1"/>
          <w:iCs w:val="1"/>
          <w:color w:val="auto"/>
        </w:rPr>
        <w:t>Capital Stock</w:t>
      </w:r>
      <w:r>
        <w:rPr>
          <w:rFonts w:ascii="Arial" w:cs="Arial" w:eastAsia="Arial" w:hAnsi="Arial"/>
          <w:sz w:val="12"/>
          <w:szCs w:val="12"/>
          <w:color w:val="auto"/>
        </w:rPr>
        <w:t>, we determined the incremental fair value of the Amended 2013 Unit Warrants, which are treated as equity instruments, to be $272,900. We recognized this incremental fair value as an additional component of loss on extinguishment of debt in the accompanying Condensed Consolidated Statements of Operations and Comprehensive Loss and as a credit to additional paid-in capital. Certain of the 2013 Unit Notes contained a beneficial conversion feature when they were originally issued. We have accounted for the repurchase of the beneficial conversion feature at the time of the modification, an aggregate of $614,200, as a reduction to the loss on extinguishment of debt in the accompanying Condensed Consolidated Statements of Operations and Comprehensive Loss, with a corresponding reduction to additional paid-in capital. The net amount of the loss on extinguishment of debt related to the Amended 2013 Unit Notes and Amended 2013 Unit Warrants recognized in the accompanying Condensed Consolidated Statements of Operations and Comprehensive Loss is $526,200. Since the Amended 2013 Unit Notes have the same features and maturity as the 2014 Unit Notes, the two sets of notes are aggregated in the summary table above.</w:t>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in Satisfaction of Technology License and Maintenance Fees and Patent Expenses</w:t>
      </w:r>
    </w:p>
    <w:p>
      <w:pPr>
        <w:spacing w:after="0" w:line="205" w:lineRule="exact"/>
        <w:rPr>
          <w:sz w:val="20"/>
          <w:szCs w:val="20"/>
          <w:color w:val="auto"/>
        </w:rPr>
      </w:pPr>
    </w:p>
    <w:p>
      <w:pPr>
        <w:ind w:right="160"/>
        <w:spacing w:after="0" w:line="305" w:lineRule="auto"/>
        <w:rPr>
          <w:sz w:val="20"/>
          <w:szCs w:val="20"/>
          <w:color w:val="auto"/>
        </w:rPr>
      </w:pPr>
      <w:r>
        <w:rPr>
          <w:rFonts w:ascii="Arial" w:cs="Arial" w:eastAsia="Arial" w:hAnsi="Arial"/>
          <w:sz w:val="12"/>
          <w:szCs w:val="12"/>
          <w:color w:val="auto"/>
        </w:rPr>
        <w:t>In April 2014, we entered into an agreement with Icahn School of Medicine at Mount Sinai (</w:t>
      </w:r>
      <w:r>
        <w:rPr>
          <w:rFonts w:ascii="Arial" w:cs="Arial" w:eastAsia="Arial" w:hAnsi="Arial"/>
          <w:sz w:val="12"/>
          <w:szCs w:val="12"/>
          <w:i w:val="1"/>
          <w:iCs w:val="1"/>
          <w:color w:val="auto"/>
        </w:rPr>
        <w:t>Icahn School</w:t>
      </w:r>
      <w:r>
        <w:rPr>
          <w:rFonts w:ascii="Arial" w:cs="Arial" w:eastAsia="Arial" w:hAnsi="Arial"/>
          <w:sz w:val="12"/>
          <w:szCs w:val="12"/>
          <w:color w:val="auto"/>
        </w:rPr>
        <w:t>), one of our long-term stem cell technology licensors, pursuant to which we issued (i) a 10% promissory note in the face amount of $300,000 due on the earlier of December 31, 2014, or the completion of a qualified financing, as defined, (ii) 15,000 restricted shares of our common stock and</w:t>
      </w:r>
    </w:p>
    <w:p>
      <w:pPr>
        <w:ind w:firstLine="5"/>
        <w:spacing w:after="0" w:line="255" w:lineRule="auto"/>
        <w:tabs>
          <w:tab w:leader="none" w:pos="248" w:val="left"/>
        </w:tabs>
        <w:numPr>
          <w:ilvl w:val="0"/>
          <w:numId w:val="84"/>
        </w:numPr>
        <w:rPr>
          <w:rFonts w:ascii="Arial" w:cs="Arial" w:eastAsia="Arial" w:hAnsi="Arial"/>
          <w:sz w:val="14"/>
          <w:szCs w:val="14"/>
          <w:color w:val="auto"/>
        </w:rPr>
      </w:pPr>
      <w:r>
        <w:rPr>
          <w:rFonts w:ascii="Arial" w:cs="Arial" w:eastAsia="Arial" w:hAnsi="Arial"/>
          <w:sz w:val="14"/>
          <w:szCs w:val="14"/>
          <w:color w:val="auto"/>
        </w:rPr>
        <w:t xml:space="preserve">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4"/>
          <w:szCs w:val="14"/>
          <w:i w:val="1"/>
          <w:iCs w:val="1"/>
          <w:color w:val="auto"/>
        </w:rPr>
        <w:t>Agreement</w:t>
      </w:r>
      <w:r>
        <w:rPr>
          <w:rFonts w:ascii="Arial" w:cs="Arial" w:eastAsia="Arial" w:hAnsi="Arial"/>
          <w:sz w:val="14"/>
          <w:szCs w:val="14"/>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Agreement, an additional $35,800 of license maintenance fees and reimbursable patent prosecution costs was added to the principal amount of the promissory note through December 31, 2014. We made a payment of $10,000 on the note in January 2015 and it remained outstanding at March 31, 2015.</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Payable to Morrison &amp; Foerster</w:t>
      </w:r>
    </w:p>
    <w:p>
      <w:pPr>
        <w:spacing w:after="0" w:line="205"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 xml:space="preserve">On May 5, 2011, we amended a previously outstanding note (the </w:t>
      </w:r>
      <w:r>
        <w:rPr>
          <w:rFonts w:ascii="Arial" w:cs="Arial" w:eastAsia="Arial" w:hAnsi="Arial"/>
          <w:sz w:val="14"/>
          <w:szCs w:val="14"/>
          <w:i w:val="1"/>
          <w:iCs w:val="1"/>
          <w:color w:val="auto"/>
        </w:rPr>
        <w:t>Original Note</w:t>
      </w:r>
      <w:r>
        <w:rPr>
          <w:rFonts w:ascii="Arial" w:cs="Arial" w:eastAsia="Arial" w:hAnsi="Arial"/>
          <w:sz w:val="14"/>
          <w:szCs w:val="14"/>
          <w:color w:val="auto"/>
        </w:rPr>
        <w:t>) issued to Morrison &amp; Foerster LLP (</w:t>
      </w:r>
      <w:r>
        <w:rPr>
          <w:rFonts w:ascii="Arial" w:cs="Arial" w:eastAsia="Arial" w:hAnsi="Arial"/>
          <w:sz w:val="14"/>
          <w:szCs w:val="14"/>
          <w:i w:val="1"/>
          <w:iCs w:val="1"/>
          <w:color w:val="auto"/>
        </w:rPr>
        <w:t>Morrison &amp; Foerster</w:t>
      </w:r>
      <w:r>
        <w:rPr>
          <w:rFonts w:ascii="Arial" w:cs="Arial" w:eastAsia="Arial" w:hAnsi="Arial"/>
          <w:sz w:val="14"/>
          <w:szCs w:val="14"/>
          <w:color w:val="auto"/>
        </w:rPr>
        <w:t xml:space="preserve">), then our general corporate and intellectual property counsel, in payment of legal services (the </w:t>
      </w:r>
      <w:r>
        <w:rPr>
          <w:rFonts w:ascii="Arial" w:cs="Arial" w:eastAsia="Arial" w:hAnsi="Arial"/>
          <w:sz w:val="14"/>
          <w:szCs w:val="14"/>
          <w:i w:val="1"/>
          <w:iCs w:val="1"/>
          <w:color w:val="auto"/>
        </w:rPr>
        <w:t>Amended Note</w:t>
      </w:r>
      <w:r>
        <w:rPr>
          <w:rFonts w:ascii="Arial" w:cs="Arial" w:eastAsia="Arial" w:hAnsi="Arial"/>
          <w:sz w:val="14"/>
          <w:szCs w:val="14"/>
          <w:color w:val="auto"/>
        </w:rPr>
        <w:t>). Under the terms of Amended Note, the principal balance of the Original Note was increased to $2,200,000, interest accrued at the rate of 7.5% per annum, and we were required to make certain payments to Morrison &amp; Foerster.</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7" w:name="page168"/>
    <w:bookmarkEnd w:id="16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 xml:space="preserve">On August 31, 2012, we restructured the Amended Note (the </w:t>
      </w:r>
      <w:r>
        <w:rPr>
          <w:rFonts w:ascii="Arial" w:cs="Arial" w:eastAsia="Arial" w:hAnsi="Arial"/>
          <w:sz w:val="13"/>
          <w:szCs w:val="13"/>
          <w:i w:val="1"/>
          <w:iCs w:val="1"/>
          <w:color w:val="auto"/>
        </w:rPr>
        <w:t>Restructuring Agreement</w:t>
      </w:r>
      <w:r>
        <w:rPr>
          <w:rFonts w:ascii="Arial" w:cs="Arial" w:eastAsia="Arial" w:hAnsi="Arial"/>
          <w:sz w:val="13"/>
          <w:szCs w:val="13"/>
          <w:color w:val="auto"/>
        </w:rPr>
        <w:t>). Pursuant to the Restructuring Agreement, we issued to Morrison &amp; Foerster two new unsecured promissory notes to replace the Amended Note, one in the principal amount of $1,000,000 (</w:t>
      </w:r>
      <w:r>
        <w:rPr>
          <w:rFonts w:ascii="Arial" w:cs="Arial" w:eastAsia="Arial" w:hAnsi="Arial"/>
          <w:sz w:val="13"/>
          <w:szCs w:val="13"/>
          <w:i w:val="1"/>
          <w:iCs w:val="1"/>
          <w:color w:val="auto"/>
        </w:rPr>
        <w:t>Replacement Note A</w:t>
      </w:r>
      <w:r>
        <w:rPr>
          <w:rFonts w:ascii="Arial" w:cs="Arial" w:eastAsia="Arial" w:hAnsi="Arial"/>
          <w:sz w:val="13"/>
          <w:szCs w:val="13"/>
          <w:color w:val="auto"/>
        </w:rPr>
        <w:t>) and the other in the principal amount of $1,379,400 (</w:t>
      </w:r>
      <w:r>
        <w:rPr>
          <w:rFonts w:ascii="Arial" w:cs="Arial" w:eastAsia="Arial" w:hAnsi="Arial"/>
          <w:sz w:val="13"/>
          <w:szCs w:val="13"/>
          <w:i w:val="1"/>
          <w:iCs w:val="1"/>
          <w:color w:val="auto"/>
        </w:rPr>
        <w:t>Replacement Note B</w:t>
      </w:r>
      <w:r>
        <w:rPr>
          <w:rFonts w:ascii="Arial" w:cs="Arial" w:eastAsia="Arial" w:hAnsi="Arial"/>
          <w:sz w:val="13"/>
          <w:szCs w:val="13"/>
          <w:color w:val="auto"/>
        </w:rPr>
        <w:t xml:space="preserve">) (together, the </w:t>
      </w:r>
      <w:r>
        <w:rPr>
          <w:rFonts w:ascii="Arial" w:cs="Arial" w:eastAsia="Arial" w:hAnsi="Arial"/>
          <w:sz w:val="13"/>
          <w:szCs w:val="13"/>
          <w:i w:val="1"/>
          <w:iCs w:val="1"/>
          <w:color w:val="auto"/>
        </w:rPr>
        <w:t>Replacement Notes</w:t>
      </w:r>
      <w:r>
        <w:rPr>
          <w:rFonts w:ascii="Arial" w:cs="Arial" w:eastAsia="Arial" w:hAnsi="Arial"/>
          <w:sz w:val="13"/>
          <w:szCs w:val="13"/>
          <w:color w:val="auto"/>
        </w:rPr>
        <w:t>); amended an outstanding warrant to purchase restricted shares of our common stock (the</w:t>
      </w:r>
      <w:r>
        <w:rPr>
          <w:rFonts w:ascii="Arial" w:cs="Arial" w:eastAsia="Arial" w:hAnsi="Arial"/>
          <w:sz w:val="13"/>
          <w:szCs w:val="13"/>
          <w:i w:val="1"/>
          <w:iCs w:val="1"/>
          <w:color w:val="auto"/>
        </w:rPr>
        <w:t xml:space="preserve"> Amended M&amp;F Warrant)</w:t>
      </w:r>
      <w:r>
        <w:rPr>
          <w:rFonts w:ascii="Arial" w:cs="Arial" w:eastAsia="Arial" w:hAnsi="Arial"/>
          <w:sz w:val="13"/>
          <w:szCs w:val="13"/>
          <w:color w:val="auto"/>
        </w:rPr>
        <w:t>; and issued a new warrant exercisable at $20.00 per share through</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September 15, 2017 to purchase restricted shares of our common stock (the </w:t>
      </w:r>
      <w:r>
        <w:rPr>
          <w:rFonts w:ascii="Arial" w:cs="Arial" w:eastAsia="Arial" w:hAnsi="Arial"/>
          <w:sz w:val="13"/>
          <w:szCs w:val="13"/>
          <w:i w:val="1"/>
          <w:iCs w:val="1"/>
          <w:color w:val="auto"/>
        </w:rPr>
        <w:t>New M&amp;F Warrant).</w:t>
      </w:r>
      <w:r>
        <w:rPr>
          <w:rFonts w:ascii="Arial" w:cs="Arial" w:eastAsia="Arial" w:hAnsi="Arial"/>
          <w:sz w:val="13"/>
          <w:szCs w:val="13"/>
          <w:color w:val="auto"/>
        </w:rPr>
        <w:t xml:space="preserve"> Under the terms of the Restructuring Agreement, the Amended Note was cancelled and all of our past due payment obligations under the Amended Note were satisfied. Pursuant to the terms of the Amended Note, we made a payment of $155,000 to Morrison &amp; Foerster on August 31, 2012 and issued the Replacement Notes, each dated as of August 31, 2012. Both Replacement Notes accrue interest at the rate of 7.5% per annum and are due and payable on March 31, 2016. Replacement Note A required monthly payments of $15,000 per month through March 31, 2013, and requires $25,000 per month thereafter until maturity. Between May 2013 and March 31, 2015, we have made no payments on Replacement Note A. In accordance with the terms of the Replacement Notes, the applicable penalty interest rate of 10.0% per annum has become effective and we have accrued interest on the Replacement Notes at that rate since May 2013. Payment of the principal and interest on Replacement Note B will be made solely in restricted shares of our common stock pursuant to Morrison &amp; Foerster’s cancellation from time to time of all or a portion of the principal and interest balance due on Replacement Note B in connection with its concurrent exercise of the New M&amp;F Warrant, at an exercise price of $20.00 per share; provided, however, that Morrison &amp; Foerster shall have the option to require payment of Replacement Note B in cash upon the occurrence of a change in control of the Company or an event of default, and only in such circumstances. As indicated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in May 2015, Replacement Note B in the aggregate amount (principal and accrued but unpaid interest) of approximately $1.8 million was converted into 257,143 shares of our newly created Series B Preferred, eliminating approximately $1.8 million of our indebtedness. Additionally, Morrison &amp; Foerster agreed to standstill and forbear until December 31, 2016 with respect to further payment requirements on Replacement Note A and accounts payable outstanding at the time of the agreement.</w:t>
      </w:r>
    </w:p>
    <w:p>
      <w:pPr>
        <w:spacing w:after="0" w:line="159" w:lineRule="exact"/>
        <w:rPr>
          <w:sz w:val="20"/>
          <w:szCs w:val="20"/>
          <w:color w:val="auto"/>
        </w:rPr>
      </w:pPr>
    </w:p>
    <w:p>
      <w:pPr>
        <w:ind w:right="140"/>
        <w:spacing w:after="0" w:line="285" w:lineRule="auto"/>
        <w:rPr>
          <w:sz w:val="20"/>
          <w:szCs w:val="20"/>
          <w:color w:val="auto"/>
        </w:rPr>
      </w:pPr>
      <w:r>
        <w:rPr>
          <w:rFonts w:ascii="Arial" w:cs="Arial" w:eastAsia="Arial" w:hAnsi="Arial"/>
          <w:sz w:val="13"/>
          <w:szCs w:val="13"/>
          <w:color w:val="auto"/>
        </w:rPr>
        <w:t>The New M&amp;F Warrant is exercisable for the number of restricted shares of our common stock equal to the principal and accrued interest due under the terms of Replacement Note B divided by the warrant exercise price of $20.00 per share. At the August 31, 2012 date of grant, the New M&amp;F Warrant was exercisable to purchase 68,969 restricted shares of our common stock. The New M&amp;F Warrant effectively permits exercise only by the cancellation in whole or in part of our indebtedness under either of the Replacement Notes. Through March 31, 2015, we have adjusted the New M&amp;F Warrant to increase the number of restricted shares available for purchase by 16,658 shares, based on interest accrued on Replacement Note B through that date. We have recorded the fair value of the additional warrant shares as a charge to interest expense and a corresponding credit to additional paid-in capital.</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Payable to Cato Research Ltd.</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On October 10, 2012, we issued to Cato Research Ltd (</w:t>
      </w:r>
      <w:r>
        <w:rPr>
          <w:rFonts w:ascii="Arial" w:cs="Arial" w:eastAsia="Arial" w:hAnsi="Arial"/>
          <w:sz w:val="13"/>
          <w:szCs w:val="13"/>
          <w:i w:val="1"/>
          <w:iCs w:val="1"/>
          <w:color w:val="auto"/>
        </w:rPr>
        <w:t>CRL</w:t>
      </w:r>
      <w:r>
        <w:rPr>
          <w:rFonts w:ascii="Arial" w:cs="Arial" w:eastAsia="Arial" w:hAnsi="Arial"/>
          <w:sz w:val="13"/>
          <w:szCs w:val="13"/>
          <w:color w:val="auto"/>
        </w:rPr>
        <w:t>) a contract research and development partner and a related party: (i) an unsecured promissory note in the initial principal amount of</w:t>
      </w:r>
    </w:p>
    <w:p>
      <w:pPr>
        <w:spacing w:after="0" w:line="31"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 xml:space="preserve">$1,009,000, which is payable solely in restricted shares of our common stock and which accrues interest at the rate of 7.5% per annum, compounded monthly (the </w:t>
      </w:r>
      <w:r>
        <w:rPr>
          <w:rFonts w:ascii="Arial" w:cs="Arial" w:eastAsia="Arial" w:hAnsi="Arial"/>
          <w:sz w:val="13"/>
          <w:szCs w:val="13"/>
          <w:i w:val="1"/>
          <w:iCs w:val="1"/>
          <w:color w:val="auto"/>
        </w:rPr>
        <w:t>CRL Note</w:t>
      </w:r>
      <w:r>
        <w:rPr>
          <w:rFonts w:ascii="Arial" w:cs="Arial" w:eastAsia="Arial" w:hAnsi="Arial"/>
          <w:sz w:val="13"/>
          <w:szCs w:val="13"/>
          <w:color w:val="auto"/>
        </w:rPr>
        <w:t>), as payment in full for all contract research and development services and regulatory advice (</w:t>
      </w:r>
      <w:r>
        <w:rPr>
          <w:rFonts w:ascii="Arial" w:cs="Arial" w:eastAsia="Arial" w:hAnsi="Arial"/>
          <w:sz w:val="13"/>
          <w:szCs w:val="13"/>
          <w:i w:val="1"/>
          <w:iCs w:val="1"/>
          <w:color w:val="auto"/>
        </w:rPr>
        <w:t>CRO Services</w:t>
      </w:r>
      <w:r>
        <w:rPr>
          <w:rFonts w:ascii="Arial" w:cs="Arial" w:eastAsia="Arial" w:hAnsi="Arial"/>
          <w:sz w:val="13"/>
          <w:szCs w:val="13"/>
          <w:color w:val="auto"/>
        </w:rPr>
        <w:t xml:space="preserve">) rendered by CRL to us and our affiliates through December 31, 2012 with respect to the non-clinical and clinical development of AV-101, and (ii) a five-year warrant to purchase, at a price of $20.00 per share, 50,450 restricted shares of our common stock, the amount equal to the sum of the principal amount of the CRL Note, plus all accrued interest thereon, divided by $20.00 per share (the </w:t>
      </w:r>
      <w:r>
        <w:rPr>
          <w:rFonts w:ascii="Arial" w:cs="Arial" w:eastAsia="Arial" w:hAnsi="Arial"/>
          <w:sz w:val="13"/>
          <w:szCs w:val="13"/>
          <w:i w:val="1"/>
          <w:iCs w:val="1"/>
          <w:color w:val="auto"/>
        </w:rPr>
        <w:t>CRL Warrant</w:t>
      </w:r>
      <w:r>
        <w:rPr>
          <w:rFonts w:ascii="Arial" w:cs="Arial" w:eastAsia="Arial" w:hAnsi="Arial"/>
          <w:sz w:val="13"/>
          <w:szCs w:val="13"/>
          <w:color w:val="auto"/>
        </w:rPr>
        <w:t>). The CRL Note is due and payable on March 31, 2016 and is payable solely by CRL's cancellation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 Through March 31, 2015, we have adjusted the CRL Warrant to increase the number of restricted shares available for purchase by 10,241 shares, based on interest accrued on the CRL Note through that date. We have recorded the fair value of the additional shares as a charge to interest expense and a corresponding credit to additional paid-in capital.</w:t>
      </w:r>
    </w:p>
    <w:p>
      <w:pPr>
        <w:spacing w:after="0" w:line="159"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color w:val="auto"/>
        </w:rPr>
        <w:t xml:space="preserve">As disclosed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in May 2015, the CRL Note and certain accounts payable to CRL for CRO Services related to AV-101 in the aggregate amount (principal and accrued but unpaid interest, plus certain strategic adjustments) of approximately $1.9 million were converted into 278,006 shares of our Series B Preferred, eliminating approximately $1.9 million of our indebtedness.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8" w:name="page169"/>
    <w:bookmarkEnd w:id="16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Payable to Cato Holding Company</w:t>
      </w:r>
    </w:p>
    <w:p>
      <w:pPr>
        <w:spacing w:after="0" w:line="191" w:lineRule="exact"/>
        <w:rPr>
          <w:sz w:val="20"/>
          <w:szCs w:val="20"/>
          <w:color w:val="auto"/>
        </w:rPr>
      </w:pPr>
    </w:p>
    <w:p>
      <w:pPr>
        <w:ind w:right="180"/>
        <w:spacing w:after="0" w:line="263" w:lineRule="auto"/>
        <w:rPr>
          <w:sz w:val="20"/>
          <w:szCs w:val="20"/>
          <w:color w:val="auto"/>
        </w:rPr>
      </w:pPr>
      <w:r>
        <w:rPr>
          <w:rFonts w:ascii="Arial" w:cs="Arial" w:eastAsia="Arial" w:hAnsi="Arial"/>
          <w:sz w:val="14"/>
          <w:szCs w:val="14"/>
          <w:color w:val="auto"/>
        </w:rPr>
        <w:t>On October 10, 2012, we exchanged a previously outstanding note issued to Cato Holding Company (</w:t>
      </w:r>
      <w:r>
        <w:rPr>
          <w:rFonts w:ascii="Arial" w:cs="Arial" w:eastAsia="Arial" w:hAnsi="Arial"/>
          <w:sz w:val="14"/>
          <w:szCs w:val="14"/>
          <w:i w:val="1"/>
          <w:iCs w:val="1"/>
          <w:color w:val="auto"/>
        </w:rPr>
        <w:t>CHC</w:t>
      </w:r>
      <w:r>
        <w:rPr>
          <w:rFonts w:ascii="Arial" w:cs="Arial" w:eastAsia="Arial" w:hAnsi="Arial"/>
          <w:sz w:val="14"/>
          <w:szCs w:val="14"/>
          <w:color w:val="auto"/>
        </w:rPr>
        <w:t xml:space="preserve">) for a new unsecured promissory note in the principal amount of $310,400 (the </w:t>
      </w:r>
      <w:r>
        <w:rPr>
          <w:rFonts w:ascii="Arial" w:cs="Arial" w:eastAsia="Arial" w:hAnsi="Arial"/>
          <w:sz w:val="14"/>
          <w:szCs w:val="14"/>
          <w:i w:val="1"/>
          <w:iCs w:val="1"/>
          <w:color w:val="auto"/>
        </w:rPr>
        <w:t>2012 CHC</w:t>
      </w:r>
      <w:r>
        <w:rPr>
          <w:rFonts w:ascii="Arial" w:cs="Arial" w:eastAsia="Arial" w:hAnsi="Arial"/>
          <w:sz w:val="14"/>
          <w:szCs w:val="14"/>
          <w:color w:val="auto"/>
        </w:rPr>
        <w:t xml:space="preserve"> </w:t>
      </w:r>
      <w:r>
        <w:rPr>
          <w:rFonts w:ascii="Arial" w:cs="Arial" w:eastAsia="Arial" w:hAnsi="Arial"/>
          <w:sz w:val="14"/>
          <w:szCs w:val="14"/>
          <w:i w:val="1"/>
          <w:iCs w:val="1"/>
          <w:color w:val="auto"/>
        </w:rPr>
        <w:t>Note</w:t>
      </w:r>
      <w:r>
        <w:rPr>
          <w:rFonts w:ascii="Arial" w:cs="Arial" w:eastAsia="Arial" w:hAnsi="Arial"/>
          <w:sz w:val="14"/>
          <w:szCs w:val="14"/>
          <w:color w:val="auto"/>
        </w:rPr>
        <w:t>) and a five-year warrant to purchase 12,500 restricted shares of the Company’s common stock at a price of $30.00 per share (the</w:t>
      </w:r>
      <w:r>
        <w:rPr>
          <w:rFonts w:ascii="Arial" w:cs="Arial" w:eastAsia="Arial" w:hAnsi="Arial"/>
          <w:sz w:val="14"/>
          <w:szCs w:val="14"/>
          <w:i w:val="1"/>
          <w:iCs w:val="1"/>
          <w:color w:val="auto"/>
        </w:rPr>
        <w:t xml:space="preserve"> CHC Warrant</w:t>
      </w:r>
      <w:r>
        <w:rPr>
          <w:rFonts w:ascii="Arial" w:cs="Arial" w:eastAsia="Arial" w:hAnsi="Arial"/>
          <w:sz w:val="14"/>
          <w:szCs w:val="14"/>
          <w:color w:val="auto"/>
        </w:rPr>
        <w:t>). The 2012 CHC Note accrues interest at a rate of</w:t>
      </w:r>
      <w:r>
        <w:rPr>
          <w:rFonts w:ascii="Arial" w:cs="Arial" w:eastAsia="Arial" w:hAnsi="Arial"/>
          <w:sz w:val="14"/>
          <w:szCs w:val="14"/>
          <w:i w:val="1"/>
          <w:iCs w:val="1"/>
          <w:color w:val="auto"/>
        </w:rPr>
        <w:t xml:space="preserve"> </w:t>
      </w:r>
      <w:r>
        <w:rPr>
          <w:rFonts w:ascii="Arial" w:cs="Arial" w:eastAsia="Arial" w:hAnsi="Arial"/>
          <w:sz w:val="14"/>
          <w:szCs w:val="14"/>
          <w:color w:val="auto"/>
        </w:rPr>
        <w:t>7.5% per annum and is due and payable in monthly installments of $10,000, beginning November 1, 2012 and continuing until the outstanding balance is paid in full. Between December 2012 and March 31, 2015, we have made no payments on the 2012 CHC Note.</w:t>
      </w:r>
    </w:p>
    <w:p>
      <w:pPr>
        <w:spacing w:after="0" w:line="167"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 xml:space="preserve">As disclosed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in May 2015, the 2012 CHC Note in the aggregate amount (principal and accrued but unpaid interest) of approximately $354,000 was converted into 50,565 shares of our Series B Preferred, eliminating approximately $354,000 of our indebtedness.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Payable to University Health Network</w:t>
      </w: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October 10, 2012, we issued to the University Health Network (</w:t>
      </w:r>
      <w:r>
        <w:rPr>
          <w:rFonts w:ascii="Arial" w:cs="Arial" w:eastAsia="Arial" w:hAnsi="Arial"/>
          <w:sz w:val="13"/>
          <w:szCs w:val="13"/>
          <w:i w:val="1"/>
          <w:iCs w:val="1"/>
          <w:color w:val="auto"/>
        </w:rPr>
        <w:t>UHN</w:t>
      </w:r>
      <w:r>
        <w:rPr>
          <w:rFonts w:ascii="Arial" w:cs="Arial" w:eastAsia="Arial" w:hAnsi="Arial"/>
          <w:sz w:val="13"/>
          <w:szCs w:val="13"/>
          <w:color w:val="auto"/>
        </w:rPr>
        <w:t xml:space="preserve">): (i) an unsecured promissory note in the principal amount of $549,500, which is payable solely in restricted shares of our common stock and which accrues interest at the rate of 7.5% per annum, as payment in full for all sponsored stem cell research and development activities by UHN and Gordon Keller, Ph.D. under the SCRA through September 30, 2012 (the </w:t>
      </w:r>
      <w:r>
        <w:rPr>
          <w:rFonts w:ascii="Arial" w:cs="Arial" w:eastAsia="Arial" w:hAnsi="Arial"/>
          <w:sz w:val="13"/>
          <w:szCs w:val="13"/>
          <w:i w:val="1"/>
          <w:iCs w:val="1"/>
          <w:color w:val="auto"/>
        </w:rPr>
        <w:t>UHN Note</w:t>
      </w:r>
      <w:r>
        <w:rPr>
          <w:rFonts w:ascii="Arial" w:cs="Arial" w:eastAsia="Arial" w:hAnsi="Arial"/>
          <w:sz w:val="13"/>
          <w:szCs w:val="13"/>
          <w:color w:val="auto"/>
        </w:rPr>
        <w:t xml:space="preserve">), and (ii) a five-year warrant to purchase, at a price of $20.00 per share, 27,475 restricted shares of our common stock, the amount equal to the sum of the principal amount of the UHN Note, plus all accrued interest thereon, divided by $20.00 per share (the </w:t>
      </w:r>
      <w:r>
        <w:rPr>
          <w:rFonts w:ascii="Arial" w:cs="Arial" w:eastAsia="Arial" w:hAnsi="Arial"/>
          <w:sz w:val="13"/>
          <w:szCs w:val="13"/>
          <w:i w:val="1"/>
          <w:iCs w:val="1"/>
          <w:color w:val="auto"/>
        </w:rPr>
        <w:t>UHN Warrant</w:t>
      </w:r>
      <w:r>
        <w:rPr>
          <w:rFonts w:ascii="Arial" w:cs="Arial" w:eastAsia="Arial" w:hAnsi="Arial"/>
          <w:sz w:val="13"/>
          <w:szCs w:val="13"/>
          <w:color w:val="auto"/>
        </w:rPr>
        <w:t>). The UHN Note is due and payable on March 31, 2016 and is payable solely by UHN's cancellation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 Through March 31, 2015, we have adjusted the UHN Warrant to increase the number of restricted shares available for purchase by 5,095 shares, based on interest accrued on the UHN Note through that date. We have recorded the fair value of the additional shares as a charge to interest expense and a corresponding credit to additional paid-in capital.</w:t>
      </w:r>
    </w:p>
    <w:p>
      <w:pPr>
        <w:spacing w:after="0" w:line="159" w:lineRule="exact"/>
        <w:rPr>
          <w:sz w:val="20"/>
          <w:szCs w:val="20"/>
          <w:color w:val="auto"/>
        </w:rPr>
      </w:pPr>
    </w:p>
    <w:p>
      <w:pPr>
        <w:ind w:right="320"/>
        <w:spacing w:after="0" w:line="283" w:lineRule="auto"/>
        <w:rPr>
          <w:sz w:val="20"/>
          <w:szCs w:val="20"/>
          <w:color w:val="auto"/>
        </w:rPr>
      </w:pPr>
      <w:r>
        <w:rPr>
          <w:rFonts w:ascii="Arial" w:cs="Arial" w:eastAsia="Arial" w:hAnsi="Arial"/>
          <w:sz w:val="14"/>
          <w:szCs w:val="14"/>
          <w:color w:val="auto"/>
        </w:rPr>
        <w:t xml:space="preserve">As disclosed in Note 16, </w:t>
      </w:r>
      <w:r>
        <w:rPr>
          <w:rFonts w:ascii="Arial" w:cs="Arial" w:eastAsia="Arial" w:hAnsi="Arial"/>
          <w:sz w:val="14"/>
          <w:szCs w:val="14"/>
          <w:i w:val="1"/>
          <w:iCs w:val="1"/>
          <w:color w:val="auto"/>
        </w:rPr>
        <w:t>Subsequent Events</w:t>
      </w:r>
      <w:r>
        <w:rPr>
          <w:rFonts w:ascii="Arial" w:cs="Arial" w:eastAsia="Arial" w:hAnsi="Arial"/>
          <w:sz w:val="14"/>
          <w:szCs w:val="14"/>
          <w:color w:val="auto"/>
        </w:rPr>
        <w:t>, in May 2015, the UHN Note in the aggregate amount (principal and accrued but unpaid interest) of approximately $656,400 was converted into 93,775 shares of our Series B Preferred, eliminating approximately $656,400 of our indebtedness.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Payable for Cancellation of Amounts Payable for Services and Royalties</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On February 25, 2011, we issued to Burr, Pilger, and Mayer, LLC (</w:t>
      </w:r>
      <w:r>
        <w:rPr>
          <w:rFonts w:ascii="Arial" w:cs="Arial" w:eastAsia="Arial" w:hAnsi="Arial"/>
          <w:sz w:val="14"/>
          <w:szCs w:val="14"/>
          <w:i w:val="1"/>
          <w:iCs w:val="1"/>
          <w:color w:val="auto"/>
        </w:rPr>
        <w:t>BPM</w:t>
      </w:r>
      <w:r>
        <w:rPr>
          <w:rFonts w:ascii="Arial" w:cs="Arial" w:eastAsia="Arial" w:hAnsi="Arial"/>
          <w:sz w:val="14"/>
          <w:szCs w:val="14"/>
          <w:color w:val="auto"/>
        </w:rPr>
        <w:t>) an unsecured promissory note in the principal amount of $98,674 for amounts payable in connection with valuation services provided to us by BPM. The BPM note bears interest at the rate of 7.5% per annum and has payment terms of $1,000 per month, beginning March 1, 2011 and continuing until all principal and interest is paid in full. In addition, a payment of $25,000 shall be due upon the sale of the Company or upon our completing a financing transaction of at least $5.0 million during any three-month period, with the payment increasing to $50,000 (or the amount then owed under the note, if less) upon the Company completing a financing of over $10.0 million. We made no payments on the BPM note during the fiscal year ended March 31, 2015.</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4"/>
          <w:szCs w:val="14"/>
          <w:color w:val="auto"/>
        </w:rPr>
        <w:t>On April 29, 2011, we issued to Desjardins Securities, Inc. (</w:t>
      </w:r>
      <w:r>
        <w:rPr>
          <w:rFonts w:ascii="Arial" w:cs="Arial" w:eastAsia="Arial" w:hAnsi="Arial"/>
          <w:sz w:val="14"/>
          <w:szCs w:val="14"/>
          <w:i w:val="1"/>
          <w:iCs w:val="1"/>
          <w:color w:val="auto"/>
        </w:rPr>
        <w:t>Desjardins</w:t>
      </w:r>
      <w:r>
        <w:rPr>
          <w:rFonts w:ascii="Arial" w:cs="Arial" w:eastAsia="Arial" w:hAnsi="Arial"/>
          <w:sz w:val="14"/>
          <w:szCs w:val="14"/>
          <w:color w:val="auto"/>
        </w:rPr>
        <w:t>) an unsecured promissory note in the principal amount of CDN $236,000 for amounts payable for legal fees incurred by Desjardins in connection with investment banking services provided to us by Desjardins. The Desjardins note bears interest at 7.5% and was due, along with all accrued but unpaid interest on the earliest of (i) June 30, 2014, (ii) the consummation of a Change of Control, as defined in the Desjardins note, and (iii) any failure to pay principal or interest when due. We were required to make payments of CDN $4,000 per month beginning May 31, 2011, increasing to CDN $6,000 per month beginning on January 31, 2012. Beginning on January 1, 2012, we are also required to make payments equal to one-half of one percent (0.5%) of the net proceeds of all private or public equity financings closed during the term of the note. The note payable to Desjardins was due on June 30, 2014. We made no payments on the Desjardins note during the fiscal year ended March 31, 2015.</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69" w:name="page170"/>
    <w:bookmarkEnd w:id="16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80"/>
        <w:spacing w:after="0" w:line="279" w:lineRule="auto"/>
        <w:rPr>
          <w:sz w:val="20"/>
          <w:szCs w:val="20"/>
          <w:color w:val="auto"/>
        </w:rPr>
      </w:pPr>
      <w:r>
        <w:rPr>
          <w:rFonts w:ascii="Arial" w:cs="Arial" w:eastAsia="Arial" w:hAnsi="Arial"/>
          <w:sz w:val="13"/>
          <w:szCs w:val="13"/>
          <w:color w:val="auto"/>
        </w:rPr>
        <w:t>On May 5, 2011, we issued to McCarthy Tetrault LLP (</w:t>
      </w:r>
      <w:r>
        <w:rPr>
          <w:rFonts w:ascii="Arial" w:cs="Arial" w:eastAsia="Arial" w:hAnsi="Arial"/>
          <w:sz w:val="13"/>
          <w:szCs w:val="13"/>
          <w:i w:val="1"/>
          <w:iCs w:val="1"/>
          <w:color w:val="auto"/>
        </w:rPr>
        <w:t>McCarthy</w:t>
      </w:r>
      <w:r>
        <w:rPr>
          <w:rFonts w:ascii="Arial" w:cs="Arial" w:eastAsia="Arial" w:hAnsi="Arial"/>
          <w:sz w:val="13"/>
          <w:szCs w:val="13"/>
          <w:color w:val="auto"/>
        </w:rPr>
        <w:t xml:space="preserve">) an unsecured promissory note in the principal amount of CDN $502,797 for amounts payable in connection with Canadian legal services provided to us. The McCarthy note bears interest at 7.5% and was due, along with all accrued but unpaid interest on the earliest of (i) June 30, 2014, (ii) the consummation of a Change of Control, as defined in the McCarthy note, and (iii) any failure to pay principal or interest when due. We were required to make payments of CDN $10,000 per month beginning May 31, 2011, which payment amounts increased to CDN $15,000 per month on January 31, 2012. Beginning on January 1, 2012, we are also required to make payments equal to one percent (1%) of the net proceeds of all private or public equity financings closed during the term of the note. The note payable to McCarthy was due on June 14, 2014. On June 11, 2014, we and McCarthy agreed to extend the maturity date of the McCarthy note from June 14, 2014 to the earlier of (i) September 30, 2014, (ii) consummation of a financing in which we received gross cash proceeds of at least $15.0 million, or (iii) consummation of a change of control of the Company, as defined in the McCarthy note. McCarthy also agreed to forbear with respect to the requirement that we make monthly payments on the note from the date of the agreement until maturity and granted us a waiver with respect to previously missed monthly payments. We made no payments on the McCarthy note during the fiscal year ended March 31, 2015. As disclosed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in May 2015, the McCarthy note in the aggregate amount (principal and accrued but unpaid interest) of approximately $414,600 was converted into 59.230 shares of our Series B Preferred, eliminating approximately $414,600 of our indebtedness.</w:t>
      </w:r>
    </w:p>
    <w:p>
      <w:pPr>
        <w:spacing w:after="0" w:line="136" w:lineRule="exact"/>
        <w:rPr>
          <w:sz w:val="20"/>
          <w:szCs w:val="20"/>
          <w:color w:val="auto"/>
        </w:rPr>
      </w:pPr>
    </w:p>
    <w:p>
      <w:pPr>
        <w:ind w:right="20"/>
        <w:spacing w:after="0" w:line="314" w:lineRule="auto"/>
        <w:rPr>
          <w:sz w:val="20"/>
          <w:szCs w:val="20"/>
          <w:color w:val="auto"/>
        </w:rPr>
      </w:pPr>
      <w:r>
        <w:rPr>
          <w:rFonts w:ascii="Arial" w:cs="Arial" w:eastAsia="Arial" w:hAnsi="Arial"/>
          <w:sz w:val="12"/>
          <w:szCs w:val="12"/>
          <w:color w:val="auto"/>
        </w:rPr>
        <w:t>On August 30, 2012, we issued a promissory note in the principal amount of $60,000 and 750 restricted shares of our common stock valued at a market price of $18.80 per share to Progressive Medical Research in settlement of past due obligations for clinical research services in the amount of $79,900. Under the terms of the settlement, we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our assets or upon our completion of a financing transaction, or series of transactions, resulting in gross proceeds to us of at least $4.0 million in any three-month period, excluding proceeds from stock option or warrant exercises. We made no payments on this note during the fiscal year ended March 31, 2015.</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On October 12, 2009, VistaGen California issued a promissory note payable to the Regents of the University of California “</w:t>
      </w:r>
      <w:r>
        <w:rPr>
          <w:rFonts w:ascii="Arial" w:cs="Arial" w:eastAsia="Arial" w:hAnsi="Arial"/>
          <w:sz w:val="13"/>
          <w:szCs w:val="13"/>
          <w:i w:val="1"/>
          <w:iCs w:val="1"/>
          <w:color w:val="auto"/>
        </w:rPr>
        <w:t>UC</w:t>
      </w:r>
      <w:r>
        <w:rPr>
          <w:rFonts w:ascii="Arial" w:cs="Arial" w:eastAsia="Arial" w:hAnsi="Arial"/>
          <w:sz w:val="13"/>
          <w:szCs w:val="13"/>
          <w:color w:val="auto"/>
        </w:rPr>
        <w:t>” with a principal balance of $90,000 in exchange for the cancellation of</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certain amounts payable under a research collaboration agreement (the </w:t>
      </w:r>
      <w:r>
        <w:rPr>
          <w:rFonts w:ascii="Arial" w:cs="Arial" w:eastAsia="Arial" w:hAnsi="Arial"/>
          <w:sz w:val="13"/>
          <w:szCs w:val="13"/>
          <w:i w:val="1"/>
          <w:iCs w:val="1"/>
          <w:color w:val="auto"/>
        </w:rPr>
        <w:t>UC Note 1</w:t>
      </w:r>
      <w:r>
        <w:rPr>
          <w:rFonts w:ascii="Arial" w:cs="Arial" w:eastAsia="Arial" w:hAnsi="Arial"/>
          <w:sz w:val="13"/>
          <w:szCs w:val="13"/>
          <w:color w:val="auto"/>
        </w:rPr>
        <w:t>) On February 25, 2010, VistaGen California issued a promissory note payable to UC having a principal balance of</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$170,000 in exchange for the cancellation of the remaining $60,000 principal balance of UC Note 1 and certain amounts payable under a research collaboration agreement (</w:t>
      </w:r>
      <w:r>
        <w:rPr>
          <w:rFonts w:ascii="Arial" w:cs="Arial" w:eastAsia="Arial" w:hAnsi="Arial"/>
          <w:sz w:val="12"/>
          <w:szCs w:val="12"/>
          <w:i w:val="1"/>
          <w:iCs w:val="1"/>
          <w:color w:val="auto"/>
        </w:rPr>
        <w:t>UC Note 2</w:t>
      </w:r>
      <w:r>
        <w:rPr>
          <w:rFonts w:ascii="Arial" w:cs="Arial" w:eastAsia="Arial" w:hAnsi="Arial"/>
          <w:sz w:val="12"/>
          <w:szCs w:val="12"/>
          <w:color w:val="auto"/>
        </w:rPr>
        <w:t>). UC Note 2 was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payable in monthly principal installments of $15,000 through May 31, 2010, with the remaining $125,000 plus all accrued and unpaid interest due on or before June 30, 2010. Between June 2010 and</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December 2010, VistaGen California amended UC Note 2 multiple times, ultimately resulting in a decrease in the monthly payment amount to $5,000, with payments continuing until the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balance of principal and interest is paid in full. We made no payments on UC Note 2 during the fiscal year ended March 31, 2015.</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On March 1, 2010, VistaGen California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Arial" w:cs="Arial" w:eastAsia="Arial" w:hAnsi="Arial"/>
          <w:sz w:val="14"/>
          <w:szCs w:val="14"/>
          <w:i w:val="1"/>
          <w:iCs w:val="1"/>
          <w:color w:val="auto"/>
        </w:rPr>
        <w:t>March 2010 Note</w:t>
      </w:r>
      <w:r>
        <w:rPr>
          <w:rFonts w:ascii="Arial" w:cs="Arial" w:eastAsia="Arial" w:hAnsi="Arial"/>
          <w:sz w:val="14"/>
          <w:szCs w:val="14"/>
          <w:color w:val="auto"/>
        </w:rPr>
        <w:t>). On December 28, 2010, VistaGen California amended the March 2010 Note and extended its maturity date to the first to occur of April 30, 2011 or 30 days following the closing of a financing with gross proceeds of $5,000,000 or more. We made no payments on this note during the fiscal year ended March 31, 2015.</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On August 13, 2010, VistaGen California issued a 10% promissory note with a principal balance of $41,000 to MicroConstants, Inc. in exchange for the cancellation of certain amounts payable for services rendered. Under the terms of this note, VistaGen California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our stock or assets. We made no payments on this note during the fiscal year ended March 31, 2015.</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70" w:name="page171"/>
    <w:bookmarkEnd w:id="17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Capital Stock</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Reverse Split (Stock Consolidation) of our Common Stock</w:t>
      </w:r>
    </w:p>
    <w:p>
      <w:pPr>
        <w:spacing w:after="0" w:line="205" w:lineRule="exact"/>
        <w:rPr>
          <w:sz w:val="20"/>
          <w:szCs w:val="20"/>
          <w:color w:val="auto"/>
        </w:rPr>
      </w:pPr>
    </w:p>
    <w:p>
      <w:pPr>
        <w:ind w:right="80"/>
        <w:spacing w:after="0" w:line="290" w:lineRule="auto"/>
        <w:rPr>
          <w:sz w:val="20"/>
          <w:szCs w:val="20"/>
          <w:color w:val="auto"/>
        </w:rPr>
      </w:pPr>
      <w:r>
        <w:rPr>
          <w:rFonts w:ascii="Arial" w:cs="Arial" w:eastAsia="Arial" w:hAnsi="Arial"/>
          <w:sz w:val="13"/>
          <w:szCs w:val="13"/>
          <w:color w:val="auto"/>
        </w:rPr>
        <w:t xml:space="preserve">As indicated in Note 2, </w:t>
      </w:r>
      <w:r>
        <w:rPr>
          <w:rFonts w:ascii="Arial" w:cs="Arial" w:eastAsia="Arial" w:hAnsi="Arial"/>
          <w:sz w:val="13"/>
          <w:szCs w:val="13"/>
          <w:i w:val="1"/>
          <w:iCs w:val="1"/>
          <w:color w:val="auto"/>
        </w:rPr>
        <w:t>Basis of Presentation and Going Concern</w:t>
      </w:r>
      <w:r>
        <w:rPr>
          <w:rFonts w:ascii="Arial" w:cs="Arial" w:eastAsia="Arial" w:hAnsi="Arial"/>
          <w:sz w:val="13"/>
          <w:szCs w:val="13"/>
          <w:color w:val="auto"/>
        </w:rPr>
        <w:t>, we consummated the Stock Consolidation, a 1-for-20 reverse split of our authorized, and issued and outstanding shares of common stock, effective on August 14, 2014. The par value of our common stock remained unchanged at $0.001 per share following the Stock Consolidation. The Stock Consolidation was approved by the Financial Industry Regulatory Authority (</w:t>
      </w:r>
      <w:r>
        <w:rPr>
          <w:rFonts w:ascii="Arial" w:cs="Arial" w:eastAsia="Arial" w:hAnsi="Arial"/>
          <w:sz w:val="13"/>
          <w:szCs w:val="13"/>
          <w:i w:val="1"/>
          <w:iCs w:val="1"/>
          <w:color w:val="auto"/>
        </w:rPr>
        <w:t>FINRA</w:t>
      </w:r>
      <w:r>
        <w:rPr>
          <w:rFonts w:ascii="Arial" w:cs="Arial" w:eastAsia="Arial" w:hAnsi="Arial"/>
          <w:sz w:val="13"/>
          <w:szCs w:val="13"/>
          <w:color w:val="auto"/>
        </w:rPr>
        <w:t>) on August 13, 2014, and became effective on the OTCQB at the opening of trading on August 14, 2014. Each reference to shares of common stock or the price per share of common stock in these financial statements is post-Stock Consolidation, and reflects the 1-for-20 adjustment as a result of the Stock Consolidation.</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Series A Preferred Stock</w:t>
      </w:r>
    </w:p>
    <w:p>
      <w:pPr>
        <w:spacing w:after="0" w:line="205" w:lineRule="exact"/>
        <w:rPr>
          <w:sz w:val="20"/>
          <w:szCs w:val="20"/>
          <w:color w:val="auto"/>
        </w:rPr>
      </w:pPr>
    </w:p>
    <w:p>
      <w:pPr>
        <w:ind w:right="380"/>
        <w:spacing w:after="0" w:line="268" w:lineRule="auto"/>
        <w:rPr>
          <w:sz w:val="20"/>
          <w:szCs w:val="20"/>
          <w:color w:val="auto"/>
        </w:rPr>
      </w:pPr>
      <w:r>
        <w:rPr>
          <w:rFonts w:ascii="Arial" w:cs="Arial" w:eastAsia="Arial" w:hAnsi="Arial"/>
          <w:sz w:val="14"/>
          <w:szCs w:val="14"/>
          <w:color w:val="auto"/>
        </w:rPr>
        <w:t>In December 2011, our Board of Directors authorized the creation of a series of up to 500,000 shares of Series A Preferred, par value $0.001 (</w:t>
      </w:r>
      <w:r>
        <w:rPr>
          <w:rFonts w:ascii="Arial" w:cs="Arial" w:eastAsia="Arial" w:hAnsi="Arial"/>
          <w:sz w:val="14"/>
          <w:szCs w:val="14"/>
          <w:i w:val="1"/>
          <w:iCs w:val="1"/>
          <w:color w:val="auto"/>
        </w:rPr>
        <w:t>Series A Preferred</w:t>
      </w:r>
      <w:r>
        <w:rPr>
          <w:rFonts w:ascii="Arial" w:cs="Arial" w:eastAsia="Arial" w:hAnsi="Arial"/>
          <w:sz w:val="14"/>
          <w:szCs w:val="14"/>
          <w:color w:val="auto"/>
        </w:rPr>
        <w:t>). Each restricted share of Series A Preferred was initially convertible at the option of the holder into one-half of one restricted share of our common stock. The Series A Preferred ranks prior to the common stock for purposes of liquidation preference.</w:t>
      </w:r>
    </w:p>
    <w:p>
      <w:pPr>
        <w:spacing w:after="0" w:line="163"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163"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153" w:lineRule="exact"/>
        <w:rPr>
          <w:sz w:val="20"/>
          <w:szCs w:val="20"/>
          <w:color w:val="auto"/>
        </w:rPr>
      </w:pPr>
    </w:p>
    <w:p>
      <w:pPr>
        <w:spacing w:after="0" w:line="320" w:lineRule="auto"/>
        <w:rPr>
          <w:sz w:val="20"/>
          <w:szCs w:val="20"/>
          <w:color w:val="auto"/>
        </w:rPr>
      </w:pPr>
      <w:r>
        <w:rPr>
          <w:rFonts w:ascii="Arial" w:cs="Arial" w:eastAsia="Arial" w:hAnsi="Arial"/>
          <w:sz w:val="12"/>
          <w:szCs w:val="12"/>
          <w:color w:val="auto"/>
        </w:rPr>
        <w:t>In the event of the liquidation, dissolution or winding up of the affairs of the Company, after payment or provision for payment of our debts and other liabilities, the holders of Series A Preferred then outstanding shall be entitled to receive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137"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color w:val="auto"/>
        </w:rPr>
        <w:t>At March 31, 2015 and 2014, there were 500,000 restricted shares of Series A Preferred outstanding, all issued to Platinum or its affiliates. Platinum acquired the Series A Preferred pursuant to the transactions described below. In October 2012, Platinum’s exchange rights with respect to the Series A Preferred were modified as described in the section entitled Modification of Series A Preferred Exchange Rights and Deemed Dividend, below.</w:t>
      </w:r>
    </w:p>
    <w:p>
      <w:pPr>
        <w:spacing w:after="0" w:line="163" w:lineRule="exact"/>
        <w:rPr>
          <w:sz w:val="20"/>
          <w:szCs w:val="20"/>
          <w:color w:val="auto"/>
        </w:rPr>
      </w:pPr>
    </w:p>
    <w:p>
      <w:pPr>
        <w:ind w:left="1020" w:hanging="521"/>
        <w:spacing w:after="0"/>
        <w:tabs>
          <w:tab w:leader="none" w:pos="1020" w:val="left"/>
        </w:tabs>
        <w:numPr>
          <w:ilvl w:val="0"/>
          <w:numId w:val="85"/>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December 2011 Common Stock Exchange Agreement with Platinum</w:t>
      </w:r>
    </w:p>
    <w:p>
      <w:pPr>
        <w:spacing w:after="0" w:line="201" w:lineRule="exact"/>
        <w:rPr>
          <w:rFonts w:ascii="Arial" w:cs="Arial" w:eastAsia="Arial" w:hAnsi="Arial"/>
          <w:sz w:val="14"/>
          <w:szCs w:val="14"/>
          <w:b w:val="1"/>
          <w:bCs w:val="1"/>
          <w:color w:val="auto"/>
        </w:rPr>
      </w:pPr>
    </w:p>
    <w:p>
      <w:pPr>
        <w:ind w:left="1020" w:right="80"/>
        <w:spacing w:after="0" w:line="290" w:lineRule="auto"/>
        <w:rPr>
          <w:rFonts w:ascii="Arial" w:cs="Arial" w:eastAsia="Arial" w:hAnsi="Arial"/>
          <w:sz w:val="14"/>
          <w:szCs w:val="14"/>
          <w:b w:val="1"/>
          <w:bCs w:val="1"/>
          <w:color w:val="auto"/>
        </w:rPr>
      </w:pPr>
      <w:r>
        <w:rPr>
          <w:rFonts w:ascii="Arial" w:cs="Arial" w:eastAsia="Arial" w:hAnsi="Arial"/>
          <w:sz w:val="13"/>
          <w:szCs w:val="13"/>
          <w:color w:val="auto"/>
        </w:rPr>
        <w:t xml:space="preserve">On December 22, 2011, we entered into a Common Stock Exchange Agreement (the </w:t>
      </w:r>
      <w:r>
        <w:rPr>
          <w:rFonts w:ascii="Arial" w:cs="Arial" w:eastAsia="Arial" w:hAnsi="Arial"/>
          <w:sz w:val="13"/>
          <w:szCs w:val="13"/>
          <w:i w:val="1"/>
          <w:iCs w:val="1"/>
          <w:color w:val="auto"/>
        </w:rPr>
        <w:t>Exchange Agreement</w:t>
      </w:r>
      <w:r>
        <w:rPr>
          <w:rFonts w:ascii="Arial" w:cs="Arial" w:eastAsia="Arial" w:hAnsi="Arial"/>
          <w:sz w:val="13"/>
          <w:szCs w:val="13"/>
          <w:color w:val="auto"/>
        </w:rPr>
        <w:t xml:space="preserve">") with Platinum, pursuant to which Platinum converted 24,200 restricted shares of our common stock into 45,980 restricted shares of Series A Preferred (the </w:t>
      </w:r>
      <w:r>
        <w:rPr>
          <w:rFonts w:ascii="Arial" w:cs="Arial" w:eastAsia="Arial" w:hAnsi="Arial"/>
          <w:sz w:val="13"/>
          <w:szCs w:val="13"/>
          <w:i w:val="1"/>
          <w:iCs w:val="1"/>
          <w:color w:val="auto"/>
        </w:rPr>
        <w:t>Exchange</w:t>
      </w:r>
      <w:r>
        <w:rPr>
          <w:rFonts w:ascii="Arial" w:cs="Arial" w:eastAsia="Arial" w:hAnsi="Arial"/>
          <w:sz w:val="13"/>
          <w:szCs w:val="13"/>
          <w:color w:val="auto"/>
        </w:rPr>
        <w:t>). Each restricted share of Series A Preferred issued to Platinum was initially convertible into ten restricted shares of our common stock. At the time of the Exchange, we determined the fair value of the common stock subject to the Exchange to be $31.00 per share and have reflected the 24,200 restricted common shares as treasury stock on that basis in the accompanying Consolidated Balance Sheet at March 31, 2015 and 2014.</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1" w:name="page172"/>
    <w:bookmarkEnd w:id="17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left="1020" w:hanging="521"/>
        <w:spacing w:after="0"/>
        <w:tabs>
          <w:tab w:leader="none" w:pos="1020" w:val="left"/>
        </w:tabs>
        <w:numPr>
          <w:ilvl w:val="0"/>
          <w:numId w:val="8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December 2011 Note and Warrant Exchange Agreement with Platinum</w:t>
      </w:r>
    </w:p>
    <w:p>
      <w:pPr>
        <w:spacing w:after="0" w:line="201" w:lineRule="exact"/>
        <w:rPr>
          <w:rFonts w:ascii="Arial" w:cs="Arial" w:eastAsia="Arial" w:hAnsi="Arial"/>
          <w:sz w:val="14"/>
          <w:szCs w:val="14"/>
          <w:b w:val="1"/>
          <w:bCs w:val="1"/>
          <w:color w:val="auto"/>
        </w:rPr>
      </w:pPr>
    </w:p>
    <w:p>
      <w:pPr>
        <w:ind w:left="1020"/>
        <w:spacing w:after="0" w:line="281" w:lineRule="auto"/>
        <w:rPr>
          <w:rFonts w:ascii="Arial" w:cs="Arial" w:eastAsia="Arial" w:hAnsi="Arial"/>
          <w:sz w:val="14"/>
          <w:szCs w:val="14"/>
          <w:b w:val="1"/>
          <w:bCs w:val="1"/>
          <w:color w:val="auto"/>
        </w:rPr>
      </w:pPr>
      <w:r>
        <w:rPr>
          <w:rFonts w:ascii="Arial" w:cs="Arial" w:eastAsia="Arial" w:hAnsi="Arial"/>
          <w:sz w:val="13"/>
          <w:szCs w:val="13"/>
          <w:color w:val="auto"/>
        </w:rPr>
        <w:t>On December 29, 2011, we entered into a Note and Warrant Exchange Agreement with Platinum pursuant to which a promissory note in the face amount of $4,000,000 plus accrued interest and all outstanding warrants issued to Platinum to purchase an aggregate of 79,993 restricted shares of our common stock were cancelled in exchange for 391,075 restricted shares of Series A Preferred. Each share of Series A Preferred was initially convertible into one-half of one share of our common stock. We issued 231,090 restricted shares of Series A Preferred to Platinum in connection with the note cancellation based on the sum of the $4,000,000 principal balance of the note plus accrued but unpaid interest through May 11, 2011 adjusted for a 125% conversion premium, net of the $1,719,800 aggregate exercise price of the 79,993 outstanding warrants held by Platinum, and a contractual conversion basis of $35.00 per common share, all adjusted for the initial 1:10 Series A Preferred to common exchange ratio. An additional 159,985 restricted shares of Series A Preferred were issued to Platinum in connection with the warrant exercise and exchange to acquire the common shares issued upon the warrant exercise.</w:t>
      </w:r>
    </w:p>
    <w:p>
      <w:pPr>
        <w:spacing w:after="0" w:line="159" w:lineRule="exact"/>
        <w:rPr>
          <w:rFonts w:ascii="Arial" w:cs="Arial" w:eastAsia="Arial" w:hAnsi="Arial"/>
          <w:sz w:val="14"/>
          <w:szCs w:val="14"/>
          <w:b w:val="1"/>
          <w:bCs w:val="1"/>
          <w:color w:val="auto"/>
        </w:rPr>
      </w:pPr>
    </w:p>
    <w:p>
      <w:pPr>
        <w:ind w:left="1020" w:hanging="521"/>
        <w:spacing w:after="0"/>
        <w:tabs>
          <w:tab w:leader="none" w:pos="1020" w:val="left"/>
        </w:tabs>
        <w:numPr>
          <w:ilvl w:val="0"/>
          <w:numId w:val="86"/>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2012 Exchange Agreement with Platinum</w:t>
      </w:r>
    </w:p>
    <w:p>
      <w:pPr>
        <w:spacing w:after="0" w:line="201" w:lineRule="exact"/>
        <w:rPr>
          <w:sz w:val="20"/>
          <w:szCs w:val="20"/>
          <w:color w:val="auto"/>
        </w:rPr>
      </w:pPr>
    </w:p>
    <w:p>
      <w:pPr>
        <w:ind w:left="1020" w:right="80"/>
        <w:spacing w:after="0" w:line="285" w:lineRule="auto"/>
        <w:rPr>
          <w:sz w:val="20"/>
          <w:szCs w:val="20"/>
          <w:color w:val="auto"/>
        </w:rPr>
      </w:pPr>
      <w:r>
        <w:rPr>
          <w:rFonts w:ascii="Arial" w:cs="Arial" w:eastAsia="Arial" w:hAnsi="Arial"/>
          <w:sz w:val="13"/>
          <w:szCs w:val="13"/>
          <w:color w:val="auto"/>
        </w:rPr>
        <w:t xml:space="preserve">On June 29, 2012, we entered into an Exchange Agreement (the </w:t>
      </w:r>
      <w:r>
        <w:rPr>
          <w:rFonts w:ascii="Arial" w:cs="Arial" w:eastAsia="Arial" w:hAnsi="Arial"/>
          <w:sz w:val="13"/>
          <w:szCs w:val="13"/>
          <w:i w:val="1"/>
          <w:iCs w:val="1"/>
          <w:color w:val="auto"/>
        </w:rPr>
        <w:t>2012 Platinum Exchange Agreement</w:t>
      </w:r>
      <w:r>
        <w:rPr>
          <w:rFonts w:ascii="Arial" w:cs="Arial" w:eastAsia="Arial" w:hAnsi="Arial"/>
          <w:sz w:val="13"/>
          <w:szCs w:val="13"/>
          <w:color w:val="auto"/>
        </w:rPr>
        <w:t>) with Platinum pursuant to which we issued Platinum 62,945 restricted shares of Series A Preferred in exchange for 31,473 restricted shares of our common stock then owned by Platinum, in consideration for Platinum’s agreement to purchase from us a senior secured convertible promissory note in the face amount of $500,000. We estimated the fair value of the Series A Preferred shares tendered to Platinum under the terms of the 2012 Platinum Exchange Agreement at $736,400 ($23.40 per share on a common share equivalent basis). The common shares exchanged for shares of Series A Preferred are treated as treasury stock on that basis in the accompanying Consolidated Balance Sheet at March 31, 2015 and 2014.</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of Series A Preferred Exchange Right</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 xml:space="preserve">Pursuant to the October 2012 Agreement described more completely in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Platinum’s exchange rights in the Series A Preferred were modified such that Platinum now has the right and option to exchange the 500,000 restricted shares of our Series A Preferred that it holds for (i) a total of 750,000 restricted shares of our common stock, and (ii) a five-year warrant to purchase 350,000 restricted shares of our common stock, originally at an exercise price of $30.00 per share (</w:t>
      </w:r>
      <w:r>
        <w:rPr>
          <w:rFonts w:ascii="Arial" w:cs="Arial" w:eastAsia="Arial" w:hAnsi="Arial"/>
          <w:sz w:val="14"/>
          <w:szCs w:val="14"/>
          <w:i w:val="1"/>
          <w:iCs w:val="1"/>
          <w:color w:val="auto"/>
        </w:rPr>
        <w:t>Series A Exchange Warrant</w:t>
      </w:r>
      <w:r>
        <w:rPr>
          <w:rFonts w:ascii="Arial" w:cs="Arial" w:eastAsia="Arial" w:hAnsi="Arial"/>
          <w:sz w:val="14"/>
          <w:szCs w:val="14"/>
          <w:color w:val="auto"/>
        </w:rPr>
        <w:t xml:space="preserve">). The Series A Exchange Warrant, when issued, will have the same features, including exercise price and anti-dilution provisions as the Exchange Warrant and the Investment Warrants issued to Platinum between October 2012 and July 2013 (collectively, the </w:t>
      </w:r>
      <w:r>
        <w:rPr>
          <w:rFonts w:ascii="Arial" w:cs="Arial" w:eastAsia="Arial" w:hAnsi="Arial"/>
          <w:sz w:val="14"/>
          <w:szCs w:val="14"/>
          <w:i w:val="1"/>
          <w:iCs w:val="1"/>
          <w:color w:val="auto"/>
        </w:rPr>
        <w:t>Platinum Warrants</w:t>
      </w:r>
      <w:r>
        <w:rPr>
          <w:rFonts w:ascii="Arial" w:cs="Arial" w:eastAsia="Arial" w:hAnsi="Arial"/>
          <w:sz w:val="14"/>
          <w:szCs w:val="14"/>
          <w:color w:val="auto"/>
        </w:rPr>
        <w:t xml:space="preserve">) and accordingly, has been treated as a component of Warrant Liability in our Consolidated Balance Sheets since the effective date of the October 2012 Agreement. Effective on May 24, 2013, we entered into an Amendment and Waiver Agreement (the </w:t>
      </w:r>
      <w:r>
        <w:rPr>
          <w:rFonts w:ascii="Arial" w:cs="Arial" w:eastAsia="Arial" w:hAnsi="Arial"/>
          <w:sz w:val="14"/>
          <w:szCs w:val="14"/>
          <w:i w:val="1"/>
          <w:iCs w:val="1"/>
          <w:color w:val="auto"/>
        </w:rPr>
        <w:t>Amendment and Waiver</w:t>
      </w:r>
      <w:r>
        <w:rPr>
          <w:rFonts w:ascii="Arial" w:cs="Arial" w:eastAsia="Arial" w:hAnsi="Arial"/>
          <w:sz w:val="14"/>
          <w:szCs w:val="14"/>
          <w:color w:val="auto"/>
        </w:rPr>
        <w:t>) with Platinum pursuant to which we agreed to reduce the exercise price of the Platinum Warrants and the Series A Exchange Warrant from $30.00 per share to $10.00 per share in consideration for Platinum’s agreement to waive certain of its rights under the anti-dilution provisions of the Platinum Warrants and the Series A Exchange Warrant. See the section entitled Modification of Platinum Warrants, later in this note, for a more complete description of the Amendment and Waiver.</w:t>
      </w:r>
    </w:p>
    <w:p>
      <w:pPr>
        <w:spacing w:after="0" w:line="173"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Similarly to the Platinum Warrants, we remeasure the fair value of the Series A Exchange Warrant at each quarterly reporting period and reflect the change in its fair value as a component of the Change in Warrant Liability in the Consolidated Statement of Operations. The fair value of the Series A Exchange Warrant was determined to be $2,198,400 and $2,058,600 as of March 31, 2015 and 2014, respectively, and the $139,800 increase in fair value since March 31, 2014 is reflected as a component of the Change in Warrant Liability in the accompanying Consolidated Statement of Operations and Comprehensive Loss for the fiscal year ended March 31, 2015.</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2" w:name="page173"/>
    <w:bookmarkEnd w:id="17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480"/>
        <w:spacing w:after="0" w:line="298" w:lineRule="auto"/>
        <w:rPr>
          <w:sz w:val="20"/>
          <w:szCs w:val="20"/>
          <w:color w:val="auto"/>
        </w:rPr>
      </w:pPr>
      <w:r>
        <w:rPr>
          <w:rFonts w:ascii="Arial" w:cs="Arial" w:eastAsia="Arial" w:hAnsi="Arial"/>
          <w:sz w:val="13"/>
          <w:szCs w:val="13"/>
          <w:color w:val="auto"/>
        </w:rPr>
        <w:t xml:space="preserve">As described in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Creation of Series B Preferred Stock</w:t>
      </w:r>
    </w:p>
    <w:p>
      <w:pPr>
        <w:spacing w:after="0" w:line="205"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On July 17, 2014, our Board of Directors authorized the creation of a class of Series B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to provide for the potential conversion of the Senior Secured Convertible Promissory Notes held by Platinum totaling approximately $4.3 million in principal and accrued interest at December 31, 2014 (</w:t>
      </w:r>
      <w:r>
        <w:rPr>
          <w:rFonts w:ascii="Arial" w:cs="Arial" w:eastAsia="Arial" w:hAnsi="Arial"/>
          <w:sz w:val="13"/>
          <w:szCs w:val="13"/>
          <w:i w:val="1"/>
          <w:iCs w:val="1"/>
          <w:color w:val="auto"/>
        </w:rPr>
        <w:t>Outstanding Balance</w:t>
      </w:r>
      <w:r>
        <w:rPr>
          <w:rFonts w:ascii="Arial" w:cs="Arial" w:eastAsia="Arial" w:hAnsi="Arial"/>
          <w:sz w:val="13"/>
          <w:szCs w:val="13"/>
          <w:color w:val="auto"/>
        </w:rPr>
        <w:t xml:space="preserve">) into Series B Preferred. At March 31, 2015, we had not yet filed a certificate of designation with the Nevada Secretary of State to amend our Articles of Incorporation to formally establish the Series B Preferred. Refer to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the filing of a Certificate of Designation for the Series B Preferred with the Nevada Secretary of State and the issuance of Series B Preferred in May and June 2015.</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2014 Unit Private Placement</w:t>
      </w:r>
    </w:p>
    <w:p>
      <w:pPr>
        <w:spacing w:after="0" w:line="205" w:lineRule="exact"/>
        <w:rPr>
          <w:sz w:val="20"/>
          <w:szCs w:val="20"/>
          <w:color w:val="auto"/>
        </w:rPr>
      </w:pPr>
    </w:p>
    <w:p>
      <w:pPr>
        <w:ind w:right="160"/>
        <w:spacing w:after="0" w:line="302" w:lineRule="auto"/>
        <w:rPr>
          <w:sz w:val="20"/>
          <w:szCs w:val="20"/>
          <w:color w:val="auto"/>
        </w:rPr>
      </w:pPr>
      <w:r>
        <w:rPr>
          <w:rFonts w:ascii="Arial" w:cs="Arial" w:eastAsia="Arial" w:hAnsi="Arial"/>
          <w:sz w:val="12"/>
          <w:szCs w:val="12"/>
          <w:color w:val="auto"/>
        </w:rPr>
        <w:t>Between late-March 2014 and March 31, 2015, we entered into securities purchase agreements with accredited investors, including Platinum, pursuant to which we sold units to such accredited investors in private placement transactions (</w:t>
      </w:r>
      <w:r>
        <w:rPr>
          <w:rFonts w:ascii="Arial" w:cs="Arial" w:eastAsia="Arial" w:hAnsi="Arial"/>
          <w:sz w:val="12"/>
          <w:szCs w:val="12"/>
          <w:i w:val="1"/>
          <w:iCs w:val="1"/>
          <w:color w:val="auto"/>
        </w:rPr>
        <w:t>2014 Units</w:t>
      </w:r>
      <w:r>
        <w:rPr>
          <w:rFonts w:ascii="Arial" w:cs="Arial" w:eastAsia="Arial" w:hAnsi="Arial"/>
          <w:sz w:val="12"/>
          <w:szCs w:val="12"/>
          <w:color w:val="auto"/>
        </w:rPr>
        <w:t>), for aggregate cash proceeds of $3,113,500, consisting of (i) 2014 Unit Notes in the aggregate face amount of $3,113,500 which are due on March 31, 2015 or automatically convertible into securities we may issue upon the consummation of a Qualified Financing, defined as (a) an equity-based public financing registered with the SEC, or</w:t>
      </w:r>
    </w:p>
    <w:p>
      <w:pPr>
        <w:ind w:right="80" w:firstLine="5"/>
        <w:spacing w:after="0" w:line="277" w:lineRule="auto"/>
        <w:tabs>
          <w:tab w:leader="none" w:pos="201" w:val="left"/>
        </w:tabs>
        <w:numPr>
          <w:ilvl w:val="0"/>
          <w:numId w:val="87"/>
        </w:numPr>
        <w:rPr>
          <w:rFonts w:ascii="Arial" w:cs="Arial" w:eastAsia="Arial" w:hAnsi="Arial"/>
          <w:sz w:val="13"/>
          <w:szCs w:val="13"/>
          <w:color w:val="auto"/>
        </w:rPr>
      </w:pPr>
      <w:r>
        <w:rPr>
          <w:rFonts w:ascii="Arial" w:cs="Arial" w:eastAsia="Arial" w:hAnsi="Arial"/>
          <w:sz w:val="13"/>
          <w:szCs w:val="13"/>
          <w:color w:val="auto"/>
        </w:rPr>
        <w:t>a private equity-based financing or series of private equity-based financings, in either case in which we receive at least $10 million in gross cash proceeds prior to March 31, 2015; (ii) an aggregate of 282,850 restricted shares of our common stock (</w:t>
      </w:r>
      <w:r>
        <w:rPr>
          <w:rFonts w:ascii="Arial" w:cs="Arial" w:eastAsia="Arial" w:hAnsi="Arial"/>
          <w:sz w:val="13"/>
          <w:szCs w:val="13"/>
          <w:i w:val="1"/>
          <w:iCs w:val="1"/>
          <w:color w:val="auto"/>
        </w:rPr>
        <w:t>2014 Unit Stock)</w:t>
      </w:r>
      <w:r>
        <w:rPr>
          <w:rFonts w:ascii="Arial" w:cs="Arial" w:eastAsia="Arial" w:hAnsi="Arial"/>
          <w:sz w:val="13"/>
          <w:szCs w:val="13"/>
          <w:color w:val="auto"/>
        </w:rPr>
        <w:t>; and (iii) warrants exercisable through December 31, 2016 to purchase an aggregate of 282,850 restricted shares of our common stock at an exercise price of $10.00 per share (</w:t>
      </w:r>
      <w:r>
        <w:rPr>
          <w:rFonts w:ascii="Arial" w:cs="Arial" w:eastAsia="Arial" w:hAnsi="Arial"/>
          <w:sz w:val="13"/>
          <w:szCs w:val="13"/>
          <w:i w:val="1"/>
          <w:iCs w:val="1"/>
          <w:color w:val="auto"/>
        </w:rPr>
        <w:t>2014 Unit Warrants</w:t>
      </w:r>
      <w:r>
        <w:rPr>
          <w:rFonts w:ascii="Arial" w:cs="Arial" w:eastAsia="Arial" w:hAnsi="Arial"/>
          <w:sz w:val="13"/>
          <w:szCs w:val="13"/>
          <w:color w:val="auto"/>
        </w:rPr>
        <w:t xml:space="preserve">). We sold $1,250,000 of such Units to Platinum, issuing 2014 Unit Notes in the face amount of $1,250,000; 125,000 restricted shares of 2014 Unit Stock and 2014 Unit Warrants to purchase 125,000 shares of our common stock to Platinum. The Outstanding Balance of each 2014 Unit Notes is convertible into shares of our common stock at a conversion price of $10.00 per share at or prior to maturity, at the option of each investor. In addition, however, the Outstanding Balance is automatically convertible into securities substantially similar to those we may issue in a Qualified Financing at an amount determined by multiplying the Outstanding Balance by 1.25, and dividing the resulting number by the price per share of securities offered in the Qualified Financing. Under certain circumstances, the holders of the 2014 Unit Notes may request payment in cash in lieu of automatic conversion into the securities of the Qualified Financing. We sold $50,000 of 2014 Units prior to March 31, 2014, which Units are reflected in the figures above. See Note 16, </w:t>
      </w:r>
      <w:r>
        <w:rPr>
          <w:rFonts w:ascii="Arial" w:cs="Arial" w:eastAsia="Arial" w:hAnsi="Arial"/>
          <w:sz w:val="13"/>
          <w:szCs w:val="13"/>
          <w:i w:val="1"/>
          <w:iCs w:val="1"/>
          <w:color w:val="auto"/>
        </w:rPr>
        <w:t>Subsequent Events</w:t>
      </w:r>
      <w:r>
        <w:rPr>
          <w:rFonts w:ascii="Arial" w:cs="Arial" w:eastAsia="Arial" w:hAnsi="Arial"/>
          <w:sz w:val="13"/>
          <w:szCs w:val="13"/>
          <w:color w:val="auto"/>
        </w:rPr>
        <w:t>, for information regarding additional sales of 2014 Unit Notes in April and May 2015 and the conversion of the 2014 Unit Notes pursuant to a private placement financing in May 2015.</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 xml:space="preserve">We allocated the proceeds from the sale of the 2014 Units to the various securities based on their relative fair values on the dates of the sales. As described in Note 8, </w:t>
      </w:r>
      <w:r>
        <w:rPr>
          <w:rFonts w:ascii="Arial" w:cs="Arial" w:eastAsia="Arial" w:hAnsi="Arial"/>
          <w:sz w:val="14"/>
          <w:szCs w:val="14"/>
          <w:i w:val="1"/>
          <w:iCs w:val="1"/>
          <w:color w:val="auto"/>
        </w:rPr>
        <w:t>Convertible PromissoryNotes and</w:t>
      </w:r>
      <w:r>
        <w:rPr>
          <w:rFonts w:ascii="Arial" w:cs="Arial" w:eastAsia="Arial" w:hAnsi="Arial"/>
          <w:sz w:val="14"/>
          <w:szCs w:val="14"/>
          <w:color w:val="auto"/>
        </w:rPr>
        <w:t xml:space="preserve"> </w:t>
      </w:r>
      <w:r>
        <w:rPr>
          <w:rFonts w:ascii="Arial" w:cs="Arial" w:eastAsia="Arial" w:hAnsi="Arial"/>
          <w:sz w:val="14"/>
          <w:szCs w:val="14"/>
          <w:i w:val="1"/>
          <w:iCs w:val="1"/>
          <w:color w:val="auto"/>
        </w:rPr>
        <w:t>Other Notes Payable</w:t>
      </w:r>
      <w:r>
        <w:rPr>
          <w:rFonts w:ascii="Arial" w:cs="Arial" w:eastAsia="Arial" w:hAnsi="Arial"/>
          <w:sz w:val="14"/>
          <w:szCs w:val="14"/>
          <w:color w:val="auto"/>
        </w:rPr>
        <w:t>, based on the short-term nature of the Unit Notes, we determined that fair value of the 2014 Unit Notes was equal to their face value. We determined the fair value of the 2014 Unit</w:t>
      </w:r>
      <w:r>
        <w:rPr>
          <w:rFonts w:ascii="Arial" w:cs="Arial" w:eastAsia="Arial" w:hAnsi="Arial"/>
          <w:sz w:val="14"/>
          <w:szCs w:val="14"/>
          <w:i w:val="1"/>
          <w:iCs w:val="1"/>
          <w:color w:val="auto"/>
        </w:rPr>
        <w:t xml:space="preserve"> </w:t>
      </w:r>
      <w:r>
        <w:rPr>
          <w:rFonts w:ascii="Arial" w:cs="Arial" w:eastAsia="Arial" w:hAnsi="Arial"/>
          <w:sz w:val="14"/>
          <w:szCs w:val="14"/>
          <w:color w:val="auto"/>
        </w:rPr>
        <w:t>Stock based on the quoted market price of our common stock on the date of the 2014 Unit sale.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4"/>
                <w:szCs w:val="14"/>
                <w:color w:val="auto"/>
              </w:rPr>
              <w:t>Unit Warrants</w:t>
            </w: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2"/>
              </w:rPr>
              <w:t>Weighted Average Issuance Date Valuation Assumptions</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Per Share</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w w:val="89"/>
              </w:rPr>
              <w:t>Aggregate</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Aggregate</w:t>
            </w:r>
          </w:p>
        </w:tc>
        <w:tc>
          <w:tcPr>
            <w:tcW w:w="290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Aggregate Allocation of Proceeds</w:t>
            </w:r>
          </w:p>
        </w:tc>
        <w:tc>
          <w:tcPr>
            <w:tcW w:w="0" w:type="dxa"/>
            <w:vAlign w:val="bottom"/>
          </w:tcPr>
          <w:p>
            <w:pPr>
              <w:spacing w:after="0"/>
              <w:rPr>
                <w:sz w:val="1"/>
                <w:szCs w:val="1"/>
                <w:color w:val="auto"/>
              </w:rPr>
            </w:pPr>
          </w:p>
        </w:tc>
      </w:tr>
      <w:tr>
        <w:trPr>
          <w:trHeight w:val="150"/>
        </w:trPr>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8"/>
              </w:rPr>
              <w:t>Warrant</w:t>
            </w: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jc w:val="center"/>
              <w:ind w:right="109"/>
              <w:spacing w:after="0" w:line="149" w:lineRule="exact"/>
              <w:rPr>
                <w:sz w:val="20"/>
                <w:szCs w:val="20"/>
                <w:color w:val="auto"/>
              </w:rPr>
            </w:pPr>
            <w:r>
              <w:rPr>
                <w:rFonts w:ascii="Arial" w:cs="Arial" w:eastAsia="Arial" w:hAnsi="Arial"/>
                <w:sz w:val="14"/>
                <w:szCs w:val="14"/>
                <w:color w:val="auto"/>
                <w:w w:val="90"/>
              </w:rPr>
              <w:t>Risk free</w:t>
            </w: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9"/>
              </w:rPr>
              <w:t>Fair</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Fair Value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Proceeds</w:t>
            </w:r>
          </w:p>
        </w:tc>
        <w:tc>
          <w:tcPr>
            <w:tcW w:w="290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2"/>
              </w:rPr>
              <w:t>Based on Relative Fair Value of:</w:t>
            </w:r>
          </w:p>
        </w:tc>
        <w:tc>
          <w:tcPr>
            <w:tcW w:w="0" w:type="dxa"/>
            <w:vAlign w:val="bottom"/>
          </w:tcPr>
          <w:p>
            <w:pPr>
              <w:spacing w:after="0"/>
              <w:rPr>
                <w:sz w:val="1"/>
                <w:szCs w:val="1"/>
                <w:color w:val="auto"/>
              </w:rPr>
            </w:pPr>
          </w:p>
        </w:tc>
      </w:tr>
      <w:tr>
        <w:trPr>
          <w:trHeight w:val="160"/>
        </w:trPr>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85"/>
              </w:rPr>
              <w:t>Shares</w:t>
            </w:r>
          </w:p>
        </w:tc>
        <w:tc>
          <w:tcPr>
            <w:tcW w:w="7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98"/>
              </w:rPr>
              <w:t>Market</w:t>
            </w:r>
          </w:p>
        </w:tc>
        <w:tc>
          <w:tcPr>
            <w:tcW w:w="820" w:type="dxa"/>
            <w:vAlign w:val="bottom"/>
          </w:tcPr>
          <w:p>
            <w:pPr>
              <w:ind w:left="100"/>
              <w:spacing w:after="0" w:line="160" w:lineRule="exact"/>
              <w:rPr>
                <w:sz w:val="20"/>
                <w:szCs w:val="20"/>
                <w:color w:val="auto"/>
              </w:rPr>
            </w:pPr>
            <w:r>
              <w:rPr>
                <w:rFonts w:ascii="Arial" w:cs="Arial" w:eastAsia="Arial" w:hAnsi="Arial"/>
                <w:sz w:val="14"/>
                <w:szCs w:val="14"/>
                <w:color w:val="auto"/>
              </w:rPr>
              <w:t>Exercise</w:t>
            </w:r>
          </w:p>
        </w:tc>
        <w:tc>
          <w:tcPr>
            <w:tcW w:w="720" w:type="dxa"/>
            <w:vAlign w:val="bottom"/>
          </w:tcPr>
          <w:p>
            <w:pPr>
              <w:jc w:val="center"/>
              <w:ind w:right="69"/>
              <w:spacing w:after="0" w:line="160" w:lineRule="exact"/>
              <w:rPr>
                <w:sz w:val="20"/>
                <w:szCs w:val="20"/>
                <w:color w:val="auto"/>
              </w:rPr>
            </w:pPr>
            <w:r>
              <w:rPr>
                <w:rFonts w:ascii="Arial" w:cs="Arial" w:eastAsia="Arial" w:hAnsi="Arial"/>
                <w:sz w:val="14"/>
                <w:szCs w:val="14"/>
                <w:color w:val="auto"/>
                <w:w w:val="91"/>
              </w:rPr>
              <w:t>Term</w:t>
            </w:r>
          </w:p>
        </w:tc>
        <w:tc>
          <w:tcPr>
            <w:tcW w:w="880" w:type="dxa"/>
            <w:vAlign w:val="bottom"/>
          </w:tcPr>
          <w:p>
            <w:pPr>
              <w:jc w:val="center"/>
              <w:ind w:right="109"/>
              <w:spacing w:after="0" w:line="160" w:lineRule="exact"/>
              <w:rPr>
                <w:sz w:val="20"/>
                <w:szCs w:val="20"/>
                <w:color w:val="auto"/>
              </w:rPr>
            </w:pPr>
            <w:r>
              <w:rPr>
                <w:rFonts w:ascii="Arial" w:cs="Arial" w:eastAsia="Arial" w:hAnsi="Arial"/>
                <w:sz w:val="14"/>
                <w:szCs w:val="14"/>
                <w:color w:val="auto"/>
                <w:w w:val="89"/>
              </w:rPr>
              <w:t>Interest</w:t>
            </w:r>
          </w:p>
        </w:tc>
        <w:tc>
          <w:tcPr>
            <w:tcW w:w="960" w:type="dxa"/>
            <w:vAlign w:val="bottom"/>
          </w:tcPr>
          <w:p>
            <w:pPr>
              <w:spacing w:after="0"/>
              <w:rPr>
                <w:sz w:val="13"/>
                <w:szCs w:val="13"/>
                <w:color w:val="auto"/>
              </w:rPr>
            </w:pPr>
          </w:p>
        </w:tc>
        <w:tc>
          <w:tcPr>
            <w:tcW w:w="860" w:type="dxa"/>
            <w:vAlign w:val="bottom"/>
            <w:gridSpan w:val="2"/>
          </w:tcPr>
          <w:p>
            <w:pPr>
              <w:jc w:val="center"/>
              <w:ind w:right="200"/>
              <w:spacing w:after="0" w:line="160" w:lineRule="exact"/>
              <w:rPr>
                <w:sz w:val="20"/>
                <w:szCs w:val="20"/>
                <w:color w:val="auto"/>
              </w:rPr>
            </w:pPr>
            <w:r>
              <w:rPr>
                <w:rFonts w:ascii="Arial" w:cs="Arial" w:eastAsia="Arial" w:hAnsi="Arial"/>
                <w:sz w:val="14"/>
                <w:szCs w:val="14"/>
                <w:color w:val="auto"/>
                <w:w w:val="99"/>
              </w:rPr>
              <w:t>Dividend</w:t>
            </w:r>
          </w:p>
        </w:tc>
        <w:tc>
          <w:tcPr>
            <w:tcW w:w="780" w:type="dxa"/>
            <w:vAlign w:val="bottom"/>
          </w:tcPr>
          <w:p>
            <w:pPr>
              <w:jc w:val="center"/>
              <w:spacing w:after="0" w:line="160" w:lineRule="exact"/>
              <w:rPr>
                <w:sz w:val="20"/>
                <w:szCs w:val="20"/>
                <w:color w:val="auto"/>
              </w:rPr>
            </w:pPr>
            <w:r>
              <w:rPr>
                <w:rFonts w:ascii="Arial" w:cs="Arial" w:eastAsia="Arial" w:hAnsi="Arial"/>
                <w:sz w:val="14"/>
                <w:szCs w:val="14"/>
                <w:color w:val="auto"/>
                <w:w w:val="93"/>
              </w:rPr>
              <w:t>Value of</w:t>
            </w:r>
          </w:p>
        </w:tc>
        <w:tc>
          <w:tcPr>
            <w:tcW w:w="1080" w:type="dxa"/>
            <w:vAlign w:val="bottom"/>
            <w:gridSpan w:val="2"/>
          </w:tcPr>
          <w:p>
            <w:pPr>
              <w:jc w:val="center"/>
              <w:ind w:right="100"/>
              <w:spacing w:after="0" w:line="160" w:lineRule="exact"/>
              <w:rPr>
                <w:sz w:val="20"/>
                <w:szCs w:val="20"/>
                <w:color w:val="auto"/>
              </w:rPr>
            </w:pPr>
            <w:r>
              <w:rPr>
                <w:rFonts w:ascii="Arial" w:cs="Arial" w:eastAsia="Arial" w:hAnsi="Arial"/>
                <w:sz w:val="14"/>
                <w:szCs w:val="14"/>
                <w:color w:val="auto"/>
              </w:rPr>
              <w:t>of Unit</w:t>
            </w:r>
          </w:p>
        </w:tc>
        <w:tc>
          <w:tcPr>
            <w:tcW w:w="880" w:type="dxa"/>
            <w:vAlign w:val="bottom"/>
          </w:tcPr>
          <w:p>
            <w:pPr>
              <w:jc w:val="center"/>
              <w:ind w:right="29"/>
              <w:spacing w:after="0" w:line="160" w:lineRule="exact"/>
              <w:rPr>
                <w:sz w:val="20"/>
                <w:szCs w:val="20"/>
                <w:color w:val="auto"/>
              </w:rPr>
            </w:pPr>
            <w:r>
              <w:rPr>
                <w:rFonts w:ascii="Arial" w:cs="Arial" w:eastAsia="Arial" w:hAnsi="Arial"/>
                <w:sz w:val="14"/>
                <w:szCs w:val="14"/>
                <w:color w:val="auto"/>
              </w:rPr>
              <w:t>of Unit</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69"/>
              <w:spacing w:after="0" w:line="160" w:lineRule="exact"/>
              <w:rPr>
                <w:sz w:val="20"/>
                <w:szCs w:val="20"/>
                <w:color w:val="auto"/>
              </w:rPr>
            </w:pPr>
            <w:r>
              <w:rPr>
                <w:rFonts w:ascii="Arial" w:cs="Arial" w:eastAsia="Arial" w:hAnsi="Arial"/>
                <w:sz w:val="14"/>
                <w:szCs w:val="14"/>
                <w:color w:val="auto"/>
              </w:rPr>
              <w:t>Unit</w:t>
            </w:r>
          </w:p>
        </w:tc>
        <w:tc>
          <w:tcPr>
            <w:tcW w:w="9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20" w:type="dxa"/>
            <w:vAlign w:val="bottom"/>
          </w:tcPr>
          <w:p>
            <w:pPr>
              <w:jc w:val="center"/>
              <w:spacing w:after="0"/>
              <w:rPr>
                <w:sz w:val="20"/>
                <w:szCs w:val="20"/>
                <w:color w:val="auto"/>
              </w:rPr>
            </w:pPr>
            <w:r>
              <w:rPr>
                <w:rFonts w:ascii="Arial" w:cs="Arial" w:eastAsia="Arial" w:hAnsi="Arial"/>
                <w:sz w:val="14"/>
                <w:szCs w:val="14"/>
                <w:color w:val="auto"/>
                <w:w w:val="87"/>
              </w:rPr>
              <w:t>Issued</w:t>
            </w:r>
          </w:p>
        </w:tc>
        <w:tc>
          <w:tcPr>
            <w:tcW w:w="780" w:type="dxa"/>
            <w:vAlign w:val="bottom"/>
          </w:tcPr>
          <w:p>
            <w:pPr>
              <w:jc w:val="center"/>
              <w:ind w:right="9"/>
              <w:spacing w:after="0"/>
              <w:rPr>
                <w:sz w:val="20"/>
                <w:szCs w:val="20"/>
                <w:color w:val="auto"/>
              </w:rPr>
            </w:pPr>
            <w:r>
              <w:rPr>
                <w:rFonts w:ascii="Arial" w:cs="Arial" w:eastAsia="Arial" w:hAnsi="Arial"/>
                <w:sz w:val="14"/>
                <w:szCs w:val="14"/>
                <w:color w:val="auto"/>
                <w:w w:val="93"/>
              </w:rPr>
              <w:t>Price</w:t>
            </w:r>
          </w:p>
        </w:tc>
        <w:tc>
          <w:tcPr>
            <w:tcW w:w="820" w:type="dxa"/>
            <w:vAlign w:val="bottom"/>
          </w:tcPr>
          <w:p>
            <w:pPr>
              <w:ind w:left="200"/>
              <w:spacing w:after="0"/>
              <w:rPr>
                <w:sz w:val="20"/>
                <w:szCs w:val="20"/>
                <w:color w:val="auto"/>
              </w:rPr>
            </w:pPr>
            <w:r>
              <w:rPr>
                <w:rFonts w:ascii="Arial" w:cs="Arial" w:eastAsia="Arial" w:hAnsi="Arial"/>
                <w:sz w:val="14"/>
                <w:szCs w:val="14"/>
                <w:color w:val="auto"/>
              </w:rPr>
              <w:t>Price</w:t>
            </w:r>
          </w:p>
        </w:tc>
        <w:tc>
          <w:tcPr>
            <w:tcW w:w="720" w:type="dxa"/>
            <w:vAlign w:val="bottom"/>
          </w:tcPr>
          <w:p>
            <w:pPr>
              <w:jc w:val="center"/>
              <w:ind w:right="89"/>
              <w:spacing w:after="0"/>
              <w:rPr>
                <w:sz w:val="20"/>
                <w:szCs w:val="20"/>
                <w:color w:val="auto"/>
              </w:rPr>
            </w:pPr>
            <w:r>
              <w:rPr>
                <w:rFonts w:ascii="Arial" w:cs="Arial" w:eastAsia="Arial" w:hAnsi="Arial"/>
                <w:sz w:val="14"/>
                <w:szCs w:val="14"/>
                <w:color w:val="auto"/>
                <w:w w:val="87"/>
              </w:rPr>
              <w:t>(Years)</w:t>
            </w:r>
          </w:p>
        </w:tc>
        <w:tc>
          <w:tcPr>
            <w:tcW w:w="880" w:type="dxa"/>
            <w:vAlign w:val="bottom"/>
          </w:tcPr>
          <w:p>
            <w:pPr>
              <w:jc w:val="center"/>
              <w:ind w:right="109"/>
              <w:spacing w:after="0"/>
              <w:rPr>
                <w:sz w:val="20"/>
                <w:szCs w:val="20"/>
                <w:color w:val="auto"/>
              </w:rPr>
            </w:pPr>
            <w:r>
              <w:rPr>
                <w:rFonts w:ascii="Arial" w:cs="Arial" w:eastAsia="Arial" w:hAnsi="Arial"/>
                <w:sz w:val="14"/>
                <w:szCs w:val="14"/>
                <w:color w:val="auto"/>
                <w:w w:val="87"/>
              </w:rPr>
              <w:t>Rate</w:t>
            </w:r>
          </w:p>
        </w:tc>
        <w:tc>
          <w:tcPr>
            <w:tcW w:w="960" w:type="dxa"/>
            <w:vAlign w:val="bottom"/>
          </w:tcPr>
          <w:p>
            <w:pPr>
              <w:jc w:val="right"/>
              <w:ind w:right="269"/>
              <w:spacing w:after="0"/>
              <w:rPr>
                <w:sz w:val="20"/>
                <w:szCs w:val="20"/>
                <w:color w:val="auto"/>
              </w:rPr>
            </w:pPr>
            <w:r>
              <w:rPr>
                <w:rFonts w:ascii="Arial" w:cs="Arial" w:eastAsia="Arial" w:hAnsi="Arial"/>
                <w:sz w:val="14"/>
                <w:szCs w:val="14"/>
                <w:color w:val="auto"/>
              </w:rPr>
              <w:t>Volatility</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Rate</w:t>
            </w:r>
          </w:p>
        </w:tc>
        <w:tc>
          <w:tcPr>
            <w:tcW w:w="780" w:type="dxa"/>
            <w:vAlign w:val="bottom"/>
          </w:tcPr>
          <w:p>
            <w:pPr>
              <w:jc w:val="center"/>
              <w:ind w:right="9"/>
              <w:spacing w:after="0"/>
              <w:rPr>
                <w:sz w:val="20"/>
                <w:szCs w:val="20"/>
                <w:color w:val="auto"/>
              </w:rPr>
            </w:pPr>
            <w:r>
              <w:rPr>
                <w:rFonts w:ascii="Arial" w:cs="Arial" w:eastAsia="Arial" w:hAnsi="Arial"/>
                <w:sz w:val="14"/>
                <w:szCs w:val="14"/>
                <w:color w:val="auto"/>
                <w:w w:val="92"/>
              </w:rPr>
              <w:t>Warrant</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Warrants</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Sales</w:t>
            </w:r>
          </w:p>
        </w:tc>
        <w:tc>
          <w:tcPr>
            <w:tcW w:w="1040" w:type="dxa"/>
            <w:vAlign w:val="bottom"/>
          </w:tcPr>
          <w:p>
            <w:pPr>
              <w:jc w:val="right"/>
              <w:ind w:right="249"/>
              <w:spacing w:after="0"/>
              <w:rPr>
                <w:sz w:val="20"/>
                <w:szCs w:val="20"/>
                <w:color w:val="auto"/>
              </w:rPr>
            </w:pPr>
            <w:r>
              <w:rPr>
                <w:rFonts w:ascii="Arial" w:cs="Arial" w:eastAsia="Arial" w:hAnsi="Arial"/>
                <w:sz w:val="14"/>
                <w:szCs w:val="14"/>
                <w:color w:val="auto"/>
              </w:rPr>
              <w:t>Unit Stock</w:t>
            </w:r>
          </w:p>
        </w:tc>
        <w:tc>
          <w:tcPr>
            <w:tcW w:w="900" w:type="dxa"/>
            <w:vAlign w:val="bottom"/>
          </w:tcPr>
          <w:p>
            <w:pPr>
              <w:jc w:val="center"/>
              <w:ind w:right="169"/>
              <w:spacing w:after="0"/>
              <w:rPr>
                <w:sz w:val="20"/>
                <w:szCs w:val="20"/>
                <w:color w:val="auto"/>
              </w:rPr>
            </w:pPr>
            <w:r>
              <w:rPr>
                <w:rFonts w:ascii="Arial" w:cs="Arial" w:eastAsia="Arial" w:hAnsi="Arial"/>
                <w:sz w:val="14"/>
                <w:szCs w:val="14"/>
                <w:color w:val="auto"/>
                <w:w w:val="92"/>
              </w:rPr>
              <w:t>Warrant</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Unit Note</w:t>
            </w:r>
          </w:p>
        </w:tc>
        <w:tc>
          <w:tcPr>
            <w:tcW w:w="0" w:type="dxa"/>
            <w:vAlign w:val="bottom"/>
          </w:tcPr>
          <w:p>
            <w:pPr>
              <w:spacing w:after="0"/>
              <w:rPr>
                <w:sz w:val="1"/>
                <w:szCs w:val="1"/>
                <w:color w:val="auto"/>
              </w:rPr>
            </w:pPr>
          </w:p>
        </w:tc>
      </w:tr>
      <w:tr>
        <w:trPr>
          <w:trHeight w:val="170"/>
        </w:trPr>
        <w:tc>
          <w:tcPr>
            <w:tcW w:w="7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282,850</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$9.28</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2.17</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0.62%</w:t>
            </w:r>
          </w:p>
        </w:tc>
        <w:tc>
          <w:tcPr>
            <w:tcW w:w="9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72.36%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$1,027,000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$3,133,500</w:t>
            </w: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$1,122,400</w:t>
            </w:r>
          </w:p>
        </w:tc>
        <w:tc>
          <w:tcPr>
            <w:tcW w:w="9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$454,200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$1,556,900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3" w:name="page174"/>
    <w:bookmarkEnd w:id="17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2013 Unit Private Placement</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Between August 2013 and March 2014, we entered into securities purchase agreements with accredited investors pursuant to which we sold units to such accredited investors in private placement transactions (</w:t>
      </w:r>
      <w:r>
        <w:rPr>
          <w:rFonts w:ascii="Arial" w:cs="Arial" w:eastAsia="Arial" w:hAnsi="Arial"/>
          <w:sz w:val="14"/>
          <w:szCs w:val="14"/>
          <w:i w:val="1"/>
          <w:iCs w:val="1"/>
          <w:color w:val="auto"/>
        </w:rPr>
        <w:t>2013 Units</w:t>
      </w:r>
      <w:r>
        <w:rPr>
          <w:rFonts w:ascii="Arial" w:cs="Arial" w:eastAsia="Arial" w:hAnsi="Arial"/>
          <w:sz w:val="14"/>
          <w:szCs w:val="14"/>
          <w:color w:val="auto"/>
        </w:rPr>
        <w:t>), for aggregate cash proceeds of $1,007,500, including $50,000 in lieu of repayment of previous advances to us made by one of our executive officers. The 2013 Units consisted of (i) 10% convertible promissory notes in the aggregate face amount of $1,007,500 maturing on July 30, 2014 (</w:t>
      </w:r>
      <w:r>
        <w:rPr>
          <w:rFonts w:ascii="Arial" w:cs="Arial" w:eastAsia="Arial" w:hAnsi="Arial"/>
          <w:sz w:val="14"/>
          <w:szCs w:val="14"/>
          <w:i w:val="1"/>
          <w:iCs w:val="1"/>
          <w:color w:val="auto"/>
        </w:rPr>
        <w:t>2013 Unit Notes)</w:t>
      </w:r>
      <w:r>
        <w:rPr>
          <w:rFonts w:ascii="Arial" w:cs="Arial" w:eastAsia="Arial" w:hAnsi="Arial"/>
          <w:sz w:val="14"/>
          <w:szCs w:val="14"/>
          <w:color w:val="auto"/>
        </w:rPr>
        <w:t xml:space="preserve"> (ii) an aggregate 100,750 restricted shares of our common stock (</w:t>
      </w:r>
      <w:r>
        <w:rPr>
          <w:rFonts w:ascii="Arial" w:cs="Arial" w:eastAsia="Arial" w:hAnsi="Arial"/>
          <w:sz w:val="14"/>
          <w:szCs w:val="14"/>
          <w:i w:val="1"/>
          <w:iCs w:val="1"/>
          <w:color w:val="auto"/>
        </w:rPr>
        <w:t>2013</w:t>
      </w:r>
      <w:r>
        <w:rPr>
          <w:rFonts w:ascii="Arial" w:cs="Arial" w:eastAsia="Arial" w:hAnsi="Arial"/>
          <w:sz w:val="14"/>
          <w:szCs w:val="14"/>
          <w:color w:val="auto"/>
        </w:rPr>
        <w:t xml:space="preserve"> </w:t>
      </w:r>
      <w:r>
        <w:rPr>
          <w:rFonts w:ascii="Arial" w:cs="Arial" w:eastAsia="Arial" w:hAnsi="Arial"/>
          <w:sz w:val="14"/>
          <w:szCs w:val="14"/>
          <w:i w:val="1"/>
          <w:iCs w:val="1"/>
          <w:color w:val="auto"/>
        </w:rPr>
        <w:t>Unit Stock</w:t>
      </w:r>
      <w:r>
        <w:rPr>
          <w:rFonts w:ascii="Arial" w:cs="Arial" w:eastAsia="Arial" w:hAnsi="Arial"/>
          <w:sz w:val="14"/>
          <w:szCs w:val="14"/>
          <w:color w:val="auto"/>
        </w:rPr>
        <w:t>); and (iii) warrants exercisable through July 30, 2016 to purchase an aggregate of 100,750 restricted shares of our common stock at an exercise price of $20.00 per share (</w:t>
      </w:r>
      <w:r>
        <w:rPr>
          <w:rFonts w:ascii="Arial" w:cs="Arial" w:eastAsia="Arial" w:hAnsi="Arial"/>
          <w:sz w:val="14"/>
          <w:szCs w:val="14"/>
          <w:i w:val="1"/>
          <w:iCs w:val="1"/>
          <w:color w:val="auto"/>
        </w:rPr>
        <w:t>2013 Unit Warrants</w:t>
      </w:r>
      <w:r>
        <w:rPr>
          <w:rFonts w:ascii="Arial" w:cs="Arial" w:eastAsia="Arial" w:hAnsi="Arial"/>
          <w:sz w:val="14"/>
          <w:szCs w:val="14"/>
          <w:color w:val="auto"/>
        </w:rPr>
        <w:t>). The 2013 Unit Notes and related accrued interest were convertible into restricted shares of our common stock at a conversion price of $10.00 per share at or prior to maturity, at the option of</w:t>
      </w:r>
      <w:r>
        <w:rPr>
          <w:rFonts w:ascii="Arial" w:cs="Arial" w:eastAsia="Arial" w:hAnsi="Arial"/>
          <w:sz w:val="14"/>
          <w:szCs w:val="14"/>
          <w:i w:val="1"/>
          <w:iCs w:val="1"/>
          <w:color w:val="auto"/>
        </w:rPr>
        <w:t xml:space="preserve"> </w:t>
      </w:r>
      <w:r>
        <w:rPr>
          <w:rFonts w:ascii="Arial" w:cs="Arial" w:eastAsia="Arial" w:hAnsi="Arial"/>
          <w:sz w:val="14"/>
          <w:szCs w:val="14"/>
          <w:color w:val="auto"/>
        </w:rPr>
        <w:t>each investor.</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 xml:space="preserve">We allocated the proceeds from the sale of the 2013 Units to the various securities in each 2013 Unit based on their relative fair value on the dates of the sales. As described in Note 8, </w:t>
      </w:r>
      <w:r>
        <w:rPr>
          <w:rFonts w:ascii="Arial" w:cs="Arial" w:eastAsia="Arial" w:hAnsi="Arial"/>
          <w:sz w:val="14"/>
          <w:szCs w:val="14"/>
          <w:i w:val="1"/>
          <w:iCs w:val="1"/>
          <w:color w:val="auto"/>
        </w:rPr>
        <w:t>Convertible</w:t>
      </w:r>
      <w:r>
        <w:rPr>
          <w:rFonts w:ascii="Arial" w:cs="Arial" w:eastAsia="Arial" w:hAnsi="Arial"/>
          <w:sz w:val="14"/>
          <w:szCs w:val="14"/>
          <w:color w:val="auto"/>
        </w:rPr>
        <w:t xml:space="preserve"> </w:t>
      </w:r>
      <w:r>
        <w:rPr>
          <w:rFonts w:ascii="Arial" w:cs="Arial" w:eastAsia="Arial" w:hAnsi="Arial"/>
          <w:sz w:val="14"/>
          <w:szCs w:val="14"/>
          <w:i w:val="1"/>
          <w:iCs w:val="1"/>
          <w:color w:val="auto"/>
        </w:rPr>
        <w:t>PromissoryNotes and Other Notes Payable</w:t>
      </w:r>
      <w:r>
        <w:rPr>
          <w:rFonts w:ascii="Arial" w:cs="Arial" w:eastAsia="Arial" w:hAnsi="Arial"/>
          <w:sz w:val="14"/>
          <w:szCs w:val="14"/>
          <w:color w:val="auto"/>
        </w:rPr>
        <w:t>, based on the short-term nature of the 2013 Unit Notes, we determined that fair value of the 2013 Unit Notes was equal to their face value. We determined the</w:t>
      </w:r>
      <w:r>
        <w:rPr>
          <w:rFonts w:ascii="Arial" w:cs="Arial" w:eastAsia="Arial" w:hAnsi="Arial"/>
          <w:sz w:val="14"/>
          <w:szCs w:val="14"/>
          <w:i w:val="1"/>
          <w:iCs w:val="1"/>
          <w:color w:val="auto"/>
        </w:rPr>
        <w:t xml:space="preserve"> </w:t>
      </w:r>
      <w:r>
        <w:rPr>
          <w:rFonts w:ascii="Arial" w:cs="Arial" w:eastAsia="Arial" w:hAnsi="Arial"/>
          <w:sz w:val="14"/>
          <w:szCs w:val="14"/>
          <w:color w:val="auto"/>
        </w:rPr>
        <w:t>fair value of the 2013 Unit Stock based on the quoted market price of our common stock on the date of the 2013 Unit sale. We calculated the fair value of the 2013 Unit Warrants using the Black Scholes Option Pricing Model and the weighted average assumptions indicated in the table below. The table below also presents the aggregate allocation of the 2013 Unit sales proceeds based on the relative fair values of the 2013 Unit Stock, 2013 Unit Warrants and 2013 Unit Notes at the respective 2013 Unit sales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529"/>
              <w:spacing w:after="0"/>
              <w:rPr>
                <w:sz w:val="20"/>
                <w:szCs w:val="20"/>
                <w:color w:val="auto"/>
              </w:rPr>
            </w:pPr>
            <w:r>
              <w:rPr>
                <w:rFonts w:ascii="Arial" w:cs="Arial" w:eastAsia="Arial" w:hAnsi="Arial"/>
                <w:sz w:val="14"/>
                <w:szCs w:val="14"/>
                <w:color w:val="auto"/>
              </w:rPr>
              <w:t>2013Unit Warrants</w:t>
            </w: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w w:val="91"/>
              </w:rPr>
              <w:t>Weighted Average Issuance Date Valuation Assumptions</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Per Share</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w w:val="89"/>
              </w:rPr>
              <w:t>Aggregate</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Aggregate</w:t>
            </w:r>
          </w:p>
        </w:tc>
        <w:tc>
          <w:tcPr>
            <w:tcW w:w="2900" w:type="dxa"/>
            <w:vAlign w:val="bottom"/>
            <w:gridSpan w:val="4"/>
          </w:tcPr>
          <w:p>
            <w:pPr>
              <w:ind w:left="420"/>
              <w:spacing w:after="0"/>
              <w:rPr>
                <w:sz w:val="20"/>
                <w:szCs w:val="20"/>
                <w:color w:val="auto"/>
              </w:rPr>
            </w:pPr>
            <w:r>
              <w:rPr>
                <w:rFonts w:ascii="Arial" w:cs="Arial" w:eastAsia="Arial" w:hAnsi="Arial"/>
                <w:sz w:val="14"/>
                <w:szCs w:val="14"/>
                <w:color w:val="auto"/>
              </w:rPr>
              <w:t>Aggregate Allocation of Proceeds</w:t>
            </w:r>
          </w:p>
        </w:tc>
        <w:tc>
          <w:tcPr>
            <w:tcW w:w="0" w:type="dxa"/>
            <w:vAlign w:val="bottom"/>
          </w:tcPr>
          <w:p>
            <w:pPr>
              <w:spacing w:after="0"/>
              <w:rPr>
                <w:sz w:val="1"/>
                <w:szCs w:val="1"/>
                <w:color w:val="auto"/>
              </w:rPr>
            </w:pPr>
          </w:p>
        </w:tc>
      </w:tr>
      <w:tr>
        <w:trPr>
          <w:trHeight w:val="150"/>
        </w:trPr>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8"/>
              </w:rPr>
              <w:t>Warrant</w:t>
            </w: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center"/>
              <w:ind w:right="109"/>
              <w:spacing w:after="0" w:line="149" w:lineRule="exact"/>
              <w:rPr>
                <w:sz w:val="20"/>
                <w:szCs w:val="20"/>
                <w:color w:val="auto"/>
              </w:rPr>
            </w:pPr>
            <w:r>
              <w:rPr>
                <w:rFonts w:ascii="Arial" w:cs="Arial" w:eastAsia="Arial" w:hAnsi="Arial"/>
                <w:sz w:val="14"/>
                <w:szCs w:val="14"/>
                <w:color w:val="auto"/>
                <w:w w:val="94"/>
              </w:rPr>
              <w:t>Risk free</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9"/>
              </w:rPr>
              <w:t>Fair</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Fair Value</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Proceeds</w:t>
            </w:r>
          </w:p>
        </w:tc>
        <w:tc>
          <w:tcPr>
            <w:tcW w:w="2900" w:type="dxa"/>
            <w:vAlign w:val="bottom"/>
            <w:gridSpan w:val="4"/>
          </w:tcPr>
          <w:p>
            <w:pPr>
              <w:ind w:left="460"/>
              <w:spacing w:after="0" w:line="149" w:lineRule="exact"/>
              <w:rPr>
                <w:sz w:val="20"/>
                <w:szCs w:val="20"/>
                <w:color w:val="auto"/>
              </w:rPr>
            </w:pPr>
            <w:r>
              <w:rPr>
                <w:rFonts w:ascii="Arial" w:cs="Arial" w:eastAsia="Arial" w:hAnsi="Arial"/>
                <w:sz w:val="14"/>
                <w:szCs w:val="14"/>
                <w:color w:val="auto"/>
              </w:rPr>
              <w:t>Based on Relative Fair Value of:</w:t>
            </w:r>
          </w:p>
        </w:tc>
        <w:tc>
          <w:tcPr>
            <w:tcW w:w="0" w:type="dxa"/>
            <w:vAlign w:val="bottom"/>
          </w:tcPr>
          <w:p>
            <w:pPr>
              <w:spacing w:after="0"/>
              <w:rPr>
                <w:sz w:val="1"/>
                <w:szCs w:val="1"/>
                <w:color w:val="auto"/>
              </w:rPr>
            </w:pPr>
          </w:p>
        </w:tc>
      </w:tr>
      <w:tr>
        <w:trPr>
          <w:trHeight w:val="160"/>
        </w:trPr>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85"/>
              </w:rPr>
              <w:t>Shares</w:t>
            </w:r>
          </w:p>
        </w:tc>
        <w:tc>
          <w:tcPr>
            <w:tcW w:w="7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98"/>
              </w:rPr>
              <w:t>Market</w:t>
            </w:r>
          </w:p>
        </w:tc>
        <w:tc>
          <w:tcPr>
            <w:tcW w:w="820" w:type="dxa"/>
            <w:vAlign w:val="bottom"/>
          </w:tcPr>
          <w:p>
            <w:pPr>
              <w:ind w:left="100"/>
              <w:spacing w:after="0" w:line="160" w:lineRule="exact"/>
              <w:rPr>
                <w:sz w:val="20"/>
                <w:szCs w:val="20"/>
                <w:color w:val="auto"/>
              </w:rPr>
            </w:pPr>
            <w:r>
              <w:rPr>
                <w:rFonts w:ascii="Arial" w:cs="Arial" w:eastAsia="Arial" w:hAnsi="Arial"/>
                <w:sz w:val="14"/>
                <w:szCs w:val="14"/>
                <w:color w:val="auto"/>
              </w:rPr>
              <w:t>Exercise</w:t>
            </w:r>
          </w:p>
        </w:tc>
        <w:tc>
          <w:tcPr>
            <w:tcW w:w="720" w:type="dxa"/>
            <w:vAlign w:val="bottom"/>
          </w:tcPr>
          <w:p>
            <w:pPr>
              <w:jc w:val="center"/>
              <w:ind w:right="69"/>
              <w:spacing w:after="0" w:line="160" w:lineRule="exact"/>
              <w:rPr>
                <w:sz w:val="20"/>
                <w:szCs w:val="20"/>
                <w:color w:val="auto"/>
              </w:rPr>
            </w:pPr>
            <w:r>
              <w:rPr>
                <w:rFonts w:ascii="Arial" w:cs="Arial" w:eastAsia="Arial" w:hAnsi="Arial"/>
                <w:sz w:val="14"/>
                <w:szCs w:val="14"/>
                <w:color w:val="auto"/>
                <w:w w:val="91"/>
              </w:rPr>
              <w:t>Term</w:t>
            </w:r>
          </w:p>
        </w:tc>
        <w:tc>
          <w:tcPr>
            <w:tcW w:w="900" w:type="dxa"/>
            <w:vAlign w:val="bottom"/>
          </w:tcPr>
          <w:p>
            <w:pPr>
              <w:jc w:val="center"/>
              <w:ind w:right="129"/>
              <w:spacing w:after="0" w:line="160" w:lineRule="exact"/>
              <w:rPr>
                <w:sz w:val="20"/>
                <w:szCs w:val="20"/>
                <w:color w:val="auto"/>
              </w:rPr>
            </w:pPr>
            <w:r>
              <w:rPr>
                <w:rFonts w:ascii="Arial" w:cs="Arial" w:eastAsia="Arial" w:hAnsi="Arial"/>
                <w:sz w:val="14"/>
                <w:szCs w:val="14"/>
                <w:color w:val="auto"/>
                <w:w w:val="89"/>
              </w:rPr>
              <w:t>Interest</w:t>
            </w:r>
          </w:p>
        </w:tc>
        <w:tc>
          <w:tcPr>
            <w:tcW w:w="940" w:type="dxa"/>
            <w:vAlign w:val="bottom"/>
          </w:tcPr>
          <w:p>
            <w:pPr>
              <w:spacing w:after="0"/>
              <w:rPr>
                <w:sz w:val="13"/>
                <w:szCs w:val="13"/>
                <w:color w:val="auto"/>
              </w:rPr>
            </w:pPr>
          </w:p>
        </w:tc>
        <w:tc>
          <w:tcPr>
            <w:tcW w:w="880" w:type="dxa"/>
            <w:vAlign w:val="bottom"/>
            <w:gridSpan w:val="2"/>
          </w:tcPr>
          <w:p>
            <w:pPr>
              <w:jc w:val="center"/>
              <w:ind w:right="200"/>
              <w:spacing w:after="0" w:line="160" w:lineRule="exact"/>
              <w:rPr>
                <w:sz w:val="20"/>
                <w:szCs w:val="20"/>
                <w:color w:val="auto"/>
              </w:rPr>
            </w:pPr>
            <w:r>
              <w:rPr>
                <w:rFonts w:ascii="Arial" w:cs="Arial" w:eastAsia="Arial" w:hAnsi="Arial"/>
                <w:sz w:val="14"/>
                <w:szCs w:val="14"/>
                <w:color w:val="auto"/>
                <w:w w:val="95"/>
              </w:rPr>
              <w:t>Dividend</w:t>
            </w:r>
          </w:p>
        </w:tc>
        <w:tc>
          <w:tcPr>
            <w:tcW w:w="780" w:type="dxa"/>
            <w:vAlign w:val="bottom"/>
          </w:tcPr>
          <w:p>
            <w:pPr>
              <w:jc w:val="center"/>
              <w:spacing w:after="0" w:line="160" w:lineRule="exact"/>
              <w:rPr>
                <w:sz w:val="20"/>
                <w:szCs w:val="20"/>
                <w:color w:val="auto"/>
              </w:rPr>
            </w:pPr>
            <w:r>
              <w:rPr>
                <w:rFonts w:ascii="Arial" w:cs="Arial" w:eastAsia="Arial" w:hAnsi="Arial"/>
                <w:sz w:val="14"/>
                <w:szCs w:val="14"/>
                <w:color w:val="auto"/>
                <w:w w:val="93"/>
              </w:rPr>
              <w:t>Value of</w:t>
            </w:r>
          </w:p>
        </w:tc>
        <w:tc>
          <w:tcPr>
            <w:tcW w:w="1020" w:type="dxa"/>
            <w:vAlign w:val="bottom"/>
            <w:gridSpan w:val="2"/>
          </w:tcPr>
          <w:p>
            <w:pPr>
              <w:jc w:val="center"/>
              <w:ind w:right="100"/>
              <w:spacing w:after="0" w:line="160" w:lineRule="exact"/>
              <w:rPr>
                <w:sz w:val="20"/>
                <w:szCs w:val="20"/>
                <w:color w:val="auto"/>
              </w:rPr>
            </w:pPr>
            <w:r>
              <w:rPr>
                <w:rFonts w:ascii="Arial" w:cs="Arial" w:eastAsia="Arial" w:hAnsi="Arial"/>
                <w:sz w:val="14"/>
                <w:szCs w:val="14"/>
                <w:color w:val="auto"/>
                <w:w w:val="98"/>
              </w:rPr>
              <w:t>of Unit</w:t>
            </w:r>
          </w:p>
        </w:tc>
        <w:tc>
          <w:tcPr>
            <w:tcW w:w="900" w:type="dxa"/>
            <w:vAlign w:val="bottom"/>
          </w:tcPr>
          <w:p>
            <w:pPr>
              <w:jc w:val="center"/>
              <w:ind w:right="29"/>
              <w:spacing w:after="0" w:line="160" w:lineRule="exact"/>
              <w:rPr>
                <w:sz w:val="20"/>
                <w:szCs w:val="20"/>
                <w:color w:val="auto"/>
              </w:rPr>
            </w:pPr>
            <w:r>
              <w:rPr>
                <w:rFonts w:ascii="Arial" w:cs="Arial" w:eastAsia="Arial" w:hAnsi="Arial"/>
                <w:sz w:val="14"/>
                <w:szCs w:val="14"/>
                <w:color w:val="auto"/>
                <w:w w:val="98"/>
              </w:rPr>
              <w:t>of Unit</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149"/>
              <w:spacing w:after="0" w:line="160" w:lineRule="exact"/>
              <w:rPr>
                <w:sz w:val="20"/>
                <w:szCs w:val="20"/>
                <w:color w:val="auto"/>
              </w:rPr>
            </w:pPr>
            <w:r>
              <w:rPr>
                <w:rFonts w:ascii="Arial" w:cs="Arial" w:eastAsia="Arial" w:hAnsi="Arial"/>
                <w:sz w:val="14"/>
                <w:szCs w:val="14"/>
                <w:color w:val="auto"/>
              </w:rPr>
              <w:t>Unit</w:t>
            </w: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20" w:type="dxa"/>
            <w:vAlign w:val="bottom"/>
          </w:tcPr>
          <w:p>
            <w:pPr>
              <w:jc w:val="center"/>
              <w:spacing w:after="0"/>
              <w:rPr>
                <w:sz w:val="20"/>
                <w:szCs w:val="20"/>
                <w:color w:val="auto"/>
              </w:rPr>
            </w:pPr>
            <w:r>
              <w:rPr>
                <w:rFonts w:ascii="Arial" w:cs="Arial" w:eastAsia="Arial" w:hAnsi="Arial"/>
                <w:sz w:val="14"/>
                <w:szCs w:val="14"/>
                <w:color w:val="auto"/>
                <w:w w:val="87"/>
              </w:rPr>
              <w:t>Issued</w:t>
            </w:r>
          </w:p>
        </w:tc>
        <w:tc>
          <w:tcPr>
            <w:tcW w:w="780" w:type="dxa"/>
            <w:vAlign w:val="bottom"/>
          </w:tcPr>
          <w:p>
            <w:pPr>
              <w:jc w:val="center"/>
              <w:ind w:right="9"/>
              <w:spacing w:after="0"/>
              <w:rPr>
                <w:sz w:val="20"/>
                <w:szCs w:val="20"/>
                <w:color w:val="auto"/>
              </w:rPr>
            </w:pPr>
            <w:r>
              <w:rPr>
                <w:rFonts w:ascii="Arial" w:cs="Arial" w:eastAsia="Arial" w:hAnsi="Arial"/>
                <w:sz w:val="14"/>
                <w:szCs w:val="14"/>
                <w:color w:val="auto"/>
                <w:w w:val="93"/>
              </w:rPr>
              <w:t>Price</w:t>
            </w:r>
          </w:p>
        </w:tc>
        <w:tc>
          <w:tcPr>
            <w:tcW w:w="820" w:type="dxa"/>
            <w:vAlign w:val="bottom"/>
          </w:tcPr>
          <w:p>
            <w:pPr>
              <w:ind w:left="200"/>
              <w:spacing w:after="0"/>
              <w:rPr>
                <w:sz w:val="20"/>
                <w:szCs w:val="20"/>
                <w:color w:val="auto"/>
              </w:rPr>
            </w:pPr>
            <w:r>
              <w:rPr>
                <w:rFonts w:ascii="Arial" w:cs="Arial" w:eastAsia="Arial" w:hAnsi="Arial"/>
                <w:sz w:val="14"/>
                <w:szCs w:val="14"/>
                <w:color w:val="auto"/>
              </w:rPr>
              <w:t>Price</w:t>
            </w:r>
          </w:p>
        </w:tc>
        <w:tc>
          <w:tcPr>
            <w:tcW w:w="720" w:type="dxa"/>
            <w:vAlign w:val="bottom"/>
          </w:tcPr>
          <w:p>
            <w:pPr>
              <w:jc w:val="center"/>
              <w:ind w:right="89"/>
              <w:spacing w:after="0"/>
              <w:rPr>
                <w:sz w:val="20"/>
                <w:szCs w:val="20"/>
                <w:color w:val="auto"/>
              </w:rPr>
            </w:pPr>
            <w:r>
              <w:rPr>
                <w:rFonts w:ascii="Arial" w:cs="Arial" w:eastAsia="Arial" w:hAnsi="Arial"/>
                <w:sz w:val="14"/>
                <w:szCs w:val="14"/>
                <w:color w:val="auto"/>
                <w:w w:val="87"/>
              </w:rPr>
              <w:t>(Years)</w:t>
            </w:r>
          </w:p>
        </w:tc>
        <w:tc>
          <w:tcPr>
            <w:tcW w:w="900" w:type="dxa"/>
            <w:vAlign w:val="bottom"/>
          </w:tcPr>
          <w:p>
            <w:pPr>
              <w:jc w:val="center"/>
              <w:ind w:right="129"/>
              <w:spacing w:after="0"/>
              <w:rPr>
                <w:sz w:val="20"/>
                <w:szCs w:val="20"/>
                <w:color w:val="auto"/>
              </w:rPr>
            </w:pPr>
            <w:r>
              <w:rPr>
                <w:rFonts w:ascii="Arial" w:cs="Arial" w:eastAsia="Arial" w:hAnsi="Arial"/>
                <w:sz w:val="14"/>
                <w:szCs w:val="14"/>
                <w:color w:val="auto"/>
                <w:w w:val="87"/>
              </w:rPr>
              <w:t>Rate</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Volatility</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color w:val="auto"/>
                <w:w w:val="87"/>
              </w:rPr>
              <w:t>Rate</w:t>
            </w: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Warrant</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Warrants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Sales</w:t>
            </w:r>
          </w:p>
        </w:tc>
        <w:tc>
          <w:tcPr>
            <w:tcW w:w="1060" w:type="dxa"/>
            <w:vAlign w:val="bottom"/>
          </w:tcPr>
          <w:p>
            <w:pPr>
              <w:ind w:left="120"/>
              <w:spacing w:after="0"/>
              <w:rPr>
                <w:sz w:val="20"/>
                <w:szCs w:val="20"/>
                <w:color w:val="auto"/>
              </w:rPr>
            </w:pPr>
            <w:r>
              <w:rPr>
                <w:rFonts w:ascii="Arial" w:cs="Arial" w:eastAsia="Arial" w:hAnsi="Arial"/>
                <w:sz w:val="14"/>
                <w:szCs w:val="14"/>
                <w:color w:val="auto"/>
              </w:rPr>
              <w:t>Unit Stock</w:t>
            </w:r>
          </w:p>
        </w:tc>
        <w:tc>
          <w:tcPr>
            <w:tcW w:w="920" w:type="dxa"/>
            <w:vAlign w:val="bottom"/>
          </w:tcPr>
          <w:p>
            <w:pPr>
              <w:jc w:val="center"/>
              <w:ind w:right="149"/>
              <w:spacing w:after="0"/>
              <w:rPr>
                <w:sz w:val="20"/>
                <w:szCs w:val="20"/>
                <w:color w:val="auto"/>
              </w:rPr>
            </w:pPr>
            <w:r>
              <w:rPr>
                <w:rFonts w:ascii="Arial" w:cs="Arial" w:eastAsia="Arial" w:hAnsi="Arial"/>
                <w:sz w:val="14"/>
                <w:szCs w:val="14"/>
                <w:color w:val="auto"/>
                <w:w w:val="92"/>
              </w:rPr>
              <w:t>Warrant</w:t>
            </w:r>
          </w:p>
        </w:tc>
        <w:tc>
          <w:tcPr>
            <w:tcW w:w="920" w:type="dxa"/>
            <w:vAlign w:val="bottom"/>
            <w:gridSpan w:val="2"/>
          </w:tcPr>
          <w:p>
            <w:pPr>
              <w:ind w:left="100"/>
              <w:spacing w:after="0"/>
              <w:rPr>
                <w:sz w:val="20"/>
                <w:szCs w:val="20"/>
                <w:color w:val="auto"/>
              </w:rPr>
            </w:pPr>
            <w:r>
              <w:rPr>
                <w:rFonts w:ascii="Arial" w:cs="Arial" w:eastAsia="Arial" w:hAnsi="Arial"/>
                <w:sz w:val="14"/>
                <w:szCs w:val="14"/>
                <w:color w:val="auto"/>
              </w:rPr>
              <w:t>Unit Note</w:t>
            </w:r>
          </w:p>
        </w:tc>
        <w:tc>
          <w:tcPr>
            <w:tcW w:w="0" w:type="dxa"/>
            <w:vAlign w:val="bottom"/>
          </w:tcPr>
          <w:p>
            <w:pPr>
              <w:spacing w:after="0"/>
              <w:rPr>
                <w:sz w:val="1"/>
                <w:szCs w:val="1"/>
                <w:color w:val="auto"/>
              </w:rPr>
            </w:pPr>
          </w:p>
        </w:tc>
      </w:tr>
      <w:tr>
        <w:trPr>
          <w:trHeight w:val="170"/>
        </w:trPr>
        <w:tc>
          <w:tcPr>
            <w:tcW w:w="7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86"/>
              </w:rPr>
              <w:t>100,750</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2.68</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0.58%</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76.29%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$254,700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$1,007,500</w:t>
            </w:r>
          </w:p>
        </w:tc>
        <w:tc>
          <w:tcPr>
            <w:tcW w:w="1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$415,000</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$111,400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Amendment of 2013 Unit Notes and 2013 Unit Warrants</w:t>
      </w:r>
    </w:p>
    <w:p>
      <w:pPr>
        <w:spacing w:after="0" w:line="205" w:lineRule="exact"/>
        <w:rPr>
          <w:sz w:val="20"/>
          <w:szCs w:val="20"/>
          <w:color w:val="auto"/>
        </w:rPr>
      </w:pPr>
    </w:p>
    <w:p>
      <w:pPr>
        <w:ind w:right="60"/>
        <w:spacing w:after="0" w:line="290" w:lineRule="auto"/>
        <w:rPr>
          <w:sz w:val="20"/>
          <w:szCs w:val="20"/>
          <w:color w:val="auto"/>
        </w:rPr>
      </w:pPr>
      <w:r>
        <w:rPr>
          <w:rFonts w:ascii="Arial" w:cs="Arial" w:eastAsia="Arial" w:hAnsi="Arial"/>
          <w:sz w:val="13"/>
          <w:szCs w:val="13"/>
          <w:color w:val="auto"/>
        </w:rPr>
        <w:t>As indicated in Note 8</w:t>
      </w:r>
      <w:r>
        <w:rPr>
          <w:rFonts w:ascii="Arial" w:cs="Arial" w:eastAsia="Arial" w:hAnsi="Arial"/>
          <w:sz w:val="13"/>
          <w:szCs w:val="13"/>
          <w:i w:val="1"/>
          <w:iCs w:val="1"/>
          <w:color w:val="auto"/>
        </w:rPr>
        <w:t>, Convertible Promissory Notes and Other Notes Payable</w:t>
      </w:r>
      <w:r>
        <w:rPr>
          <w:rFonts w:ascii="Arial" w:cs="Arial" w:eastAsia="Arial" w:hAnsi="Arial"/>
          <w:sz w:val="13"/>
          <w:szCs w:val="13"/>
          <w:color w:val="auto"/>
        </w:rPr>
        <w:t>, effective May 31, 2014, we entered into note and warrant amendment agreements with substantially all holders of 2013 Unit Notes and 2013 Unit Warrants to (i) modify certain terms of their 2013 Unit Notes, including the maturity date and certain conversion features, to conform to the corresponding terms of the 2014 Unit Notes and (ii) to modify certain terms of the 2013 Unit Warrants, including the exercise price and expiration date, to conform to the corresponding terms of the 2014 Unit Warrants. Holders of 2013 Unit Notes having an aggregate initial face amount of $895,000 and warrants to purchase an aggregate of 93,250 restricted shares of our common stock agreed to the amendments.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4" w:name="page175"/>
    <w:bookmarkEnd w:id="17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20"/>
        <w:spacing w:after="0" w:line="333" w:lineRule="auto"/>
        <w:rPr>
          <w:sz w:val="20"/>
          <w:szCs w:val="20"/>
          <w:color w:val="auto"/>
        </w:rPr>
      </w:pPr>
      <w:r>
        <w:rPr>
          <w:rFonts w:ascii="Arial" w:cs="Arial" w:eastAsia="Arial" w:hAnsi="Arial"/>
          <w:sz w:val="12"/>
          <w:szCs w:val="12"/>
          <w:color w:val="auto"/>
        </w:rPr>
        <w:t>We calculated the fair value of the modified 2013 Unit Warrants immediately before and after the modifications and determined that the fair value of the warrants increased by an aggregate of $272,900, which we treated as a component of loss on extinguishment of debt in the accompanying Condensed Consolidated Statements of Operations and Comprehensive Loss with a corresponding credit to additional paid-in capital, an equity account. The warrants subject to the exercise price modifications were valued using the Black-Scholes Option Pricing Model and the following assumptions: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12.60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20.00</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0.44%</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0.62%</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Remaining contractual term in years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2.17</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2.59</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75.6%</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76.6%</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3.73</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6.65</w:t>
            </w:r>
          </w:p>
        </w:tc>
      </w:tr>
      <w:tr>
        <w:trPr>
          <w:trHeight w:val="347"/>
        </w:trPr>
        <w:tc>
          <w:tcPr>
            <w:tcW w:w="8720" w:type="dxa"/>
            <w:vAlign w:val="bottom"/>
          </w:tcPr>
          <w:p>
            <w:pPr>
              <w:spacing w:after="0"/>
              <w:rPr>
                <w:sz w:val="20"/>
                <w:szCs w:val="20"/>
                <w:color w:val="auto"/>
              </w:rPr>
            </w:pPr>
            <w:r>
              <w:rPr>
                <w:rFonts w:ascii="Arial" w:cs="Arial" w:eastAsia="Arial" w:hAnsi="Arial"/>
                <w:sz w:val="14"/>
                <w:szCs w:val="14"/>
                <w:b w:val="1"/>
                <w:bCs w:val="1"/>
                <w:color w:val="auto"/>
              </w:rPr>
              <w:t>Issuance of Securities in Satisfaction of Technology License and Maintenance Fees and Patent Expenses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82" w:lineRule="exact"/>
        <w:rPr>
          <w:sz w:val="20"/>
          <w:szCs w:val="20"/>
          <w:color w:val="auto"/>
        </w:rPr>
      </w:pPr>
    </w:p>
    <w:p>
      <w:pPr>
        <w:ind w:right="160"/>
        <w:spacing w:after="0" w:line="305" w:lineRule="auto"/>
        <w:rPr>
          <w:sz w:val="20"/>
          <w:szCs w:val="20"/>
          <w:color w:val="auto"/>
        </w:rPr>
      </w:pPr>
      <w:r>
        <w:rPr>
          <w:rFonts w:ascii="Arial" w:cs="Arial" w:eastAsia="Arial" w:hAnsi="Arial"/>
          <w:sz w:val="12"/>
          <w:szCs w:val="12"/>
          <w:color w:val="auto"/>
        </w:rPr>
        <w:t>In April 2014, we entered into an agreement with Icahn School of Medicine at Mount Sinai (</w:t>
      </w:r>
      <w:r>
        <w:rPr>
          <w:rFonts w:ascii="Arial" w:cs="Arial" w:eastAsia="Arial" w:hAnsi="Arial"/>
          <w:sz w:val="12"/>
          <w:szCs w:val="12"/>
          <w:i w:val="1"/>
          <w:iCs w:val="1"/>
          <w:color w:val="auto"/>
        </w:rPr>
        <w:t>Icahn School</w:t>
      </w:r>
      <w:r>
        <w:rPr>
          <w:rFonts w:ascii="Arial" w:cs="Arial" w:eastAsia="Arial" w:hAnsi="Arial"/>
          <w:sz w:val="12"/>
          <w:szCs w:val="12"/>
          <w:color w:val="auto"/>
        </w:rPr>
        <w:t>), one of our long-term stem cell technology licensors, pursuant to which we issued (i) a 10% promissory note in the face amount of $300,000 due on the earlier of December 31, 2014, or the completion of a qualified financing, as defined, (ii) 15,000 restricted shares of our common stock and</w:t>
      </w:r>
    </w:p>
    <w:p>
      <w:pPr>
        <w:ind w:firstLine="5"/>
        <w:spacing w:after="0" w:line="255" w:lineRule="auto"/>
        <w:tabs>
          <w:tab w:leader="none" w:pos="248"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4"/>
          <w:szCs w:val="14"/>
          <w:i w:val="1"/>
          <w:iCs w:val="1"/>
          <w:color w:val="auto"/>
        </w:rPr>
        <w:t>Icahn School Agreement</w:t>
      </w:r>
      <w:r>
        <w:rPr>
          <w:rFonts w:ascii="Arial" w:cs="Arial" w:eastAsia="Arial" w:hAnsi="Arial"/>
          <w:sz w:val="14"/>
          <w:szCs w:val="14"/>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Icahn School Agreement, an additional $35,800 of license maintenance fees and reimbursable patent prosecution costs were added to the principal amount of the promissory note through March 31, 2015. The note remains outstanding at March 31, 2015.</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Common Stock to Consultants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May 2014, we entered into a consulting agreement for strategic advisory and business development services pursuant to which we issued 10,000 restricted shares of our common stock as partial compensation for such professional services. We determined the fair value of stock to be $134,000, based on the $13.40 per share quoted market price of our common stock on the date of the agreement. Additionally, under the terms of the agreement, we paid an aggregate of $80,000 between May 2014 and December 31, 2014 as additional compensation for professional services rendered by the consultant. Effective January 12, 2015, we entered into a new consulting agreement with this consultant for similar services through December 31, 2015 pursuant to which we have issued 20,000 restricted shares of our common stock valued at $160,000, based on the $8.00 per share quoted market price of our common stock on the date of the agreement, and made cash payments of $20,000 as compensation for such professional services.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In March 2015, we entered into a consulting agreement with another consultant for additional advisory and business development services pursuant to which we issued 25,000 restricted shares of our common stock as compensation for such professional services. We determined the fair value of stock to be $175,000, based on the $7.50 per share quoted market price of our common stock on the date of the agreement.</w:t>
      </w:r>
    </w:p>
    <w:p>
      <w:pPr>
        <w:spacing w:after="0" w:line="163"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In March 2015, we issued 16,667 shares of our common stock valued at $166,700 to our legal counsel in settlement of direct legal fees related to services provided with respect to our prospective public offering of our equity securities in the fall of 2014 and the Autilion Financing. We recognized a loss of $16,700 with respect to this settlement, which is included in Loss on Extinguishment of Debt in the accompanying Statement of Operations and Comprehensive Loss for the year ended March 31, 2015.</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5" w:name="page176"/>
    <w:bookmarkEnd w:id="17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Warrants to Purchase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 Grants and Exercises</w:t>
      </w:r>
    </w:p>
    <w:p>
      <w:pPr>
        <w:spacing w:after="0" w:line="201"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In January 2015, when the market price of our common stock was $8.00 per share, our Board of Directors (</w:t>
      </w:r>
      <w:r>
        <w:rPr>
          <w:rFonts w:ascii="Arial" w:cs="Arial" w:eastAsia="Arial" w:hAnsi="Arial"/>
          <w:sz w:val="13"/>
          <w:szCs w:val="13"/>
          <w:i w:val="1"/>
          <w:iCs w:val="1"/>
          <w:color w:val="auto"/>
        </w:rPr>
        <w:t>Board</w:t>
      </w:r>
      <w:r>
        <w:rPr>
          <w:rFonts w:ascii="Arial" w:cs="Arial" w:eastAsia="Arial" w:hAnsi="Arial"/>
          <w:sz w:val="13"/>
          <w:szCs w:val="13"/>
          <w:color w:val="auto"/>
        </w:rPr>
        <w:t>) authorized the grant of fully-vested five-year warrants to purchase an aggregate of 381,000 restricted shares of our common stock at an exercise price of $10.00 per share, including an aggregate of 340,000 such shares to company officers and independent members of the Board. The Board also granted one-year warrants to purchase 5,715 restricted shares of our common stock at an exercise price of $10.00 per share to consultants whose warrants had expired at December 31, 2014. Additionally, the Board extended by one year the expiration date of outstanding warrants to purchase 90,675 shares of our restricted common stock otherwise expiring during calendar 2015 and reduced the exercise price to $15.00 per share for such of those extended term warrants having exercise prices in excess of that amount.</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We valued the new warrant grants at $1,756,900 using the Black Scholes Option Pricing Model and the following assumptions: market price per share: $8.00; exercise price per share: $10.00; risk-free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interest rate: 1.45% for five-year warrants and 0.24% for one-year warrants; contractual term: 5 years or 1 year; volatility: 75.86% for five-year warrants and 69.74% for one-year warrants; expected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dividend rate: 0%.</w:t>
      </w:r>
    </w:p>
    <w:p>
      <w:pPr>
        <w:spacing w:after="0" w:line="191"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color w:val="auto"/>
        </w:rPr>
        <w:t>We calculated the fair value of the modified warrants immediately before and after the modifications and determined that the fair value of the warrants increased by $98,400, which is reflected in general and administrative expense in the accompanying Consolidated Statements of Operations and Comprehensive Loss for the fiscal year ended March 31, 2015. The warrants subject to the exercise price modifications and term extensions were valued using the Black-Scholes Option Pricing Model and the following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8.00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23.13</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13.00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0.04%</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0.31%</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 (weighted average)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0.24</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1.24</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69.7%</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69.8%</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0.22</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1.31</w:t>
            </w:r>
          </w:p>
        </w:tc>
      </w:tr>
    </w:tbl>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On March 19, 2014, we granted five-year warrants to purchase an aggregate of 20,750 restricted shares of our unregistered common stock at an exercise price of $10.00 per share to the independent members of our Board and certain of our officers. The warrants became exercisable for 50% of the shares on April 1, 2014, and become exercisable for an additional 25% of the shares on April 1, 2015 and 25% of the shares on April 1, 2016, provided that the warrant will become fully vested upon a change in control of the Company, as defined, or the consummation between us and a third party of a license or sale transaction involving at least one new drug rescue variant. We valued the warrants at $120,800 using the Black Scholes Option Pricing Model and the following assumptions: market price per share: $9.20; exercise price per share: $10.00; risk-free interest rate: 1.75%; contractual term: 5 years; volatility: 80.57%; expected dividend rate: 0%. We recognized stock compensation expense of $54,100 related to the grants in the fourth quarter of the fiscal year ended March 31, 2014 and $27,000 during the fiscal year ended March 31, 2015.</w:t>
      </w:r>
    </w:p>
    <w:p>
      <w:pPr>
        <w:spacing w:after="0" w:line="156"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In October 2013, we issued new warrants to purchase an aggregate of 11,875 shares of our restricted common stock to certain former warrant holders whose warrants to purchase an equivalent number of shares of our restricted common stock at an exercise price of $30.00 per share had recently expired. We calculated the fair value of the new warrants as $0.63 per share, using the Black-Scholes Option Pricing Model and the following assumptions. market price per share: $10.00; exercise price per share: $30.00; risk-free interest rate: 0.20%; contractual term: 1.32 years; volatility: 73.5%; and expected dividend rate: 0%. We recorded the aggregate fair value of $7,400 for the new warrants in general and administrative expense in the accompanying Consolidated Statements of Operations and Comprehensive Loss for the fiscal year ended March 31, 2014.</w:t>
      </w:r>
    </w:p>
    <w:p>
      <w:pPr>
        <w:spacing w:after="0" w:line="168"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In June 2013 and October 2013, our Chief Executive Officer partially exercised an outstanding warrant to purchase 2,500 and 500 restricted shares of the Company’s common stock, respectively, at an exercise price of $12.80 per share, and we received cash proceeds of $32,000 and $6,400, respectively, from the exercises.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6" w:name="page177"/>
    <w:bookmarkEnd w:id="17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Modification of Warrants Held by Platinum</w:t>
      </w:r>
    </w:p>
    <w:p>
      <w:pPr>
        <w:spacing w:after="0" w:line="201"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As indicated earlier in this note, effective on May 24, 2013, we entered into an Amendment and Waiver Agreement (</w:t>
      </w:r>
      <w:r>
        <w:rPr>
          <w:rFonts w:ascii="Arial" w:cs="Arial" w:eastAsia="Arial" w:hAnsi="Arial"/>
          <w:sz w:val="13"/>
          <w:szCs w:val="13"/>
          <w:i w:val="1"/>
          <w:iCs w:val="1"/>
          <w:color w:val="auto"/>
        </w:rPr>
        <w:t>Amendment and Waiver</w:t>
      </w:r>
      <w:r>
        <w:rPr>
          <w:rFonts w:ascii="Arial" w:cs="Arial" w:eastAsia="Arial" w:hAnsi="Arial"/>
          <w:sz w:val="13"/>
          <w:szCs w:val="13"/>
          <w:color w:val="auto"/>
        </w:rPr>
        <w:t>) with Platinum pursuant to which we agreed to reduce the exercise price of the Exchange Warrant and the Investment Warrants issued to Platinum between October 2012 and March 2013 (collectively, the “</w:t>
      </w:r>
      <w:r>
        <w:rPr>
          <w:rFonts w:ascii="Arial" w:cs="Arial" w:eastAsia="Arial" w:hAnsi="Arial"/>
          <w:sz w:val="13"/>
          <w:szCs w:val="13"/>
          <w:i w:val="1"/>
          <w:iCs w:val="1"/>
          <w:color w:val="auto"/>
        </w:rPr>
        <w:t>Warrants</w:t>
      </w:r>
      <w:r>
        <w:rPr>
          <w:rFonts w:ascii="Arial" w:cs="Arial" w:eastAsia="Arial" w:hAnsi="Arial"/>
          <w:sz w:val="13"/>
          <w:szCs w:val="13"/>
          <w:color w:val="auto"/>
        </w:rPr>
        <w:t>”)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(i) our sale of shares of our common stock at a price of $10.00 per share in connection with the Autilion Financing; (ii) the March 2013 grant of warrants to certain of our officers and independent directors to purchase an aggregate of 150,000 restricted shares of common stock at an exercise price of $12.80 per share; and (iii) our issuance of restricted shares of our common stock resulting in gross proceeds not to exceed $1.5 million in connection with the exercise by warrant holders, by no later than June 30, 2013, subsequently extended to July 30, 2013, of previously outstanding warrants for which we may reduce the exercise price to not less than $10.00 per share. (See “</w:t>
      </w:r>
      <w:r>
        <w:rPr>
          <w:rFonts w:ascii="Arial" w:cs="Arial" w:eastAsia="Arial" w:hAnsi="Arial"/>
          <w:sz w:val="13"/>
          <w:szCs w:val="13"/>
          <w:i w:val="1"/>
          <w:iCs w:val="1"/>
          <w:color w:val="auto"/>
        </w:rPr>
        <w:t>Other Warrant Modifications and Exercises</w:t>
      </w:r>
      <w:r>
        <w:rPr>
          <w:rFonts w:ascii="Arial" w:cs="Arial" w:eastAsia="Arial" w:hAnsi="Arial"/>
          <w:sz w:val="13"/>
          <w:szCs w:val="13"/>
          <w:color w:val="auto"/>
        </w:rPr>
        <w:t>” below.)</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 xml:space="preserve">As described in Note 4, </w:t>
      </w:r>
      <w:r>
        <w:rPr>
          <w:rFonts w:ascii="Arial" w:cs="Arial" w:eastAsia="Arial" w:hAnsi="Arial"/>
          <w:sz w:val="14"/>
          <w:szCs w:val="14"/>
          <w:i w:val="1"/>
          <w:iCs w:val="1"/>
          <w:color w:val="auto"/>
        </w:rPr>
        <w:t>Fair Value Measurements</w:t>
      </w:r>
      <w:r>
        <w:rPr>
          <w:rFonts w:ascii="Arial" w:cs="Arial" w:eastAsia="Arial" w:hAnsi="Arial"/>
          <w:sz w:val="14"/>
          <w:szCs w:val="14"/>
          <w:color w:val="auto"/>
        </w:rPr>
        <w:t xml:space="preserve"> and in Note 8,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we re-measure the fair value of the Platinum Warrants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We also re-measure at the end of each reporting period the fair value of the Series A Exchange Warrant which is contingently issuable to Platinum upon the exchange of its shares of our Series A Preferred Stock into shares of our restricted common stock. At March 31, 2015 and 2014, we determined the fair values of the Platinum Warrants and the Series A Preferred Exchange Warrant to be a weighted average of $ 5.09.and $5.40 per share, respectively, or an aggregate of $3,008,500 and 2,973,900, which amounts are reflected as Warrant Liability in the accompanying Consolidated Balance Sheets at March 31, 2015 and 2014, respectively. We determined the fair value of the warrants at March 31, 2015 and 2014 using the assumptions indicated in the table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March 31,</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2"/>
        </w:trPr>
        <w:tc>
          <w:tcPr>
            <w:tcW w:w="79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7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Market price of common stock</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9.20</w:t>
            </w:r>
          </w:p>
        </w:tc>
      </w:tr>
      <w:tr>
        <w:trPr>
          <w:trHeight w:val="170"/>
        </w:trPr>
        <w:tc>
          <w:tcPr>
            <w:tcW w:w="79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4"/>
                <w:szCs w:val="14"/>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9.80 to $10.00</w:t>
            </w: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3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0.74% to 1.37%</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1.73%</w:t>
            </w:r>
          </w:p>
        </w:tc>
      </w:tr>
      <w:tr>
        <w:trPr>
          <w:trHeight w:val="170"/>
        </w:trPr>
        <w:tc>
          <w:tcPr>
            <w:tcW w:w="7920" w:type="dxa"/>
            <w:vAlign w:val="bottom"/>
          </w:tcPr>
          <w:p>
            <w:pPr>
              <w:spacing w:after="0"/>
              <w:rPr>
                <w:sz w:val="20"/>
                <w:szCs w:val="20"/>
                <w:color w:val="auto"/>
              </w:rPr>
            </w:pPr>
            <w:r>
              <w:rPr>
                <w:rFonts w:ascii="Arial" w:cs="Arial" w:eastAsia="Arial" w:hAnsi="Arial"/>
                <w:sz w:val="14"/>
                <w:szCs w:val="14"/>
                <w:color w:val="auto"/>
              </w:rPr>
              <w:t>Volatility</w:t>
            </w:r>
          </w:p>
        </w:tc>
        <w:tc>
          <w:tcPr>
            <w:tcW w:w="36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73.3% to 75.9%</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75%</w:t>
            </w: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Term (years)</w:t>
            </w:r>
          </w:p>
        </w:tc>
        <w:tc>
          <w:tcPr>
            <w:tcW w:w="3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 to 5.0</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 to 5.0</w:t>
            </w:r>
          </w:p>
        </w:tc>
      </w:tr>
      <w:tr>
        <w:trPr>
          <w:trHeight w:val="170"/>
        </w:trPr>
        <w:tc>
          <w:tcPr>
            <w:tcW w:w="7920" w:type="dxa"/>
            <w:vAlign w:val="bottom"/>
          </w:tcPr>
          <w:p>
            <w:pPr>
              <w:spacing w:after="0"/>
              <w:rPr>
                <w:sz w:val="20"/>
                <w:szCs w:val="20"/>
                <w:color w:val="auto"/>
              </w:rPr>
            </w:pPr>
            <w:r>
              <w:rPr>
                <w:rFonts w:ascii="Arial" w:cs="Arial" w:eastAsia="Arial" w:hAnsi="Arial"/>
                <w:sz w:val="14"/>
                <w:szCs w:val="14"/>
                <w:color w:val="auto"/>
              </w:rPr>
              <w:t>Dividend rate</w:t>
            </w: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0%</w:t>
            </w: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Probability of Series A Preferred exchange</w:t>
            </w:r>
          </w:p>
        </w:tc>
        <w:tc>
          <w:tcPr>
            <w:tcW w:w="3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w:t>
            </w:r>
          </w:p>
        </w:tc>
      </w:tr>
      <w:tr>
        <w:trPr>
          <w:trHeight w:val="170"/>
        </w:trPr>
        <w:tc>
          <w:tcPr>
            <w:tcW w:w="7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920" w:type="dxa"/>
            <w:vAlign w:val="bottom"/>
            <w:shd w:val="clear" w:color="auto" w:fill="CCEEFF"/>
          </w:tcPr>
          <w:p>
            <w:pPr>
              <w:spacing w:after="0"/>
              <w:rPr>
                <w:sz w:val="20"/>
                <w:szCs w:val="20"/>
                <w:color w:val="auto"/>
              </w:rPr>
            </w:pPr>
            <w:r>
              <w:rPr>
                <w:rFonts w:ascii="Arial" w:cs="Arial" w:eastAsia="Arial" w:hAnsi="Arial"/>
                <w:sz w:val="14"/>
                <w:szCs w:val="14"/>
                <w:color w:val="auto"/>
              </w:rPr>
              <w:t>Fair value per share</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4.45 to $6.17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5.20 to $5.80</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Warrant Modifications and Exercises</w:t>
      </w:r>
    </w:p>
    <w:p>
      <w:pPr>
        <w:spacing w:after="0" w:line="201"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During the months of June and July 2013, we offered certain long-term warrant holders the opportunity to exercise warrants having an exercise price of $30.00 per share to purchase shares of our restricted common stock at a reduced exercise price of $10.00 per share through July 30, 2013. Warrant holders exercised warrants to purchase an aggregate of 26,419 restricted shares of our common stock and we received cash proceeds of $264,200. In addition, certain warrant holders exercised modified warrants to purchase 832 restricted shares of our common stock in lieu of our payment in satisfaction of amounts due for professional services in the aggregate amount of $8,300. We calculated the fair value of the warrants exercised immediately before and after the modifications and determined that the fair value of the warrants exercised decreased.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7" w:name="page178"/>
    <w:bookmarkEnd w:id="17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100"/>
        <w:spacing w:after="0" w:line="285" w:lineRule="auto"/>
        <w:rPr>
          <w:sz w:val="20"/>
          <w:szCs w:val="20"/>
          <w:color w:val="auto"/>
        </w:rPr>
      </w:pPr>
      <w:r>
        <w:rPr>
          <w:rFonts w:ascii="Arial" w:cs="Arial" w:eastAsia="Arial" w:hAnsi="Arial"/>
          <w:sz w:val="13"/>
          <w:szCs w:val="13"/>
          <w:color w:val="auto"/>
        </w:rPr>
        <w:t>In October 2013, we modified certain outstanding warrants held by our long-term investors and consultants to purchase an aggregate of 64,639 restricted shares of our common stock to reduce the exercise price of the warrants to $10.00 per share and, for warrants scheduled to expire on December 31, 2013, extend the exercise term of the warrants until January 31, 2015, generally without modifying the exercise price. We calculated the fair value of the warrants immediately before and after the modifications and determined that the fair value of the warrants increased by $77,800,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31.97</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24.68</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0.33%</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0.44%</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 (weighted average)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1.40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2.10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74.4%</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75.8%</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1.08</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2.29</w:t>
            </w:r>
          </w:p>
        </w:tc>
      </w:tr>
    </w:tbl>
    <w:p>
      <w:pPr>
        <w:spacing w:after="0" w:line="146"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In December 2013, we modified additional outstanding warrants held by certain of our long-term investors, consultants, and members of management and our Board of Directors to purchase an aggregate of 63,013 restricted shares of our common stock to reduce the exercise price of the warrants to $10.00 per share and, in limited cases, extend the exercise term of the warrants. We calculated the fair value of the warrants immediately before and after the modifications and determined that the fair value of the warrants increased by $344,000,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Pre-modification</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Post-modification</w:t>
            </w:r>
          </w:p>
        </w:tc>
        <w:tc>
          <w:tcPr>
            <w:tcW w:w="10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54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8.00</w:t>
            </w:r>
          </w:p>
        </w:tc>
        <w:tc>
          <w:tcPr>
            <w:tcW w:w="420" w:type="dxa"/>
            <w:vAlign w:val="bottom"/>
            <w:shd w:val="clear" w:color="auto" w:fill="CCEEFF"/>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33.49</w:t>
            </w:r>
          </w:p>
        </w:tc>
        <w:tc>
          <w:tcPr>
            <w:tcW w:w="420" w:type="dxa"/>
            <w:vAlign w:val="bottom"/>
          </w:tcPr>
          <w:p>
            <w:pPr>
              <w:jc w:val="right"/>
              <w:ind w:right="30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0.51%</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 (weighted average)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2.06</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2.34</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73.6%</w:t>
            </w:r>
          </w:p>
        </w:tc>
        <w:tc>
          <w:tcPr>
            <w:tcW w:w="4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74.4%</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0.0%</w:t>
            </w:r>
          </w:p>
        </w:tc>
        <w:tc>
          <w:tcPr>
            <w:tcW w:w="42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54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0.91</w:t>
            </w:r>
          </w:p>
        </w:tc>
        <w:tc>
          <w:tcPr>
            <w:tcW w:w="420" w:type="dxa"/>
            <w:vAlign w:val="bottom"/>
          </w:tcPr>
          <w:p>
            <w:pPr>
              <w:jc w:val="right"/>
              <w:ind w:right="304"/>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2.85</w:t>
            </w:r>
          </w:p>
        </w:tc>
      </w:tr>
    </w:tbl>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In making its fair value determinations for both warrant modifications and new grants using the Black Scholes Option Pricing Model, we utilize the following principles in selecting its input assumptions. The market price per share is based on the quoted market price of our common stock on the OTC Markets on the date of the modification or grant. Because of our relatively short history as a public company, we estimate stock price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grant or modification for the term most closely corresponding with the contractual term or remaining term of the warrant. The dividend rate is zero as we have not paid and do not expect to pay dividends in the near future.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8" w:name="page179"/>
    <w:bookmarkEnd w:id="17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Warrants Outstanding</w:t>
      </w:r>
    </w:p>
    <w:p>
      <w:pPr>
        <w:spacing w:after="0" w:line="170" w:lineRule="exact"/>
        <w:rPr>
          <w:sz w:val="20"/>
          <w:szCs w:val="20"/>
          <w:color w:val="auto"/>
        </w:rPr>
      </w:pPr>
    </w:p>
    <w:p>
      <w:pPr>
        <w:ind w:right="200"/>
        <w:spacing w:after="0" w:line="283" w:lineRule="auto"/>
        <w:rPr>
          <w:sz w:val="20"/>
          <w:szCs w:val="20"/>
          <w:color w:val="auto"/>
        </w:rPr>
      </w:pPr>
      <w:r>
        <w:rPr>
          <w:rFonts w:ascii="Arial" w:cs="Arial" w:eastAsia="Arial" w:hAnsi="Arial"/>
          <w:sz w:val="14"/>
          <w:szCs w:val="14"/>
          <w:color w:val="auto"/>
        </w:rPr>
        <w:t>The following table summarizes outstanding warrants to purchase restricted shares of our common stock as of March 31, 2015. The weighted average exercise price of outstanding warrants at March 31, 2015 was $13.00 per share.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Shares Subject</w:t>
            </w:r>
          </w:p>
        </w:tc>
      </w:tr>
      <w:tr>
        <w:trPr>
          <w:trHeight w:val="170"/>
        </w:trPr>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to Purchase at</w:t>
            </w:r>
          </w:p>
        </w:tc>
      </w:tr>
      <w:tr>
        <w:trPr>
          <w:trHeight w:val="170"/>
        </w:trPr>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r>
      <w:tr>
        <w:trPr>
          <w:trHeight w:val="186"/>
        </w:trPr>
        <w:tc>
          <w:tcPr>
            <w:tcW w:w="240" w:type="dxa"/>
            <w:vAlign w:val="bottom"/>
          </w:tcPr>
          <w:p>
            <w:pPr>
              <w:spacing w:after="0"/>
              <w:rPr>
                <w:sz w:val="16"/>
                <w:szCs w:val="16"/>
                <w:color w:val="auto"/>
              </w:rPr>
            </w:pPr>
          </w:p>
        </w:tc>
        <w:tc>
          <w:tcPr>
            <w:tcW w:w="2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Exercise Price per Share</w:t>
            </w:r>
          </w:p>
        </w:tc>
        <w:tc>
          <w:tcPr>
            <w:tcW w:w="648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2420" w:type="dxa"/>
            <w:vAlign w:val="bottom"/>
            <w:gridSpan w:val="2"/>
          </w:tcPr>
          <w:p>
            <w:pPr>
              <w:jc w:val="center"/>
              <w:ind w:left="69"/>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6"/>
                <w:szCs w:val="16"/>
                <w:color w:val="auto"/>
              </w:rPr>
            </w:pPr>
          </w:p>
        </w:tc>
      </w:tr>
      <w:tr>
        <w:trPr>
          <w:trHeight w:val="170"/>
        </w:trPr>
        <w:tc>
          <w:tcPr>
            <w:tcW w:w="24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70"/>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1/31/2016 to 1/1/2020</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1,064,683</w:t>
            </w:r>
          </w:p>
        </w:tc>
      </w:tr>
      <w:tr>
        <w:trPr>
          <w:trHeight w:val="170"/>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12.80</w:t>
            </w:r>
          </w:p>
        </w:tc>
        <w:tc>
          <w:tcPr>
            <w:tcW w:w="6480" w:type="dxa"/>
            <w:vAlign w:val="bottom"/>
          </w:tcPr>
          <w:p>
            <w:pPr>
              <w:jc w:val="center"/>
              <w:spacing w:after="0"/>
              <w:rPr>
                <w:sz w:val="20"/>
                <w:szCs w:val="20"/>
                <w:color w:val="auto"/>
              </w:rPr>
            </w:pPr>
            <w:r>
              <w:rPr>
                <w:rFonts w:ascii="Arial" w:cs="Arial" w:eastAsia="Arial" w:hAnsi="Arial"/>
                <w:sz w:val="14"/>
                <w:szCs w:val="14"/>
                <w:color w:val="auto"/>
                <w:w w:val="91"/>
              </w:rPr>
              <w:t>3/3/2023</w:t>
            </w:r>
          </w:p>
        </w:tc>
        <w:tc>
          <w:tcPr>
            <w:tcW w:w="2560" w:type="dxa"/>
            <w:vAlign w:val="bottom"/>
            <w:gridSpan w:val="3"/>
          </w:tcPr>
          <w:p>
            <w:pPr>
              <w:jc w:val="right"/>
              <w:ind w:right="140"/>
              <w:spacing w:after="0"/>
              <w:rPr>
                <w:sz w:val="20"/>
                <w:szCs w:val="20"/>
                <w:color w:val="auto"/>
              </w:rPr>
            </w:pPr>
            <w:r>
              <w:rPr>
                <w:rFonts w:ascii="Arial" w:cs="Arial" w:eastAsia="Arial" w:hAnsi="Arial"/>
                <w:sz w:val="14"/>
                <w:szCs w:val="14"/>
                <w:color w:val="auto"/>
              </w:rPr>
              <w:t>147,000</w:t>
            </w:r>
          </w:p>
        </w:tc>
      </w:tr>
      <w:tr>
        <w:trPr>
          <w:trHeight w:val="170"/>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1/31/2016 to 6/11/2016</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54,477</w:t>
            </w:r>
          </w:p>
        </w:tc>
      </w:tr>
      <w:tr>
        <w:trPr>
          <w:trHeight w:val="170"/>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20.00</w:t>
            </w:r>
          </w:p>
        </w:tc>
        <w:tc>
          <w:tcPr>
            <w:tcW w:w="6480" w:type="dxa"/>
            <w:vAlign w:val="bottom"/>
          </w:tcPr>
          <w:p>
            <w:pPr>
              <w:jc w:val="center"/>
              <w:spacing w:after="0"/>
              <w:rPr>
                <w:sz w:val="20"/>
                <w:szCs w:val="20"/>
                <w:color w:val="auto"/>
              </w:rPr>
            </w:pPr>
            <w:r>
              <w:rPr>
                <w:rFonts w:ascii="Arial" w:cs="Arial" w:eastAsia="Arial" w:hAnsi="Arial"/>
                <w:sz w:val="14"/>
                <w:szCs w:val="14"/>
                <w:color w:val="auto"/>
                <w:w w:val="93"/>
              </w:rPr>
              <w:t>7/30/2016 to 9/30/2017</w:t>
            </w:r>
          </w:p>
        </w:tc>
        <w:tc>
          <w:tcPr>
            <w:tcW w:w="2560" w:type="dxa"/>
            <w:vAlign w:val="bottom"/>
            <w:gridSpan w:val="3"/>
          </w:tcPr>
          <w:p>
            <w:pPr>
              <w:jc w:val="right"/>
              <w:ind w:right="140"/>
              <w:spacing w:after="0"/>
              <w:rPr>
                <w:sz w:val="20"/>
                <w:szCs w:val="20"/>
                <w:color w:val="auto"/>
              </w:rPr>
            </w:pPr>
            <w:r>
              <w:rPr>
                <w:rFonts w:ascii="Arial" w:cs="Arial" w:eastAsia="Arial" w:hAnsi="Arial"/>
                <w:sz w:val="14"/>
                <w:szCs w:val="14"/>
                <w:color w:val="auto"/>
              </w:rPr>
              <w:t>186,388</w:t>
            </w:r>
          </w:p>
        </w:tc>
      </w:tr>
      <w:tr>
        <w:trPr>
          <w:trHeight w:val="170"/>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2/13/2016 to 3/4/2018</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69,426</w:t>
            </w:r>
          </w:p>
        </w:tc>
      </w:tr>
      <w:tr>
        <w:trPr>
          <w:trHeight w:val="170"/>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40.00</w:t>
            </w:r>
          </w:p>
        </w:tc>
        <w:tc>
          <w:tcPr>
            <w:tcW w:w="6480" w:type="dxa"/>
            <w:vAlign w:val="bottom"/>
          </w:tcPr>
          <w:p>
            <w:pPr>
              <w:jc w:val="center"/>
              <w:spacing w:after="0"/>
              <w:rPr>
                <w:sz w:val="20"/>
                <w:szCs w:val="20"/>
                <w:color w:val="auto"/>
              </w:rPr>
            </w:pPr>
            <w:r>
              <w:rPr>
                <w:rFonts w:ascii="Arial" w:cs="Arial" w:eastAsia="Arial" w:hAnsi="Arial"/>
                <w:sz w:val="14"/>
                <w:szCs w:val="14"/>
                <w:color w:val="auto"/>
                <w:w w:val="93"/>
              </w:rPr>
              <w:t>9/15/2017</w:t>
            </w:r>
          </w:p>
        </w:tc>
        <w:tc>
          <w:tcPr>
            <w:tcW w:w="2560" w:type="dxa"/>
            <w:vAlign w:val="bottom"/>
            <w:gridSpan w:val="3"/>
          </w:tcPr>
          <w:p>
            <w:pPr>
              <w:jc w:val="right"/>
              <w:ind w:right="140"/>
              <w:spacing w:after="0"/>
              <w:rPr>
                <w:sz w:val="20"/>
                <w:szCs w:val="20"/>
                <w:color w:val="auto"/>
              </w:rPr>
            </w:pPr>
            <w:r>
              <w:rPr>
                <w:rFonts w:ascii="Arial" w:cs="Arial" w:eastAsia="Arial" w:hAnsi="Arial"/>
                <w:sz w:val="14"/>
                <w:szCs w:val="14"/>
                <w:color w:val="auto"/>
              </w:rPr>
              <w:t>21,250</w:t>
            </w:r>
          </w:p>
        </w:tc>
      </w:tr>
      <w:tr>
        <w:trPr>
          <w:trHeight w:val="172"/>
        </w:trPr>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60.00</w:t>
            </w:r>
          </w:p>
        </w:tc>
        <w:tc>
          <w:tcPr>
            <w:tcW w:w="6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2/13/2016</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1,250</w:t>
            </w:r>
          </w:p>
        </w:tc>
      </w:tr>
      <w:tr>
        <w:trPr>
          <w:trHeight w:val="170"/>
        </w:trPr>
        <w:tc>
          <w:tcPr>
            <w:tcW w:w="240" w:type="dxa"/>
            <w:vAlign w:val="bottom"/>
            <w:tcBorders>
              <w:top w:val="single" w:sz="8" w:color="CCEEFF"/>
            </w:tcBorders>
          </w:tcPr>
          <w:p>
            <w:pPr>
              <w:spacing w:after="0"/>
              <w:rPr>
                <w:sz w:val="14"/>
                <w:szCs w:val="14"/>
                <w:color w:val="auto"/>
              </w:rPr>
            </w:pPr>
          </w:p>
        </w:tc>
        <w:tc>
          <w:tcPr>
            <w:tcW w:w="20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3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r>
      <w:tr>
        <w:trPr>
          <w:trHeight w:val="190"/>
        </w:trPr>
        <w:tc>
          <w:tcPr>
            <w:tcW w:w="24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1,544,474</w:t>
            </w: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Receivable from Sale of Common Stock</w:t>
      </w:r>
    </w:p>
    <w:p>
      <w:pPr>
        <w:spacing w:after="0" w:line="205"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In May 2011, the Company accepted a $500,000 short-term note from an investor in payment for shares of the Company’s common stock sold to the investor in a private placement transaction. On October 2, 2014 we received a cash payment of $60,000 from the maker of the note. We have considered that payment to be in full satisfaction of the outstanding principal balance of the note and related accrued interest, aggregating $194,900, at the date of the payment and recognized a loss of $134,900 on the settlement of the note, which is reflected as a component of Other expenses, net in the accompanying Statement of Operations and Comprehensive Loss.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79" w:name="page180"/>
    <w:bookmarkEnd w:id="17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Reserved Shares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At March 31, 2015, the Company has reserved shares of its common stock for future issuance as follows: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Upon exchange of all shares of Series A Preferred Stock currently issued and outstanding </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75830" cy="1079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103" w:lineRule="exact"/>
        <w:rPr>
          <w:sz w:val="20"/>
          <w:szCs w:val="20"/>
          <w:color w:val="auto"/>
        </w:rPr>
      </w:pPr>
    </w:p>
    <w:p>
      <w:pPr>
        <w:ind w:right="100"/>
        <w:spacing w:after="0" w:line="283" w:lineRule="auto"/>
        <w:rPr>
          <w:sz w:val="20"/>
          <w:szCs w:val="20"/>
          <w:color w:val="auto"/>
        </w:rPr>
      </w:pPr>
      <w:r>
        <w:rPr>
          <w:rFonts w:ascii="Arial" w:cs="Arial" w:eastAsia="Arial" w:hAnsi="Arial"/>
          <w:sz w:val="14"/>
          <w:szCs w:val="14"/>
          <w:color w:val="auto"/>
        </w:rPr>
        <w:t>Warrant shares issuable to Platinum upon exercise of common stock warrant upon exchange of Series A preferred stock under the terms of the October 11, 2012 Note Purchase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7275830" cy="2165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5830" cy="216535"/>
                    </a:xfrm>
                    <a:prstGeom prst="rect">
                      <a:avLst/>
                    </a:prstGeom>
                    <a:noFill/>
                  </pic:spPr>
                </pic:pic>
              </a:graphicData>
            </a:graphic>
          </wp:anchor>
        </w:drawing>
      </w:r>
    </w:p>
    <w:p>
      <w:pPr>
        <w:spacing w:after="0" w:line="111" w:lineRule="exact"/>
        <w:rPr>
          <w:sz w:val="20"/>
          <w:szCs w:val="20"/>
          <w:color w:val="auto"/>
        </w:rPr>
      </w:pPr>
    </w:p>
    <w:p>
      <w:pPr>
        <w:ind w:right="260"/>
        <w:spacing w:after="0" w:line="294" w:lineRule="auto"/>
        <w:rPr>
          <w:sz w:val="20"/>
          <w:szCs w:val="20"/>
          <w:color w:val="auto"/>
        </w:rPr>
      </w:pPr>
      <w:r>
        <w:rPr>
          <w:rFonts w:ascii="Arial" w:cs="Arial" w:eastAsia="Arial" w:hAnsi="Arial"/>
          <w:sz w:val="14"/>
          <w:szCs w:val="14"/>
          <w:color w:val="auto"/>
        </w:rPr>
        <w:t xml:space="preserve">110% of shares issuable upon conversion of 10% senior secured convertible notes issued to Platinum in October 2012, February 2013, March 2013 and July 2013, including interest accrued through maturity </w:t>
      </w:r>
      <w:r>
        <w:rPr>
          <w:rFonts w:ascii="Arial" w:cs="Arial" w:eastAsia="Arial" w:hAnsi="Arial"/>
          <w:sz w:val="19"/>
          <w:szCs w:val="1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-287655</wp:posOffset>
            </wp:positionV>
            <wp:extent cx="7275830" cy="2165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5830" cy="2165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275830" cy="1079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Subject to outstanding warrants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Issuable pursuant to accrued interest through maturity on outstanding promissory notes issued to Morrison &amp; Foerster, Cato Research Ltd., and University Health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75830" cy="1079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58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-93980</wp:posOffset>
            </wp:positionV>
            <wp:extent cx="7275830" cy="1219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5830" cy="12192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Pursuant to stock incentive plans: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Subject to outstanding options under the 2008 and 1999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75830" cy="1079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Available for future grants under the 2008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275830" cy="1079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341"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For additional issuances under the 2014 Private Placement of Units and upon conversion of notes and accrued interest pursuant to the 2013 Private Placement of Units and 2014 Private Placement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-233680</wp:posOffset>
            </wp:positionV>
            <wp:extent cx="7275830" cy="2165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5830" cy="2165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103505</wp:posOffset>
            </wp:positionV>
            <wp:extent cx="7275830" cy="1079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5830" cy="10795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ind w:left="160" w:hanging="155"/>
        <w:spacing w:after="0" w:line="208" w:lineRule="auto"/>
        <w:tabs>
          <w:tab w:leader="none" w:pos="160" w:val="left"/>
        </w:tabs>
        <w:numPr>
          <w:ilvl w:val="0"/>
          <w:numId w:val="89"/>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October 11, 2012 Note Exchange and Purchase Agreement with Platinum</w:t>
      </w:r>
    </w:p>
    <w:p>
      <w:pPr>
        <w:spacing w:after="0" w:line="2"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89"/>
        </w:numPr>
        <w:rPr>
          <w:rFonts w:ascii="Arial" w:cs="Arial" w:eastAsia="Arial" w:hAnsi="Arial"/>
          <w:sz w:val="19"/>
          <w:szCs w:val="19"/>
          <w:color w:val="auto"/>
          <w:vertAlign w:val="superscript"/>
        </w:rPr>
      </w:pPr>
      <w:r>
        <w:rPr>
          <w:rFonts w:ascii="Arial" w:cs="Arial" w:eastAsia="Arial" w:hAnsi="Arial"/>
          <w:sz w:val="13"/>
          <w:szCs w:val="13"/>
          <w:color w:val="auto"/>
        </w:rPr>
        <w:t>assumes conversion under the terms of the October 11, 2012 Note Exchange and Purchase Agreement with Platinum and the terms of the individual notes</w:t>
      </w:r>
    </w:p>
    <w:p>
      <w:pPr>
        <w:spacing w:after="0" w:line="10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750,000</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375,000</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563,871</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1,544,474</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33,612</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1,578,086</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207,638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6350</wp:posOffset>
            </wp:positionV>
            <wp:extent cx="730250" cy="133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0250" cy="1333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248,129</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807,800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120650</wp:posOffset>
            </wp:positionV>
            <wp:extent cx="730250" cy="133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0250" cy="13335"/>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4,322,886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20320</wp:posOffset>
            </wp:positionV>
            <wp:extent cx="73025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0250" cy="6985"/>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40640</wp:posOffset>
            </wp:positionV>
            <wp:extent cx="73025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0250" cy="6985"/>
                    </a:xfrm>
                    <a:prstGeom prst="rect">
                      <a:avLst/>
                    </a:prstGeom>
                    <a:noFill/>
                  </pic:spPr>
                </pic:pic>
              </a:graphicData>
            </a:graphic>
          </wp:anchor>
        </w:drawing>
      </w:r>
    </w:p>
    <w:p>
      <w:pPr>
        <w:sectPr>
          <w:pgSz w:w="11900" w:h="16838" w:orient="portrait"/>
          <w:cols w:equalWidth="0" w:num="2">
            <w:col w:w="10060" w:space="720"/>
            <w:col w:w="580"/>
          </w:cols>
          <w:pgMar w:left="220" w:top="133" w:right="319" w:bottom="1440" w:gutter="0" w:footer="0" w:header="0"/>
        </w:sectPr>
      </w:pPr>
    </w:p>
    <w:bookmarkStart w:id="180" w:name="page181"/>
    <w:bookmarkEnd w:id="18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Research and Development Expenses</w:t>
      </w:r>
    </w:p>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The Company recorded research and development expenses of approximately $4.3 million and $2.5 million in the fiscal years ended March 31, 2015 and 2014,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Income Taxes</w:t>
      </w:r>
    </w:p>
    <w:p>
      <w:pPr>
        <w:spacing w:after="0" w:line="184"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provision for income taxes for the periods presented in the Consolidated Statements of Operations and Comprehensive Income represents minimum California franchise taxes. Income tax expense differed from the amounts computed by applying the U.S. federal income tax rate of 34% to pretax losses as a result of the following:</w:t>
      </w:r>
    </w:p>
    <w:p>
      <w:pPr>
        <w:spacing w:after="0" w:line="153"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Fiscal Years Ended 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36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2014</w:t>
            </w:r>
          </w:p>
        </w:tc>
        <w:tc>
          <w:tcPr>
            <w:tcW w:w="200" w:type="dxa"/>
            <w:vAlign w:val="bottom"/>
          </w:tcPr>
          <w:p>
            <w:pPr>
              <w:spacing w:after="0"/>
              <w:rPr>
                <w:sz w:val="15"/>
                <w:szCs w:val="15"/>
                <w:color w:val="auto"/>
              </w:rPr>
            </w:pPr>
          </w:p>
        </w:tc>
      </w:tr>
      <w:tr>
        <w:trPr>
          <w:trHeight w:val="170"/>
        </w:trPr>
        <w:tc>
          <w:tcPr>
            <w:tcW w:w="8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0"/>
        </w:trPr>
        <w:tc>
          <w:tcPr>
            <w:tcW w:w="9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Computed expected tax benefit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(34.0)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 %</w:t>
            </w:r>
          </w:p>
        </w:tc>
      </w:tr>
      <w:tr>
        <w:trPr>
          <w:trHeight w:val="170"/>
        </w:trPr>
        <w:tc>
          <w:tcPr>
            <w:tcW w:w="9460" w:type="dxa"/>
            <w:vAlign w:val="bottom"/>
            <w:gridSpan w:val="2"/>
          </w:tcPr>
          <w:p>
            <w:pPr>
              <w:spacing w:after="0"/>
              <w:rPr>
                <w:sz w:val="20"/>
                <w:szCs w:val="20"/>
                <w:color w:val="auto"/>
              </w:rPr>
            </w:pPr>
            <w:r>
              <w:rPr>
                <w:rFonts w:ascii="Arial" w:cs="Arial" w:eastAsia="Arial" w:hAnsi="Arial"/>
                <w:sz w:val="14"/>
                <w:szCs w:val="14"/>
                <w:color w:val="auto"/>
              </w:rPr>
              <w:t>Tax effect of Warrant Liability mark to market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(0.1) %</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41.5%</w:t>
            </w:r>
          </w:p>
        </w:tc>
      </w:tr>
      <w:tr>
        <w:trPr>
          <w:trHeight w:val="170"/>
        </w:trPr>
        <w:tc>
          <w:tcPr>
            <w:tcW w:w="9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losses not benefitted</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 %</w:t>
            </w:r>
          </w:p>
        </w:tc>
      </w:tr>
      <w:tr>
        <w:trPr>
          <w:trHeight w:val="172"/>
        </w:trPr>
        <w:tc>
          <w:tcPr>
            <w:tcW w:w="9460" w:type="dxa"/>
            <w:vAlign w:val="bottom"/>
            <w:gridSpan w:val="2"/>
          </w:tcPr>
          <w:p>
            <w:pPr>
              <w:spacing w:after="0"/>
              <w:rPr>
                <w:sz w:val="20"/>
                <w:szCs w:val="20"/>
                <w:color w:val="auto"/>
              </w:rPr>
            </w:pPr>
            <w:r>
              <w:rPr>
                <w:rFonts w:ascii="Arial" w:cs="Arial" w:eastAsia="Arial" w:hAnsi="Arial"/>
                <w:sz w:val="14"/>
                <w:szCs w:val="14"/>
                <w:color w:val="auto"/>
              </w:rPr>
              <w:t>Other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0.1%</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0.1%</w:t>
            </w:r>
          </w:p>
        </w:tc>
      </w:tr>
      <w:tr>
        <w:trPr>
          <w:trHeight w:val="170"/>
        </w:trPr>
        <w:tc>
          <w:tcPr>
            <w:tcW w:w="870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70"/>
        </w:trPr>
        <w:tc>
          <w:tcPr>
            <w:tcW w:w="946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0.0%</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0.1%</w:t>
            </w:r>
          </w:p>
        </w:tc>
      </w:tr>
      <w:tr>
        <w:trPr>
          <w:trHeight w:val="20"/>
        </w:trPr>
        <w:tc>
          <w:tcPr>
            <w:tcW w:w="8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2"/>
        </w:trPr>
        <w:tc>
          <w:tcPr>
            <w:tcW w:w="39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3940" w:type="dxa"/>
            <w:vAlign w:val="bottom"/>
          </w:tcPr>
          <w:p>
            <w:pPr>
              <w:spacing w:after="0"/>
              <w:rPr>
                <w:sz w:val="20"/>
                <w:szCs w:val="20"/>
                <w:color w:val="auto"/>
              </w:rPr>
            </w:pPr>
            <w:r>
              <w:rPr>
                <w:rFonts w:ascii="Arial" w:cs="Arial" w:eastAsia="Arial" w:hAnsi="Arial"/>
                <w:sz w:val="14"/>
                <w:szCs w:val="14"/>
                <w:color w:val="auto"/>
              </w:rPr>
              <w:t>Deferred tax assets:</w:t>
            </w: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9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operating loss carryovers</w:t>
            </w:r>
          </w:p>
        </w:tc>
        <w:tc>
          <w:tcPr>
            <w:tcW w:w="5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23,054</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19,733</w:t>
            </w:r>
          </w:p>
        </w:tc>
      </w:tr>
      <w:tr>
        <w:trPr>
          <w:trHeight w:val="170"/>
        </w:trPr>
        <w:tc>
          <w:tcPr>
            <w:tcW w:w="3940" w:type="dxa"/>
            <w:vAlign w:val="bottom"/>
          </w:tcPr>
          <w:p>
            <w:pPr>
              <w:ind w:left="460"/>
              <w:spacing w:after="0"/>
              <w:rPr>
                <w:sz w:val="20"/>
                <w:szCs w:val="20"/>
                <w:color w:val="auto"/>
              </w:rPr>
            </w:pPr>
            <w:r>
              <w:rPr>
                <w:rFonts w:ascii="Arial" w:cs="Arial" w:eastAsia="Arial" w:hAnsi="Arial"/>
                <w:sz w:val="14"/>
                <w:szCs w:val="14"/>
                <w:color w:val="auto"/>
              </w:rPr>
              <w:t>Basis differences in fixed assets</w:t>
            </w: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24</w:t>
            </w:r>
          </w:p>
        </w:tc>
        <w:tc>
          <w:tcPr>
            <w:tcW w:w="3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r>
      <w:tr>
        <w:trPr>
          <w:trHeight w:val="172"/>
        </w:trPr>
        <w:tc>
          <w:tcPr>
            <w:tcW w:w="39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Accruals and reserves</w:t>
            </w:r>
          </w:p>
        </w:tc>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2,694</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1,383</w:t>
            </w:r>
          </w:p>
        </w:tc>
      </w:tr>
      <w:tr>
        <w:trPr>
          <w:trHeight w:val="170"/>
        </w:trPr>
        <w:tc>
          <w:tcPr>
            <w:tcW w:w="3940" w:type="dxa"/>
            <w:vAlign w:val="bottom"/>
            <w:tcBorders>
              <w:top w:val="single" w:sz="8" w:color="CCEEFF"/>
            </w:tcBorders>
          </w:tcPr>
          <w:p>
            <w:pPr>
              <w:spacing w:after="0"/>
              <w:rPr>
                <w:sz w:val="14"/>
                <w:szCs w:val="14"/>
                <w:color w:val="auto"/>
              </w:rPr>
            </w:pPr>
          </w:p>
        </w:tc>
        <w:tc>
          <w:tcPr>
            <w:tcW w:w="49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Total deferred tax assets</w:t>
            </w:r>
          </w:p>
        </w:tc>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25,772</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21,153</w:t>
            </w:r>
          </w:p>
        </w:tc>
      </w:tr>
      <w:tr>
        <w:trPr>
          <w:trHeight w:val="170"/>
        </w:trPr>
        <w:tc>
          <w:tcPr>
            <w:tcW w:w="39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Valuation allowance</w:t>
            </w:r>
          </w:p>
        </w:tc>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(25,772)</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(21,153)</w:t>
            </w:r>
          </w:p>
        </w:tc>
      </w:tr>
      <w:tr>
        <w:trPr>
          <w:trHeight w:val="170"/>
        </w:trPr>
        <w:tc>
          <w:tcPr>
            <w:tcW w:w="3940" w:type="dxa"/>
            <w:vAlign w:val="bottom"/>
            <w:tcBorders>
              <w:top w:val="single" w:sz="8" w:color="CCEEFF"/>
            </w:tcBorders>
          </w:tcPr>
          <w:p>
            <w:pPr>
              <w:spacing w:after="0"/>
              <w:rPr>
                <w:sz w:val="14"/>
                <w:szCs w:val="14"/>
                <w:color w:val="auto"/>
              </w:rPr>
            </w:pPr>
          </w:p>
        </w:tc>
        <w:tc>
          <w:tcPr>
            <w:tcW w:w="49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Net deferred tax assets</w:t>
            </w:r>
          </w:p>
        </w:tc>
        <w:tc>
          <w:tcPr>
            <w:tcW w:w="5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461"/>
        </w:trPr>
        <w:tc>
          <w:tcPr>
            <w:tcW w:w="3940" w:type="dxa"/>
            <w:vAlign w:val="bottom"/>
            <w:tcBorders>
              <w:top w:val="single" w:sz="8" w:color="CCEEFF"/>
            </w:tcBorders>
          </w:tcPr>
          <w:p>
            <w:pPr>
              <w:spacing w:after="0"/>
              <w:rPr>
                <w:sz w:val="24"/>
                <w:szCs w:val="24"/>
                <w:color w:val="auto"/>
              </w:rPr>
            </w:pPr>
          </w:p>
        </w:tc>
        <w:tc>
          <w:tcPr>
            <w:tcW w:w="4900" w:type="dxa"/>
            <w:vAlign w:val="bottom"/>
            <w:tcBorders>
              <w:top w:val="single" w:sz="8" w:color="CCEEFF"/>
            </w:tcBorders>
          </w:tcPr>
          <w:p>
            <w:pPr>
              <w:ind w:left="1660"/>
              <w:spacing w:after="0"/>
              <w:rPr>
                <w:sz w:val="20"/>
                <w:szCs w:val="20"/>
                <w:color w:val="auto"/>
              </w:rPr>
            </w:pPr>
            <w:r>
              <w:rPr>
                <w:rFonts w:ascii="Arial" w:cs="Arial" w:eastAsia="Arial" w:hAnsi="Arial"/>
                <w:sz w:val="14"/>
                <w:szCs w:val="14"/>
                <w:color w:val="auto"/>
              </w:rPr>
              <w:t>F-38</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3940" w:type="dxa"/>
            <w:vAlign w:val="bottom"/>
            <w:tcBorders>
              <w:bottom w:val="single" w:sz="8" w:color="808080"/>
            </w:tcBorders>
          </w:tcPr>
          <w:p>
            <w:pPr>
              <w:spacing w:after="0"/>
              <w:rPr>
                <w:sz w:val="7"/>
                <w:szCs w:val="7"/>
                <w:color w:val="auto"/>
              </w:rPr>
            </w:pPr>
          </w:p>
        </w:tc>
        <w:tc>
          <w:tcPr>
            <w:tcW w:w="4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1" w:name="page182"/>
    <w:bookmarkEnd w:id="18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340"/>
        <w:spacing w:after="0" w:line="268" w:lineRule="auto"/>
        <w:rPr>
          <w:sz w:val="20"/>
          <w:szCs w:val="20"/>
          <w:color w:val="auto"/>
        </w:rPr>
      </w:pPr>
      <w:r>
        <w:rPr>
          <w:rFonts w:ascii="Arial" w:cs="Arial" w:eastAsia="Arial" w:hAnsi="Arial"/>
          <w:sz w:val="14"/>
          <w:szCs w:val="14"/>
          <w:color w:val="auto"/>
        </w:rPr>
        <w:t>Realization of deferred tax assets is dependent upon future earnings, if any, the timing and amount of which are uncertain. Accordingly, the deferred tax assets have been fully offset by a valuation allowance. The valuation allowance increased by $4,619,000 and $2,126,000 during the fiscal years ended March 31, 2015 and 2014, respectively. When realized, deferred tax assets related to employee stock options will be credited to additional paid-in capital.</w:t>
      </w:r>
    </w:p>
    <w:p>
      <w:pPr>
        <w:spacing w:after="0" w:line="163"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As of March 31, 2015, we had U.S. federal net operating loss carryforwards of $58.7 million, which will expire in fiscal years 2020 through 2035. As of March 31, 2015, we had state net operating loss carryforwards of $53.1 million, which will expire in fiscal years 2016 through 2035.</w:t>
      </w:r>
    </w:p>
    <w:p>
      <w:pPr>
        <w:spacing w:after="0" w:line="153" w:lineRule="exact"/>
        <w:rPr>
          <w:sz w:val="20"/>
          <w:szCs w:val="20"/>
          <w:color w:val="auto"/>
        </w:rPr>
      </w:pPr>
    </w:p>
    <w:p>
      <w:pPr>
        <w:ind w:right="400"/>
        <w:spacing w:after="0" w:line="323" w:lineRule="auto"/>
        <w:rPr>
          <w:sz w:val="20"/>
          <w:szCs w:val="20"/>
          <w:color w:val="auto"/>
        </w:rPr>
      </w:pPr>
      <w:r>
        <w:rPr>
          <w:rFonts w:ascii="Arial" w:cs="Arial" w:eastAsia="Arial" w:hAnsi="Arial"/>
          <w:sz w:val="13"/>
          <w:szCs w:val="13"/>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130"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color w:val="auto"/>
        </w:rPr>
        <w:t>The Company files income tax returns in the U.S. federal and Canadian jurisdictions and California and Maryland state jurisdictions. The Company is subject to U.S. federal and state income tax examinations by tax authorities for tax years 2000 through 2015 due to net operating losses that are being carried forward for tax purposes.</w:t>
      </w:r>
    </w:p>
    <w:p>
      <w:pPr>
        <w:spacing w:after="0" w:line="153"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Company does not have any uncertain tax positions or unrecognized tax benefits at March 31, 2015 and 2014. The Company’s policy is to recognize interest and penalties related to income taxes as components of interest expense and other expense,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Licensing and Collaborative Agreements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University Health Network</w:t>
      </w:r>
    </w:p>
    <w:p>
      <w:pPr>
        <w:spacing w:after="0" w:line="180"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On September 17, 2007, we entered into a Sponsored Research Collaboration Agreement (</w:t>
      </w:r>
      <w:r>
        <w:rPr>
          <w:rFonts w:ascii="Arial" w:cs="Arial" w:eastAsia="Arial" w:hAnsi="Arial"/>
          <w:sz w:val="13"/>
          <w:szCs w:val="13"/>
          <w:i w:val="1"/>
          <w:iCs w:val="1"/>
          <w:color w:val="auto"/>
        </w:rPr>
        <w:t>SRCA</w:t>
      </w:r>
      <w:r>
        <w:rPr>
          <w:rFonts w:ascii="Arial" w:cs="Arial" w:eastAsia="Arial" w:hAnsi="Arial"/>
          <w:sz w:val="13"/>
          <w:szCs w:val="13"/>
          <w:color w:val="auto"/>
        </w:rPr>
        <w:t>) with University Health Network (</w:t>
      </w:r>
      <w:r>
        <w:rPr>
          <w:rFonts w:ascii="Arial" w:cs="Arial" w:eastAsia="Arial" w:hAnsi="Arial"/>
          <w:sz w:val="13"/>
          <w:szCs w:val="13"/>
          <w:i w:val="1"/>
          <w:iCs w:val="1"/>
          <w:color w:val="auto"/>
        </w:rPr>
        <w:t>UHN</w:t>
      </w:r>
      <w:r>
        <w:rPr>
          <w:rFonts w:ascii="Arial" w:cs="Arial" w:eastAsia="Arial" w:hAnsi="Arial"/>
          <w:sz w:val="13"/>
          <w:szCs w:val="13"/>
          <w:color w:val="auto"/>
        </w:rPr>
        <w:t>) to develop certain stem cell technologies for drug discovery, development and rescue technologies. The SRCA was amended on April 19, 2010 to extend the term to five years and give us various options to extend the term for an additional three years. On December 15, 2010, we entered into a second amendment with UHN to expand the scope of work to include induced pluripotent stem cell technology and to further expand the scope of research and term extension options. On April 25, 2011, we and UHN amended the SRCA a third time to expand the scope to include therapeutic and stem cell therapy applications of induced pluripotent cells and to extend the date during which we may elect to fund additional projects to April 30, 2012. On October 24, 2011, we and UHN amended the SRCA a fourth time to identify five key programs to further support our core drug rescue initiatives and potential cell therapy applications. In October 2012, we issued a promissory note in the principal amount of $549,500 and a warrant to UHN as payment in full for services rendered under the fourth amendment. We also entered into Amendment No. 5 to the SRCA establishing the sponsored research projects and the sponsored research budgets under the SRCA from October 1, 2012 to September 30, 2013. During our fiscal year ended March 31, 2015, our financial condition precluded further sponsored research activities with UHN.</w:t>
      </w:r>
    </w:p>
    <w:p>
      <w:pPr>
        <w:spacing w:after="0" w:line="159" w:lineRule="exact"/>
        <w:rPr>
          <w:sz w:val="20"/>
          <w:szCs w:val="20"/>
          <w:color w:val="auto"/>
        </w:rPr>
      </w:pPr>
    </w:p>
    <w:p>
      <w:pPr>
        <w:ind w:right="240"/>
        <w:spacing w:after="0" w:line="290" w:lineRule="auto"/>
        <w:rPr>
          <w:sz w:val="20"/>
          <w:szCs w:val="20"/>
          <w:color w:val="auto"/>
        </w:rPr>
      </w:pPr>
      <w:r>
        <w:rPr>
          <w:rFonts w:ascii="Arial" w:cs="Arial" w:eastAsia="Arial" w:hAnsi="Arial"/>
          <w:sz w:val="13"/>
          <w:szCs w:val="13"/>
          <w:color w:val="auto"/>
        </w:rPr>
        <w:t>Concurrent with the execution of the fourth amendment to the SRCA, we also entered into a License Agreement with UHN under the terms of which UHN granted us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we have agreed to make payments to UHN totaling $3.9 million, if, and when, we achieves certain commercial milestones set forth in the License Agreement, and to pay UHN royalties based on our receipt of revenue attributable to the licensed patents.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82" w:name="page183"/>
    <w:bookmarkEnd w:id="18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National Institutes of Health</w:t>
      </w:r>
    </w:p>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During fiscal years 2006 through 2008, the U.S. National Institutes of Health (</w:t>
      </w:r>
      <w:r>
        <w:rPr>
          <w:rFonts w:ascii="Arial" w:cs="Arial" w:eastAsia="Arial" w:hAnsi="Arial"/>
          <w:sz w:val="13"/>
          <w:szCs w:val="13"/>
          <w:i w:val="1"/>
          <w:iCs w:val="1"/>
          <w:color w:val="auto"/>
        </w:rPr>
        <w:t>NIH)</w:t>
      </w:r>
      <w:r>
        <w:rPr>
          <w:rFonts w:ascii="Arial" w:cs="Arial" w:eastAsia="Arial" w:hAnsi="Arial"/>
          <w:sz w:val="13"/>
          <w:szCs w:val="13"/>
          <w:color w:val="auto"/>
        </w:rPr>
        <w:t xml:space="preserve"> awarded VistaGen California a $4.2 million grant to support preclinical development of AV-101, our lead drug candidate for treatment of neuropathic pain and other neurodegenerative diseases such as Huntington’s and Parkinson’s diseases. In June 2009, the NIH awarded VistaGen California a $4.2 million grant to support the Phase I clinical development of AV-101, which amount was subsequently increased to a total of $4.6 million in July 2010. The grant expired in the ordinary course on June 30, 2012 and all funds had been expended. In February 2015, we entered into a Cooperative Research and Development Agreement with the National Institute of Mental Health to collaborate on an NIH-sponsored Phase 2 clinical study of the efficacy and safety of AV-101 in subjects with MDD. The study is expected to commence late in the third quarter of 2015 and be completed in 2016.</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Cato Research Ltd.</w:t>
      </w:r>
    </w:p>
    <w:p>
      <w:pPr>
        <w:spacing w:after="0" w:line="201"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color w:val="auto"/>
        </w:rPr>
        <w:t>We have built a strategic development relationship with Cato Research Ltd. (</w:t>
      </w:r>
      <w:r>
        <w:rPr>
          <w:rFonts w:ascii="Arial" w:cs="Arial" w:eastAsia="Arial" w:hAnsi="Arial"/>
          <w:sz w:val="14"/>
          <w:szCs w:val="14"/>
          <w:i w:val="1"/>
          <w:iCs w:val="1"/>
          <w:color w:val="auto"/>
        </w:rPr>
        <w:t>CRL)</w:t>
      </w:r>
      <w:r>
        <w:rPr>
          <w:rFonts w:ascii="Arial" w:cs="Arial" w:eastAsia="Arial" w:hAnsi="Arial"/>
          <w:sz w:val="14"/>
          <w:szCs w:val="14"/>
          <w:color w:val="auto"/>
        </w:rPr>
        <w:t>a global contract research and development organization, or CRO, and an affiliate of one of the Company’s largest institutional stockholders. CRL has provided us with access to essential CRO services and regulatory expertise supporting our AV-101 preclinical and clinical development programs and other projects. We recorded research and development expenses for CRO services provided by CRL in the amounts of $38,100 and $52,500 for the fiscal years ended March 31, 2015 and 2014, respectively. In October 2012, we issued an unsecured promissory note in the principal amount of $1,009,000, and a warrant exercisable for 50,450 shares of our common stock, as payment in full of all amounts owed to CRL for CRO services rendered to us through December 31, 2012.</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Stock Option Plans and 401(k) Plan</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We have the following share-based compensation plans.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2008 Stock Incentive Plan</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Our 2008 Stock Incentive Plan the (</w:t>
      </w:r>
      <w:r>
        <w:rPr>
          <w:rFonts w:ascii="Arial" w:cs="Arial" w:eastAsia="Arial" w:hAnsi="Arial"/>
          <w:sz w:val="14"/>
          <w:szCs w:val="14"/>
          <w:i w:val="1"/>
          <w:iCs w:val="1"/>
          <w:color w:val="auto"/>
        </w:rPr>
        <w:t>2008 Plan)</w:t>
      </w:r>
      <w:r>
        <w:rPr>
          <w:rFonts w:ascii="Arial" w:cs="Arial" w:eastAsia="Arial" w:hAnsi="Arial"/>
          <w:sz w:val="14"/>
          <w:szCs w:val="14"/>
          <w:color w:val="auto"/>
        </w:rPr>
        <w:t xml:space="preserve"> was adopted by the stockholders of VistaGen California on December 19, 2008 and assumed by the Company in connection with the Merger. The maximum number of shares of our common stock that may be granted pursuant to the 2008 Plan is 250,000 shares, subject to adjustments for stock splits, stock dividends or other similar changes in the common stock or capital structure.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1999 Stock Incentive Plan</w:t>
      </w:r>
    </w:p>
    <w:p>
      <w:pPr>
        <w:spacing w:after="0" w:line="201"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Our 1999 Stock Incentive Plan the (</w:t>
      </w:r>
      <w:r>
        <w:rPr>
          <w:rFonts w:ascii="Arial" w:cs="Arial" w:eastAsia="Arial" w:hAnsi="Arial"/>
          <w:sz w:val="14"/>
          <w:szCs w:val="14"/>
          <w:i w:val="1"/>
          <w:iCs w:val="1"/>
          <w:color w:val="auto"/>
        </w:rPr>
        <w:t>1999 Plan)</w:t>
      </w:r>
      <w:r>
        <w:rPr>
          <w:rFonts w:ascii="Arial" w:cs="Arial" w:eastAsia="Arial" w:hAnsi="Arial"/>
          <w:sz w:val="14"/>
          <w:szCs w:val="14"/>
          <w:color w:val="auto"/>
        </w:rPr>
        <w:t xml:space="preserve"> was adopted by the stockholders of VistaGen California on December 6, 1999 and assumed by the Company in connection with the Merger. We initially reserved 45,000 shares for the issuance of awards under the 1999 Plan. The 1999 Plan has terminated under its own terms and, as a result, no awards may currently be granted under the 1999 Plan. The unexpired options and awards that have already been granted pursuant to the 1999 Plan remain operative.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Description of the 2008 Plan</w:t>
      </w:r>
    </w:p>
    <w:p>
      <w:pPr>
        <w:spacing w:after="0" w:line="201" w:lineRule="exact"/>
        <w:rPr>
          <w:sz w:val="20"/>
          <w:szCs w:val="20"/>
          <w:color w:val="auto"/>
        </w:rPr>
      </w:pPr>
    </w:p>
    <w:p>
      <w:pPr>
        <w:ind w:right="20"/>
        <w:spacing w:after="0" w:line="333" w:lineRule="auto"/>
        <w:rPr>
          <w:sz w:val="20"/>
          <w:szCs w:val="20"/>
          <w:color w:val="auto"/>
        </w:rPr>
      </w:pPr>
      <w:r>
        <w:rPr>
          <w:rFonts w:ascii="Arial" w:cs="Arial" w:eastAsia="Arial" w:hAnsi="Arial"/>
          <w:sz w:val="12"/>
          <w:szCs w:val="12"/>
          <w:color w:val="auto"/>
        </w:rPr>
        <w:t>Under the terms of the 2008 Plan, the Compensation Committee of our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3" w:name="page184"/>
    <w:bookmarkEnd w:id="18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The Compensation Committee may grant nonstatutory stock options under the 2008 Plan at a price of not less than 100% of the fair market value of our common stock on the date the option is granted. Incentive stock options under the 2008 Plan may be granted at a price of not less than 100% of the fair market value of our common stock on the date the option is granted. Incentive stock options granted to employees who, on the date of grant, own stock representing more than 10% of the voting power of all of our classes of stock are granted at an exercise price of not less than 110% of the fair market value of our common stock and the maximum term of such incentive stock options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 We currently have no performance-based awards outstanding.</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Unless terminated sooner, the 2008 Plan will automatically terminate in 2017. The Board of Directors may at any time amend, suspend or terminate our 2008 Plan.</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color w:val="auto"/>
        </w:rPr>
        <w:t>We did not grant any stock options during fiscal 2015. During the third quarter of fiscal 2014, when the quoted market price of our common stock was $8.00 per share, we reduced the exercise price of an aggregate of 196,213 outstanding options to purchase shares of its common stock at exercise prices between $15.00 per share and $59.80 per share held by certain employees, including the Company’s officers and directors, and by certain consultants to $8.00 per share or $10.00 per share. These reductions in exercise price were accounted for as a modification of the options and resulted in a charge of $252,000.</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4"/>
          <w:szCs w:val="14"/>
          <w:color w:val="auto"/>
        </w:rPr>
        <w:t xml:space="preserve">The following table summarizes share-based compensation expense, including share-based expense related to the March 2015 and March 2014 grants of warrants to certain of our officers and to our independent directors as described in Note 9, </w:t>
      </w:r>
      <w:r>
        <w:rPr>
          <w:rFonts w:ascii="Arial" w:cs="Arial" w:eastAsia="Arial" w:hAnsi="Arial"/>
          <w:sz w:val="14"/>
          <w:szCs w:val="14"/>
          <w:i w:val="1"/>
          <w:iCs w:val="1"/>
          <w:color w:val="auto"/>
        </w:rPr>
        <w:t>Capital Stock,</w:t>
      </w:r>
      <w:r>
        <w:rPr>
          <w:rFonts w:ascii="Arial" w:cs="Arial" w:eastAsia="Arial" w:hAnsi="Arial"/>
          <w:sz w:val="14"/>
          <w:szCs w:val="14"/>
          <w:color w:val="auto"/>
        </w:rPr>
        <w:t xml:space="preserve"> included in the accompanying Consolidated Statement of Operations and Comprehensive Loss for the years ended March 31, 2015 and 2014.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ind w:left="440"/>
              <w:spacing w:after="0"/>
              <w:rPr>
                <w:sz w:val="20"/>
                <w:szCs w:val="20"/>
                <w:color w:val="auto"/>
              </w:rPr>
            </w:pPr>
            <w:r>
              <w:rPr>
                <w:rFonts w:ascii="Arial" w:cs="Arial" w:eastAsia="Arial" w:hAnsi="Arial"/>
                <w:sz w:val="14"/>
                <w:szCs w:val="14"/>
                <w:b w:val="1"/>
                <w:bCs w:val="1"/>
                <w:color w:val="auto"/>
              </w:rPr>
              <w:t>Fiscal Years Ended</w:t>
            </w:r>
          </w:p>
        </w:tc>
      </w:tr>
      <w:tr>
        <w:trPr>
          <w:trHeight w:val="186"/>
        </w:trPr>
        <w:tc>
          <w:tcPr>
            <w:tcW w:w="44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4460" w:type="dxa"/>
            <w:vAlign w:val="bottom"/>
          </w:tcPr>
          <w:p>
            <w:pPr>
              <w:spacing w:after="0"/>
              <w:rPr>
                <w:sz w:val="20"/>
                <w:szCs w:val="20"/>
                <w:color w:val="auto"/>
              </w:rPr>
            </w:pPr>
            <w:r>
              <w:rPr>
                <w:rFonts w:ascii="Arial" w:cs="Arial" w:eastAsia="Arial" w:hAnsi="Arial"/>
                <w:sz w:val="14"/>
                <w:szCs w:val="14"/>
                <w:color w:val="auto"/>
              </w:rPr>
              <w:t>Research and development expense:</w:t>
            </w: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 option grants</w:t>
            </w:r>
          </w:p>
        </w:tc>
        <w:tc>
          <w:tcPr>
            <w:tcW w:w="4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176,200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296,900</w:t>
            </w:r>
          </w:p>
        </w:tc>
      </w:tr>
      <w:tr>
        <w:trPr>
          <w:trHeight w:val="160"/>
        </w:trPr>
        <w:tc>
          <w:tcPr>
            <w:tcW w:w="4460" w:type="dxa"/>
            <w:vAlign w:val="bottom"/>
          </w:tcPr>
          <w:p>
            <w:pPr>
              <w:ind w:left="340"/>
              <w:spacing w:after="0" w:line="160" w:lineRule="exact"/>
              <w:rPr>
                <w:sz w:val="20"/>
                <w:szCs w:val="20"/>
                <w:color w:val="auto"/>
              </w:rPr>
            </w:pPr>
            <w:r>
              <w:rPr>
                <w:rFonts w:ascii="Arial" w:cs="Arial" w:eastAsia="Arial" w:hAnsi="Arial"/>
                <w:sz w:val="14"/>
                <w:szCs w:val="14"/>
                <w:color w:val="auto"/>
              </w:rPr>
              <w:t>Fully-vested warrants granted to officer and</w:t>
            </w:r>
          </w:p>
        </w:tc>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4460" w:type="dxa"/>
            <w:vAlign w:val="bottom"/>
          </w:tcPr>
          <w:p>
            <w:pPr>
              <w:ind w:left="340"/>
              <w:spacing w:after="0"/>
              <w:rPr>
                <w:sz w:val="20"/>
                <w:szCs w:val="20"/>
                <w:color w:val="auto"/>
              </w:rPr>
            </w:pPr>
            <w:r>
              <w:rPr>
                <w:rFonts w:ascii="Arial" w:cs="Arial" w:eastAsia="Arial" w:hAnsi="Arial"/>
                <w:sz w:val="14"/>
                <w:szCs w:val="14"/>
                <w:color w:val="auto"/>
              </w:rPr>
              <w:t>consultants in January 2015</w:t>
            </w:r>
          </w:p>
        </w:tc>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527,500</w:t>
            </w: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2"/>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Warrants granted to officer in March 2014 and 2013</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145,100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156,500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2"/>
        </w:trPr>
        <w:tc>
          <w:tcPr>
            <w:tcW w:w="446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848,800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453,400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446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 expense:</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4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 option grants</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98,800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385,100</w:t>
            </w:r>
          </w:p>
        </w:tc>
      </w:tr>
      <w:tr>
        <w:trPr>
          <w:trHeight w:val="160"/>
        </w:trPr>
        <w:tc>
          <w:tcPr>
            <w:tcW w:w="4460" w:type="dxa"/>
            <w:vAlign w:val="bottom"/>
          </w:tcPr>
          <w:p>
            <w:pPr>
              <w:ind w:left="340"/>
              <w:spacing w:after="0" w:line="160" w:lineRule="exact"/>
              <w:rPr>
                <w:sz w:val="20"/>
                <w:szCs w:val="20"/>
                <w:color w:val="auto"/>
              </w:rPr>
            </w:pPr>
            <w:r>
              <w:rPr>
                <w:rFonts w:ascii="Arial" w:cs="Arial" w:eastAsia="Arial" w:hAnsi="Arial"/>
                <w:sz w:val="14"/>
                <w:szCs w:val="14"/>
                <w:color w:val="auto"/>
              </w:rPr>
              <w:t>Fully-vested warrants granted to officers, directors</w:t>
            </w:r>
          </w:p>
        </w:tc>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4460" w:type="dxa"/>
            <w:vAlign w:val="bottom"/>
          </w:tcPr>
          <w:p>
            <w:pPr>
              <w:ind w:left="340"/>
              <w:spacing w:after="0"/>
              <w:rPr>
                <w:sz w:val="20"/>
                <w:szCs w:val="20"/>
                <w:color w:val="auto"/>
              </w:rPr>
            </w:pPr>
            <w:r>
              <w:rPr>
                <w:rFonts w:ascii="Arial" w:cs="Arial" w:eastAsia="Arial" w:hAnsi="Arial"/>
                <w:sz w:val="14"/>
                <w:szCs w:val="14"/>
                <w:color w:val="auto"/>
              </w:rPr>
              <w:t>and consultants in January 2015</w:t>
            </w:r>
          </w:p>
        </w:tc>
        <w:tc>
          <w:tcPr>
            <w:tcW w:w="4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1,229,400</w:t>
            </w:r>
          </w:p>
        </w:tc>
        <w:tc>
          <w:tcPr>
            <w:tcW w:w="3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1"/>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Warrants granted to officers and directors in March</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4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2014 and 2013</w:t>
            </w: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283,100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298,800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2"/>
        </w:trPr>
        <w:tc>
          <w:tcPr>
            <w:tcW w:w="4460" w:type="dxa"/>
            <w:vAlign w:val="bottom"/>
            <w:shd w:val="clear" w:color="auto" w:fill="CCEEFF"/>
          </w:tcPr>
          <w:p>
            <w:pPr>
              <w:spacing w:after="0"/>
              <w:rPr>
                <w:sz w:val="14"/>
                <w:szCs w:val="14"/>
                <w:color w:val="auto"/>
              </w:rPr>
            </w:pPr>
          </w:p>
        </w:tc>
        <w:tc>
          <w:tcPr>
            <w:tcW w:w="4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1,611,300</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683,900</w:t>
            </w:r>
          </w:p>
        </w:tc>
      </w:tr>
      <w:tr>
        <w:trPr>
          <w:trHeight w:val="170"/>
        </w:trPr>
        <w:tc>
          <w:tcPr>
            <w:tcW w:w="446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 expense</w:t>
            </w:r>
          </w:p>
        </w:tc>
        <w:tc>
          <w:tcPr>
            <w:tcW w:w="4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2,460,100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1,137,300</w:t>
            </w:r>
          </w:p>
        </w:tc>
      </w:tr>
      <w:tr>
        <w:trPr>
          <w:trHeight w:val="461"/>
        </w:trPr>
        <w:tc>
          <w:tcPr>
            <w:tcW w:w="4460" w:type="dxa"/>
            <w:vAlign w:val="bottom"/>
            <w:tcBorders>
              <w:top w:val="single" w:sz="8" w:color="CCEEFF"/>
            </w:tcBorders>
          </w:tcPr>
          <w:p>
            <w:pPr>
              <w:spacing w:after="0"/>
              <w:rPr>
                <w:sz w:val="24"/>
                <w:szCs w:val="24"/>
                <w:color w:val="auto"/>
              </w:rPr>
            </w:pPr>
          </w:p>
        </w:tc>
        <w:tc>
          <w:tcPr>
            <w:tcW w:w="4380" w:type="dxa"/>
            <w:vAlign w:val="bottom"/>
            <w:tcBorders>
              <w:top w:val="single" w:sz="8" w:color="CCEEFF"/>
            </w:tcBorders>
          </w:tcPr>
          <w:p>
            <w:pPr>
              <w:ind w:left="1140"/>
              <w:spacing w:after="0"/>
              <w:rPr>
                <w:sz w:val="20"/>
                <w:szCs w:val="20"/>
                <w:color w:val="auto"/>
              </w:rPr>
            </w:pPr>
            <w:r>
              <w:rPr>
                <w:rFonts w:ascii="Arial" w:cs="Arial" w:eastAsia="Arial" w:hAnsi="Arial"/>
                <w:sz w:val="14"/>
                <w:szCs w:val="14"/>
                <w:color w:val="auto"/>
              </w:rPr>
              <w:t>F-41</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4460" w:type="dxa"/>
            <w:vAlign w:val="bottom"/>
            <w:tcBorders>
              <w:bottom w:val="single" w:sz="8" w:color="808080"/>
            </w:tcBorders>
          </w:tcPr>
          <w:p>
            <w:pPr>
              <w:spacing w:after="0"/>
              <w:rPr>
                <w:sz w:val="7"/>
                <w:szCs w:val="7"/>
                <w:color w:val="auto"/>
              </w:rPr>
            </w:pPr>
          </w:p>
        </w:tc>
        <w:tc>
          <w:tcPr>
            <w:tcW w:w="43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4" w:name="page185"/>
    <w:bookmarkEnd w:id="18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ind w:right="20"/>
        <w:spacing w:after="0" w:line="283" w:lineRule="auto"/>
        <w:rPr>
          <w:sz w:val="20"/>
          <w:szCs w:val="20"/>
          <w:color w:val="auto"/>
        </w:rPr>
      </w:pPr>
      <w:r>
        <w:rPr>
          <w:rFonts w:ascii="Arial" w:cs="Arial" w:eastAsia="Arial" w:hAnsi="Arial"/>
          <w:sz w:val="14"/>
          <w:szCs w:val="14"/>
          <w:color w:val="auto"/>
        </w:rPr>
        <w:t>We used the Black-Scholes option valuation model with the following assumptions to determine share-based compensation expense related to option grants during the fiscal years ended March 31, 2015 and 2014: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220" w:type="dxa"/>
            <w:vAlign w:val="bottom"/>
            <w:gridSpan w:val="4"/>
          </w:tcPr>
          <w:p>
            <w:pPr>
              <w:ind w:left="60"/>
              <w:spacing w:after="0"/>
              <w:rPr>
                <w:sz w:val="20"/>
                <w:szCs w:val="20"/>
                <w:color w:val="auto"/>
              </w:rPr>
            </w:pPr>
            <w:r>
              <w:rPr>
                <w:rFonts w:ascii="Arial" w:cs="Arial" w:eastAsia="Arial" w:hAnsi="Arial"/>
                <w:sz w:val="14"/>
                <w:szCs w:val="14"/>
                <w:b w:val="1"/>
                <w:bCs w:val="1"/>
                <w:color w:val="auto"/>
              </w:rPr>
              <w:t>Fiscal Years Ended March 31,</w:t>
            </w:r>
          </w:p>
        </w:tc>
      </w:tr>
      <w:tr>
        <w:trPr>
          <w:trHeight w:val="172"/>
        </w:trPr>
        <w:tc>
          <w:tcPr>
            <w:tcW w:w="5360" w:type="dxa"/>
            <w:vAlign w:val="bottom"/>
          </w:tcPr>
          <w:p>
            <w:pPr>
              <w:spacing w:after="0"/>
              <w:rPr>
                <w:sz w:val="14"/>
                <w:szCs w:val="14"/>
                <w:color w:val="auto"/>
              </w:rPr>
            </w:pPr>
          </w:p>
        </w:tc>
        <w:tc>
          <w:tcPr>
            <w:tcW w:w="1880" w:type="dxa"/>
            <w:vAlign w:val="bottom"/>
            <w:tcBorders>
              <w:top w:val="single" w:sz="8" w:color="auto"/>
            </w:tcBorders>
          </w:tcPr>
          <w:p>
            <w:pPr>
              <w:jc w:val="center"/>
              <w:ind w:left="889"/>
              <w:spacing w:after="0"/>
              <w:rPr>
                <w:sz w:val="20"/>
                <w:szCs w:val="20"/>
                <w:color w:val="auto"/>
              </w:rPr>
            </w:pPr>
            <w:r>
              <w:rPr>
                <w:rFonts w:ascii="Arial" w:cs="Arial" w:eastAsia="Arial" w:hAnsi="Arial"/>
                <w:sz w:val="14"/>
                <w:szCs w:val="14"/>
                <w:b w:val="1"/>
                <w:bCs w:val="1"/>
                <w:color w:val="auto"/>
                <w:w w:val="89"/>
              </w:rPr>
              <w:t>2015</w:t>
            </w:r>
          </w:p>
        </w:tc>
        <w:tc>
          <w:tcPr>
            <w:tcW w:w="3820" w:type="dxa"/>
            <w:vAlign w:val="bottom"/>
            <w:tcBorders>
              <w:top w:val="single" w:sz="8" w:color="auto"/>
            </w:tcBorders>
            <w:gridSpan w:val="3"/>
          </w:tcPr>
          <w:p>
            <w:pPr>
              <w:jc w:val="right"/>
              <w:ind w:right="1009"/>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r>
      <w:tr>
        <w:trPr>
          <w:trHeight w:val="170"/>
        </w:trPr>
        <w:tc>
          <w:tcPr>
            <w:tcW w:w="5360" w:type="dxa"/>
            <w:vAlign w:val="bottom"/>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Exercise price</w:t>
            </w:r>
          </w:p>
        </w:tc>
        <w:tc>
          <w:tcPr>
            <w:tcW w:w="188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2"/>
              </w:rPr>
              <w:t>$8.00 to $16.40</w:t>
            </w:r>
          </w:p>
        </w:tc>
      </w:tr>
      <w:tr>
        <w:trPr>
          <w:trHeight w:val="170"/>
        </w:trPr>
        <w:tc>
          <w:tcPr>
            <w:tcW w:w="5360" w:type="dxa"/>
            <w:vAlign w:val="bottom"/>
          </w:tcPr>
          <w:p>
            <w:pPr>
              <w:spacing w:after="0"/>
              <w:rPr>
                <w:sz w:val="20"/>
                <w:szCs w:val="20"/>
                <w:color w:val="auto"/>
              </w:rPr>
            </w:pPr>
            <w:r>
              <w:rPr>
                <w:rFonts w:ascii="Arial" w:cs="Arial" w:eastAsia="Arial" w:hAnsi="Arial"/>
                <w:sz w:val="14"/>
                <w:szCs w:val="14"/>
                <w:color w:val="auto"/>
              </w:rPr>
              <w:t>Market price on date of grant</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$8.00 to $16.40</w:t>
            </w:r>
          </w:p>
        </w:tc>
      </w:tr>
      <w:tr>
        <w:trPr>
          <w:trHeight w:val="17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88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1"/>
              </w:rPr>
              <w:t>1.08% to 2.53%</w:t>
            </w:r>
          </w:p>
        </w:tc>
      </w:tr>
      <w:tr>
        <w:trPr>
          <w:trHeight w:val="170"/>
        </w:trPr>
        <w:tc>
          <w:tcPr>
            <w:tcW w:w="5360" w:type="dxa"/>
            <w:vAlign w:val="bottom"/>
          </w:tcPr>
          <w:p>
            <w:pPr>
              <w:spacing w:after="0"/>
              <w:rPr>
                <w:sz w:val="20"/>
                <w:szCs w:val="20"/>
                <w:color w:val="auto"/>
              </w:rPr>
            </w:pPr>
            <w:r>
              <w:rPr>
                <w:rFonts w:ascii="Arial" w:cs="Arial" w:eastAsia="Arial" w:hAnsi="Arial"/>
                <w:sz w:val="14"/>
                <w:szCs w:val="14"/>
                <w:color w:val="auto"/>
              </w:rPr>
              <w:t>Expected term (years)</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6.25 to 10.0</w:t>
            </w:r>
          </w:p>
        </w:tc>
      </w:tr>
      <w:tr>
        <w:trPr>
          <w:trHeight w:val="170"/>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88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1"/>
              </w:rPr>
              <w:t>87.9% to 103.2%</w:t>
            </w:r>
          </w:p>
        </w:tc>
      </w:tr>
      <w:tr>
        <w:trPr>
          <w:trHeight w:val="170"/>
        </w:trPr>
        <w:tc>
          <w:tcPr>
            <w:tcW w:w="5360" w:type="dxa"/>
            <w:vAlign w:val="bottom"/>
          </w:tcPr>
          <w:p>
            <w:pPr>
              <w:spacing w:after="0"/>
              <w:rPr>
                <w:sz w:val="20"/>
                <w:szCs w:val="20"/>
                <w:color w:val="auto"/>
              </w:rPr>
            </w:pPr>
            <w:r>
              <w:rPr>
                <w:rFonts w:ascii="Arial" w:cs="Arial" w:eastAsia="Arial" w:hAnsi="Arial"/>
                <w:sz w:val="14"/>
                <w:szCs w:val="14"/>
                <w:color w:val="auto"/>
              </w:rPr>
              <w:t>Expected dividend yield</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3820" w:type="dxa"/>
            <w:vAlign w:val="bottom"/>
            <w:gridSpan w:val="3"/>
          </w:tcPr>
          <w:p>
            <w:pPr>
              <w:jc w:val="right"/>
              <w:ind w:right="1069"/>
              <w:spacing w:after="0"/>
              <w:rPr>
                <w:sz w:val="20"/>
                <w:szCs w:val="20"/>
                <w:color w:val="auto"/>
              </w:rPr>
            </w:pPr>
            <w:r>
              <w:rPr>
                <w:rFonts w:ascii="Arial" w:cs="Arial" w:eastAsia="Arial" w:hAnsi="Arial"/>
                <w:sz w:val="14"/>
                <w:szCs w:val="14"/>
                <w:color w:val="auto"/>
              </w:rPr>
              <w:t>0%</w:t>
            </w:r>
          </w:p>
        </w:tc>
        <w:tc>
          <w:tcPr>
            <w:tcW w:w="400" w:type="dxa"/>
            <w:vAlign w:val="bottom"/>
          </w:tcPr>
          <w:p>
            <w:pPr>
              <w:spacing w:after="0"/>
              <w:rPr>
                <w:sz w:val="14"/>
                <w:szCs w:val="14"/>
                <w:color w:val="auto"/>
              </w:rPr>
            </w:pPr>
          </w:p>
        </w:tc>
      </w:tr>
      <w:tr>
        <w:trPr>
          <w:trHeight w:val="170"/>
        </w:trPr>
        <w:tc>
          <w:tcPr>
            <w:tcW w:w="53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80"/>
        </w:trPr>
        <w:tc>
          <w:tcPr>
            <w:tcW w:w="5360" w:type="dxa"/>
            <w:vAlign w:val="bottom"/>
          </w:tcPr>
          <w:p>
            <w:pPr>
              <w:spacing w:after="0"/>
              <w:rPr>
                <w:sz w:val="20"/>
                <w:szCs w:val="20"/>
                <w:color w:val="auto"/>
              </w:rPr>
            </w:pPr>
            <w:r>
              <w:rPr>
                <w:rFonts w:ascii="Arial" w:cs="Arial" w:eastAsia="Arial" w:hAnsi="Arial"/>
                <w:sz w:val="14"/>
                <w:szCs w:val="14"/>
                <w:color w:val="auto"/>
              </w:rPr>
              <w:t>Fair value per share at grant date</w:t>
            </w:r>
          </w:p>
        </w:tc>
        <w:tc>
          <w:tcPr>
            <w:tcW w:w="1880" w:type="dxa"/>
            <w:vAlign w:val="bottom"/>
          </w:tcPr>
          <w:p>
            <w:pPr>
              <w:jc w:val="center"/>
              <w:ind w:left="889"/>
              <w:spacing w:after="0"/>
              <w:rPr>
                <w:sz w:val="20"/>
                <w:szCs w:val="20"/>
                <w:color w:val="auto"/>
              </w:rPr>
            </w:pPr>
            <w:r>
              <w:rPr>
                <w:rFonts w:ascii="Arial" w:cs="Arial" w:eastAsia="Arial" w:hAnsi="Arial"/>
                <w:sz w:val="14"/>
                <w:szCs w:val="14"/>
                <w:color w:val="auto"/>
                <w:w w:val="92"/>
              </w:rPr>
              <w:t>not applicable</w:t>
            </w: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8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$6.38 to $13.63</w:t>
            </w:r>
          </w:p>
        </w:tc>
      </w:tr>
    </w:tbl>
    <w:p>
      <w:pPr>
        <w:spacing w:after="0" w:line="150"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w:t>
      </w:r>
      <w:r>
        <w:rPr>
          <w:rFonts w:ascii="Arial" w:cs="Arial" w:eastAsia="Arial" w:hAnsi="Arial"/>
          <w:sz w:val="13"/>
          <w:szCs w:val="13"/>
          <w:i w:val="1"/>
          <w:iCs w:val="1"/>
          <w:color w:val="auto"/>
        </w:rPr>
        <w:t>SAB No. 107 and 110)</w:t>
      </w:r>
      <w:r>
        <w:rPr>
          <w:rFonts w:ascii="Arial" w:cs="Arial" w:eastAsia="Arial" w:hAnsi="Arial"/>
          <w:sz w:val="13"/>
          <w:szCs w:val="13"/>
          <w:color w:val="auto"/>
        </w:rPr>
        <w:t>. The utilization of SAB No. 107 and 110 was based on the lack of relevant historical data due to our limited historical experience as a publicly traded company as well as the lack of liquidity resulting from the limited number of freely-tradable shares of our common stock. Limited historical experience and lack of liquidity in our stock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 U.S. Treasury yield curve in effect at the time of grant. The expected dividend yield is zero, as we have not paid any dividends and do not anticipate paying dividends in the near future. We calculated the forfeiture rate based on an analysis of historical data, as it reasonably approximates the currently anticipated rate of forfeitures for granted and outstanding options that have not vested. The following table summarizes activity for the fiscal years ended March 31, 2015 and 2014 under our stock option plans: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color w:val="auto"/>
              </w:rPr>
              <w:t>Fiscal Years Ended March 31,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rPr>
              <w:t>2015</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rPr>
              <w:t>2014</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109"/>
              <w:spacing w:after="0" w:line="160" w:lineRule="exact"/>
              <w:rPr>
                <w:sz w:val="20"/>
                <w:szCs w:val="20"/>
                <w:color w:val="auto"/>
              </w:rPr>
            </w:pPr>
            <w:r>
              <w:rPr>
                <w:rFonts w:ascii="Arial" w:cs="Arial" w:eastAsia="Arial" w:hAnsi="Arial"/>
                <w:sz w:val="14"/>
                <w:szCs w:val="14"/>
                <w:color w:val="auto"/>
                <w:w w:val="91"/>
              </w:rPr>
              <w:t>Weighted</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29"/>
              <w:spacing w:after="0" w:line="160" w:lineRule="exact"/>
              <w:rPr>
                <w:sz w:val="20"/>
                <w:szCs w:val="20"/>
                <w:color w:val="auto"/>
              </w:rPr>
            </w:pPr>
            <w:r>
              <w:rPr>
                <w:rFonts w:ascii="Arial" w:cs="Arial" w:eastAsia="Arial" w:hAnsi="Arial"/>
                <w:sz w:val="14"/>
                <w:szCs w:val="14"/>
                <w:color w:val="auto"/>
                <w:w w:val="91"/>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Average</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Exercise</w:t>
            </w:r>
          </w:p>
        </w:tc>
        <w:tc>
          <w:tcPr>
            <w:tcW w:w="1280" w:type="dxa"/>
            <w:vAlign w:val="bottom"/>
            <w:gridSpan w:val="2"/>
          </w:tcPr>
          <w:p>
            <w:pPr>
              <w:jc w:val="right"/>
              <w:ind w:right="400"/>
              <w:spacing w:after="0"/>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Exercise</w:t>
            </w:r>
          </w:p>
        </w:tc>
        <w:tc>
          <w:tcPr>
            <w:tcW w:w="0" w:type="dxa"/>
            <w:vAlign w:val="bottom"/>
          </w:tcPr>
          <w:p>
            <w:pPr>
              <w:spacing w:after="0"/>
              <w:rPr>
                <w:sz w:val="1"/>
                <w:szCs w:val="1"/>
                <w:color w:val="auto"/>
              </w:rPr>
            </w:pPr>
          </w:p>
        </w:tc>
      </w:tr>
      <w:tr>
        <w:trPr>
          <w:trHeight w:val="182"/>
        </w:trPr>
        <w:tc>
          <w:tcPr>
            <w:tcW w:w="40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Price</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Price</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Options outstanding at beginning of period</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212,486</w:t>
            </w:r>
          </w:p>
        </w:tc>
        <w:tc>
          <w:tcPr>
            <w:tcW w:w="1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245,653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26.43</w:t>
            </w:r>
          </w:p>
        </w:tc>
        <w:tc>
          <w:tcPr>
            <w:tcW w:w="0" w:type="dxa"/>
            <w:vAlign w:val="bottom"/>
          </w:tcPr>
          <w:p>
            <w:pPr>
              <w:spacing w:after="0"/>
              <w:rPr>
                <w:sz w:val="1"/>
                <w:szCs w:val="1"/>
                <w:color w:val="auto"/>
              </w:rPr>
            </w:pPr>
          </w:p>
        </w:tc>
      </w:tr>
      <w:tr>
        <w:trPr>
          <w:trHeight w:val="170"/>
        </w:trPr>
        <w:tc>
          <w:tcPr>
            <w:tcW w:w="4040" w:type="dxa"/>
            <w:vAlign w:val="bottom"/>
          </w:tcPr>
          <w:p>
            <w:pPr>
              <w:ind w:left="580"/>
              <w:spacing w:after="0"/>
              <w:rPr>
                <w:sz w:val="20"/>
                <w:szCs w:val="20"/>
                <w:color w:val="auto"/>
              </w:rPr>
            </w:pPr>
            <w:r>
              <w:rPr>
                <w:rFonts w:ascii="Arial" w:cs="Arial" w:eastAsia="Arial" w:hAnsi="Arial"/>
                <w:sz w:val="14"/>
                <w:szCs w:val="14"/>
                <w:color w:val="auto"/>
              </w:rPr>
              <w:t>Options granted</w:t>
            </w:r>
          </w:p>
        </w:tc>
        <w:tc>
          <w:tcPr>
            <w:tcW w:w="3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19,050</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170"/>
        </w:trPr>
        <w:tc>
          <w:tcPr>
            <w:tcW w:w="40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Options exercised</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040" w:type="dxa"/>
            <w:vAlign w:val="bottom"/>
          </w:tcPr>
          <w:p>
            <w:pPr>
              <w:ind w:left="580"/>
              <w:spacing w:after="0"/>
              <w:rPr>
                <w:sz w:val="20"/>
                <w:szCs w:val="20"/>
                <w:color w:val="auto"/>
              </w:rPr>
            </w:pPr>
            <w:r>
              <w:rPr>
                <w:rFonts w:ascii="Arial" w:cs="Arial" w:eastAsia="Arial" w:hAnsi="Arial"/>
                <w:sz w:val="14"/>
                <w:szCs w:val="14"/>
                <w:color w:val="auto"/>
              </w:rPr>
              <w:t>Options forfeited</w:t>
            </w:r>
          </w:p>
        </w:tc>
        <w:tc>
          <w:tcPr>
            <w:tcW w:w="3340" w:type="dxa"/>
            <w:vAlign w:val="bottom"/>
            <w:gridSpan w:val="3"/>
          </w:tcPr>
          <w:p>
            <w:pPr>
              <w:jc w:val="right"/>
              <w:ind w:right="100"/>
              <w:spacing w:after="0"/>
              <w:rPr>
                <w:sz w:val="20"/>
                <w:szCs w:val="20"/>
                <w:color w:val="auto"/>
              </w:rPr>
            </w:pPr>
            <w:r>
              <w:rPr>
                <w:rFonts w:ascii="Arial" w:cs="Arial" w:eastAsia="Arial" w:hAnsi="Arial"/>
                <w:sz w:val="14"/>
                <w:szCs w:val="14"/>
                <w:color w:val="auto"/>
              </w:rPr>
              <w:t>(2,001)</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9.25</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(3,954)</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27.22</w:t>
            </w: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Options expired</w:t>
            </w:r>
          </w:p>
        </w:tc>
        <w:tc>
          <w:tcPr>
            <w:tcW w:w="3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(2,847)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10.56</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(48,263)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170"/>
        </w:trPr>
        <w:tc>
          <w:tcPr>
            <w:tcW w:w="4040" w:type="dxa"/>
            <w:vAlign w:val="bottom"/>
            <w:tcBorders>
              <w:top w:val="single" w:sz="8" w:color="CCEEFF"/>
            </w:tcBorders>
          </w:tcPr>
          <w:p>
            <w:pPr>
              <w:spacing w:after="0"/>
              <w:rPr>
                <w:sz w:val="14"/>
                <w:szCs w:val="14"/>
                <w:color w:val="auto"/>
              </w:rPr>
            </w:pPr>
          </w:p>
        </w:tc>
        <w:tc>
          <w:tcPr>
            <w:tcW w:w="204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4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Options outstanding at end of period</w:t>
            </w:r>
          </w:p>
        </w:tc>
        <w:tc>
          <w:tcPr>
            <w:tcW w:w="20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207,638</w:t>
            </w:r>
          </w:p>
        </w:tc>
        <w:tc>
          <w:tcPr>
            <w:tcW w:w="1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rPr>
              <w:t>10.09</w:t>
            </w:r>
          </w:p>
        </w:tc>
        <w:tc>
          <w:tcPr>
            <w:tcW w:w="128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212,486</w:t>
            </w:r>
          </w:p>
        </w:tc>
        <w:tc>
          <w:tcPr>
            <w:tcW w:w="280" w:type="dxa"/>
            <w:vAlign w:val="bottom"/>
            <w:gridSpan w:val="2"/>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40" w:type="dxa"/>
            <w:vAlign w:val="bottom"/>
          </w:tcPr>
          <w:p>
            <w:pPr>
              <w:spacing w:after="0" w:line="151" w:lineRule="exact"/>
              <w:rPr>
                <w:sz w:val="20"/>
                <w:szCs w:val="20"/>
                <w:color w:val="auto"/>
              </w:rPr>
            </w:pPr>
            <w:r>
              <w:rPr>
                <w:rFonts w:ascii="Arial" w:cs="Arial" w:eastAsia="Arial" w:hAnsi="Arial"/>
                <w:sz w:val="14"/>
                <w:szCs w:val="14"/>
                <w:color w:val="auto"/>
              </w:rPr>
              <w:t>Options exercisable at end of period</w:t>
            </w:r>
          </w:p>
        </w:tc>
        <w:tc>
          <w:tcPr>
            <w:tcW w:w="2040" w:type="dxa"/>
            <w:vAlign w:val="bottom"/>
          </w:tcPr>
          <w:p>
            <w:pPr>
              <w:spacing w:after="0"/>
              <w:rPr>
                <w:sz w:val="13"/>
                <w:szCs w:val="13"/>
                <w:color w:val="auto"/>
              </w:rPr>
            </w:pPr>
          </w:p>
        </w:tc>
        <w:tc>
          <w:tcPr>
            <w:tcW w:w="1160" w:type="dxa"/>
            <w:vAlign w:val="bottom"/>
          </w:tcPr>
          <w:p>
            <w:pPr>
              <w:jc w:val="right"/>
              <w:spacing w:after="0" w:line="151" w:lineRule="exact"/>
              <w:rPr>
                <w:sz w:val="20"/>
                <w:szCs w:val="20"/>
                <w:color w:val="auto"/>
              </w:rPr>
            </w:pPr>
            <w:r>
              <w:rPr>
                <w:rFonts w:ascii="Arial" w:cs="Arial" w:eastAsia="Arial" w:hAnsi="Arial"/>
                <w:sz w:val="14"/>
                <w:szCs w:val="14"/>
                <w:color w:val="auto"/>
              </w:rPr>
              <w:t>199,013</w:t>
            </w:r>
          </w:p>
        </w:tc>
        <w:tc>
          <w:tcPr>
            <w:tcW w:w="140" w:type="dxa"/>
            <w:vAlign w:val="bottom"/>
          </w:tcPr>
          <w:p>
            <w:pPr>
              <w:spacing w:after="0"/>
              <w:rPr>
                <w:sz w:val="13"/>
                <w:szCs w:val="13"/>
                <w:color w:val="auto"/>
              </w:rPr>
            </w:pPr>
          </w:p>
        </w:tc>
        <w:tc>
          <w:tcPr>
            <w:tcW w:w="28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line="151" w:lineRule="exact"/>
              <w:rPr>
                <w:sz w:val="20"/>
                <w:szCs w:val="20"/>
                <w:color w:val="auto"/>
              </w:rPr>
            </w:pPr>
            <w:r>
              <w:rPr>
                <w:rFonts w:ascii="Arial" w:cs="Arial" w:eastAsia="Arial" w:hAnsi="Arial"/>
                <w:sz w:val="14"/>
                <w:szCs w:val="14"/>
                <w:color w:val="auto"/>
              </w:rPr>
              <w:t>10.09</w:t>
            </w:r>
          </w:p>
        </w:tc>
        <w:tc>
          <w:tcPr>
            <w:tcW w:w="128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182,775</w:t>
            </w:r>
          </w:p>
        </w:tc>
        <w:tc>
          <w:tcPr>
            <w:tcW w:w="28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4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40" w:type="dxa"/>
            <w:vAlign w:val="bottom"/>
          </w:tcPr>
          <w:p>
            <w:pPr>
              <w:spacing w:after="0" w:line="160" w:lineRule="exact"/>
              <w:rPr>
                <w:sz w:val="20"/>
                <w:szCs w:val="20"/>
                <w:color w:val="auto"/>
              </w:rPr>
            </w:pPr>
            <w:r>
              <w:rPr>
                <w:rFonts w:ascii="Arial" w:cs="Arial" w:eastAsia="Arial" w:hAnsi="Arial"/>
                <w:sz w:val="14"/>
                <w:szCs w:val="14"/>
                <w:color w:val="auto"/>
              </w:rPr>
              <w:t>Weighted average grant-date fair value of</w:t>
            </w:r>
          </w:p>
        </w:tc>
        <w:tc>
          <w:tcPr>
            <w:tcW w:w="2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40" w:type="dxa"/>
            <w:vAlign w:val="bottom"/>
          </w:tcPr>
          <w:p>
            <w:pPr>
              <w:ind w:left="580"/>
              <w:spacing w:after="0"/>
              <w:rPr>
                <w:sz w:val="20"/>
                <w:szCs w:val="20"/>
                <w:color w:val="auto"/>
              </w:rPr>
            </w:pPr>
            <w:r>
              <w:rPr>
                <w:rFonts w:ascii="Arial" w:cs="Arial" w:eastAsia="Arial" w:hAnsi="Arial"/>
                <w:sz w:val="14"/>
                <w:szCs w:val="14"/>
                <w:color w:val="auto"/>
              </w:rPr>
              <w:t>options granted during the period</w:t>
            </w:r>
          </w:p>
        </w:tc>
        <w:tc>
          <w:tcPr>
            <w:tcW w:w="2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8.36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340" w:type="dxa"/>
            <w:vAlign w:val="bottom"/>
            <w:gridSpan w:val="3"/>
            <w:vMerge w:val="restart"/>
          </w:tcPr>
          <w:p>
            <w:pPr>
              <w:jc w:val="right"/>
              <w:ind w:right="1520"/>
              <w:spacing w:after="0"/>
              <w:rPr>
                <w:sz w:val="20"/>
                <w:szCs w:val="20"/>
                <w:color w:val="auto"/>
              </w:rPr>
            </w:pPr>
            <w:r>
              <w:rPr>
                <w:rFonts w:ascii="Arial" w:cs="Arial" w:eastAsia="Arial" w:hAnsi="Arial"/>
                <w:sz w:val="14"/>
                <w:szCs w:val="14"/>
                <w:color w:val="auto"/>
              </w:rPr>
              <w:t>F-42</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040" w:type="dxa"/>
            <w:vAlign w:val="bottom"/>
          </w:tcPr>
          <w:p>
            <w:pPr>
              <w:spacing w:after="0"/>
              <w:rPr>
                <w:sz w:val="24"/>
                <w:szCs w:val="24"/>
                <w:color w:val="auto"/>
              </w:rPr>
            </w:pPr>
          </w:p>
        </w:tc>
        <w:tc>
          <w:tcPr>
            <w:tcW w:w="33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4040" w:type="dxa"/>
            <w:vAlign w:val="bottom"/>
            <w:tcBorders>
              <w:bottom w:val="single" w:sz="8" w:color="808080"/>
            </w:tcBorders>
          </w:tcPr>
          <w:p>
            <w:pPr>
              <w:spacing w:after="0"/>
              <w:rPr>
                <w:sz w:val="7"/>
                <w:szCs w:val="7"/>
                <w:color w:val="auto"/>
              </w:rPr>
            </w:pPr>
          </w:p>
        </w:tc>
        <w:tc>
          <w:tcPr>
            <w:tcW w:w="204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49"/>
        </w:trPr>
        <w:tc>
          <w:tcPr>
            <w:tcW w:w="1920" w:type="dxa"/>
            <w:vAlign w:val="bottom"/>
            <w:gridSpan w:val="4"/>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38"/>
        </w:trPr>
        <w:tc>
          <w:tcPr>
            <w:tcW w:w="3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0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rPr>
              <w:t>VISTAGEN THERAPEUTICS, INC.</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4"/>
        </w:trPr>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0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rPr>
              <w:t>NOTES TO CONSOLIDATED FINANCIAL STATEMENTS</w:t>
            </w: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62"/>
        </w:trPr>
        <w:tc>
          <w:tcPr>
            <w:tcW w:w="8120" w:type="dxa"/>
            <w:vAlign w:val="bottom"/>
            <w:gridSpan w:val="13"/>
          </w:tcPr>
          <w:p>
            <w:pPr>
              <w:spacing w:after="0"/>
              <w:rPr>
                <w:sz w:val="20"/>
                <w:szCs w:val="20"/>
                <w:color w:val="auto"/>
              </w:rPr>
            </w:pPr>
            <w:r>
              <w:rPr>
                <w:rFonts w:ascii="Arial" w:cs="Arial" w:eastAsia="Arial" w:hAnsi="Arial"/>
                <w:sz w:val="14"/>
                <w:szCs w:val="14"/>
                <w:color w:val="auto"/>
                <w:w w:val="92"/>
              </w:rPr>
              <w:t>The following table summarizes information on stock options outstanding and exercisable under our stock option plans as of March 31, 2015:</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4"/>
        </w:trPr>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2"/>
              </w:rPr>
              <w:t>Options Outstanding</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color w:val="auto"/>
              </w:rPr>
              <w:t>Options Exercisable</w:t>
            </w:r>
          </w:p>
        </w:tc>
        <w:tc>
          <w:tcPr>
            <w:tcW w:w="1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60"/>
        </w:trPr>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2"/>
          </w:tcPr>
          <w:p>
            <w:pPr>
              <w:jc w:val="center"/>
              <w:ind w:right="160"/>
              <w:spacing w:after="0" w:line="160" w:lineRule="exact"/>
              <w:rPr>
                <w:sz w:val="20"/>
                <w:szCs w:val="20"/>
                <w:color w:val="auto"/>
              </w:rPr>
            </w:pPr>
            <w:r>
              <w:rPr>
                <w:rFonts w:ascii="Arial" w:cs="Arial" w:eastAsia="Arial" w:hAnsi="Arial"/>
                <w:sz w:val="14"/>
                <w:szCs w:val="14"/>
                <w:color w:val="auto"/>
                <w:w w:val="91"/>
              </w:rPr>
              <w:t>Weighted</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0"/>
        </w:trPr>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Average</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center"/>
              <w:ind w:right="1080"/>
              <w:spacing w:after="0"/>
              <w:rPr>
                <w:sz w:val="20"/>
                <w:szCs w:val="20"/>
                <w:color w:val="auto"/>
              </w:rPr>
            </w:pPr>
            <w:r>
              <w:rPr>
                <w:rFonts w:ascii="Arial" w:cs="Arial" w:eastAsia="Arial" w:hAnsi="Arial"/>
                <w:sz w:val="14"/>
                <w:szCs w:val="14"/>
                <w:color w:val="auto"/>
                <w:w w:val="91"/>
              </w:rPr>
              <w:t>Weighted</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Weighted</w:t>
            </w:r>
          </w:p>
        </w:tc>
      </w:tr>
      <w:tr>
        <w:trPr>
          <w:trHeight w:val="170"/>
        </w:trPr>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Remaining</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center"/>
              <w:ind w:right="1060"/>
              <w:spacing w:after="0"/>
              <w:rPr>
                <w:sz w:val="20"/>
                <w:szCs w:val="20"/>
                <w:color w:val="auto"/>
              </w:rPr>
            </w:pPr>
            <w:r>
              <w:rPr>
                <w:rFonts w:ascii="Arial" w:cs="Arial" w:eastAsia="Arial" w:hAnsi="Arial"/>
                <w:sz w:val="14"/>
                <w:szCs w:val="14"/>
                <w:color w:val="auto"/>
                <w:w w:val="91"/>
              </w:rPr>
              <w:t>Average</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88"/>
              </w:rPr>
              <w:t>Average</w:t>
            </w:r>
          </w:p>
        </w:tc>
      </w:tr>
      <w:tr>
        <w:trPr>
          <w:trHeight w:val="170"/>
        </w:trPr>
        <w:tc>
          <w:tcPr>
            <w:tcW w:w="320" w:type="dxa"/>
            <w:vAlign w:val="bottom"/>
          </w:tcPr>
          <w:p>
            <w:pPr>
              <w:spacing w:after="0"/>
              <w:rPr>
                <w:sz w:val="14"/>
                <w:szCs w:val="14"/>
                <w:color w:val="auto"/>
              </w:rPr>
            </w:pPr>
          </w:p>
        </w:tc>
        <w:tc>
          <w:tcPr>
            <w:tcW w:w="1600" w:type="dxa"/>
            <w:vAlign w:val="bottom"/>
            <w:gridSpan w:val="3"/>
          </w:tcPr>
          <w:p>
            <w:pPr>
              <w:jc w:val="center"/>
              <w:ind w:right="620"/>
              <w:spacing w:after="0"/>
              <w:rPr>
                <w:sz w:val="20"/>
                <w:szCs w:val="20"/>
                <w:color w:val="auto"/>
              </w:rPr>
            </w:pPr>
            <w:r>
              <w:rPr>
                <w:rFonts w:ascii="Arial" w:cs="Arial" w:eastAsia="Arial" w:hAnsi="Arial"/>
                <w:sz w:val="14"/>
                <w:szCs w:val="14"/>
                <w:color w:val="auto"/>
                <w:w w:val="93"/>
              </w:rPr>
              <w:t>Exercise</w:t>
            </w:r>
          </w:p>
        </w:tc>
        <w:tc>
          <w:tcPr>
            <w:tcW w:w="1900" w:type="dxa"/>
            <w:vAlign w:val="bottom"/>
            <w:gridSpan w:val="2"/>
          </w:tcPr>
          <w:p>
            <w:pPr>
              <w:jc w:val="right"/>
              <w:ind w:right="860"/>
              <w:spacing w:after="0"/>
              <w:rPr>
                <w:sz w:val="20"/>
                <w:szCs w:val="20"/>
                <w:color w:val="auto"/>
              </w:rPr>
            </w:pPr>
            <w:r>
              <w:rPr>
                <w:rFonts w:ascii="Arial" w:cs="Arial" w:eastAsia="Arial" w:hAnsi="Arial"/>
                <w:sz w:val="14"/>
                <w:szCs w:val="14"/>
                <w:color w:val="auto"/>
              </w:rPr>
              <w:t>Number</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Years until</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center"/>
              <w:ind w:right="1060"/>
              <w:spacing w:after="0"/>
              <w:rPr>
                <w:sz w:val="20"/>
                <w:szCs w:val="20"/>
                <w:color w:val="auto"/>
              </w:rPr>
            </w:pPr>
            <w:r>
              <w:rPr>
                <w:rFonts w:ascii="Arial" w:cs="Arial" w:eastAsia="Arial" w:hAnsi="Arial"/>
                <w:sz w:val="14"/>
                <w:szCs w:val="14"/>
                <w:color w:val="auto"/>
                <w:w w:val="89"/>
              </w:rPr>
              <w:t>Exercise</w:t>
            </w:r>
          </w:p>
        </w:tc>
        <w:tc>
          <w:tcPr>
            <w:tcW w:w="1520" w:type="dxa"/>
            <w:vAlign w:val="bottom"/>
            <w:gridSpan w:val="2"/>
          </w:tcPr>
          <w:p>
            <w:pPr>
              <w:jc w:val="right"/>
              <w:ind w:right="920"/>
              <w:spacing w:after="0"/>
              <w:rPr>
                <w:sz w:val="20"/>
                <w:szCs w:val="20"/>
                <w:color w:val="auto"/>
              </w:rPr>
            </w:pPr>
            <w:r>
              <w:rPr>
                <w:rFonts w:ascii="Arial" w:cs="Arial" w:eastAsia="Arial" w:hAnsi="Arial"/>
                <w:sz w:val="14"/>
                <w:szCs w:val="14"/>
                <w:color w:val="auto"/>
              </w:rPr>
              <w:t>Number</w:t>
            </w:r>
          </w:p>
        </w:tc>
        <w:tc>
          <w:tcPr>
            <w:tcW w:w="50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93"/>
              </w:rPr>
              <w:t>Exercise</w:t>
            </w:r>
          </w:p>
        </w:tc>
      </w:tr>
      <w:tr>
        <w:trPr>
          <w:trHeight w:val="182"/>
        </w:trPr>
        <w:tc>
          <w:tcPr>
            <w:tcW w:w="320" w:type="dxa"/>
            <w:vAlign w:val="bottom"/>
          </w:tcPr>
          <w:p>
            <w:pPr>
              <w:spacing w:after="0"/>
              <w:rPr>
                <w:sz w:val="15"/>
                <w:szCs w:val="15"/>
                <w:color w:val="auto"/>
              </w:rPr>
            </w:pPr>
          </w:p>
        </w:tc>
        <w:tc>
          <w:tcPr>
            <w:tcW w:w="1600" w:type="dxa"/>
            <w:vAlign w:val="bottom"/>
            <w:gridSpan w:val="3"/>
          </w:tcPr>
          <w:p>
            <w:pPr>
              <w:jc w:val="center"/>
              <w:ind w:right="620"/>
              <w:spacing w:after="0"/>
              <w:rPr>
                <w:sz w:val="20"/>
                <w:szCs w:val="20"/>
                <w:color w:val="auto"/>
              </w:rPr>
            </w:pPr>
            <w:r>
              <w:rPr>
                <w:rFonts w:ascii="Arial" w:cs="Arial" w:eastAsia="Arial" w:hAnsi="Arial"/>
                <w:sz w:val="14"/>
                <w:szCs w:val="14"/>
                <w:color w:val="auto"/>
                <w:w w:val="93"/>
              </w:rPr>
              <w:t>Price</w:t>
            </w:r>
          </w:p>
        </w:tc>
        <w:tc>
          <w:tcPr>
            <w:tcW w:w="1900" w:type="dxa"/>
            <w:vAlign w:val="bottom"/>
            <w:gridSpan w:val="2"/>
          </w:tcPr>
          <w:p>
            <w:pPr>
              <w:jc w:val="right"/>
              <w:ind w:right="760"/>
              <w:spacing w:after="0"/>
              <w:rPr>
                <w:sz w:val="20"/>
                <w:szCs w:val="20"/>
                <w:color w:val="auto"/>
              </w:rPr>
            </w:pPr>
            <w:r>
              <w:rPr>
                <w:rFonts w:ascii="Arial" w:cs="Arial" w:eastAsia="Arial" w:hAnsi="Arial"/>
                <w:sz w:val="14"/>
                <w:szCs w:val="14"/>
                <w:color w:val="auto"/>
              </w:rPr>
              <w:t>Outstanding</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Expiration</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3"/>
          </w:tcPr>
          <w:p>
            <w:pPr>
              <w:jc w:val="center"/>
              <w:ind w:right="1060"/>
              <w:spacing w:after="0"/>
              <w:rPr>
                <w:sz w:val="20"/>
                <w:szCs w:val="20"/>
                <w:color w:val="auto"/>
              </w:rPr>
            </w:pPr>
            <w:r>
              <w:rPr>
                <w:rFonts w:ascii="Arial" w:cs="Arial" w:eastAsia="Arial" w:hAnsi="Arial"/>
                <w:sz w:val="14"/>
                <w:szCs w:val="14"/>
                <w:color w:val="auto"/>
                <w:w w:val="87"/>
              </w:rPr>
              <w:t>Price</w:t>
            </w:r>
          </w:p>
        </w:tc>
        <w:tc>
          <w:tcPr>
            <w:tcW w:w="1520" w:type="dxa"/>
            <w:vAlign w:val="bottom"/>
            <w:gridSpan w:val="2"/>
          </w:tcPr>
          <w:p>
            <w:pPr>
              <w:jc w:val="right"/>
              <w:ind w:right="820"/>
              <w:spacing w:after="0"/>
              <w:rPr>
                <w:sz w:val="20"/>
                <w:szCs w:val="20"/>
                <w:color w:val="auto"/>
              </w:rPr>
            </w:pPr>
            <w:r>
              <w:rPr>
                <w:rFonts w:ascii="Arial" w:cs="Arial" w:eastAsia="Arial" w:hAnsi="Arial"/>
                <w:sz w:val="14"/>
                <w:szCs w:val="14"/>
                <w:color w:val="auto"/>
                <w:w w:val="93"/>
              </w:rPr>
              <w:t>Exercisable</w:t>
            </w:r>
          </w:p>
        </w:tc>
        <w:tc>
          <w:tcPr>
            <w:tcW w:w="500" w:type="dxa"/>
            <w:vAlign w:val="bottom"/>
          </w:tcPr>
          <w:p>
            <w:pPr>
              <w:spacing w:after="0"/>
              <w:rPr>
                <w:sz w:val="15"/>
                <w:szCs w:val="15"/>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93"/>
              </w:rPr>
              <w:t>Price</w:t>
            </w:r>
          </w:p>
        </w:tc>
      </w:tr>
      <w:tr>
        <w:trPr>
          <w:trHeight w:val="170"/>
        </w:trPr>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70"/>
        </w:trPr>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8.00</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49,590</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8.00</w:t>
            </w:r>
          </w:p>
        </w:tc>
        <w:tc>
          <w:tcPr>
            <w:tcW w:w="4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46,466</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8.00</w:t>
            </w:r>
          </w:p>
        </w:tc>
      </w:tr>
      <w:tr>
        <w:trPr>
          <w:trHeight w:val="170"/>
        </w:trPr>
        <w:tc>
          <w:tcPr>
            <w:tcW w:w="320" w:type="dxa"/>
            <w:vAlign w:val="bottom"/>
          </w:tcPr>
          <w:p>
            <w:pPr>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300"/>
              <w:spacing w:after="0"/>
              <w:rPr>
                <w:sz w:val="20"/>
                <w:szCs w:val="20"/>
                <w:color w:val="auto"/>
              </w:rPr>
            </w:pPr>
            <w:r>
              <w:rPr>
                <w:rFonts w:ascii="Arial" w:cs="Arial" w:eastAsia="Arial" w:hAnsi="Arial"/>
                <w:sz w:val="14"/>
                <w:szCs w:val="14"/>
                <w:color w:val="auto"/>
              </w:rPr>
              <w:t>10.00</w:t>
            </w:r>
          </w:p>
        </w:tc>
        <w:tc>
          <w:tcPr>
            <w:tcW w:w="1900" w:type="dxa"/>
            <w:vAlign w:val="bottom"/>
            <w:gridSpan w:val="2"/>
          </w:tcPr>
          <w:p>
            <w:pPr>
              <w:jc w:val="right"/>
              <w:ind w:right="300"/>
              <w:spacing w:after="0"/>
              <w:rPr>
                <w:sz w:val="20"/>
                <w:szCs w:val="20"/>
                <w:color w:val="auto"/>
              </w:rPr>
            </w:pPr>
            <w:r>
              <w:rPr>
                <w:rFonts w:ascii="Arial" w:cs="Arial" w:eastAsia="Arial" w:hAnsi="Arial"/>
                <w:sz w:val="14"/>
                <w:szCs w:val="14"/>
                <w:color w:val="auto"/>
              </w:rPr>
              <w:t>147,939</w:t>
            </w: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4.88</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color w:val="auto"/>
              </w:rPr>
              <w:t>142,751</w:t>
            </w: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10.00</w:t>
            </w:r>
          </w:p>
        </w:tc>
      </w:tr>
      <w:tr>
        <w:trPr>
          <w:trHeight w:val="172"/>
        </w:trPr>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14.40 to $36.00</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10,109</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4.64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w:t>
            </w: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9,796</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21.23</w:t>
            </w:r>
          </w:p>
        </w:tc>
      </w:tr>
      <w:tr>
        <w:trPr>
          <w:trHeight w:val="170"/>
        </w:trPr>
        <w:tc>
          <w:tcPr>
            <w:tcW w:w="3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3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11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190"/>
        </w:trPr>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300"/>
              <w:spacing w:after="0" w:line="151" w:lineRule="exact"/>
              <w:rPr>
                <w:sz w:val="20"/>
                <w:szCs w:val="20"/>
                <w:color w:val="auto"/>
              </w:rPr>
            </w:pPr>
            <w:r>
              <w:rPr>
                <w:rFonts w:ascii="Arial" w:cs="Arial" w:eastAsia="Arial" w:hAnsi="Arial"/>
                <w:sz w:val="14"/>
                <w:szCs w:val="14"/>
                <w:color w:val="auto"/>
              </w:rPr>
              <w:t>207,638</w:t>
            </w:r>
          </w:p>
        </w:tc>
        <w:tc>
          <w:tcPr>
            <w:tcW w:w="178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5.51</w:t>
            </w:r>
          </w:p>
        </w:tc>
        <w:tc>
          <w:tcPr>
            <w:tcW w:w="460" w:type="dxa"/>
            <w:vAlign w:val="bottom"/>
            <w:gridSpan w:val="2"/>
            <w:shd w:val="clear" w:color="auto" w:fill="CCEEFF"/>
          </w:tcPr>
          <w:p>
            <w:pPr>
              <w:jc w:val="right"/>
              <w:ind w:right="240"/>
              <w:spacing w:after="0" w:line="151"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10.09</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320"/>
              <w:spacing w:after="0" w:line="151" w:lineRule="exact"/>
              <w:rPr>
                <w:sz w:val="20"/>
                <w:szCs w:val="20"/>
                <w:color w:val="auto"/>
              </w:rPr>
            </w:pPr>
            <w:r>
              <w:rPr>
                <w:rFonts w:ascii="Arial" w:cs="Arial" w:eastAsia="Arial" w:hAnsi="Arial"/>
                <w:sz w:val="14"/>
                <w:szCs w:val="14"/>
                <w:color w:val="auto"/>
              </w:rPr>
              <w:t>199,013</w:t>
            </w:r>
          </w:p>
        </w:tc>
        <w:tc>
          <w:tcPr>
            <w:tcW w:w="500" w:type="dxa"/>
            <w:vAlign w:val="bottom"/>
            <w:shd w:val="clear" w:color="auto" w:fill="CCEEFF"/>
          </w:tcPr>
          <w:p>
            <w:pPr>
              <w:jc w:val="right"/>
              <w:ind w:right="349"/>
              <w:spacing w:after="0" w:line="151"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10.09</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At March 31, 2015, there were 40,491 shares of our common stock remaining available for grant under the 2008 Plan. There were no option exercises during the years ended March 31, 2015 or 2014.</w:t>
      </w:r>
    </w:p>
    <w:p>
      <w:pPr>
        <w:spacing w:after="0" w:line="213" w:lineRule="exact"/>
        <w:rPr>
          <w:sz w:val="20"/>
          <w:szCs w:val="20"/>
          <w:color w:val="auto"/>
        </w:rPr>
      </w:pPr>
    </w:p>
    <w:p>
      <w:pPr>
        <w:jc w:val="both"/>
        <w:ind w:right="160"/>
        <w:spacing w:after="0" w:line="370" w:lineRule="auto"/>
        <w:rPr>
          <w:sz w:val="20"/>
          <w:szCs w:val="20"/>
          <w:color w:val="auto"/>
        </w:rPr>
      </w:pPr>
      <w:r>
        <w:rPr>
          <w:rFonts w:ascii="Arial" w:cs="Arial" w:eastAsia="Arial" w:hAnsi="Arial"/>
          <w:sz w:val="12"/>
          <w:szCs w:val="12"/>
          <w:color w:val="auto"/>
        </w:rPr>
        <w:t>Aggregate intrinsic value is the sum of the amounts by which the fair value of the underlying common stock exceeded the exercise price of the option (</w:t>
      </w:r>
      <w:r>
        <w:rPr>
          <w:rFonts w:ascii="Arial" w:cs="Arial" w:eastAsia="Arial" w:hAnsi="Arial"/>
          <w:sz w:val="12"/>
          <w:szCs w:val="12"/>
          <w:i w:val="1"/>
          <w:iCs w:val="1"/>
          <w:color w:val="auto"/>
        </w:rPr>
        <w:t>in-the-money-options</w:t>
      </w:r>
      <w:r>
        <w:rPr>
          <w:rFonts w:ascii="Arial" w:cs="Arial" w:eastAsia="Arial" w:hAnsi="Arial"/>
          <w:sz w:val="12"/>
          <w:szCs w:val="12"/>
          <w:color w:val="auto"/>
        </w:rPr>
        <w:t>). Based on the $10.00 per share quoted market price of our common stock on March 31, 2015, the aggregate intrinsic value of outstanding options at that date was $99,200, of which $92,900 related to exercisable options.</w:t>
      </w:r>
    </w:p>
    <w:p>
      <w:pPr>
        <w:spacing w:after="0" w:line="107" w:lineRule="exact"/>
        <w:rPr>
          <w:sz w:val="20"/>
          <w:szCs w:val="20"/>
          <w:color w:val="auto"/>
        </w:rPr>
      </w:pPr>
    </w:p>
    <w:p>
      <w:pPr>
        <w:ind w:right="280"/>
        <w:spacing w:after="0" w:line="298" w:lineRule="auto"/>
        <w:rPr>
          <w:sz w:val="20"/>
          <w:szCs w:val="20"/>
          <w:color w:val="auto"/>
        </w:rPr>
      </w:pPr>
      <w:r>
        <w:rPr>
          <w:rFonts w:ascii="Arial" w:cs="Arial" w:eastAsia="Arial" w:hAnsi="Arial"/>
          <w:sz w:val="13"/>
          <w:szCs w:val="13"/>
          <w:color w:val="auto"/>
        </w:rPr>
        <w:t>As of March 31, 2015, there was approximately $71,700 of unrecognized compensation cost related to non-vested share-based compensation awards from the 2008 Plan, which is expected to be recognized through May 2016. Additionally, at March 31, 2015 there was approximately $27,000 of unrecognized compensation cost related to unvested warrant grants to independent directors and officers, which is expected to be recognized through March 2016 absent any conditions which would accelerate the vesting of the awards and corresponding expense recognition.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401(k) Plan</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Related Party Transactions</w:t>
      </w:r>
    </w:p>
    <w:p>
      <w:pPr>
        <w:spacing w:after="0" w:line="205"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Cato Holding Company (</w:t>
      </w:r>
      <w:r>
        <w:rPr>
          <w:rFonts w:ascii="Arial" w:cs="Arial" w:eastAsia="Arial" w:hAnsi="Arial"/>
          <w:sz w:val="13"/>
          <w:szCs w:val="13"/>
          <w:i w:val="1"/>
          <w:iCs w:val="1"/>
          <w:color w:val="auto"/>
        </w:rPr>
        <w:t>CHC</w:t>
      </w:r>
      <w:r>
        <w:rPr>
          <w:rFonts w:ascii="Arial" w:cs="Arial" w:eastAsia="Arial" w:hAnsi="Arial"/>
          <w:sz w:val="13"/>
          <w:szCs w:val="13"/>
          <w:color w:val="auto"/>
        </w:rPr>
        <w:t>), doing business as Cato BioVentures (</w:t>
      </w:r>
      <w:r>
        <w:rPr>
          <w:rFonts w:ascii="Arial" w:cs="Arial" w:eastAsia="Arial" w:hAnsi="Arial"/>
          <w:sz w:val="13"/>
          <w:szCs w:val="13"/>
          <w:i w:val="1"/>
          <w:iCs w:val="1"/>
          <w:color w:val="auto"/>
        </w:rPr>
        <w:t>CBV</w:t>
      </w:r>
      <w:r>
        <w:rPr>
          <w:rFonts w:ascii="Arial" w:cs="Arial" w:eastAsia="Arial" w:hAnsi="Arial"/>
          <w:sz w:val="13"/>
          <w:szCs w:val="13"/>
          <w:color w:val="auto"/>
        </w:rPr>
        <w:t xml:space="preserve">), the parent of CRL,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$310,400 (the </w:t>
      </w:r>
      <w:r>
        <w:rPr>
          <w:rFonts w:ascii="Arial" w:cs="Arial" w:eastAsia="Arial" w:hAnsi="Arial"/>
          <w:sz w:val="13"/>
          <w:szCs w:val="13"/>
          <w:i w:val="1"/>
          <w:iCs w:val="1"/>
          <w:color w:val="auto"/>
        </w:rPr>
        <w:t>2012 CHC Note</w:t>
      </w:r>
      <w:r>
        <w:rPr>
          <w:rFonts w:ascii="Arial" w:cs="Arial" w:eastAsia="Arial" w:hAnsi="Arial"/>
          <w:sz w:val="13"/>
          <w:szCs w:val="13"/>
          <w:color w:val="auto"/>
        </w:rPr>
        <w:t xml:space="preserve">) and a five-year warrant to purchase 12,500 restricted shares of our common stock at a price of $30.00 per share (the </w:t>
      </w:r>
      <w:r>
        <w:rPr>
          <w:rFonts w:ascii="Arial" w:cs="Arial" w:eastAsia="Arial" w:hAnsi="Arial"/>
          <w:sz w:val="13"/>
          <w:szCs w:val="13"/>
          <w:i w:val="1"/>
          <w:iCs w:val="1"/>
          <w:color w:val="auto"/>
        </w:rPr>
        <w:t>CHC Warrant</w:t>
      </w:r>
      <w:r>
        <w:rPr>
          <w:rFonts w:ascii="Arial" w:cs="Arial" w:eastAsia="Arial" w:hAnsi="Arial"/>
          <w:sz w:val="13"/>
          <w:szCs w:val="13"/>
          <w:color w:val="auto"/>
        </w:rPr>
        <w:t xml:space="preserve">). Additionally, on October 10, 2012, we issued to CRL: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3"/>
          <w:szCs w:val="13"/>
          <w:i w:val="1"/>
          <w:iCs w:val="1"/>
          <w:color w:val="auto"/>
        </w:rPr>
        <w:t>CRL Note</w:t>
      </w:r>
      <w:r>
        <w:rPr>
          <w:rFonts w:ascii="Arial" w:cs="Arial" w:eastAsia="Arial" w:hAnsi="Arial"/>
          <w:sz w:val="13"/>
          <w:szCs w:val="13"/>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2012 CHC Note and the CRL Note mature on March 31, 2016.</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86" w:name="page187"/>
    <w:bookmarkEnd w:id="18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During fiscal year 2007, VistaGen California entered into a contract research organization arrangement with CRL related to the development of AV-101, under which we incurred expenses of $38,100 and $52,500 for the fiscal years ended March 31, 2015 and 2014, respectively. Total interest expense on notes payable to CHC and CRL was $174,800 and $167,900 for the fiscal years ended March 31, 2015 and 2014, respectively.</w:t>
      </w:r>
    </w:p>
    <w:p>
      <w:pPr>
        <w:spacing w:after="0" w:line="163" w:lineRule="exact"/>
        <w:rPr>
          <w:sz w:val="20"/>
          <w:szCs w:val="20"/>
          <w:color w:val="auto"/>
        </w:rPr>
      </w:pPr>
    </w:p>
    <w:p>
      <w:pPr>
        <w:ind w:right="120"/>
        <w:spacing w:after="0" w:line="311" w:lineRule="auto"/>
        <w:rPr>
          <w:sz w:val="20"/>
          <w:szCs w:val="20"/>
          <w:color w:val="auto"/>
        </w:rPr>
      </w:pPr>
      <w:r>
        <w:rPr>
          <w:rFonts w:ascii="Arial" w:cs="Arial" w:eastAsia="Arial" w:hAnsi="Arial"/>
          <w:sz w:val="12"/>
          <w:szCs w:val="12"/>
          <w:color w:val="auto"/>
        </w:rPr>
        <w:t>Upon the approval of its Board of Directors, in December 2006, VistaGen California accepted a full-recourse promissory note in the amount of $103,400 from Mr. Shawn Singh in payment of the exercise price for options and warrants to purchase an aggregate of 6,320 restricted shares of VistaGen California’s common stock. The note accrued interest at a rate of 4.90% per annum and was due and payable no later than the earlier of (i) December 1, 2016 or (ii) ten days prior to VistaGen California becoming subject to the requirements of the Securities Exchange Act of 1934, as amended (</w:t>
      </w:r>
      <w:r>
        <w:rPr>
          <w:rFonts w:ascii="Arial" w:cs="Arial" w:eastAsia="Arial" w:hAnsi="Arial"/>
          <w:sz w:val="12"/>
          <w:szCs w:val="12"/>
          <w:i w:val="1"/>
          <w:iCs w:val="1"/>
          <w:color w:val="auto"/>
        </w:rPr>
        <w:t>Exchange Act</w:t>
      </w:r>
      <w:r>
        <w:rPr>
          <w:rFonts w:ascii="Arial" w:cs="Arial" w:eastAsia="Arial" w:hAnsi="Arial"/>
          <w:sz w:val="12"/>
          <w:szCs w:val="12"/>
          <w:color w:val="auto"/>
        </w:rPr>
        <w: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2015 and 2014, we had accrued $101,900 as an estimate of the gross-up amount, but we had not yet paid any of that amount to Mr. Singh.</w:t>
      </w:r>
    </w:p>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the 2013 Unit Private Placement. At March 31, 2015, we have completely repaid the balance of the advances and the $50,000 promissory note issued in connection with his investment in the 2013 Unit Private Placement to Mr. Singh.</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Commitments, Contingencies, Guarantees and Indemnifications</w:t>
      </w:r>
    </w:p>
    <w:p>
      <w:pPr>
        <w:spacing w:after="0" w:line="205" w:lineRule="exact"/>
        <w:rPr>
          <w:sz w:val="20"/>
          <w:szCs w:val="20"/>
          <w:color w:val="auto"/>
        </w:rPr>
      </w:pPr>
    </w:p>
    <w:p>
      <w:pPr>
        <w:ind w:right="160"/>
        <w:spacing w:after="0" w:line="283" w:lineRule="auto"/>
        <w:rPr>
          <w:sz w:val="20"/>
          <w:szCs w:val="20"/>
          <w:color w:val="auto"/>
        </w:rPr>
      </w:pPr>
      <w:r>
        <w:rPr>
          <w:rFonts w:ascii="Arial" w:cs="Arial" w:eastAsia="Arial" w:hAnsi="Arial"/>
          <w:sz w:val="14"/>
          <w:szCs w:val="14"/>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its cash flows.</w:t>
      </w:r>
    </w:p>
    <w:p>
      <w:pPr>
        <w:spacing w:after="0" w:line="153"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2015 or 2014.</w:t>
      </w:r>
    </w:p>
    <w:p>
      <w:pPr>
        <w:spacing w:after="0" w:line="147" w:lineRule="exact"/>
        <w:rPr>
          <w:sz w:val="20"/>
          <w:szCs w:val="20"/>
          <w:color w:val="auto"/>
        </w:rPr>
      </w:pPr>
    </w:p>
    <w:p>
      <w:pPr>
        <w:jc w:val="both"/>
        <w:ind w:right="80"/>
        <w:spacing w:after="0" w:line="302" w:lineRule="auto"/>
        <w:rPr>
          <w:sz w:val="20"/>
          <w:szCs w:val="20"/>
          <w:color w:val="auto"/>
        </w:rPr>
      </w:pPr>
      <w:r>
        <w:rPr>
          <w:rFonts w:ascii="Arial" w:cs="Arial" w:eastAsia="Arial" w:hAnsi="Arial"/>
          <w:sz w:val="12"/>
          <w:szCs w:val="12"/>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w:t>
      </w:r>
    </w:p>
    <w:p>
      <w:pPr>
        <w:ind w:right="40"/>
        <w:spacing w:after="0" w:line="260" w:lineRule="auto"/>
        <w:rPr>
          <w:sz w:val="20"/>
          <w:szCs w:val="20"/>
          <w:color w:val="auto"/>
        </w:rPr>
      </w:pPr>
      <w:r>
        <w:rPr>
          <w:rFonts w:ascii="Arial" w:cs="Arial" w:eastAsia="Arial" w:hAnsi="Arial"/>
          <w:sz w:val="14"/>
          <w:szCs w:val="14"/>
          <w:color w:val="auto"/>
        </w:rPr>
        <w:t>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as of March 31, 2015 or 2014.</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49"/>
        </w:trPr>
        <w:tc>
          <w:tcPr>
            <w:tcW w:w="884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38"/>
        </w:trPr>
        <w:tc>
          <w:tcPr>
            <w:tcW w:w="900" w:type="dxa"/>
            <w:vAlign w:val="bottom"/>
            <w:tcBorders>
              <w:top w:val="single" w:sz="8" w:color="0000EE"/>
            </w:tcBorders>
          </w:tcPr>
          <w:p>
            <w:pPr>
              <w:spacing w:after="0"/>
              <w:rPr>
                <w:sz w:val="24"/>
                <w:szCs w:val="24"/>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rPr>
              <w:t>VISTAGEN THERAPEUTICS,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4"/>
        </w:trPr>
        <w:tc>
          <w:tcPr>
            <w:tcW w:w="900" w:type="dxa"/>
            <w:vAlign w:val="bottom"/>
          </w:tcPr>
          <w:p>
            <w:pPr>
              <w:spacing w:after="0"/>
              <w:rPr>
                <w:sz w:val="16"/>
                <w:szCs w:val="16"/>
                <w:color w:val="auto"/>
              </w:rPr>
            </w:pPr>
          </w:p>
        </w:tc>
        <w:tc>
          <w:tcPr>
            <w:tcW w:w="7940" w:type="dxa"/>
            <w:vAlign w:val="bottom"/>
          </w:tcPr>
          <w:p>
            <w:pPr>
              <w:jc w:val="center"/>
              <w:ind w:left="1669"/>
              <w:spacing w:after="0"/>
              <w:rPr>
                <w:sz w:val="20"/>
                <w:szCs w:val="20"/>
                <w:color w:val="auto"/>
              </w:rPr>
            </w:pPr>
            <w:r>
              <w:rPr>
                <w:rFonts w:ascii="Arial" w:cs="Arial" w:eastAsia="Arial" w:hAnsi="Arial"/>
                <w:sz w:val="14"/>
                <w:szCs w:val="14"/>
                <w:b w:val="1"/>
                <w:bCs w:val="1"/>
                <w:color w:val="auto"/>
              </w:rPr>
              <w:t>NOTES TO CONSOLIDATED FINANCIAL STATEMENTS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8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Leases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2"/>
        </w:trPr>
        <w:tc>
          <w:tcPr>
            <w:tcW w:w="8840" w:type="dxa"/>
            <w:vAlign w:val="bottom"/>
            <w:gridSpan w:val="2"/>
          </w:tcPr>
          <w:p>
            <w:pPr>
              <w:spacing w:after="0"/>
              <w:rPr>
                <w:sz w:val="20"/>
                <w:szCs w:val="20"/>
                <w:color w:val="auto"/>
              </w:rPr>
            </w:pPr>
            <w:r>
              <w:rPr>
                <w:rFonts w:ascii="Arial" w:cs="Arial" w:eastAsia="Arial" w:hAnsi="Arial"/>
                <w:sz w:val="14"/>
                <w:szCs w:val="14"/>
                <w:color w:val="auto"/>
              </w:rPr>
              <w:t>As of March 31, 2015 and 2014, the following assets are under capital lease obligations and included in property and equipment: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9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color w:val="auto"/>
              </w:rPr>
              <w:t>March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170"/>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Laboratory equipment</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19,000</w:t>
            </w:r>
          </w:p>
        </w:tc>
      </w:tr>
      <w:tr>
        <w:trPr>
          <w:trHeight w:val="172"/>
        </w:trPr>
        <w:tc>
          <w:tcPr>
            <w:tcW w:w="8840" w:type="dxa"/>
            <w:vAlign w:val="bottom"/>
            <w:gridSpan w:val="2"/>
          </w:tcPr>
          <w:p>
            <w:pPr>
              <w:spacing w:after="0"/>
              <w:rPr>
                <w:sz w:val="20"/>
                <w:szCs w:val="20"/>
                <w:color w:val="auto"/>
              </w:rPr>
            </w:pPr>
            <w:r>
              <w:rPr>
                <w:rFonts w:ascii="Arial" w:cs="Arial" w:eastAsia="Arial" w:hAnsi="Arial"/>
                <w:sz w:val="14"/>
                <w:szCs w:val="14"/>
                <w:color w:val="auto"/>
              </w:rPr>
              <w:t>Office equipment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4,500</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4,500</w:t>
            </w:r>
          </w:p>
        </w:tc>
        <w:tc>
          <w:tcPr>
            <w:tcW w:w="100" w:type="dxa"/>
            <w:vAlign w:val="bottom"/>
          </w:tcPr>
          <w:p>
            <w:pPr>
              <w:spacing w:after="0"/>
              <w:rPr>
                <w:sz w:val="14"/>
                <w:szCs w:val="14"/>
                <w:color w:val="auto"/>
              </w:rPr>
            </w:pPr>
          </w:p>
        </w:tc>
      </w:tr>
      <w:tr>
        <w:trPr>
          <w:trHeight w:val="170"/>
        </w:trPr>
        <w:tc>
          <w:tcPr>
            <w:tcW w:w="900" w:type="dxa"/>
            <w:vAlign w:val="bottom"/>
            <w:shd w:val="clear" w:color="auto" w:fill="CCEEFF"/>
          </w:tcPr>
          <w:p>
            <w:pPr>
              <w:spacing w:after="0"/>
              <w:rPr>
                <w:sz w:val="14"/>
                <w:szCs w:val="14"/>
                <w:color w:val="auto"/>
              </w:rPr>
            </w:pPr>
          </w:p>
        </w:tc>
        <w:tc>
          <w:tcPr>
            <w:tcW w:w="7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23,500</w:t>
            </w:r>
          </w:p>
        </w:tc>
      </w:tr>
      <w:tr>
        <w:trPr>
          <w:trHeight w:val="172"/>
        </w:trPr>
        <w:tc>
          <w:tcPr>
            <w:tcW w:w="8840" w:type="dxa"/>
            <w:vAlign w:val="bottom"/>
            <w:gridSpan w:val="2"/>
          </w:tcPr>
          <w:p>
            <w:pPr>
              <w:spacing w:after="0"/>
              <w:rPr>
                <w:sz w:val="20"/>
                <w:szCs w:val="20"/>
                <w:color w:val="auto"/>
              </w:rPr>
            </w:pPr>
            <w:r>
              <w:rPr>
                <w:rFonts w:ascii="Arial" w:cs="Arial" w:eastAsia="Arial" w:hAnsi="Arial"/>
                <w:sz w:val="14"/>
                <w:szCs w:val="14"/>
                <w:color w:val="auto"/>
              </w:rPr>
              <w:t>Accumulated depreciation</w:t>
            </w:r>
          </w:p>
        </w:tc>
        <w:tc>
          <w:tcPr>
            <w:tcW w:w="24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(2,500)</w:t>
            </w:r>
          </w:p>
        </w:tc>
        <w:tc>
          <w:tcPr>
            <w:tcW w:w="3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(11,100)</w:t>
            </w:r>
          </w:p>
        </w:tc>
      </w:tr>
      <w:tr>
        <w:trPr>
          <w:trHeight w:val="170"/>
        </w:trPr>
        <w:tc>
          <w:tcPr>
            <w:tcW w:w="900" w:type="dxa"/>
            <w:vAlign w:val="bottom"/>
            <w:shd w:val="clear" w:color="auto" w:fill="CCEEFF"/>
          </w:tcPr>
          <w:p>
            <w:pPr>
              <w:spacing w:after="0"/>
              <w:rPr>
                <w:sz w:val="14"/>
                <w:szCs w:val="14"/>
                <w:color w:val="auto"/>
              </w:rPr>
            </w:pPr>
          </w:p>
        </w:tc>
        <w:tc>
          <w:tcPr>
            <w:tcW w:w="79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840" w:type="dxa"/>
            <w:vAlign w:val="bottom"/>
            <w:gridSpan w:val="2"/>
          </w:tcPr>
          <w:p>
            <w:pPr>
              <w:spacing w:after="0"/>
              <w:rPr>
                <w:sz w:val="20"/>
                <w:szCs w:val="20"/>
                <w:color w:val="auto"/>
              </w:rPr>
            </w:pPr>
            <w:r>
              <w:rPr>
                <w:rFonts w:ascii="Arial" w:cs="Arial" w:eastAsia="Arial" w:hAnsi="Arial"/>
                <w:sz w:val="14"/>
                <w:szCs w:val="14"/>
                <w:color w:val="auto"/>
              </w:rPr>
              <w:t>Net book value</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2,000</w:t>
            </w:r>
          </w:p>
        </w:tc>
        <w:tc>
          <w:tcPr>
            <w:tcW w:w="240" w:type="dxa"/>
            <w:vAlign w:val="bottom"/>
          </w:tcPr>
          <w:p>
            <w:pPr>
              <w:spacing w:after="0"/>
              <w:rPr>
                <w:sz w:val="14"/>
                <w:szCs w:val="14"/>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12,400</w:t>
            </w: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Amortization expense for assets recorded under capital leases is included in depreciation expense. Future minimum payments, by year and in the aggregate, required under capital leases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Capital</w:t>
            </w:r>
          </w:p>
        </w:tc>
      </w:tr>
      <w:tr>
        <w:trPr>
          <w:trHeight w:val="182"/>
        </w:trPr>
        <w:tc>
          <w:tcPr>
            <w:tcW w:w="10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Ending March 31,</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color w:val="auto"/>
                <w:w w:val="88"/>
              </w:rPr>
              <w:t>Leases</w:t>
            </w:r>
          </w:p>
        </w:tc>
        <w:tc>
          <w:tcPr>
            <w:tcW w:w="100" w:type="dxa"/>
            <w:vAlign w:val="bottom"/>
          </w:tcPr>
          <w:p>
            <w:pPr>
              <w:spacing w:after="0"/>
              <w:rPr>
                <w:sz w:val="15"/>
                <w:szCs w:val="15"/>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2016</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CCEEFF"/>
          </w:tcPr>
          <w:p>
            <w:pPr>
              <w:spacing w:after="0"/>
              <w:rPr>
                <w:sz w:val="14"/>
                <w:szCs w:val="14"/>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4"/>
                <w:szCs w:val="14"/>
                <w:color w:val="auto"/>
              </w:rPr>
            </w:pPr>
          </w:p>
        </w:tc>
      </w:tr>
      <w:tr>
        <w:trPr>
          <w:trHeight w:val="172"/>
        </w:trPr>
        <w:tc>
          <w:tcPr>
            <w:tcW w:w="10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Future minimum lease payments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2,500</w:t>
            </w:r>
          </w:p>
        </w:tc>
        <w:tc>
          <w:tcPr>
            <w:tcW w:w="100" w:type="dxa"/>
            <w:vAlign w:val="bottom"/>
          </w:tcPr>
          <w:p>
            <w:pPr>
              <w:spacing w:after="0"/>
              <w:rPr>
                <w:sz w:val="14"/>
                <w:szCs w:val="14"/>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10080" w:type="dxa"/>
            <w:vAlign w:val="bottom"/>
          </w:tcPr>
          <w:p>
            <w:pPr>
              <w:spacing w:after="0"/>
              <w:rPr>
                <w:sz w:val="20"/>
                <w:szCs w:val="20"/>
                <w:color w:val="auto"/>
              </w:rPr>
            </w:pPr>
            <w:r>
              <w:rPr>
                <w:rFonts w:ascii="Arial" w:cs="Arial" w:eastAsia="Arial" w:hAnsi="Arial"/>
                <w:sz w:val="14"/>
                <w:szCs w:val="14"/>
                <w:color w:val="auto"/>
              </w:rPr>
              <w:t>Less imputed interest included in minimum lease payments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Present value of minimum lease payments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4"/>
                <w:szCs w:val="14"/>
                <w:color w:val="auto"/>
              </w:rPr>
            </w:pP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10080" w:type="dxa"/>
            <w:vAlign w:val="bottom"/>
          </w:tcPr>
          <w:p>
            <w:pPr>
              <w:spacing w:after="0"/>
              <w:rPr>
                <w:sz w:val="20"/>
                <w:szCs w:val="20"/>
                <w:color w:val="auto"/>
              </w:rPr>
            </w:pPr>
            <w:r>
              <w:rPr>
                <w:rFonts w:ascii="Arial" w:cs="Arial" w:eastAsia="Arial" w:hAnsi="Arial"/>
                <w:sz w:val="14"/>
                <w:szCs w:val="14"/>
                <w:color w:val="auto"/>
              </w:rPr>
              <w:t>Less current portion</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r>
      <w:tr>
        <w:trPr>
          <w:trHeight w:val="170"/>
        </w:trPr>
        <w:tc>
          <w:tcPr>
            <w:tcW w:w="10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Non-current capital lease obligation</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4"/>
                <w:szCs w:val="14"/>
                <w:color w:val="auto"/>
              </w:rPr>
            </w:pPr>
          </w:p>
        </w:tc>
      </w:tr>
      <w:tr>
        <w:trPr>
          <w:trHeight w:val="20"/>
        </w:trPr>
        <w:tc>
          <w:tcPr>
            <w:tcW w:w="102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3"/>
        </w:trPr>
        <w:tc>
          <w:tcPr>
            <w:tcW w:w="10440" w:type="dxa"/>
            <w:vAlign w:val="bottom"/>
            <w:gridSpan w:val="3"/>
          </w:tcPr>
          <w:p>
            <w:pPr>
              <w:ind w:left="520"/>
              <w:spacing w:after="0"/>
              <w:rPr>
                <w:sz w:val="20"/>
                <w:szCs w:val="20"/>
                <w:color w:val="auto"/>
              </w:rPr>
            </w:pPr>
            <w:r>
              <w:rPr>
                <w:rFonts w:ascii="Arial" w:cs="Arial" w:eastAsia="Arial" w:hAnsi="Arial"/>
                <w:sz w:val="14"/>
                <w:szCs w:val="14"/>
                <w:color w:val="auto"/>
                <w:w w:val="93"/>
              </w:rPr>
              <w:t>At March 31, 2015, future minimum payments under operating leases relate to our facility lease in South San Francisco, California through July 31, 2017 and are as follows: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10080" w:type="dxa"/>
            <w:vAlign w:val="bottom"/>
          </w:tcPr>
          <w:p>
            <w:pPr>
              <w:spacing w:after="0"/>
              <w:rPr>
                <w:sz w:val="20"/>
                <w:szCs w:val="20"/>
                <w:color w:val="auto"/>
              </w:rPr>
            </w:pPr>
            <w:r>
              <w:rPr>
                <w:rFonts w:ascii="Arial" w:cs="Arial" w:eastAsia="Arial" w:hAnsi="Arial"/>
                <w:sz w:val="14"/>
                <w:szCs w:val="14"/>
                <w:color w:val="auto"/>
              </w:rPr>
              <w:t>Fiscal Years Ending March 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Amount</w:t>
            </w:r>
          </w:p>
        </w:tc>
      </w:tr>
      <w:tr>
        <w:trPr>
          <w:trHeight w:val="170"/>
        </w:trPr>
        <w:tc>
          <w:tcPr>
            <w:tcW w:w="10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264,000</w:t>
            </w:r>
          </w:p>
        </w:tc>
        <w:tc>
          <w:tcPr>
            <w:tcW w:w="100" w:type="dxa"/>
            <w:vAlign w:val="bottom"/>
            <w:shd w:val="clear" w:color="auto" w:fill="CCEEFF"/>
          </w:tcPr>
          <w:p>
            <w:pPr>
              <w:spacing w:after="0"/>
              <w:rPr>
                <w:sz w:val="14"/>
                <w:szCs w:val="14"/>
                <w:color w:val="auto"/>
              </w:rPr>
            </w:pP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277,100</w:t>
            </w:r>
          </w:p>
        </w:tc>
        <w:tc>
          <w:tcPr>
            <w:tcW w:w="100" w:type="dxa"/>
            <w:vAlign w:val="bottom"/>
          </w:tcPr>
          <w:p>
            <w:pPr>
              <w:spacing w:after="0"/>
              <w:rPr>
                <w:sz w:val="14"/>
                <w:szCs w:val="14"/>
                <w:color w:val="auto"/>
              </w:rPr>
            </w:pPr>
          </w:p>
        </w:tc>
      </w:tr>
      <w:tr>
        <w:trPr>
          <w:trHeight w:val="172"/>
        </w:trPr>
        <w:tc>
          <w:tcPr>
            <w:tcW w:w="10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93,800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70"/>
        </w:trPr>
        <w:tc>
          <w:tcPr>
            <w:tcW w:w="10080" w:type="dxa"/>
            <w:vAlign w:val="bottom"/>
          </w:tcPr>
          <w:p>
            <w:pPr>
              <w:spacing w:after="0"/>
              <w:rPr>
                <w:sz w:val="14"/>
                <w:szCs w:val="14"/>
                <w:color w:val="auto"/>
              </w:rPr>
            </w:pP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634,900</w:t>
            </w:r>
          </w:p>
        </w:tc>
        <w:tc>
          <w:tcPr>
            <w:tcW w:w="100" w:type="dxa"/>
            <w:vAlign w:val="bottom"/>
          </w:tcPr>
          <w:p>
            <w:pPr>
              <w:spacing w:after="0"/>
              <w:rPr>
                <w:sz w:val="14"/>
                <w:szCs w:val="14"/>
                <w:color w:val="auto"/>
              </w:rPr>
            </w:pPr>
          </w:p>
        </w:tc>
      </w:tr>
      <w:tr>
        <w:trPr>
          <w:trHeight w:val="20"/>
        </w:trPr>
        <w:tc>
          <w:tcPr>
            <w:tcW w:w="10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We incurred total facility rent expense for the fiscal years ended March 31, 2015 and 2014 of $337,000 and $284,100 , respectively.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88" w:name="page189"/>
    <w:bookmarkEnd w:id="18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Long-Term Debt Repayment</w:t>
      </w:r>
    </w:p>
    <w:p>
      <w:pPr>
        <w:spacing w:after="0" w:line="180"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color w:val="auto"/>
        </w:rPr>
        <w:t xml:space="preserve">At March 31, 2015, assuming that all outstanding convertible notes are converted into shares of common stock in accordance with their respective conversion provisions and that Replacement Note B issued to Morrison &amp; Foerster, the CRL Note and the UHN Note, each as described further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are repaid through the issuance of restricted common stock upon the exercise of the warrants associated with such notes, future minimum principal payments related to long-term debt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Ending March 31,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5"/>
                <w:szCs w:val="15"/>
                <w:color w:val="auto"/>
              </w:rPr>
            </w:pP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2016</w:t>
            </w:r>
          </w:p>
        </w:tc>
        <w:tc>
          <w:tcPr>
            <w:tcW w:w="34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2,185,700</w:t>
            </w: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9,800</w:t>
            </w:r>
          </w:p>
        </w:tc>
      </w:tr>
      <w:tr>
        <w:trPr>
          <w:trHeight w:val="170"/>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10,500</w:t>
            </w:r>
          </w:p>
        </w:tc>
      </w:tr>
      <w:tr>
        <w:trPr>
          <w:trHeight w:val="170"/>
        </w:trPr>
        <w:tc>
          <w:tcPr>
            <w:tcW w:w="10080" w:type="dxa"/>
            <w:vAlign w:val="bottom"/>
          </w:tcPr>
          <w:p>
            <w:pPr>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11,300</w:t>
            </w:r>
          </w:p>
        </w:tc>
      </w:tr>
      <w:tr>
        <w:trPr>
          <w:trHeight w:val="172"/>
        </w:trPr>
        <w:tc>
          <w:tcPr>
            <w:tcW w:w="10080" w:type="dxa"/>
            <w:vAlign w:val="bottom"/>
            <w:shd w:val="clear" w:color="auto" w:fill="CCEEFF"/>
          </w:tcPr>
          <w:p>
            <w:pPr>
              <w:spacing w:after="0"/>
              <w:rPr>
                <w:sz w:val="20"/>
                <w:szCs w:val="20"/>
                <w:color w:val="auto"/>
              </w:rPr>
            </w:pPr>
            <w:r>
              <w:rPr>
                <w:rFonts w:ascii="Arial" w:cs="Arial" w:eastAsia="Arial" w:hAnsi="Arial"/>
                <w:sz w:val="14"/>
                <w:szCs w:val="14"/>
                <w:color w:val="auto"/>
              </w:rPr>
              <w:t>Thereafter through June 2019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4,000</w:t>
            </w:r>
          </w:p>
        </w:tc>
      </w:tr>
      <w:tr>
        <w:trPr>
          <w:trHeight w:val="170"/>
        </w:trPr>
        <w:tc>
          <w:tcPr>
            <w:tcW w:w="100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10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2,221,300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Subsequent Events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have evaluated subsequent events through the date of this report and have identified the following material events and transactions that occurred after March 31, 2015.</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2014 Unit Private Placement</w:t>
      </w:r>
    </w:p>
    <w:p>
      <w:pPr>
        <w:spacing w:after="0" w:line="20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From April 1, 2015 through May 14, 2015, we entered into securities purchase agreements with accredited investors pursuant to which we sold to such accredited investors Units, for aggregate cash proceeds of $280,000, consisting of (i) 10% convertible notes in the aggregate face amount of $280,000 due between April 30, 2015 and May 15, 2015 or automatically convertible into securities we may issue upon the consummation of a Qualified Financing, as defined in the note (ii) an aggregate of 33,000 restricted shares of our common stock; and (iii) warrants exercisable through December 31, 2016 to purchase an aggregate of 24,250 restricted shares of our common stock at an exercise price of $10.00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Creation of Series B Preferred Stock</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On May 7, 2015, we filed a Certificate of Designation of the Relative Rights and Preferences of the Series B 10% Preferred Stock of VistaGen Therapeutics, Inc. (</w:t>
      </w:r>
      <w:r>
        <w:rPr>
          <w:rFonts w:ascii="Arial" w:cs="Arial" w:eastAsia="Arial" w:hAnsi="Arial"/>
          <w:sz w:val="14"/>
          <w:szCs w:val="14"/>
          <w:i w:val="1"/>
          <w:iCs w:val="1"/>
          <w:color w:val="auto"/>
        </w:rPr>
        <w:t>Certificate of Designation</w:t>
      </w:r>
      <w:r>
        <w:rPr>
          <w:rFonts w:ascii="Arial" w:cs="Arial" w:eastAsia="Arial" w:hAnsi="Arial"/>
          <w:sz w:val="14"/>
          <w:szCs w:val="14"/>
          <w:color w:val="auto"/>
        </w:rPr>
        <w:t>) with the Nevada Secretary of State to designate 4.0 million shares of our authorized preferred stock as Series B 10% Convertible Preferred Stock (</w:t>
      </w:r>
      <w:r>
        <w:rPr>
          <w:rFonts w:ascii="Arial" w:cs="Arial" w:eastAsia="Arial" w:hAnsi="Arial"/>
          <w:sz w:val="14"/>
          <w:szCs w:val="14"/>
          <w:i w:val="1"/>
          <w:iCs w:val="1"/>
          <w:color w:val="auto"/>
        </w:rPr>
        <w:t>Series B Preferred</w:t>
      </w:r>
      <w:r>
        <w:rPr>
          <w:rFonts w:ascii="Arial" w:cs="Arial" w:eastAsia="Arial" w:hAnsi="Arial"/>
          <w:sz w:val="14"/>
          <w:szCs w:val="14"/>
          <w:color w:val="auto"/>
        </w:rPr>
        <w:t>).</w:t>
      </w:r>
    </w:p>
    <w:p>
      <w:pPr>
        <w:spacing w:after="0" w:line="153" w:lineRule="exact"/>
        <w:rPr>
          <w:sz w:val="20"/>
          <w:szCs w:val="20"/>
          <w:color w:val="auto"/>
        </w:rPr>
      </w:pPr>
    </w:p>
    <w:p>
      <w:pPr>
        <w:ind w:right="40"/>
        <w:spacing w:after="0" w:line="302" w:lineRule="auto"/>
        <w:rPr>
          <w:sz w:val="20"/>
          <w:szCs w:val="20"/>
          <w:color w:val="auto"/>
        </w:rPr>
      </w:pPr>
      <w:r>
        <w:rPr>
          <w:rFonts w:ascii="Arial" w:cs="Arial" w:eastAsia="Arial" w:hAnsi="Arial"/>
          <w:sz w:val="12"/>
          <w:szCs w:val="12"/>
          <w:color w:val="auto"/>
        </w:rPr>
        <w:t>Each share of Series B Preferred is convertible, at the option of the holder (</w:t>
      </w:r>
      <w:r>
        <w:rPr>
          <w:rFonts w:ascii="Arial" w:cs="Arial" w:eastAsia="Arial" w:hAnsi="Arial"/>
          <w:sz w:val="12"/>
          <w:szCs w:val="12"/>
          <w:i w:val="1"/>
          <w:iCs w:val="1"/>
          <w:color w:val="auto"/>
        </w:rPr>
        <w:t>Voluntary Conversion</w:t>
      </w:r>
      <w:r>
        <w:rPr>
          <w:rFonts w:ascii="Arial" w:cs="Arial" w:eastAsia="Arial" w:hAnsi="Arial"/>
          <w:sz w:val="12"/>
          <w:szCs w:val="12"/>
          <w:color w:val="auto"/>
        </w:rPr>
        <w:t>), into one (1) share of our common stock at a fixed conversion price of $7.00 per share (</w:t>
      </w:r>
      <w:r>
        <w:rPr>
          <w:rFonts w:ascii="Arial" w:cs="Arial" w:eastAsia="Arial" w:hAnsi="Arial"/>
          <w:sz w:val="12"/>
          <w:szCs w:val="12"/>
          <w:i w:val="1"/>
          <w:iCs w:val="1"/>
          <w:color w:val="auto"/>
        </w:rPr>
        <w:t>Conversion</w:t>
      </w:r>
      <w:r>
        <w:rPr>
          <w:rFonts w:ascii="Arial" w:cs="Arial" w:eastAsia="Arial" w:hAnsi="Arial"/>
          <w:sz w:val="12"/>
          <w:szCs w:val="12"/>
          <w:color w:val="auto"/>
        </w:rPr>
        <w:t xml:space="preserve"> </w:t>
      </w:r>
      <w:r>
        <w:rPr>
          <w:rFonts w:ascii="Arial" w:cs="Arial" w:eastAsia="Arial" w:hAnsi="Arial"/>
          <w:sz w:val="12"/>
          <w:szCs w:val="12"/>
          <w:i w:val="1"/>
          <w:iCs w:val="1"/>
          <w:color w:val="auto"/>
        </w:rPr>
        <w:t>Price</w:t>
      </w:r>
      <w:r>
        <w:rPr>
          <w:rFonts w:ascii="Arial" w:cs="Arial" w:eastAsia="Arial" w:hAnsi="Arial"/>
          <w:sz w:val="12"/>
          <w:szCs w:val="12"/>
          <w:color w:val="auto"/>
        </w:rPr>
        <w:t>). The Conversion Price is subject to adjustment only for customary stock dividends, reclassifications, splits and similar transactions set forth in the Certificate of Designation. All outstanding</w:t>
      </w:r>
      <w:r>
        <w:rPr>
          <w:rFonts w:ascii="Arial" w:cs="Arial" w:eastAsia="Arial" w:hAnsi="Arial"/>
          <w:sz w:val="12"/>
          <w:szCs w:val="12"/>
          <w:i w:val="1"/>
          <w:iCs w:val="1"/>
          <w:color w:val="auto"/>
        </w:rPr>
        <w:t xml:space="preserve"> </w:t>
      </w:r>
      <w:r>
        <w:rPr>
          <w:rFonts w:ascii="Arial" w:cs="Arial" w:eastAsia="Arial" w:hAnsi="Arial"/>
          <w:sz w:val="12"/>
          <w:szCs w:val="12"/>
          <w:color w:val="auto"/>
        </w:rPr>
        <w:t>shares of Series B Preferred are also convertible automatically into shares of our common stock (</w:t>
      </w:r>
      <w:r>
        <w:rPr>
          <w:rFonts w:ascii="Arial" w:cs="Arial" w:eastAsia="Arial" w:hAnsi="Arial"/>
          <w:sz w:val="12"/>
          <w:szCs w:val="12"/>
          <w:i w:val="1"/>
          <w:iCs w:val="1"/>
          <w:color w:val="auto"/>
        </w:rPr>
        <w:t>Automatic Conversion)</w:t>
      </w:r>
      <w:r>
        <w:rPr>
          <w:rFonts w:ascii="Arial" w:cs="Arial" w:eastAsia="Arial" w:hAnsi="Arial"/>
          <w:sz w:val="12"/>
          <w:szCs w:val="12"/>
          <w:color w:val="auto"/>
        </w:rPr>
        <w:t xml:space="preserve"> upon the closing or effective date of any of the following transactions or events:</w:t>
      </w:r>
    </w:p>
    <w:p>
      <w:pPr>
        <w:ind w:right="40" w:firstLine="5"/>
        <w:spacing w:after="0" w:line="290" w:lineRule="auto"/>
        <w:tabs>
          <w:tab w:leader="none" w:pos="169" w:val="left"/>
        </w:tabs>
        <w:numPr>
          <w:ilvl w:val="0"/>
          <w:numId w:val="90"/>
        </w:numPr>
        <w:rPr>
          <w:rFonts w:ascii="Arial" w:cs="Arial" w:eastAsia="Arial" w:hAnsi="Arial"/>
          <w:sz w:val="13"/>
          <w:szCs w:val="13"/>
          <w:color w:val="auto"/>
        </w:rPr>
      </w:pPr>
      <w:r>
        <w:rPr>
          <w:rFonts w:ascii="Arial" w:cs="Arial" w:eastAsia="Arial" w:hAnsi="Arial"/>
          <w:sz w:val="13"/>
          <w:szCs w:val="13"/>
          <w:color w:val="auto"/>
        </w:rPr>
        <w:t xml:space="preserve">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3"/>
          <w:szCs w:val="13"/>
          <w:i w:val="1"/>
          <w:iCs w:val="1"/>
          <w:color w:val="auto"/>
        </w:rPr>
        <w:t>Conversion</w:t>
      </w:r>
      <w:r>
        <w:rPr>
          <w:rFonts w:ascii="Arial" w:cs="Arial" w:eastAsia="Arial" w:hAnsi="Arial"/>
          <w:sz w:val="13"/>
          <w:szCs w:val="13"/>
          <w:color w:val="auto"/>
        </w:rPr>
        <w:t>) are subject to certain beneficial ownership blockers as set forth in the Certificate of Designation.</w:t>
      </w:r>
    </w:p>
    <w:p>
      <w:pPr>
        <w:spacing w:after="0" w:line="151" w:lineRule="exact"/>
        <w:rPr>
          <w:sz w:val="20"/>
          <w:szCs w:val="20"/>
          <w:color w:val="auto"/>
        </w:rPr>
      </w:pPr>
    </w:p>
    <w:p>
      <w:pPr>
        <w:spacing w:after="0" w:line="323" w:lineRule="auto"/>
        <w:rPr>
          <w:sz w:val="20"/>
          <w:szCs w:val="20"/>
          <w:color w:val="auto"/>
        </w:rPr>
      </w:pPr>
      <w:r>
        <w:rPr>
          <w:rFonts w:ascii="Arial" w:cs="Arial" w:eastAsia="Arial" w:hAnsi="Arial"/>
          <w:sz w:val="13"/>
          <w:szCs w:val="13"/>
          <w:color w:val="auto"/>
        </w:rPr>
        <w:t>Prior to Conversion, shares of Series B Preferred will accrue dividends, payable only in shares of our common stock, at a rate of 10% per annum (</w:t>
      </w:r>
      <w:r>
        <w:rPr>
          <w:rFonts w:ascii="Arial" w:cs="Arial" w:eastAsia="Arial" w:hAnsi="Arial"/>
          <w:sz w:val="13"/>
          <w:szCs w:val="13"/>
          <w:i w:val="1"/>
          <w:iCs w:val="1"/>
          <w:color w:val="auto"/>
        </w:rPr>
        <w:t>Accrued Dividend</w:t>
      </w:r>
      <w:r>
        <w:rPr>
          <w:rFonts w:ascii="Arial" w:cs="Arial" w:eastAsia="Arial" w:hAnsi="Arial"/>
          <w:sz w:val="13"/>
          <w:szCs w:val="13"/>
          <w:color w:val="auto"/>
        </w:rPr>
        <w:t>). The Accrued Dividend will be payable on the date of either a Voluntary Conversion or Automatic Conversion solely in that number of shares of common stock equal to the Accrued Dividend, divided by the Conversion Price.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89" w:name="page190"/>
    <w:bookmarkEnd w:id="18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Agreement with Platinum</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On May 5, 2015, we entered into an Agreement with Platinum, which, as modified by an Acknowledgement and Agreement, became effective on May 12, 2015 (</w:t>
      </w:r>
      <w:r>
        <w:rPr>
          <w:rFonts w:ascii="Arial" w:cs="Arial" w:eastAsia="Arial" w:hAnsi="Arial"/>
          <w:sz w:val="13"/>
          <w:szCs w:val="13"/>
          <w:i w:val="1"/>
          <w:iCs w:val="1"/>
          <w:color w:val="auto"/>
        </w:rPr>
        <w:t>Platinum Agreement</w:t>
      </w:r>
      <w:r>
        <w:rPr>
          <w:rFonts w:ascii="Arial" w:cs="Arial" w:eastAsia="Arial" w:hAnsi="Arial"/>
          <w:sz w:val="13"/>
          <w:szCs w:val="13"/>
          <w:color w:val="auto"/>
        </w:rPr>
        <w:t>). Under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Platinum Agreement, Platinum:</w:t>
      </w:r>
    </w:p>
    <w:p>
      <w:pPr>
        <w:spacing w:after="0" w:line="191" w:lineRule="exact"/>
        <w:rPr>
          <w:sz w:val="20"/>
          <w:szCs w:val="20"/>
          <w:color w:val="auto"/>
        </w:rPr>
      </w:pPr>
    </w:p>
    <w:p>
      <w:pPr>
        <w:ind w:left="160" w:right="120" w:hanging="155"/>
        <w:spacing w:after="0" w:line="283" w:lineRule="auto"/>
        <w:tabs>
          <w:tab w:leader="none" w:pos="1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Converted all of the approximately $4.5 million outstanding balance (principal and accrued but unpaid interest) of the Senior Notes we issued to Platinum into 641,335 shares of Series B Preferred, thereby cancelling approximately $4.5 million of our outstanding indebtedness;</w:t>
      </w:r>
    </w:p>
    <w:p>
      <w:pPr>
        <w:spacing w:after="0" w:line="131" w:lineRule="exact"/>
        <w:rPr>
          <w:rFonts w:ascii="Arial" w:cs="Arial" w:eastAsia="Arial" w:hAnsi="Arial"/>
          <w:sz w:val="14"/>
          <w:szCs w:val="14"/>
          <w:color w:val="auto"/>
        </w:rPr>
      </w:pPr>
    </w:p>
    <w:p>
      <w:pPr>
        <w:ind w:left="160" w:right="200" w:hanging="155"/>
        <w:spacing w:after="0" w:line="283" w:lineRule="auto"/>
        <w:tabs>
          <w:tab w:leader="none" w:pos="1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Released all of its security interests in our assets and those of our subsidiaries by terminating the Amended and Restated Security Agreement, IP Security Agreement and Negative Covenant, each dated October 11, 2012 between us and Platinum; and</w:t>
      </w:r>
    </w:p>
    <w:p>
      <w:pPr>
        <w:spacing w:after="0" w:line="152" w:lineRule="exact"/>
        <w:rPr>
          <w:rFonts w:ascii="Arial" w:cs="Arial" w:eastAsia="Arial" w:hAnsi="Arial"/>
          <w:sz w:val="14"/>
          <w:szCs w:val="14"/>
          <w:color w:val="auto"/>
        </w:rPr>
      </w:pPr>
    </w:p>
    <w:p>
      <w:pPr>
        <w:ind w:left="160" w:right="160" w:hanging="155"/>
        <w:spacing w:after="0" w:line="268" w:lineRule="auto"/>
        <w:tabs>
          <w:tab w:leader="none" w:pos="1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Converted all of the approximately $1.3 million outstanding balance (principal and accrued but unpaid interest) of the 2014 Unit Notes that we issued to Platinum into 240,305 shares of Series B Preferred and five-year warrants to purchase 240,305 shares of our common stock at a fixed exercise price of $7.00 per share (</w:t>
      </w:r>
      <w:r>
        <w:rPr>
          <w:rFonts w:ascii="Arial" w:cs="Arial" w:eastAsia="Arial" w:hAnsi="Arial"/>
          <w:sz w:val="14"/>
          <w:szCs w:val="14"/>
          <w:i w:val="1"/>
          <w:iCs w:val="1"/>
          <w:color w:val="auto"/>
        </w:rPr>
        <w:t>Series B Warrants</w:t>
      </w:r>
      <w:r>
        <w:rPr>
          <w:rFonts w:ascii="Arial" w:cs="Arial" w:eastAsia="Arial" w:hAnsi="Arial"/>
          <w:sz w:val="14"/>
          <w:szCs w:val="14"/>
          <w:color w:val="auto"/>
        </w:rPr>
        <w:t>), thereby cancelling approximately $1.3 million of our outstanding indebtedness; and</w:t>
      </w:r>
    </w:p>
    <w:p>
      <w:pPr>
        <w:spacing w:after="0" w:line="163" w:lineRule="exact"/>
        <w:rPr>
          <w:rFonts w:ascii="Arial" w:cs="Arial" w:eastAsia="Arial" w:hAnsi="Arial"/>
          <w:sz w:val="14"/>
          <w:szCs w:val="14"/>
          <w:color w:val="auto"/>
        </w:rPr>
      </w:pPr>
    </w:p>
    <w:p>
      <w:pPr>
        <w:jc w:val="both"/>
        <w:ind w:left="160" w:right="220" w:hanging="155"/>
        <w:spacing w:after="0" w:line="268" w:lineRule="auto"/>
        <w:tabs>
          <w:tab w:leader="none" w:pos="1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Purchased approximately $1.5 million (including accrued but unpaid interest thereon) of outstanding 2014 Unit Notes we issued to various investors from the respective holders thereof (</w:t>
      </w:r>
      <w:r>
        <w:rPr>
          <w:rFonts w:ascii="Arial" w:cs="Arial" w:eastAsia="Arial" w:hAnsi="Arial"/>
          <w:sz w:val="14"/>
          <w:szCs w:val="14"/>
          <w:i w:val="1"/>
          <w:iCs w:val="1"/>
          <w:color w:val="auto"/>
        </w:rPr>
        <w:t>Investor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2014 Unit Notes </w:t>
      </w:r>
      <w:r>
        <w:rPr>
          <w:rFonts w:ascii="Arial" w:cs="Arial" w:eastAsia="Arial" w:hAnsi="Arial"/>
          <w:sz w:val="14"/>
          <w:szCs w:val="14"/>
          <w:color w:val="auto"/>
        </w:rPr>
        <w:t>) and converted the entire outstanding balance of the Investor 2014 Unit Notes into 265,699 shares of Series B Preferred and Series B Warrants to purchase 265,699 shares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thereby cancelling approximately $1.5 million of our outstanding indebtedness; and</w:t>
      </w:r>
    </w:p>
    <w:p>
      <w:pPr>
        <w:spacing w:after="0" w:line="163" w:lineRule="exact"/>
        <w:rPr>
          <w:rFonts w:ascii="Arial" w:cs="Arial" w:eastAsia="Arial" w:hAnsi="Arial"/>
          <w:sz w:val="14"/>
          <w:szCs w:val="14"/>
          <w:color w:val="auto"/>
        </w:rPr>
      </w:pPr>
    </w:p>
    <w:p>
      <w:pPr>
        <w:ind w:left="160" w:right="140" w:hanging="155"/>
        <w:spacing w:after="0" w:line="283" w:lineRule="auto"/>
        <w:tabs>
          <w:tab w:leader="none" w:pos="1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Entered into a Securities Purchase Agreement (</w:t>
      </w:r>
      <w:r>
        <w:rPr>
          <w:rFonts w:ascii="Arial" w:cs="Arial" w:eastAsia="Arial" w:hAnsi="Arial"/>
          <w:sz w:val="14"/>
          <w:szCs w:val="14"/>
          <w:i w:val="1"/>
          <w:iCs w:val="1"/>
          <w:color w:val="auto"/>
        </w:rPr>
        <w:t>SPA</w:t>
      </w:r>
      <w:r>
        <w:rPr>
          <w:rFonts w:ascii="Arial" w:cs="Arial" w:eastAsia="Arial" w:hAnsi="Arial"/>
          <w:sz w:val="14"/>
          <w:szCs w:val="14"/>
          <w:color w:val="auto"/>
        </w:rPr>
        <w:t>) to purchase, for $1.0 million, a total of 142,857 shares of Series B Preferred and a Series B Warrant to purchase 142,857 shares of our common stock, on or before June 11, 2015 (a portion of which purchase was completed on June 19, 2015); and</w:t>
      </w:r>
    </w:p>
    <w:p>
      <w:pPr>
        <w:spacing w:after="0" w:line="152" w:lineRule="exact"/>
        <w:rPr>
          <w:rFonts w:ascii="Arial" w:cs="Arial" w:eastAsia="Arial" w:hAnsi="Arial"/>
          <w:sz w:val="14"/>
          <w:szCs w:val="14"/>
          <w:color w:val="auto"/>
        </w:rPr>
      </w:pPr>
    </w:p>
    <w:p>
      <w:pPr>
        <w:ind w:left="160" w:hanging="155"/>
        <w:spacing w:after="0"/>
        <w:tabs>
          <w:tab w:leader="none" w:pos="1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Amended the Platinum Warrants (all warrants previously issued by us to Platinum in connection with the Senior Notes) and the Series A Exchange Warrant to:</w:t>
      </w:r>
    </w:p>
    <w:p>
      <w:pPr>
        <w:spacing w:after="0" w:line="201" w:lineRule="exact"/>
        <w:rPr>
          <w:sz w:val="20"/>
          <w:szCs w:val="20"/>
          <w:color w:val="auto"/>
        </w:rPr>
      </w:pPr>
    </w:p>
    <w:p>
      <w:pPr>
        <w:ind w:left="560" w:hanging="243"/>
        <w:spacing w:after="0"/>
        <w:tabs>
          <w:tab w:leader="none" w:pos="560" w:val="left"/>
        </w:tabs>
        <w:numPr>
          <w:ilvl w:val="1"/>
          <w:numId w:val="92"/>
        </w:numPr>
        <w:rPr>
          <w:rFonts w:ascii="Arial" w:cs="Arial" w:eastAsia="Arial" w:hAnsi="Arial"/>
          <w:sz w:val="14"/>
          <w:szCs w:val="14"/>
          <w:color w:val="auto"/>
        </w:rPr>
      </w:pPr>
      <w:r>
        <w:rPr>
          <w:rFonts w:ascii="Arial" w:cs="Arial" w:eastAsia="Arial" w:hAnsi="Arial"/>
          <w:sz w:val="14"/>
          <w:szCs w:val="14"/>
          <w:color w:val="auto"/>
        </w:rPr>
        <w:t>fix the exercise price thereof at $7.00 per share;</w:t>
      </w:r>
    </w:p>
    <w:p>
      <w:pPr>
        <w:spacing w:after="0" w:line="19" w:lineRule="exact"/>
        <w:rPr>
          <w:rFonts w:ascii="Arial" w:cs="Arial" w:eastAsia="Arial" w:hAnsi="Arial"/>
          <w:sz w:val="14"/>
          <w:szCs w:val="14"/>
          <w:color w:val="auto"/>
        </w:rPr>
      </w:pPr>
    </w:p>
    <w:p>
      <w:pPr>
        <w:ind w:left="420" w:hanging="103"/>
        <w:spacing w:after="0"/>
        <w:tabs>
          <w:tab w:leader="none" w:pos="420" w:val="left"/>
        </w:tabs>
        <w:numPr>
          <w:ilvl w:val="1"/>
          <w:numId w:val="92"/>
        </w:numPr>
        <w:rPr>
          <w:rFonts w:ascii="Arial" w:cs="Arial" w:eastAsia="Arial" w:hAnsi="Arial"/>
          <w:sz w:val="14"/>
          <w:szCs w:val="14"/>
          <w:color w:val="auto"/>
        </w:rPr>
      </w:pPr>
      <w:r>
        <w:rPr>
          <w:rFonts w:ascii="Arial" w:cs="Arial" w:eastAsia="Arial" w:hAnsi="Arial"/>
          <w:sz w:val="14"/>
          <w:szCs w:val="14"/>
          <w:color w:val="auto"/>
        </w:rPr>
        <w:t>eliminate the exercise price reset features and fix the number of shares of our common stock issuable thereunder; and</w:t>
      </w:r>
    </w:p>
    <w:p>
      <w:pPr>
        <w:spacing w:after="0" w:line="9" w:lineRule="exact"/>
        <w:rPr>
          <w:rFonts w:ascii="Arial" w:cs="Arial" w:eastAsia="Arial" w:hAnsi="Arial"/>
          <w:sz w:val="14"/>
          <w:szCs w:val="14"/>
          <w:color w:val="auto"/>
        </w:rPr>
      </w:pPr>
    </w:p>
    <w:p>
      <w:pPr>
        <w:ind w:left="560" w:hanging="243"/>
        <w:spacing w:after="0"/>
        <w:tabs>
          <w:tab w:leader="none" w:pos="560" w:val="left"/>
        </w:tabs>
        <w:numPr>
          <w:ilvl w:val="1"/>
          <w:numId w:val="92"/>
        </w:numPr>
        <w:rPr>
          <w:rFonts w:ascii="Arial" w:cs="Arial" w:eastAsia="Arial" w:hAnsi="Arial"/>
          <w:sz w:val="14"/>
          <w:szCs w:val="14"/>
          <w:color w:val="auto"/>
        </w:rPr>
      </w:pPr>
      <w:r>
        <w:rPr>
          <w:rFonts w:ascii="Arial" w:cs="Arial" w:eastAsia="Arial" w:hAnsi="Arial"/>
          <w:sz w:val="14"/>
          <w:szCs w:val="14"/>
          <w:color w:val="auto"/>
        </w:rPr>
        <w:t>eliminate the cashless exercise provisions from the Platinum Warrants and the Series A Exchange Warrant; and</w:t>
      </w:r>
    </w:p>
    <w:p>
      <w:pPr>
        <w:spacing w:after="0" w:line="190" w:lineRule="exact"/>
        <w:rPr>
          <w:rFonts w:ascii="Arial" w:cs="Arial" w:eastAsia="Arial" w:hAnsi="Arial"/>
          <w:sz w:val="14"/>
          <w:szCs w:val="14"/>
          <w:color w:val="auto"/>
        </w:rPr>
      </w:pPr>
    </w:p>
    <w:p>
      <w:pPr>
        <w:ind w:left="160" w:hanging="155"/>
        <w:spacing w:after="0" w:line="283" w:lineRule="auto"/>
        <w:tabs>
          <w:tab w:leader="none" w:pos="1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131" w:lineRule="exact"/>
        <w:rPr>
          <w:sz w:val="20"/>
          <w:szCs w:val="20"/>
          <w:color w:val="auto"/>
        </w:rPr>
      </w:pPr>
    </w:p>
    <w:p>
      <w:pPr>
        <w:ind w:right="200"/>
        <w:spacing w:after="0" w:line="323" w:lineRule="auto"/>
        <w:rPr>
          <w:sz w:val="20"/>
          <w:szCs w:val="20"/>
          <w:color w:val="auto"/>
        </w:rPr>
      </w:pPr>
      <w:r>
        <w:rPr>
          <w:rFonts w:ascii="Arial" w:cs="Arial" w:eastAsia="Arial" w:hAnsi="Arial"/>
          <w:sz w:val="13"/>
          <w:szCs w:val="13"/>
          <w:color w:val="auto"/>
        </w:rPr>
        <w:t>As additional consideration for the agreements of Platinum under the Platinum Agreement, we issued to Platinum 400,000 shares of Series B Preferred and Series B Warrants to purchase 1.2 million shares of our common stock, and exchanged 30,000 shares of our common stock currently beneficially owned or controlled by Platinum for 30,000 shares of Series B Preferred.</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2014 Unit Notes</w:t>
      </w:r>
    </w:p>
    <w:p>
      <w:pPr>
        <w:spacing w:after="0" w:line="201" w:lineRule="exact"/>
        <w:rPr>
          <w:sz w:val="20"/>
          <w:szCs w:val="20"/>
          <w:color w:val="auto"/>
        </w:rPr>
      </w:pPr>
    </w:p>
    <w:p>
      <w:pPr>
        <w:ind w:right="300"/>
        <w:spacing w:after="0" w:line="370" w:lineRule="auto"/>
        <w:rPr>
          <w:sz w:val="20"/>
          <w:szCs w:val="20"/>
          <w:color w:val="auto"/>
        </w:rPr>
      </w:pPr>
      <w:r>
        <w:rPr>
          <w:rFonts w:ascii="Arial" w:cs="Arial" w:eastAsia="Arial" w:hAnsi="Arial"/>
          <w:sz w:val="12"/>
          <w:szCs w:val="12"/>
          <w:color w:val="auto"/>
        </w:rPr>
        <w:t>Effective May 20, 2015, holders of the remaining approximately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190" w:name="page191"/>
    <w:bookmarkEnd w:id="19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 of Series B Preferred Units</w:t>
      </w:r>
    </w:p>
    <w:p>
      <w:pPr>
        <w:spacing w:after="0" w:line="180"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Between May 26, 2015 and June 25, 2015, we sold to accredited investors and institutions an aggregate of $557,500 of units in our Series B Preferred Unit offering, which units consist of Series B Preferred and Series B Warrants (together Series B Preferred Units),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Notes and Accounts Payable</w:t>
      </w:r>
    </w:p>
    <w:p>
      <w:pPr>
        <w:spacing w:after="0" w:line="180" w:lineRule="exact"/>
        <w:rPr>
          <w:sz w:val="20"/>
          <w:szCs w:val="20"/>
          <w:color w:val="auto"/>
        </w:rPr>
      </w:pPr>
    </w:p>
    <w:p>
      <w:pPr>
        <w:jc w:val="both"/>
        <w:ind w:right="180"/>
        <w:spacing w:after="0" w:line="298" w:lineRule="auto"/>
        <w:rPr>
          <w:sz w:val="20"/>
          <w:szCs w:val="20"/>
          <w:color w:val="auto"/>
        </w:rPr>
      </w:pPr>
      <w:r>
        <w:rPr>
          <w:rFonts w:ascii="Arial" w:cs="Arial" w:eastAsia="Arial" w:hAnsi="Arial"/>
          <w:sz w:val="13"/>
          <w:szCs w:val="13"/>
          <w:color w:val="auto"/>
        </w:rPr>
        <w:t>During May and June 2015,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adjustments thereto) into 831,577 shares of Series B Preferred, thereby cancelling an additional approximately $5.8 million of our outstanding debt.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Supplemental Financial Information</w:t>
      </w:r>
    </w:p>
    <w:p>
      <w:pPr>
        <w:spacing w:after="0" w:line="205" w:lineRule="exact"/>
        <w:rPr>
          <w:sz w:val="20"/>
          <w:szCs w:val="20"/>
          <w:color w:val="auto"/>
        </w:rPr>
      </w:pPr>
    </w:p>
    <w:p>
      <w:pPr>
        <w:ind w:right="60"/>
        <w:spacing w:after="0" w:line="333" w:lineRule="auto"/>
        <w:rPr>
          <w:sz w:val="20"/>
          <w:szCs w:val="20"/>
          <w:color w:val="auto"/>
        </w:rPr>
      </w:pPr>
      <w:r>
        <w:rPr>
          <w:rFonts w:ascii="Arial" w:cs="Arial" w:eastAsia="Arial" w:hAnsi="Arial"/>
          <w:sz w:val="12"/>
          <w:szCs w:val="12"/>
          <w:color w:val="auto"/>
        </w:rPr>
        <w:t>The following table presents the unaudited statements of operations data for each of the eight quarters in the period ended March 31, 2015.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4120" w:type="dxa"/>
            <w:vAlign w:val="bottom"/>
            <w:gridSpan w:val="8"/>
          </w:tcPr>
          <w:p>
            <w:pPr>
              <w:jc w:val="center"/>
              <w:ind w:left="569"/>
              <w:spacing w:after="0"/>
              <w:rPr>
                <w:sz w:val="20"/>
                <w:szCs w:val="20"/>
                <w:color w:val="auto"/>
              </w:rPr>
            </w:pPr>
            <w:r>
              <w:rPr>
                <w:rFonts w:ascii="Arial" w:cs="Arial" w:eastAsia="Arial" w:hAnsi="Arial"/>
                <w:sz w:val="14"/>
                <w:szCs w:val="14"/>
                <w:b w:val="1"/>
                <w:bCs w:val="1"/>
                <w:color w:val="auto"/>
                <w:w w:val="92"/>
              </w:rPr>
              <w:t>Quarterly Results of Operations (Unaudited)</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2"/>
        </w:trPr>
        <w:tc>
          <w:tcPr>
            <w:tcW w:w="3360" w:type="dxa"/>
            <w:vAlign w:val="bottom"/>
          </w:tcPr>
          <w:p>
            <w:pPr>
              <w:spacing w:after="0"/>
              <w:rPr>
                <w:sz w:val="24"/>
                <w:szCs w:val="24"/>
                <w:color w:val="auto"/>
              </w:rPr>
            </w:pPr>
          </w:p>
        </w:tc>
        <w:tc>
          <w:tcPr>
            <w:tcW w:w="4120" w:type="dxa"/>
            <w:vAlign w:val="bottom"/>
            <w:gridSpan w:val="8"/>
          </w:tcPr>
          <w:p>
            <w:pPr>
              <w:jc w:val="center"/>
              <w:ind w:left="549"/>
              <w:spacing w:after="0"/>
              <w:rPr>
                <w:sz w:val="20"/>
                <w:szCs w:val="20"/>
                <w:color w:val="auto"/>
              </w:rPr>
            </w:pPr>
            <w:r>
              <w:rPr>
                <w:rFonts w:ascii="Arial" w:cs="Arial" w:eastAsia="Arial" w:hAnsi="Arial"/>
                <w:sz w:val="14"/>
                <w:szCs w:val="14"/>
                <w:b w:val="1"/>
                <w:bCs w:val="1"/>
                <w:color w:val="auto"/>
                <w:w w:val="89"/>
              </w:rPr>
              <w:t>(in thousands, except share and per share amounts)</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56"/>
        </w:trPr>
        <w:tc>
          <w:tcPr>
            <w:tcW w:w="3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380"/>
              <w:spacing w:after="0" w:line="156" w:lineRule="exact"/>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3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June 30, 2014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March 31, 2015</w:t>
            </w:r>
          </w:p>
        </w:tc>
        <w:tc>
          <w:tcPr>
            <w:tcW w:w="80" w:type="dxa"/>
            <w:vAlign w:val="bottom"/>
          </w:tcPr>
          <w:p>
            <w:pPr>
              <w:spacing w:after="0"/>
              <w:rPr>
                <w:sz w:val="16"/>
                <w:szCs w:val="16"/>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Fiscal Year 2015</w:t>
            </w:r>
          </w:p>
        </w:tc>
      </w:tr>
      <w:tr>
        <w:trPr>
          <w:trHeight w:val="341"/>
        </w:trPr>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336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36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558</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956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2,433</w:t>
            </w:r>
          </w:p>
        </w:tc>
      </w:tr>
      <w:tr>
        <w:trPr>
          <w:trHeight w:val="17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556</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4,344</w:t>
            </w:r>
          </w:p>
        </w:tc>
      </w:tr>
      <w:tr>
        <w:trPr>
          <w:trHeight w:val="21"/>
        </w:trPr>
        <w:tc>
          <w:tcPr>
            <w:tcW w:w="33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6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1,271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1,114</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1,116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6,777</w:t>
            </w:r>
          </w:p>
        </w:tc>
      </w:tr>
      <w:tr>
        <w:trPr>
          <w:trHeight w:val="21"/>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(1,114)</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(3,276)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(6,777)</w:t>
            </w:r>
          </w:p>
        </w:tc>
      </w:tr>
      <w:tr>
        <w:trPr>
          <w:trHeight w:val="170"/>
        </w:trPr>
        <w:tc>
          <w:tcPr>
            <w:tcW w:w="3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360" w:type="dxa"/>
            <w:vAlign w:val="bottom"/>
          </w:tcPr>
          <w:p>
            <w:pPr>
              <w:ind w:left="260"/>
              <w:spacing w:after="0"/>
              <w:rPr>
                <w:sz w:val="20"/>
                <w:szCs w:val="20"/>
                <w:color w:val="auto"/>
              </w:rPr>
            </w:pPr>
            <w:r>
              <w:rPr>
                <w:rFonts w:ascii="Arial" w:cs="Arial" w:eastAsia="Arial" w:hAnsi="Arial"/>
                <w:sz w:val="14"/>
                <w:szCs w:val="14"/>
                <w:color w:val="auto"/>
              </w:rPr>
              <w:t>Interest expense, net</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(606)</w:t>
            </w:r>
          </w:p>
        </w:tc>
        <w:tc>
          <w:tcPr>
            <w:tcW w:w="5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(2,366)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(4,549)</w:t>
            </w:r>
          </w:p>
        </w:tc>
      </w:tr>
      <w:tr>
        <w:trPr>
          <w:trHeight w:val="17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warrant liabilities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1,302</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r>
      <w:tr>
        <w:trPr>
          <w:trHeight w:val="170"/>
        </w:trPr>
        <w:tc>
          <w:tcPr>
            <w:tcW w:w="3360" w:type="dxa"/>
            <w:vAlign w:val="bottom"/>
          </w:tcPr>
          <w:p>
            <w:pPr>
              <w:ind w:left="260"/>
              <w:spacing w:after="0"/>
              <w:rPr>
                <w:sz w:val="20"/>
                <w:szCs w:val="20"/>
                <w:color w:val="auto"/>
              </w:rPr>
            </w:pPr>
            <w:r>
              <w:rPr>
                <w:rFonts w:ascii="Arial" w:cs="Arial" w:eastAsia="Arial" w:hAnsi="Arial"/>
                <w:sz w:val="14"/>
                <w:szCs w:val="14"/>
                <w:color w:val="auto"/>
              </w:rPr>
              <w:t>Loss on extinguishment of debt</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(1,603)</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(2,388)</w:t>
            </w:r>
          </w:p>
        </w:tc>
      </w:tr>
      <w:tr>
        <w:trPr>
          <w:trHeight w:val="172"/>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expense, net</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r>
      <w:tr>
        <w:trPr>
          <w:trHeight w:val="170"/>
        </w:trPr>
        <w:tc>
          <w:tcPr>
            <w:tcW w:w="336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Loss before income taxes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(2,021)</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(6,222)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(13,884)</w:t>
            </w: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Income taxes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r>
      <w:tr>
        <w:trPr>
          <w:trHeight w:val="21"/>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(2,021)</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(6,222)</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(13,886)</w:t>
            </w:r>
          </w:p>
        </w:tc>
      </w:tr>
      <w:tr>
        <w:trPr>
          <w:trHeight w:val="153"/>
        </w:trPr>
        <w:tc>
          <w:tcPr>
            <w:tcW w:w="3360" w:type="dxa"/>
            <w:vAlign w:val="bottom"/>
            <w:tcBorders>
              <w:top w:val="single" w:sz="8" w:color="CCEEFF"/>
            </w:tcBorders>
          </w:tcPr>
          <w:p>
            <w:pPr>
              <w:spacing w:after="0"/>
              <w:rPr>
                <w:sz w:val="13"/>
                <w:szCs w:val="13"/>
                <w:color w:val="auto"/>
              </w:rPr>
            </w:pPr>
          </w:p>
        </w:tc>
        <w:tc>
          <w:tcPr>
            <w:tcW w:w="13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33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Basic net (loss) per common share</w:t>
            </w: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(3.70)</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(1.58)</w:t>
            </w:r>
          </w:p>
        </w:tc>
        <w:tc>
          <w:tcPr>
            <w:tcW w:w="5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(0.84)</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(4.24)</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(10.53)</w:t>
            </w:r>
          </w:p>
        </w:tc>
      </w:tr>
      <w:tr>
        <w:trPr>
          <w:trHeight w:val="20"/>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Diluted net loss per common share</w:t>
            </w: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(3.70)</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(1.90)</w:t>
            </w:r>
          </w:p>
        </w:tc>
        <w:tc>
          <w:tcPr>
            <w:tcW w:w="56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(1.08)</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(4.24)</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(10.61)</w:t>
            </w:r>
          </w:p>
        </w:tc>
      </w:tr>
      <w:tr>
        <w:trPr>
          <w:trHeight w:val="20"/>
        </w:trPr>
        <w:tc>
          <w:tcPr>
            <w:tcW w:w="3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60" w:type="dxa"/>
            <w:vAlign w:val="bottom"/>
          </w:tcPr>
          <w:p>
            <w:pPr>
              <w:spacing w:after="0"/>
              <w:rPr>
                <w:sz w:val="20"/>
                <w:szCs w:val="20"/>
                <w:color w:val="auto"/>
              </w:rPr>
            </w:pPr>
            <w:r>
              <w:rPr>
                <w:rFonts w:ascii="Arial" w:cs="Arial" w:eastAsia="Arial" w:hAnsi="Arial"/>
                <w:sz w:val="14"/>
                <w:szCs w:val="14"/>
                <w:color w:val="auto"/>
              </w:rPr>
              <w:t>Weighted average shares used in computing:</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Basic net (loss) per common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1,229,488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1,279,251</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1,302,300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1,466,386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1,318,797</w:t>
            </w:r>
          </w:p>
        </w:tc>
      </w:tr>
      <w:tr>
        <w:trPr>
          <w:trHeight w:val="153"/>
        </w:trPr>
        <w:tc>
          <w:tcPr>
            <w:tcW w:w="3360" w:type="dxa"/>
            <w:vAlign w:val="bottom"/>
            <w:tcBorders>
              <w:top w:val="single" w:sz="8" w:color="CCEEFF"/>
            </w:tcBorders>
          </w:tcPr>
          <w:p>
            <w:pPr>
              <w:spacing w:after="0"/>
              <w:rPr>
                <w:sz w:val="13"/>
                <w:szCs w:val="13"/>
                <w:color w:val="auto"/>
              </w:rPr>
            </w:pPr>
          </w:p>
        </w:tc>
        <w:tc>
          <w:tcPr>
            <w:tcW w:w="136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90"/>
        </w:trPr>
        <w:tc>
          <w:tcPr>
            <w:tcW w:w="3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Diluted net loss per common share</w:t>
            </w: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1,229,488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1,299,099</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3"/>
              </w:rPr>
              <w:t>1,302,300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1,466,386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1,318,797</w:t>
            </w:r>
          </w:p>
        </w:tc>
      </w:tr>
      <w:tr>
        <w:trPr>
          <w:trHeight w:val="20"/>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1"/>
        </w:trPr>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left="569"/>
              <w:spacing w:after="0"/>
              <w:rPr>
                <w:sz w:val="20"/>
                <w:szCs w:val="20"/>
                <w:color w:val="auto"/>
              </w:rPr>
            </w:pPr>
            <w:r>
              <w:rPr>
                <w:rFonts w:ascii="Arial" w:cs="Arial" w:eastAsia="Arial" w:hAnsi="Arial"/>
                <w:sz w:val="14"/>
                <w:szCs w:val="14"/>
                <w:color w:val="auto"/>
                <w:w w:val="90"/>
              </w:rPr>
              <w:t>F-48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2"/>
        </w:trPr>
        <w:tc>
          <w:tcPr>
            <w:tcW w:w="336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49"/>
        </w:trPr>
        <w:tc>
          <w:tcPr>
            <w:tcW w:w="472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75"/>
        </w:trPr>
        <w:tc>
          <w:tcPr>
            <w:tcW w:w="900" w:type="dxa"/>
            <w:vAlign w:val="bottom"/>
            <w:tcBorders>
              <w:top w:val="single" w:sz="8" w:color="0000EE"/>
            </w:tcBorders>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56"/>
        </w:trPr>
        <w:tc>
          <w:tcPr>
            <w:tcW w:w="9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380"/>
              <w:spacing w:after="0" w:line="156" w:lineRule="exact"/>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9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June 30, 2013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49"/>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March 31, 2014</w:t>
            </w:r>
          </w:p>
        </w:tc>
        <w:tc>
          <w:tcPr>
            <w:tcW w:w="80" w:type="dxa"/>
            <w:vAlign w:val="bottom"/>
          </w:tcPr>
          <w:p>
            <w:pPr>
              <w:spacing w:after="0"/>
              <w:rPr>
                <w:sz w:val="16"/>
                <w:szCs w:val="16"/>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5"/>
              </w:rPr>
              <w:t>Fiscal Year 2014</w:t>
            </w:r>
          </w:p>
        </w:tc>
      </w:tr>
      <w:tr>
        <w:trPr>
          <w:trHeight w:val="341"/>
        </w:trPr>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900" w:type="dxa"/>
            <w:vAlign w:val="bottom"/>
            <w:tcBorders>
              <w:top w:val="single" w:sz="8" w:color="CCEEFF"/>
            </w:tcBorders>
          </w:tcPr>
          <w:p>
            <w:pPr>
              <w:spacing w:after="0"/>
              <w:rPr>
                <w:sz w:val="14"/>
                <w:szCs w:val="14"/>
                <w:color w:val="auto"/>
              </w:rPr>
            </w:pPr>
          </w:p>
        </w:tc>
        <w:tc>
          <w:tcPr>
            <w:tcW w:w="38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669</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551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566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2,481</w:t>
            </w:r>
          </w:p>
        </w:tc>
      </w:tr>
      <w:tr>
        <w:trPr>
          <w:trHeight w:val="170"/>
        </w:trPr>
        <w:tc>
          <w:tcPr>
            <w:tcW w:w="47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546</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2,548</w:t>
            </w:r>
          </w:p>
        </w:tc>
      </w:tr>
      <w:tr>
        <w:trPr>
          <w:trHeight w:val="21"/>
        </w:trPr>
        <w:tc>
          <w:tcPr>
            <w:tcW w:w="90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4720" w:type="dxa"/>
            <w:vAlign w:val="bottom"/>
            <w:gridSpan w:val="2"/>
          </w:tcPr>
          <w:p>
            <w:pPr>
              <w:ind w:left="380"/>
              <w:spacing w:after="0"/>
              <w:rPr>
                <w:sz w:val="20"/>
                <w:szCs w:val="20"/>
                <w:color w:val="auto"/>
              </w:rPr>
            </w:pPr>
            <w:r>
              <w:rPr>
                <w:rFonts w:ascii="Arial" w:cs="Arial" w:eastAsia="Arial" w:hAnsi="Arial"/>
                <w:sz w:val="14"/>
                <w:szCs w:val="14"/>
                <w:color w:val="auto"/>
              </w:rPr>
              <w:t>Total operating expenses</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1,215</w:t>
            </w: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1,448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5,029</w:t>
            </w:r>
          </w:p>
        </w:tc>
      </w:tr>
      <w:tr>
        <w:trPr>
          <w:trHeight w:val="21"/>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(1,215)</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(1,066)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(5,029)</w:t>
            </w:r>
          </w:p>
        </w:tc>
      </w:tr>
      <w:tr>
        <w:trPr>
          <w:trHeight w:val="170"/>
        </w:trPr>
        <w:tc>
          <w:tcPr>
            <w:tcW w:w="9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(323)</w:t>
            </w:r>
          </w:p>
        </w:tc>
        <w:tc>
          <w:tcPr>
            <w:tcW w:w="5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(1,503)</w:t>
            </w:r>
          </w:p>
        </w:tc>
      </w:tr>
      <w:tr>
        <w:trPr>
          <w:trHeight w:val="172"/>
        </w:trPr>
        <w:tc>
          <w:tcPr>
            <w:tcW w:w="47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Change in warrant liabilities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1,805</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3,567</w:t>
            </w:r>
          </w:p>
        </w:tc>
      </w:tr>
      <w:tr>
        <w:trPr>
          <w:trHeight w:val="170"/>
        </w:trPr>
        <w:tc>
          <w:tcPr>
            <w:tcW w:w="900" w:type="dxa"/>
            <w:vAlign w:val="bottom"/>
            <w:tcBorders>
              <w:top w:val="single" w:sz="8" w:color="CCEEFF"/>
            </w:tcBorders>
          </w:tcPr>
          <w:p>
            <w:pPr>
              <w:spacing w:after="0"/>
              <w:rPr>
                <w:sz w:val="14"/>
                <w:szCs w:val="14"/>
                <w:color w:val="auto"/>
              </w:rPr>
            </w:pPr>
          </w:p>
        </w:tc>
        <w:tc>
          <w:tcPr>
            <w:tcW w:w="38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(1,459)</w:t>
            </w:r>
          </w:p>
        </w:tc>
        <w:tc>
          <w:tcPr>
            <w:tcW w:w="5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(1,826)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(2,965)</w:t>
            </w:r>
          </w:p>
        </w:tc>
      </w:tr>
      <w:tr>
        <w:trPr>
          <w:trHeight w:val="170"/>
        </w:trPr>
        <w:tc>
          <w:tcPr>
            <w:tcW w:w="4720" w:type="dxa"/>
            <w:vAlign w:val="bottom"/>
            <w:gridSpan w:val="2"/>
          </w:tcPr>
          <w:p>
            <w:pPr>
              <w:spacing w:after="0"/>
              <w:rPr>
                <w:sz w:val="20"/>
                <w:szCs w:val="20"/>
                <w:color w:val="auto"/>
              </w:rPr>
            </w:pPr>
            <w:r>
              <w:rPr>
                <w:rFonts w:ascii="Arial" w:cs="Arial" w:eastAsia="Arial" w:hAnsi="Arial"/>
                <w:sz w:val="14"/>
                <w:szCs w:val="14"/>
                <w:color w:val="auto"/>
              </w:rPr>
              <w:t>Income taxes</w:t>
            </w:r>
          </w:p>
        </w:tc>
        <w:tc>
          <w:tcPr>
            <w:tcW w:w="1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r>
      <w:tr>
        <w:trPr>
          <w:trHeight w:val="21"/>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(1,459)</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(1,826)</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(2,968)</w:t>
            </w:r>
          </w:p>
        </w:tc>
      </w:tr>
      <w:tr>
        <w:trPr>
          <w:trHeight w:val="153"/>
        </w:trPr>
        <w:tc>
          <w:tcPr>
            <w:tcW w:w="900" w:type="dxa"/>
            <w:vAlign w:val="bottom"/>
            <w:tcBorders>
              <w:top w:val="single" w:sz="8" w:color="CCEEFF"/>
            </w:tcBorders>
          </w:tcPr>
          <w:p>
            <w:pPr>
              <w:spacing w:after="0"/>
              <w:rPr>
                <w:sz w:val="13"/>
                <w:szCs w:val="13"/>
                <w:color w:val="auto"/>
              </w:rPr>
            </w:pPr>
          </w:p>
        </w:tc>
        <w:tc>
          <w:tcPr>
            <w:tcW w:w="38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net income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(1.35)</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r>
      <w:tr>
        <w:trPr>
          <w:trHeight w:val="153"/>
        </w:trPr>
        <w:tc>
          <w:tcPr>
            <w:tcW w:w="900" w:type="dxa"/>
            <w:vAlign w:val="bottom"/>
            <w:tcBorders>
              <w:top w:val="single" w:sz="8" w:color="CCEEFF"/>
            </w:tcBorders>
          </w:tcPr>
          <w:p>
            <w:pPr>
              <w:spacing w:after="0"/>
              <w:rPr>
                <w:sz w:val="13"/>
                <w:szCs w:val="13"/>
                <w:color w:val="auto"/>
              </w:rPr>
            </w:pPr>
          </w:p>
        </w:tc>
        <w:tc>
          <w:tcPr>
            <w:tcW w:w="38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Diluted 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(1.37)</w:t>
            </w:r>
          </w:p>
        </w:tc>
        <w:tc>
          <w:tcPr>
            <w:tcW w:w="5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(0.44)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(3.81)</w:t>
            </w:r>
          </w:p>
        </w:tc>
      </w:tr>
      <w:tr>
        <w:trPr>
          <w:trHeight w:val="153"/>
        </w:trPr>
        <w:tc>
          <w:tcPr>
            <w:tcW w:w="900" w:type="dxa"/>
            <w:vAlign w:val="bottom"/>
            <w:tcBorders>
              <w:top w:val="single" w:sz="8" w:color="CCEEFF"/>
            </w:tcBorders>
          </w:tcPr>
          <w:p>
            <w:pPr>
              <w:spacing w:after="0"/>
              <w:rPr>
                <w:sz w:val="13"/>
                <w:szCs w:val="13"/>
                <w:color w:val="auto"/>
              </w:rPr>
            </w:pPr>
          </w:p>
        </w:tc>
        <w:tc>
          <w:tcPr>
            <w:tcW w:w="38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4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shares used in computing:</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Basic net income (loss) per common share</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1,042,081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1,081,529</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1,110,529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1,162,636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1,098,742</w:t>
            </w:r>
          </w:p>
        </w:tc>
      </w:tr>
      <w:tr>
        <w:trPr>
          <w:trHeight w:val="20"/>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3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4720" w:type="dxa"/>
            <w:vAlign w:val="bottom"/>
            <w:gridSpan w:val="2"/>
          </w:tcPr>
          <w:p>
            <w:pPr>
              <w:ind w:left="260"/>
              <w:spacing w:after="0"/>
              <w:rPr>
                <w:sz w:val="20"/>
                <w:szCs w:val="20"/>
                <w:color w:val="auto"/>
              </w:rPr>
            </w:pPr>
            <w:r>
              <w:rPr>
                <w:rFonts w:ascii="Arial" w:cs="Arial" w:eastAsia="Arial" w:hAnsi="Arial"/>
                <w:sz w:val="14"/>
                <w:szCs w:val="14"/>
                <w:color w:val="auto"/>
              </w:rPr>
              <w:t>Diluted net loss per common share</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1,061,544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1,128,152</w:t>
            </w: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1,110,529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1,162,636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1,099,216</w:t>
            </w:r>
          </w:p>
        </w:tc>
        <w:tc>
          <w:tcPr>
            <w:tcW w:w="10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1"/>
        </w:trPr>
        <w:tc>
          <w:tcPr>
            <w:tcW w:w="9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F-49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2"/>
        </w:trPr>
        <w:tc>
          <w:tcPr>
            <w:tcW w:w="900" w:type="dxa"/>
            <w:vAlign w:val="bottom"/>
            <w:tcBorders>
              <w:bottom w:val="single" w:sz="8" w:color="808080"/>
            </w:tcBorders>
          </w:tcPr>
          <w:p>
            <w:pPr>
              <w:spacing w:after="0"/>
              <w:rPr>
                <w:sz w:val="7"/>
                <w:szCs w:val="7"/>
                <w:color w:val="auto"/>
              </w:rPr>
            </w:pPr>
          </w:p>
        </w:tc>
        <w:tc>
          <w:tcPr>
            <w:tcW w:w="38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10" w:right="21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149"/>
        </w:trPr>
        <w:tc>
          <w:tcPr>
            <w:tcW w:w="884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900" w:type="dxa"/>
            <w:vAlign w:val="bottom"/>
            <w:tcBorders>
              <w:top w:val="single" w:sz="8" w:color="0000EE"/>
            </w:tcBorders>
          </w:tcPr>
          <w:p>
            <w:pPr>
              <w:spacing w:after="0"/>
              <w:rPr>
                <w:sz w:val="24"/>
                <w:szCs w:val="24"/>
                <w:color w:val="auto"/>
              </w:rPr>
            </w:pPr>
          </w:p>
        </w:tc>
        <w:tc>
          <w:tcPr>
            <w:tcW w:w="7940" w:type="dxa"/>
            <w:vAlign w:val="bottom"/>
          </w:tcPr>
          <w:p>
            <w:pPr>
              <w:jc w:val="center"/>
              <w:ind w:left="1669"/>
              <w:spacing w:after="0"/>
              <w:rPr>
                <w:sz w:val="20"/>
                <w:szCs w:val="20"/>
                <w:color w:val="auto"/>
              </w:rPr>
            </w:pPr>
            <w:r>
              <w:rPr>
                <w:rFonts w:ascii="Arial" w:cs="Arial" w:eastAsia="Arial" w:hAnsi="Arial"/>
                <w:sz w:val="14"/>
                <w:szCs w:val="14"/>
                <w:b w:val="1"/>
                <w:bCs w:val="1"/>
                <w:color w:val="auto"/>
                <w:w w:val="91"/>
              </w:rPr>
              <w:t>Financial statements for the nine-month periods ended December 31, 2015 and 2014 (Unaudited)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900" w:type="dxa"/>
            <w:vAlign w:val="bottom"/>
          </w:tcPr>
          <w:p>
            <w:pPr>
              <w:spacing w:after="0"/>
              <w:rPr>
                <w:sz w:val="24"/>
                <w:szCs w:val="24"/>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rPr>
              <w:t>VISTAGEN THERAPEUTICS, INC.</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rPr>
              <w:t>CONDENSED CONSOLIDATED BALANCE SHEETS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7940" w:type="dxa"/>
            <w:vAlign w:val="bottom"/>
          </w:tcPr>
          <w:p>
            <w:pPr>
              <w:jc w:val="center"/>
              <w:ind w:left="1649"/>
              <w:spacing w:after="0"/>
              <w:rPr>
                <w:sz w:val="20"/>
                <w:szCs w:val="20"/>
                <w:color w:val="auto"/>
              </w:rPr>
            </w:pPr>
            <w:r>
              <w:rPr>
                <w:rFonts w:ascii="Arial" w:cs="Arial" w:eastAsia="Arial" w:hAnsi="Arial"/>
                <w:sz w:val="14"/>
                <w:szCs w:val="14"/>
                <w:b w:val="1"/>
                <w:bCs w:val="1"/>
                <w:color w:val="auto"/>
                <w:w w:val="90"/>
              </w:rPr>
              <w:t>(Amounts in Dollars, except share amounts)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7940" w:type="dxa"/>
            <w:vAlign w:val="bottom"/>
            <w:vMerge w:val="restart"/>
          </w:tcPr>
          <w:p>
            <w:pPr>
              <w:jc w:val="center"/>
              <w:ind w:right="949"/>
              <w:spacing w:after="0"/>
              <w:rPr>
                <w:sz w:val="20"/>
                <w:szCs w:val="20"/>
                <w:color w:val="auto"/>
              </w:rPr>
            </w:pPr>
            <w:r>
              <w:rPr>
                <w:rFonts w:ascii="Arial" w:cs="Arial" w:eastAsia="Arial" w:hAnsi="Arial"/>
                <w:sz w:val="14"/>
                <w:szCs w:val="14"/>
                <w:b w:val="1"/>
                <w:bCs w:val="1"/>
                <w:color w:val="auto"/>
                <w:w w:val="92"/>
              </w:rPr>
              <w:t>ASSETS</w:t>
            </w:r>
          </w:p>
        </w:tc>
        <w:tc>
          <w:tcPr>
            <w:tcW w:w="140" w:type="dxa"/>
            <w:vAlign w:val="bottom"/>
          </w:tcPr>
          <w:p>
            <w:pPr>
              <w:spacing w:after="0"/>
              <w:rPr>
                <w:sz w:val="16"/>
                <w:szCs w:val="16"/>
                <w:color w:val="auto"/>
              </w:rPr>
            </w:pPr>
          </w:p>
        </w:tc>
        <w:tc>
          <w:tcPr>
            <w:tcW w:w="1000" w:type="dxa"/>
            <w:vAlign w:val="bottom"/>
          </w:tcPr>
          <w:p>
            <w:pPr>
              <w:jc w:val="right"/>
              <w:ind w:right="129"/>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2"/>
              </w:rPr>
              <w:t>(Note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7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84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1,158,400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72"/>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728,300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current assets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1,886,700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105,700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78,600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117,100</w:t>
            </w:r>
          </w:p>
        </w:tc>
        <w:tc>
          <w:tcPr>
            <w:tcW w:w="0" w:type="dxa"/>
            <w:vAlign w:val="bottom"/>
          </w:tcPr>
          <w:p>
            <w:pPr>
              <w:spacing w:after="0"/>
              <w:rPr>
                <w:sz w:val="1"/>
                <w:szCs w:val="1"/>
                <w:color w:val="auto"/>
              </w:rPr>
            </w:pPr>
          </w:p>
        </w:tc>
      </w:tr>
      <w:tr>
        <w:trPr>
          <w:trHeight w:val="172"/>
        </w:trPr>
        <w:tc>
          <w:tcPr>
            <w:tcW w:w="8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Security deposits and other assets</w:t>
            </w: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46,900</w:t>
            </w: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320"/>
              <w:spacing w:after="0"/>
              <w:rPr>
                <w:sz w:val="20"/>
                <w:szCs w:val="20"/>
                <w:color w:val="auto"/>
              </w:rPr>
            </w:pPr>
            <w:r>
              <w:rPr>
                <w:rFonts w:ascii="Arial" w:cs="Arial" w:eastAsia="Arial" w:hAnsi="Arial"/>
                <w:sz w:val="14"/>
                <w:szCs w:val="14"/>
                <w:color w:val="auto"/>
              </w:rPr>
              <w:t>Total assets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2,012,200</w:t>
            </w:r>
          </w:p>
        </w:tc>
        <w:tc>
          <w:tcPr>
            <w:tcW w:w="22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269,700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7940" w:type="dxa"/>
            <w:vAlign w:val="bottom"/>
          </w:tcPr>
          <w:p>
            <w:pPr>
              <w:jc w:val="center"/>
              <w:ind w:right="949"/>
              <w:spacing w:after="0"/>
              <w:rPr>
                <w:sz w:val="20"/>
                <w:szCs w:val="20"/>
                <w:color w:val="auto"/>
              </w:rPr>
            </w:pPr>
            <w:r>
              <w:rPr>
                <w:rFonts w:ascii="Arial" w:cs="Arial" w:eastAsia="Arial" w:hAnsi="Arial"/>
                <w:sz w:val="14"/>
                <w:szCs w:val="14"/>
                <w:b w:val="1"/>
                <w:bCs w:val="1"/>
                <w:color w:val="auto"/>
              </w:rPr>
              <w:t>LIABILITIES AND STOCKHOLDERS’ DEFICIT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1,097,600</w:t>
            </w:r>
          </w:p>
        </w:tc>
        <w:tc>
          <w:tcPr>
            <w:tcW w:w="22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2,251,100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Accrued expenses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929,100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1,206,500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Current maturities of senior secured convertible promissory notes and accrued interest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4,146,100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Current portion of notes payable, net of discount of $0 at December 31, 2015 and $474,500 at March 31, 2015, and accrued interest</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73,800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4,117,000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w w:val="94"/>
              </w:rPr>
              <w:t>Current portion of notes payable to related parties, net of discount of $0 at December 31, 2015 and $54,500 at March 31, 2015, and accrued interest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1,508,800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8"/>
              </w:rPr>
              <w:t>Convertible promissory notes and accrued interest, net of discount of $0 at December 31, 2015 and $180,000 at March 31, 2015, respectively</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4,157,600</w:t>
            </w:r>
          </w:p>
        </w:tc>
        <w:tc>
          <w:tcPr>
            <w:tcW w:w="0" w:type="dxa"/>
            <w:vAlign w:val="bottom"/>
          </w:tcPr>
          <w:p>
            <w:pPr>
              <w:spacing w:after="0"/>
              <w:rPr>
                <w:sz w:val="1"/>
                <w:szCs w:val="1"/>
                <w:color w:val="auto"/>
              </w:rPr>
            </w:pPr>
          </w:p>
        </w:tc>
      </w:tr>
      <w:tr>
        <w:trPr>
          <w:trHeight w:val="172"/>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Capital lease obligations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2,101,600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17,388,100</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79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Non-current liabilities: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Senior secured convertible promissory notes and accrued interest</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296,200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Notes payable</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29,300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35,600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Warrant liability</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3,008,500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Accrued dividends on Series B Preferred Stock</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1,415,800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Deferred rent liability</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63,500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83,000</w:t>
            </w:r>
          </w:p>
        </w:tc>
        <w:tc>
          <w:tcPr>
            <w:tcW w:w="0" w:type="dxa"/>
            <w:vAlign w:val="bottom"/>
          </w:tcPr>
          <w:p>
            <w:pPr>
              <w:spacing w:after="0"/>
              <w:rPr>
                <w:sz w:val="1"/>
                <w:szCs w:val="1"/>
                <w:color w:val="auto"/>
              </w:rPr>
            </w:pPr>
          </w:p>
        </w:tc>
      </w:tr>
      <w:tr>
        <w:trPr>
          <w:trHeight w:val="172"/>
        </w:trPr>
        <w:tc>
          <w:tcPr>
            <w:tcW w:w="8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Capital lease obligations</w:t>
            </w: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40" w:type="dxa"/>
            <w:vAlign w:val="bottom"/>
            <w:gridSpan w:val="2"/>
          </w:tcPr>
          <w:p>
            <w:pPr>
              <w:ind w:left="320"/>
              <w:spacing w:after="0"/>
              <w:rPr>
                <w:sz w:val="20"/>
                <w:szCs w:val="20"/>
                <w:color w:val="auto"/>
              </w:rPr>
            </w:pPr>
            <w:r>
              <w:rPr>
                <w:rFonts w:ascii="Arial" w:cs="Arial" w:eastAsia="Arial" w:hAnsi="Arial"/>
                <w:sz w:val="14"/>
                <w:szCs w:val="14"/>
                <w:color w:val="auto"/>
              </w:rPr>
              <w:t>Total non-current liabilities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1,508,900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3,424,400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3,610,500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20,812,500</w:t>
            </w: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79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Preferred stock, $0.001 par value; 10,000,000 shares authorized at December 31, 2015 and March 31, 2015:</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Series A Preferred, 500,000 shares authorized and outstanding at December 31, 2015 and March 31, 2015</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0"/>
        </w:trPr>
        <w:tc>
          <w:tcPr>
            <w:tcW w:w="8840" w:type="dxa"/>
            <w:vAlign w:val="bottom"/>
            <w:gridSpan w:val="2"/>
          </w:tcPr>
          <w:p>
            <w:pPr>
              <w:ind w:left="320"/>
              <w:spacing w:after="0" w:line="160" w:lineRule="exact"/>
              <w:rPr>
                <w:sz w:val="20"/>
                <w:szCs w:val="20"/>
                <w:color w:val="auto"/>
              </w:rPr>
            </w:pPr>
            <w:r>
              <w:rPr>
                <w:rFonts w:ascii="Arial" w:cs="Arial" w:eastAsia="Arial" w:hAnsi="Arial"/>
                <w:sz w:val="14"/>
                <w:szCs w:val="14"/>
                <w:color w:val="auto"/>
                <w:w w:val="93"/>
              </w:rPr>
              <w:t>Series B Preferred, 4,000,000 shares and no shares authorized at December 31, 2015 and March 31, 2015, respectively; 3,588,863 shares and no</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840" w:type="dxa"/>
            <w:vAlign w:val="bottom"/>
            <w:gridSpan w:val="2"/>
          </w:tcPr>
          <w:p>
            <w:pPr>
              <w:ind w:left="480"/>
              <w:spacing w:after="0"/>
              <w:rPr>
                <w:sz w:val="20"/>
                <w:szCs w:val="20"/>
                <w:color w:val="auto"/>
              </w:rPr>
            </w:pPr>
            <w:r>
              <w:rPr>
                <w:rFonts w:ascii="Arial" w:cs="Arial" w:eastAsia="Arial" w:hAnsi="Arial"/>
                <w:sz w:val="14"/>
                <w:szCs w:val="14"/>
                <w:color w:val="auto"/>
              </w:rPr>
              <w:t>shares issued and outstanding at December 31, 2015 and March 31, 2015, respectively</w:t>
            </w:r>
          </w:p>
        </w:tc>
        <w:tc>
          <w:tcPr>
            <w:tcW w:w="1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3,600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8840" w:type="dxa"/>
            <w:vAlign w:val="bottom"/>
            <w:gridSpan w:val="2"/>
            <w:shd w:val="clear" w:color="auto" w:fill="CCEEFF"/>
          </w:tcPr>
          <w:p>
            <w:pPr>
              <w:ind w:left="160"/>
              <w:spacing w:after="0" w:line="160" w:lineRule="exact"/>
              <w:rPr>
                <w:sz w:val="20"/>
                <w:szCs w:val="20"/>
                <w:color w:val="auto"/>
              </w:rPr>
            </w:pPr>
            <w:r>
              <w:rPr>
                <w:rFonts w:ascii="Arial" w:cs="Arial" w:eastAsia="Arial" w:hAnsi="Arial"/>
                <w:sz w:val="14"/>
                <w:szCs w:val="14"/>
                <w:color w:val="auto"/>
                <w:w w:val="96"/>
              </w:rPr>
              <w:t>Common stock, $0.001 par value; 30,000,000 shares and 10,000,000 shares authorized at December 31, 2015 and March 31, 2015, respectively;</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1,965,170 shares and 1,677,110 shares issued at December 31, 2015 and March 31, 2015 respectively</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125,605,200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67,945,800</w:t>
            </w:r>
          </w:p>
        </w:tc>
        <w:tc>
          <w:tcPr>
            <w:tcW w:w="0" w:type="dxa"/>
            <w:vAlign w:val="bottom"/>
          </w:tcPr>
          <w:p>
            <w:pPr>
              <w:spacing w:after="0"/>
              <w:rPr>
                <w:sz w:val="1"/>
                <w:szCs w:val="1"/>
                <w:color w:val="auto"/>
              </w:rPr>
            </w:pPr>
          </w:p>
        </w:tc>
      </w:tr>
      <w:tr>
        <w:trPr>
          <w:trHeight w:val="170"/>
        </w:trPr>
        <w:tc>
          <w:tcPr>
            <w:tcW w:w="8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Treasury stock, at cost, 135,665 shares of common stock held at December 31, 2015 and March 31, 2015, respectively</w:t>
            </w:r>
          </w:p>
        </w:tc>
        <w:tc>
          <w:tcPr>
            <w:tcW w:w="14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(3,968,100)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(3,968,100)</w:t>
            </w:r>
          </w:p>
        </w:tc>
        <w:tc>
          <w:tcPr>
            <w:tcW w:w="0" w:type="dxa"/>
            <w:vAlign w:val="bottom"/>
          </w:tcPr>
          <w:p>
            <w:pPr>
              <w:spacing w:after="0"/>
              <w:rPr>
                <w:sz w:val="1"/>
                <w:szCs w:val="1"/>
                <w:color w:val="auto"/>
              </w:rPr>
            </w:pPr>
          </w:p>
        </w:tc>
      </w:tr>
      <w:tr>
        <w:trPr>
          <w:trHeight w:val="170"/>
        </w:trPr>
        <w:tc>
          <w:tcPr>
            <w:tcW w:w="8840" w:type="dxa"/>
            <w:vAlign w:val="bottom"/>
            <w:gridSpan w:val="2"/>
          </w:tcPr>
          <w:p>
            <w:pPr>
              <w:ind w:left="160"/>
              <w:spacing w:after="0"/>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4"/>
                <w:szCs w:val="1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4"/>
                <w:szCs w:val="14"/>
                <w:color w:val="auto"/>
              </w:rPr>
              <w:t>(123,241,500)</w:t>
            </w: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(84,522,700)</w:t>
            </w: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8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stockholders’ deficit</w:t>
            </w:r>
          </w:p>
        </w:tc>
        <w:tc>
          <w:tcPr>
            <w:tcW w:w="14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(1,598,300)</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(20,542,800)</w:t>
            </w:r>
          </w:p>
        </w:tc>
        <w:tc>
          <w:tcPr>
            <w:tcW w:w="0" w:type="dxa"/>
            <w:vAlign w:val="bottom"/>
          </w:tcPr>
          <w:p>
            <w:pPr>
              <w:spacing w:after="0"/>
              <w:rPr>
                <w:sz w:val="1"/>
                <w:szCs w:val="1"/>
                <w:color w:val="auto"/>
              </w:rPr>
            </w:pPr>
          </w:p>
        </w:tc>
      </w:tr>
      <w:tr>
        <w:trPr>
          <w:trHeight w:val="170"/>
        </w:trPr>
        <w:tc>
          <w:tcPr>
            <w:tcW w:w="8840" w:type="dxa"/>
            <w:vAlign w:val="bottom"/>
            <w:tcBorders>
              <w:top w:val="single" w:sz="8" w:color="CCEEFF"/>
            </w:tcBorders>
            <w:gridSpan w:val="2"/>
          </w:tcPr>
          <w:p>
            <w:pPr>
              <w:ind w:left="320"/>
              <w:spacing w:after="0"/>
              <w:rPr>
                <w:sz w:val="20"/>
                <w:szCs w:val="20"/>
                <w:color w:val="auto"/>
              </w:rPr>
            </w:pPr>
            <w:r>
              <w:rPr>
                <w:rFonts w:ascii="Arial" w:cs="Arial" w:eastAsia="Arial" w:hAnsi="Arial"/>
                <w:sz w:val="14"/>
                <w:szCs w:val="14"/>
                <w:color w:val="auto"/>
              </w:rPr>
              <w:t>Total liabilities and stockholders’ deficit</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2,012,200</w:t>
            </w:r>
          </w:p>
        </w:tc>
        <w:tc>
          <w:tcPr>
            <w:tcW w:w="20" w:type="dxa"/>
            <w:vAlign w:val="bottom"/>
            <w:tcBorders>
              <w:top w:val="single" w:sz="8" w:color="CCEEFF"/>
              <w:bottom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269,700</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93" w:name="page194"/>
    <w:bookmarkEnd w:id="19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dollars,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6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2"/>
        </w:trPr>
        <w:tc>
          <w:tcPr>
            <w:tcW w:w="6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340"/>
        </w:trPr>
        <w:tc>
          <w:tcPr>
            <w:tcW w:w="6080" w:type="dxa"/>
            <w:vAlign w:val="bottom"/>
          </w:tcPr>
          <w:p>
            <w:pPr>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806,300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445,400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2,835,000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1,476,600</w:t>
            </w: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1,335,500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671,300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6,514,500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2,024,600</w:t>
            </w:r>
          </w:p>
        </w:tc>
      </w:tr>
      <w:tr>
        <w:trPr>
          <w:trHeight w:val="21"/>
        </w:trPr>
        <w:tc>
          <w:tcPr>
            <w:tcW w:w="6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2,141,800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1,116,700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9,349,500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3,501,200</w:t>
            </w:r>
          </w:p>
        </w:tc>
      </w:tr>
      <w:tr>
        <w:trPr>
          <w:trHeight w:val="21"/>
        </w:trPr>
        <w:tc>
          <w:tcPr>
            <w:tcW w:w="6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Loss from operations</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(2,141,800)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(1,116,700)</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(9,349,500)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(3,501,200)</w:t>
            </w: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Other expenses, net: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(2,500)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(792,400)</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(769,800)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(2,182,900)</w:t>
            </w: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 in warrant liability</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953,700</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(1,894,700)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528,300</w:t>
            </w: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(26,700,200)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(2,371,400)</w:t>
            </w: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expense</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(134,900)</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(134,900)</w:t>
            </w:r>
          </w:p>
        </w:tc>
      </w:tr>
      <w:tr>
        <w:trPr>
          <w:trHeight w:val="21"/>
        </w:trPr>
        <w:tc>
          <w:tcPr>
            <w:tcW w:w="6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Loss before income taxes</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(2,146,600)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(1,090,300)</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(38,716,500)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(7,662,100)</w:t>
            </w:r>
          </w:p>
        </w:tc>
      </w:tr>
      <w:tr>
        <w:trPr>
          <w:trHeight w:val="17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(2,400)</w:t>
            </w:r>
          </w:p>
        </w:tc>
      </w:tr>
      <w:tr>
        <w:trPr>
          <w:trHeight w:val="170"/>
        </w:trPr>
        <w:tc>
          <w:tcPr>
            <w:tcW w:w="60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Net loss and comprehensive loss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(2,146,600)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(1,090,300)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(38,718,800)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70"/>
        </w:trPr>
        <w:tc>
          <w:tcPr>
            <w:tcW w:w="6080" w:type="dxa"/>
            <w:vAlign w:val="bottom"/>
          </w:tcPr>
          <w:p>
            <w:pPr>
              <w:spacing w:after="0"/>
              <w:rPr>
                <w:sz w:val="20"/>
                <w:szCs w:val="20"/>
                <w:color w:val="auto"/>
              </w:rPr>
            </w:pPr>
            <w:r>
              <w:rPr>
                <w:rFonts w:ascii="Arial" w:cs="Arial" w:eastAsia="Arial" w:hAnsi="Arial"/>
                <w:sz w:val="14"/>
                <w:szCs w:val="14"/>
                <w:color w:val="auto"/>
              </w:rPr>
              <w:t>Accrued dividends on Series B Preferred stock</w:t>
            </w: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(631,300)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(1,459,300)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2"/>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Deemed dividend on Series B Preferred Units</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(668,700)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(1,811,800)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60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common stockholders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(3,446,600)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(1,090,300)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(41,989,900)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53"/>
        </w:trPr>
        <w:tc>
          <w:tcPr>
            <w:tcW w:w="60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60"/>
        </w:trPr>
        <w:tc>
          <w:tcPr>
            <w:tcW w:w="60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Basic net loss attributable to common stockholders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21"/>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per common share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(0.84)</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w:t>
            </w:r>
          </w:p>
        </w:tc>
      </w:tr>
      <w:tr>
        <w:trPr>
          <w:trHeight w:val="153"/>
        </w:trPr>
        <w:tc>
          <w:tcPr>
            <w:tcW w:w="60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60"/>
        </w:trPr>
        <w:tc>
          <w:tcPr>
            <w:tcW w:w="60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Diluted net loss attributable to common stockholders</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21"/>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per common share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(6.14)</w:t>
            </w:r>
          </w:p>
        </w:tc>
      </w:tr>
      <w:tr>
        <w:trPr>
          <w:trHeight w:val="153"/>
        </w:trPr>
        <w:tc>
          <w:tcPr>
            <w:tcW w:w="60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used in computing:</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6080" w:type="dxa"/>
            <w:vAlign w:val="bottom"/>
          </w:tcPr>
          <w:p>
            <w:pPr>
              <w:spacing w:after="0" w:line="160" w:lineRule="exact"/>
              <w:rPr>
                <w:sz w:val="20"/>
                <w:szCs w:val="20"/>
                <w:color w:val="auto"/>
              </w:rPr>
            </w:pPr>
            <w:r>
              <w:rPr>
                <w:rFonts w:ascii="Arial" w:cs="Arial" w:eastAsia="Arial" w:hAnsi="Arial"/>
                <w:sz w:val="14"/>
                <w:szCs w:val="14"/>
                <w:color w:val="auto"/>
              </w:rPr>
              <w:t>Basic net loss attributable to common stockholders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6080" w:type="dxa"/>
            <w:vAlign w:val="bottom"/>
          </w:tcPr>
          <w:p>
            <w:pPr>
              <w:spacing w:after="0"/>
              <w:rPr>
                <w:sz w:val="20"/>
                <w:szCs w:val="20"/>
                <w:color w:val="auto"/>
              </w:rPr>
            </w:pPr>
            <w:r>
              <w:rPr>
                <w:rFonts w:ascii="Arial" w:cs="Arial" w:eastAsia="Arial" w:hAnsi="Arial"/>
                <w:sz w:val="14"/>
                <w:szCs w:val="14"/>
                <w:color w:val="auto"/>
              </w:rPr>
              <w:t>per common share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1,765,641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1,302,300</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1,650,160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1,270,495</w:t>
            </w:r>
          </w:p>
        </w:tc>
      </w:tr>
      <w:tr>
        <w:trPr>
          <w:trHeight w:val="20"/>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6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11460"/>
          </w:cols>
          <w:pgMar w:left="220" w:top="133" w:right="219" w:bottom="1440" w:gutter="0" w:footer="0" w:header="0"/>
        </w:sectPr>
      </w:pPr>
    </w:p>
    <w:p>
      <w:pPr>
        <w:spacing w:after="0" w:line="267" w:lineRule="auto"/>
        <w:rPr>
          <w:sz w:val="20"/>
          <w:szCs w:val="20"/>
          <w:color w:val="auto"/>
        </w:rPr>
      </w:pPr>
      <w:r>
        <w:rPr>
          <w:rFonts w:ascii="Arial" w:cs="Arial" w:eastAsia="Arial" w:hAnsi="Arial"/>
          <w:sz w:val="14"/>
          <w:szCs w:val="14"/>
          <w:color w:val="auto"/>
        </w:rPr>
        <w:t>Diluted net loss attributable to common stockholders per common share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both"/>
        <w:ind w:left="3060"/>
        <w:spacing w:after="0"/>
        <w:tabs>
          <w:tab w:leader="none" w:pos="4440" w:val="left"/>
          <w:tab w:leader="none" w:pos="5820" w:val="left"/>
          <w:tab w:leader="none" w:pos="7160" w:val="left"/>
        </w:tabs>
        <w:rPr>
          <w:sz w:val="20"/>
          <w:szCs w:val="20"/>
          <w:color w:val="auto"/>
        </w:rPr>
      </w:pPr>
      <w:r>
        <w:rPr>
          <w:rFonts w:ascii="Arial" w:cs="Arial" w:eastAsia="Arial" w:hAnsi="Arial"/>
          <w:sz w:val="14"/>
          <w:szCs w:val="14"/>
          <w:color w:val="auto"/>
        </w:rPr>
        <w:t>1,765,641</w:t>
      </w:r>
      <w:r>
        <w:rPr>
          <w:sz w:val="20"/>
          <w:szCs w:val="20"/>
          <w:color w:val="auto"/>
        </w:rPr>
        <w:tab/>
      </w:r>
      <w:r>
        <w:rPr>
          <w:rFonts w:ascii="Arial" w:cs="Arial" w:eastAsia="Arial" w:hAnsi="Arial"/>
          <w:sz w:val="14"/>
          <w:szCs w:val="14"/>
          <w:color w:val="auto"/>
        </w:rPr>
        <w:t>1,302,300</w:t>
      </w:r>
      <w:r>
        <w:rPr>
          <w:sz w:val="20"/>
          <w:szCs w:val="20"/>
          <w:color w:val="auto"/>
        </w:rPr>
        <w:tab/>
      </w:r>
      <w:r>
        <w:rPr>
          <w:rFonts w:ascii="Arial" w:cs="Arial" w:eastAsia="Arial" w:hAnsi="Arial"/>
          <w:sz w:val="14"/>
          <w:szCs w:val="14"/>
          <w:color w:val="auto"/>
        </w:rPr>
        <w:t>1,650,160</w:t>
      </w:r>
      <w:r>
        <w:rPr>
          <w:sz w:val="20"/>
          <w:szCs w:val="20"/>
          <w:color w:val="auto"/>
        </w:rPr>
        <w:tab/>
      </w:r>
      <w:r>
        <w:rPr>
          <w:rFonts w:ascii="Arial" w:cs="Arial" w:eastAsia="Arial" w:hAnsi="Arial"/>
          <w:sz w:val="13"/>
          <w:szCs w:val="13"/>
          <w:color w:val="auto"/>
        </w:rPr>
        <w:t>1,288,674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12700</wp:posOffset>
            </wp:positionV>
            <wp:extent cx="3347085" cy="27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47085" cy="2730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18"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-2284730</wp:posOffset>
            </wp:positionH>
            <wp:positionV relativeFrom="paragraph">
              <wp:posOffset>64135</wp:posOffset>
            </wp:positionV>
            <wp:extent cx="7281545" cy="196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2">
            <w:col w:w="3000" w:space="600"/>
            <w:col w:w="7860"/>
          </w:cols>
          <w:pgMar w:left="220" w:top="133" w:right="219" w:bottom="1440" w:gutter="0" w:footer="0" w:header="0"/>
          <w:type w:val="continuous"/>
        </w:sectPr>
      </w:pPr>
    </w:p>
    <w:bookmarkStart w:id="194" w:name="page195"/>
    <w:bookmarkEnd w:id="194"/>
    <w:tbl>
      <w:tblPr>
        <w:tblLayout w:type="fixed"/>
        <w:tblInd w:w="0" w:type="dxa"/>
        <w:tblCellMar>
          <w:top w:w="0" w:type="dxa"/>
          <w:left w:w="0" w:type="dxa"/>
          <w:bottom w:w="0" w:type="dxa"/>
          <w:right w:w="0" w:type="dxa"/>
        </w:tblCellMar>
      </w:tblPr>
      <w:tr>
        <w:trPr>
          <w:trHeight w:val="149"/>
        </w:trPr>
        <w:tc>
          <w:tcPr>
            <w:tcW w:w="8700" w:type="dxa"/>
            <w:vAlign w:val="bottom"/>
            <w:gridSpan w:val="2"/>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59"/>
        </w:trPr>
        <w:tc>
          <w:tcPr>
            <w:tcW w:w="900" w:type="dxa"/>
            <w:vAlign w:val="bottom"/>
            <w:tcBorders>
              <w:top w:val="single" w:sz="8" w:color="0000EE"/>
            </w:tcBorders>
          </w:tcPr>
          <w:p>
            <w:pPr>
              <w:spacing w:after="0"/>
              <w:rPr>
                <w:sz w:val="24"/>
                <w:szCs w:val="24"/>
                <w:color w:val="auto"/>
              </w:rPr>
            </w:pPr>
          </w:p>
        </w:tc>
        <w:tc>
          <w:tcPr>
            <w:tcW w:w="7800" w:type="dxa"/>
            <w:vAlign w:val="bottom"/>
          </w:tcPr>
          <w:p>
            <w:pPr>
              <w:jc w:val="center"/>
              <w:ind w:left="1789"/>
              <w:spacing w:after="0"/>
              <w:rPr>
                <w:sz w:val="20"/>
                <w:szCs w:val="20"/>
                <w:color w:val="auto"/>
              </w:rPr>
            </w:pPr>
            <w:r>
              <w:rPr>
                <w:rFonts w:ascii="Arial" w:cs="Arial" w:eastAsia="Arial" w:hAnsi="Arial"/>
                <w:sz w:val="14"/>
                <w:szCs w:val="14"/>
                <w:b w:val="1"/>
                <w:bCs w:val="1"/>
                <w:color w:val="auto"/>
              </w:rPr>
              <w:t>VISTAGEN THERAPEUTICS,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900" w:type="dxa"/>
            <w:vAlign w:val="bottom"/>
          </w:tcPr>
          <w:p>
            <w:pPr>
              <w:spacing w:after="0"/>
              <w:rPr>
                <w:sz w:val="14"/>
                <w:szCs w:val="14"/>
                <w:color w:val="auto"/>
              </w:rPr>
            </w:pPr>
          </w:p>
        </w:tc>
        <w:tc>
          <w:tcPr>
            <w:tcW w:w="7800" w:type="dxa"/>
            <w:vAlign w:val="bottom"/>
          </w:tcPr>
          <w:p>
            <w:pPr>
              <w:jc w:val="center"/>
              <w:ind w:left="1789"/>
              <w:spacing w:after="0"/>
              <w:rPr>
                <w:sz w:val="20"/>
                <w:szCs w:val="20"/>
                <w:color w:val="auto"/>
              </w:rPr>
            </w:pPr>
            <w:r>
              <w:rPr>
                <w:rFonts w:ascii="Arial" w:cs="Arial" w:eastAsia="Arial" w:hAnsi="Arial"/>
                <w:sz w:val="14"/>
                <w:szCs w:val="14"/>
                <w:b w:val="1"/>
                <w:bCs w:val="1"/>
                <w:color w:val="auto"/>
              </w:rPr>
              <w:t>CONDENSED CONSOLIDATED STATEMENTS OF CASH FLOWS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900" w:type="dxa"/>
            <w:vAlign w:val="bottom"/>
          </w:tcPr>
          <w:p>
            <w:pPr>
              <w:spacing w:after="0"/>
              <w:rPr>
                <w:sz w:val="14"/>
                <w:szCs w:val="14"/>
                <w:color w:val="auto"/>
              </w:rPr>
            </w:pPr>
          </w:p>
        </w:tc>
        <w:tc>
          <w:tcPr>
            <w:tcW w:w="7800" w:type="dxa"/>
            <w:vAlign w:val="bottom"/>
          </w:tcPr>
          <w:p>
            <w:pPr>
              <w:jc w:val="center"/>
              <w:ind w:left="1789"/>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900" w:type="dxa"/>
            <w:vAlign w:val="bottom"/>
          </w:tcPr>
          <w:p>
            <w:pPr>
              <w:spacing w:after="0"/>
              <w:rPr>
                <w:sz w:val="16"/>
                <w:szCs w:val="16"/>
                <w:color w:val="auto"/>
              </w:rPr>
            </w:pPr>
          </w:p>
        </w:tc>
        <w:tc>
          <w:tcPr>
            <w:tcW w:w="7800" w:type="dxa"/>
            <w:vAlign w:val="bottom"/>
          </w:tcPr>
          <w:p>
            <w:pPr>
              <w:jc w:val="center"/>
              <w:ind w:left="1809"/>
              <w:spacing w:after="0"/>
              <w:rPr>
                <w:sz w:val="20"/>
                <w:szCs w:val="20"/>
                <w:color w:val="auto"/>
              </w:rPr>
            </w:pPr>
            <w:r>
              <w:rPr>
                <w:rFonts w:ascii="Arial" w:cs="Arial" w:eastAsia="Arial" w:hAnsi="Arial"/>
                <w:sz w:val="14"/>
                <w:szCs w:val="14"/>
                <w:b w:val="1"/>
                <w:bCs w:val="1"/>
                <w:color w:val="auto"/>
                <w:w w:val="92"/>
              </w:rPr>
              <w:t>(Amounts in Dollars)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4"/>
        </w:trPr>
        <w:tc>
          <w:tcPr>
            <w:tcW w:w="9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Nine Months Ended December 31,</w:t>
            </w:r>
          </w:p>
        </w:tc>
      </w:tr>
      <w:tr>
        <w:trPr>
          <w:trHeight w:val="172"/>
        </w:trPr>
        <w:tc>
          <w:tcPr>
            <w:tcW w:w="90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Cash flows from operating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(38,718,800)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40,800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39,200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Amortization of discounts on convertible and promissory notes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564,800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1,294,700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Change in warrant liability</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1,894,700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(528,300)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3,868,300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564,000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Expense related to modification of warrants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614,900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Non-cash rent expense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(19,500)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(9,700)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Interest income on note receivable for common stock purchase</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Loss on settlement of note receivable for common stock purchase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134,900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Fair value of common stock granted for services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606,300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134,000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Fair value of Series B Preferred stock granted for services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1,045,000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Fair value of warrants granted for services and interest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111,200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38,700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Foreign currency transaction gain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(6,400)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(22,000)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Loss on extinguishment of debt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26,700,200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2,371,400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Loss on disposition of fixed assets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2,300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61,800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74,300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Accounts payable and accrued expenses, including accrued interest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(264,500)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1,696,100</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8700" w:type="dxa"/>
            <w:vAlign w:val="bottom"/>
            <w:gridSpan w:val="2"/>
          </w:tcPr>
          <w:p>
            <w:pPr>
              <w:ind w:left="320"/>
              <w:spacing w:after="0"/>
              <w:rPr>
                <w:sz w:val="20"/>
                <w:szCs w:val="20"/>
                <w:color w:val="auto"/>
              </w:rPr>
            </w:pPr>
            <w:r>
              <w:rPr>
                <w:rFonts w:ascii="Arial" w:cs="Arial" w:eastAsia="Arial" w:hAnsi="Arial"/>
                <w:sz w:val="14"/>
                <w:szCs w:val="14"/>
                <w:color w:val="auto"/>
              </w:rPr>
              <w:t>Net cash used in operating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(3,498,900)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(1,874,400)</w:t>
            </w:r>
          </w:p>
        </w:tc>
      </w:tr>
      <w:tr>
        <w:trPr>
          <w:trHeight w:val="170"/>
        </w:trPr>
        <w:tc>
          <w:tcPr>
            <w:tcW w:w="900" w:type="dxa"/>
            <w:vAlign w:val="bottom"/>
            <w:shd w:val="clear" w:color="auto" w:fill="CCEEFF"/>
          </w:tcPr>
          <w:p>
            <w:pPr>
              <w:spacing w:after="0"/>
              <w:rPr>
                <w:sz w:val="14"/>
                <w:szCs w:val="14"/>
                <w:color w:val="auto"/>
              </w:rPr>
            </w:pPr>
          </w:p>
        </w:tc>
        <w:tc>
          <w:tcPr>
            <w:tcW w:w="7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Purchases of equipment, net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2"/>
        </w:trPr>
        <w:tc>
          <w:tcPr>
            <w:tcW w:w="8700" w:type="dxa"/>
            <w:vAlign w:val="bottom"/>
            <w:gridSpan w:val="2"/>
          </w:tcPr>
          <w:p>
            <w:pPr>
              <w:ind w:left="32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(4,600)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900" w:type="dxa"/>
            <w:vAlign w:val="bottom"/>
            <w:shd w:val="clear" w:color="auto" w:fill="CCEEFF"/>
          </w:tcPr>
          <w:p>
            <w:pPr>
              <w:spacing w:after="0"/>
              <w:rPr>
                <w:sz w:val="14"/>
                <w:szCs w:val="14"/>
                <w:color w:val="auto"/>
              </w:rPr>
            </w:pPr>
          </w:p>
        </w:tc>
        <w:tc>
          <w:tcPr>
            <w:tcW w:w="7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Net proceeds from issuance of common stock and warrants, including Units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280,000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2,128,200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Net proceeds from issuance of Series B Preferred Units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4,397,800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Repayment of capital lease obligations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(3,700)</w:t>
            </w: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Repayment of notes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(85,200)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(236,900)</w:t>
            </w:r>
          </w:p>
        </w:tc>
      </w:tr>
      <w:tr>
        <w:trPr>
          <w:trHeight w:val="21"/>
        </w:trPr>
        <w:tc>
          <w:tcPr>
            <w:tcW w:w="9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8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Net cash provided by financing activities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4,591,900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1,887,600</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Net increase in cash and cash equivalents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1,088,400</w:t>
            </w: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13,200</w:t>
            </w:r>
          </w:p>
        </w:tc>
      </w:tr>
      <w:tr>
        <w:trPr>
          <w:trHeight w:val="170"/>
        </w:trPr>
        <w:tc>
          <w:tcPr>
            <w:tcW w:w="8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Cash and cash equivalents at beginning of period</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70,000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1"/>
        </w:trPr>
        <w:tc>
          <w:tcPr>
            <w:tcW w:w="900" w:type="dxa"/>
            <w:vAlign w:val="bottom"/>
            <w:shd w:val="clear" w:color="auto" w:fill="CCEEFF"/>
          </w:tcPr>
          <w:p>
            <w:pPr>
              <w:spacing w:after="0" w:line="20" w:lineRule="exact"/>
              <w:rPr>
                <w:sz w:val="1"/>
                <w:szCs w:val="1"/>
                <w:color w:val="auto"/>
              </w:rPr>
            </w:pPr>
          </w:p>
        </w:tc>
        <w:tc>
          <w:tcPr>
            <w:tcW w:w="7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8700" w:type="dxa"/>
            <w:vAlign w:val="bottom"/>
            <w:gridSpan w:val="2"/>
          </w:tcPr>
          <w:p>
            <w:pPr>
              <w:ind w:left="16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1,158,400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13,200</w:t>
            </w:r>
          </w:p>
        </w:tc>
      </w:tr>
      <w:tr>
        <w:trPr>
          <w:trHeight w:val="20"/>
        </w:trPr>
        <w:tc>
          <w:tcPr>
            <w:tcW w:w="9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900" w:type="dxa"/>
            <w:vAlign w:val="bottom"/>
            <w:shd w:val="clear" w:color="auto" w:fill="CCEEFF"/>
          </w:tcPr>
          <w:p>
            <w:pPr>
              <w:spacing w:after="0"/>
              <w:rPr>
                <w:sz w:val="13"/>
                <w:szCs w:val="13"/>
                <w:color w:val="auto"/>
              </w:rPr>
            </w:pPr>
          </w:p>
        </w:tc>
        <w:tc>
          <w:tcPr>
            <w:tcW w:w="7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700" w:type="dxa"/>
            <w:vAlign w:val="bottom"/>
            <w:gridSpan w:val="2"/>
          </w:tcPr>
          <w:p>
            <w:pPr>
              <w:spacing w:after="0"/>
              <w:rPr>
                <w:sz w:val="20"/>
                <w:szCs w:val="20"/>
                <w:color w:val="auto"/>
              </w:rPr>
            </w:pPr>
            <w:r>
              <w:rPr>
                <w:rFonts w:ascii="Arial" w:cs="Arial" w:eastAsia="Arial" w:hAnsi="Arial"/>
                <w:sz w:val="14"/>
                <w:szCs w:val="14"/>
                <w:color w:val="auto"/>
              </w:rPr>
              <w:t>Supplemental disclosure of noncash activities: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8700" w:type="dxa"/>
            <w:vAlign w:val="bottom"/>
            <w:gridSpan w:val="2"/>
            <w:shd w:val="clear" w:color="auto" w:fill="CCEEFF"/>
          </w:tcPr>
          <w:p>
            <w:pPr>
              <w:ind w:left="160"/>
              <w:spacing w:after="0" w:line="160" w:lineRule="exact"/>
              <w:rPr>
                <w:sz w:val="20"/>
                <w:szCs w:val="20"/>
                <w:color w:val="auto"/>
              </w:rPr>
            </w:pPr>
            <w:r>
              <w:rPr>
                <w:rFonts w:ascii="Arial" w:cs="Arial" w:eastAsia="Arial" w:hAnsi="Arial"/>
                <w:sz w:val="14"/>
                <w:szCs w:val="14"/>
                <w:color w:val="auto"/>
                <w:w w:val="92"/>
              </w:rPr>
              <w:t>Senior Secured Notes, 2014 Unit Notes, other promissory notes and related accrued interest, and accounts payable, including conversion premiums,</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87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converted into Series B Preferred stock</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18,891,400</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195" w:name="page196"/>
    <w:bookmarkEnd w:id="19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Description of Business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5" w:lineRule="exact"/>
        <w:rPr>
          <w:sz w:val="20"/>
          <w:szCs w:val="20"/>
          <w:color w:val="auto"/>
        </w:rPr>
      </w:pPr>
    </w:p>
    <w:p>
      <w:pPr>
        <w:ind w:right="140" w:firstLine="511"/>
        <w:spacing w:after="0" w:line="263" w:lineRule="auto"/>
        <w:rPr>
          <w:sz w:val="20"/>
          <w:szCs w:val="20"/>
          <w:color w:val="auto"/>
        </w:rPr>
      </w:pPr>
      <w:r>
        <w:rPr>
          <w:rFonts w:ascii="Arial" w:cs="Arial" w:eastAsia="Arial" w:hAnsi="Arial"/>
          <w:sz w:val="14"/>
          <w:szCs w:val="14"/>
          <w:color w:val="auto"/>
        </w:rPr>
        <w:t>VistaGen Therapeutics, Inc. (OTCQB: VSTA), a Nevada corporation, is a clinical-stage biopharmaceutical company committed to developing and commercializing innovative product candidates for patients with diseases and disorders involving the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xml:space="preserve">). Our principal executive offices are located at 343 Allerton Avenue, South San Francisco, California 94080, and our telephone number is (650) 577-3600. Our website address is </w:t>
      </w:r>
      <w:r>
        <w:rPr>
          <w:rFonts w:ascii="Arial" w:cs="Arial" w:eastAsia="Arial" w:hAnsi="Arial"/>
          <w:sz w:val="14"/>
          <w:szCs w:val="14"/>
          <w:i w:val="1"/>
          <w:iCs w:val="1"/>
          <w:color w:val="auto"/>
        </w:rPr>
        <w:t>www.vistagen.com</w:t>
      </w:r>
      <w:r>
        <w:rPr>
          <w:rFonts w:ascii="Arial" w:cs="Arial" w:eastAsia="Arial" w:hAnsi="Arial"/>
          <w:sz w:val="14"/>
          <w:szCs w:val="14"/>
          <w:color w:val="auto"/>
        </w:rPr>
        <w:t>. Unless the context otherwise requires, the words “</w:t>
      </w:r>
      <w:r>
        <w:rPr>
          <w:rFonts w:ascii="Arial" w:cs="Arial" w:eastAsia="Arial" w:hAnsi="Arial"/>
          <w:sz w:val="14"/>
          <w:szCs w:val="14"/>
          <w:i w:val="1"/>
          <w:iCs w:val="1"/>
          <w:color w:val="auto"/>
        </w:rPr>
        <w:t>VistaGen Therapeutics, Inc.</w:t>
      </w:r>
      <w:r>
        <w:rPr>
          <w:rFonts w:ascii="Arial" w:cs="Arial" w:eastAsia="Arial" w:hAnsi="Arial"/>
          <w:sz w:val="14"/>
          <w:szCs w:val="14"/>
          <w:color w:val="auto"/>
        </w:rPr>
        <w:t>” “</w:t>
      </w:r>
      <w:r>
        <w:rPr>
          <w:rFonts w:ascii="Arial" w:cs="Arial" w:eastAsia="Arial" w:hAnsi="Arial"/>
          <w:sz w:val="14"/>
          <w:szCs w:val="14"/>
          <w:i w:val="1"/>
          <w:iCs w:val="1"/>
          <w:color w:val="auto"/>
        </w:rPr>
        <w:t>VistaGen</w:t>
      </w:r>
      <w:r>
        <w:rPr>
          <w:rFonts w:ascii="Arial" w:cs="Arial" w:eastAsia="Arial" w:hAnsi="Arial"/>
          <w:sz w:val="14"/>
          <w:szCs w:val="14"/>
          <w:color w:val="auto"/>
        </w:rPr>
        <w:t>,” “</w:t>
      </w:r>
      <w:r>
        <w:rPr>
          <w:rFonts w:ascii="Arial" w:cs="Arial" w:eastAsia="Arial" w:hAnsi="Arial"/>
          <w:sz w:val="14"/>
          <w:szCs w:val="14"/>
          <w:i w:val="1"/>
          <w:iCs w:val="1"/>
          <w:color w:val="auto"/>
        </w:rPr>
        <w:t>we</w:t>
      </w:r>
      <w:r>
        <w:rPr>
          <w:rFonts w:ascii="Arial" w:cs="Arial" w:eastAsia="Arial" w:hAnsi="Arial"/>
          <w:sz w:val="14"/>
          <w:szCs w:val="14"/>
          <w:color w:val="auto"/>
        </w:rPr>
        <w:t>,” “</w:t>
      </w:r>
      <w:r>
        <w:rPr>
          <w:rFonts w:ascii="Arial" w:cs="Arial" w:eastAsia="Arial" w:hAnsi="Arial"/>
          <w:sz w:val="14"/>
          <w:szCs w:val="14"/>
          <w:i w:val="1"/>
          <w:iCs w:val="1"/>
          <w:color w:val="auto"/>
        </w:rPr>
        <w:t>the</w:t>
      </w:r>
      <w:r>
        <w:rPr>
          <w:rFonts w:ascii="Arial" w:cs="Arial" w:eastAsia="Arial" w:hAnsi="Arial"/>
          <w:sz w:val="14"/>
          <w:szCs w:val="14"/>
          <w:color w:val="auto"/>
        </w:rPr>
        <w:t xml:space="preserve"> </w:t>
      </w:r>
      <w:r>
        <w:rPr>
          <w:rFonts w:ascii="Arial" w:cs="Arial" w:eastAsia="Arial" w:hAnsi="Arial"/>
          <w:sz w:val="14"/>
          <w:szCs w:val="14"/>
          <w:i w:val="1"/>
          <w:iCs w:val="1"/>
          <w:color w:val="auto"/>
        </w:rPr>
        <w:t>Company</w:t>
      </w:r>
      <w:r>
        <w:rPr>
          <w:rFonts w:ascii="Arial" w:cs="Arial" w:eastAsia="Arial" w:hAnsi="Arial"/>
          <w:sz w:val="14"/>
          <w:szCs w:val="14"/>
          <w:color w:val="auto"/>
        </w:rPr>
        <w:t>,” “</w:t>
      </w:r>
      <w:r>
        <w:rPr>
          <w:rFonts w:ascii="Arial" w:cs="Arial" w:eastAsia="Arial" w:hAnsi="Arial"/>
          <w:sz w:val="14"/>
          <w:szCs w:val="14"/>
          <w:i w:val="1"/>
          <w:iCs w:val="1"/>
          <w:color w:val="auto"/>
        </w:rPr>
        <w:t>us</w:t>
      </w:r>
      <w:r>
        <w:rPr>
          <w:rFonts w:ascii="Arial" w:cs="Arial" w:eastAsia="Arial" w:hAnsi="Arial"/>
          <w:sz w:val="14"/>
          <w:szCs w:val="14"/>
          <w:color w:val="auto"/>
        </w:rPr>
        <w:t>” and “</w:t>
      </w:r>
      <w:r>
        <w:rPr>
          <w:rFonts w:ascii="Arial" w:cs="Arial" w:eastAsia="Arial" w:hAnsi="Arial"/>
          <w:sz w:val="14"/>
          <w:szCs w:val="14"/>
          <w:i w:val="1"/>
          <w:iCs w:val="1"/>
          <w:color w:val="auto"/>
        </w:rPr>
        <w:t>our</w:t>
      </w:r>
      <w:r>
        <w:rPr>
          <w:rFonts w:ascii="Arial" w:cs="Arial" w:eastAsia="Arial" w:hAnsi="Arial"/>
          <w:sz w:val="14"/>
          <w:szCs w:val="14"/>
          <w:color w:val="auto"/>
        </w:rPr>
        <w:t>” refer to VistaGen Therapeutics, Inc., a Nevada corporation.</w:t>
      </w:r>
    </w:p>
    <w:p>
      <w:pPr>
        <w:spacing w:after="0" w:line="167" w:lineRule="exact"/>
        <w:rPr>
          <w:sz w:val="20"/>
          <w:szCs w:val="20"/>
          <w:color w:val="auto"/>
        </w:rPr>
      </w:pPr>
    </w:p>
    <w:p>
      <w:pPr>
        <w:ind w:right="80" w:firstLine="511"/>
        <w:spacing w:after="0" w:line="281" w:lineRule="auto"/>
        <w:rPr>
          <w:sz w:val="20"/>
          <w:szCs w:val="20"/>
          <w:color w:val="auto"/>
        </w:rPr>
      </w:pPr>
      <w:r>
        <w:rPr>
          <w:rFonts w:ascii="Arial" w:cs="Arial" w:eastAsia="Arial" w:hAnsi="Arial"/>
          <w:sz w:val="13"/>
          <w:szCs w:val="13"/>
          <w:color w:val="auto"/>
        </w:rPr>
        <w:t>Our lead drug candidate, AV-101, is a next generation, orally available prodrug candidate in Phase 2A development, initially for the adjunctive treatment of Major Depressive Disorder (</w:t>
      </w:r>
      <w:r>
        <w:rPr>
          <w:rFonts w:ascii="Arial" w:cs="Arial" w:eastAsia="Arial" w:hAnsi="Arial"/>
          <w:sz w:val="13"/>
          <w:szCs w:val="13"/>
          <w:i w:val="1"/>
          <w:iCs w:val="1"/>
          <w:color w:val="auto"/>
        </w:rPr>
        <w:t>MDD</w:t>
      </w:r>
      <w:r>
        <w:rPr>
          <w:rFonts w:ascii="Arial" w:cs="Arial" w:eastAsia="Arial" w:hAnsi="Arial"/>
          <w:sz w:val="13"/>
          <w:szCs w:val="13"/>
          <w:color w:val="auto"/>
        </w:rPr>
        <w:t>) in patients with an inadequate response to standard antidepressants. AV-101’s novel mechanism of action, as an N-methyl D aspartate receptor (</w:t>
      </w:r>
      <w:r>
        <w:rPr>
          <w:rFonts w:ascii="Arial" w:cs="Arial" w:eastAsia="Arial" w:hAnsi="Arial"/>
          <w:sz w:val="13"/>
          <w:szCs w:val="13"/>
          <w:i w:val="1"/>
          <w:iCs w:val="1"/>
          <w:color w:val="auto"/>
        </w:rPr>
        <w:t>NMDAR</w:t>
      </w:r>
      <w:r>
        <w:rPr>
          <w:rFonts w:ascii="Arial" w:cs="Arial" w:eastAsia="Arial" w:hAnsi="Arial"/>
          <w:sz w:val="13"/>
          <w:szCs w:val="13"/>
          <w:color w:val="auto"/>
        </w:rPr>
        <w:t>) antagonist binding selectively at the glycine binding (</w:t>
      </w:r>
      <w:r>
        <w:rPr>
          <w:rFonts w:ascii="Arial" w:cs="Arial" w:eastAsia="Arial" w:hAnsi="Arial"/>
          <w:sz w:val="13"/>
          <w:szCs w:val="13"/>
          <w:i w:val="1"/>
          <w:iCs w:val="1"/>
          <w:color w:val="auto"/>
        </w:rPr>
        <w:t>GlyB</w:t>
      </w:r>
      <w:r>
        <w:rPr>
          <w:rFonts w:ascii="Arial" w:cs="Arial" w:eastAsia="Arial" w:hAnsi="Arial"/>
          <w:sz w:val="13"/>
          <w:szCs w:val="13"/>
          <w:color w:val="auto"/>
        </w:rPr>
        <w:t>) co-agonist site of the NMDAR, is fundamentally differentiated from all antidepressants currently approved by the U.S. Food and Drug Administration (</w:t>
      </w:r>
      <w:r>
        <w:rPr>
          <w:rFonts w:ascii="Arial" w:cs="Arial" w:eastAsia="Arial" w:hAnsi="Arial"/>
          <w:sz w:val="13"/>
          <w:szCs w:val="13"/>
          <w:i w:val="1"/>
          <w:iCs w:val="1"/>
          <w:color w:val="auto"/>
        </w:rPr>
        <w:t>FDA</w:t>
      </w:r>
      <w:r>
        <w:rPr>
          <w:rFonts w:ascii="Arial" w:cs="Arial" w:eastAsia="Arial" w:hAnsi="Arial"/>
          <w:sz w:val="13"/>
          <w:szCs w:val="13"/>
          <w:color w:val="auto"/>
        </w:rPr>
        <w:t>). Our Phase 2A clinical study of AV-101 in subjects with treatment-resistant MDD is being conducted and funded by the U.S. National Institutes of Mental Health (</w:t>
      </w:r>
      <w:r>
        <w:rPr>
          <w:rFonts w:ascii="Arial" w:cs="Arial" w:eastAsia="Arial" w:hAnsi="Arial"/>
          <w:sz w:val="13"/>
          <w:szCs w:val="13"/>
          <w:i w:val="1"/>
          <w:iCs w:val="1"/>
          <w:color w:val="auto"/>
        </w:rPr>
        <w:t>NIMH</w:t>
      </w:r>
      <w:r>
        <w:rPr>
          <w:rFonts w:ascii="Arial" w:cs="Arial" w:eastAsia="Arial" w:hAnsi="Arial"/>
          <w:sz w:val="13"/>
          <w:szCs w:val="13"/>
          <w:color w:val="auto"/>
        </w:rPr>
        <w:t>) under our February 2015 Cooperative Research and Development Agreement (</w:t>
      </w:r>
      <w:r>
        <w:rPr>
          <w:rFonts w:ascii="Arial" w:cs="Arial" w:eastAsia="Arial" w:hAnsi="Arial"/>
          <w:sz w:val="13"/>
          <w:szCs w:val="13"/>
          <w:i w:val="1"/>
          <w:iCs w:val="1"/>
          <w:color w:val="auto"/>
        </w:rPr>
        <w:t>CRADA</w:t>
      </w:r>
      <w:r>
        <w:rPr>
          <w:rFonts w:ascii="Arial" w:cs="Arial" w:eastAsia="Arial" w:hAnsi="Arial"/>
          <w:sz w:val="13"/>
          <w:szCs w:val="13"/>
          <w:color w:val="auto"/>
        </w:rPr>
        <w:t>) with the NIMH. The Principal Investigator of this NIMH-funded Phase 2A study, which was initiated in late-2015, is Dr. Carlos Zarate, Jr., Chief of the NIMH’s Experimental Therapeutics &amp; Pathophysiology Branch and its Section on Neurobiology and Treatment of Mood and Anxiety Disorders. Dr. Zarate is an internationally recognized expert in the field of depression and was among the first clinical researchers in the world to discover the therapeutic potential of the NMDAR antagonist ketamine in treatment-resistant MDD.</w:t>
      </w:r>
    </w:p>
    <w:p>
      <w:pPr>
        <w:spacing w:after="0" w:line="159" w:lineRule="exact"/>
        <w:rPr>
          <w:sz w:val="20"/>
          <w:szCs w:val="20"/>
          <w:color w:val="auto"/>
        </w:rPr>
      </w:pPr>
    </w:p>
    <w:p>
      <w:pPr>
        <w:ind w:right="20" w:firstLine="511"/>
        <w:spacing w:after="0" w:line="283" w:lineRule="auto"/>
        <w:rPr>
          <w:sz w:val="20"/>
          <w:szCs w:val="20"/>
          <w:color w:val="auto"/>
        </w:rPr>
      </w:pPr>
      <w:r>
        <w:rPr>
          <w:rFonts w:ascii="Arial" w:cs="Arial" w:eastAsia="Arial" w:hAnsi="Arial"/>
          <w:sz w:val="14"/>
          <w:szCs w:val="14"/>
          <w:color w:val="auto"/>
        </w:rPr>
        <w:t>We believe AV-101 has therapeutic potential in multiple additional CNS indications, including neuropathic pain and epilepsy, and in neurodegenerative diseases such as Parkinson’s disease and Huntington’s disease.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addition to our focus on CNS and neurology, we are applying our proprietary, human pluripotent stem cell (</w:t>
      </w:r>
      <w:r>
        <w:rPr>
          <w:rFonts w:ascii="Arial" w:cs="Arial" w:eastAsia="Arial" w:hAnsi="Arial"/>
          <w:sz w:val="13"/>
          <w:szCs w:val="13"/>
          <w:i w:val="1"/>
          <w:iCs w:val="1"/>
          <w:color w:val="auto"/>
        </w:rPr>
        <w:t>hPSC</w:t>
      </w:r>
      <w:r>
        <w:rPr>
          <w:rFonts w:ascii="Arial" w:cs="Arial" w:eastAsia="Arial" w:hAnsi="Arial"/>
          <w:sz w:val="13"/>
          <w:szCs w:val="13"/>
          <w:color w:val="auto"/>
        </w:rPr>
        <w:t>) technology for drug rescue to develop proprietary new chemical entities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NCEs</w:t>
      </w:r>
      <w:r>
        <w:rPr>
          <w:rFonts w:ascii="Arial" w:cs="Arial" w:eastAsia="Arial" w:hAnsi="Arial"/>
          <w:sz w:val="12"/>
          <w:szCs w:val="12"/>
          <w:color w:val="auto"/>
        </w:rPr>
        <w:t>) for our internal drug candidate pipeline. Initial drug rescue programs are focused on NCEs for the treatment of cancer. We are also considering potential therapeutic and commercial applications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of our stem cell technology platform for regenerative medicine (</w:t>
      </w:r>
      <w:r>
        <w:rPr>
          <w:rFonts w:ascii="Arial" w:cs="Arial" w:eastAsia="Arial" w:hAnsi="Arial"/>
          <w:sz w:val="14"/>
          <w:szCs w:val="14"/>
          <w:i w:val="1"/>
          <w:iCs w:val="1"/>
          <w:color w:val="auto"/>
        </w:rPr>
        <w:t>RM</w:t>
      </w:r>
      <w:r>
        <w:rPr>
          <w:rFonts w:ascii="Arial" w:cs="Arial" w:eastAsia="Arial" w:hAnsi="Arial"/>
          <w:sz w:val="14"/>
          <w:szCs w:val="14"/>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AV-101 and Major Depressive Disorder</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Background</w:t>
      </w:r>
    </w:p>
    <w:p>
      <w:pPr>
        <w:spacing w:after="0" w:line="201" w:lineRule="exact"/>
        <w:rPr>
          <w:sz w:val="20"/>
          <w:szCs w:val="20"/>
          <w:color w:val="auto"/>
        </w:rPr>
      </w:pPr>
    </w:p>
    <w:p>
      <w:pPr>
        <w:jc w:val="both"/>
        <w:ind w:right="160" w:firstLine="511"/>
        <w:spacing w:after="0" w:line="298" w:lineRule="auto"/>
        <w:rPr>
          <w:sz w:val="20"/>
          <w:szCs w:val="20"/>
          <w:color w:val="auto"/>
        </w:rPr>
      </w:pPr>
      <w:r>
        <w:rPr>
          <w:rFonts w:ascii="Arial" w:cs="Arial" w:eastAsia="Arial" w:hAnsi="Arial"/>
          <w:sz w:val="13"/>
          <w:szCs w:val="13"/>
          <w:color w:val="auto"/>
        </w:rPr>
        <w:t>The World Health Organization estimates that 350 million people worldwide are affected by depression. According to the U.S. National Institutes of Health (</w:t>
      </w:r>
      <w:r>
        <w:rPr>
          <w:rFonts w:ascii="Arial" w:cs="Arial" w:eastAsia="Arial" w:hAnsi="Arial"/>
          <w:sz w:val="13"/>
          <w:szCs w:val="13"/>
          <w:i w:val="1"/>
          <w:iCs w:val="1"/>
          <w:color w:val="auto"/>
        </w:rPr>
        <w:t>NIH</w:t>
      </w:r>
      <w:r>
        <w:rPr>
          <w:rFonts w:ascii="Arial" w:cs="Arial" w:eastAsia="Arial" w:hAnsi="Arial"/>
          <w:sz w:val="13"/>
          <w:szCs w:val="13"/>
          <w:color w:val="auto"/>
        </w:rPr>
        <w:t>),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3"/>
          <w:szCs w:val="13"/>
          <w:i w:val="1"/>
          <w:iCs w:val="1"/>
          <w:color w:val="auto"/>
        </w:rPr>
        <w:t>CDC</w:t>
      </w:r>
      <w:r>
        <w:rPr>
          <w:rFonts w:ascii="Arial" w:cs="Arial" w:eastAsia="Arial" w:hAnsi="Arial"/>
          <w:sz w:val="13"/>
          <w:szCs w:val="13"/>
          <w:color w:val="auto"/>
        </w:rPr>
        <w:t>), one in 10 Americans takes an antidepressant medication.</w:t>
      </w:r>
    </w:p>
    <w:p>
      <w:pPr>
        <w:spacing w:after="0" w:line="146" w:lineRule="exact"/>
        <w:rPr>
          <w:sz w:val="20"/>
          <w:szCs w:val="20"/>
          <w:color w:val="auto"/>
        </w:rPr>
      </w:pPr>
    </w:p>
    <w:p>
      <w:pPr>
        <w:ind w:right="20" w:firstLine="511"/>
        <w:spacing w:after="0" w:line="285" w:lineRule="auto"/>
        <w:rPr>
          <w:sz w:val="20"/>
          <w:szCs w:val="20"/>
          <w:color w:val="auto"/>
        </w:rPr>
      </w:pPr>
      <w:r>
        <w:rPr>
          <w:rFonts w:ascii="Arial" w:cs="Arial" w:eastAsia="Arial" w:hAnsi="Arial"/>
          <w:sz w:val="13"/>
          <w:szCs w:val="13"/>
          <w:color w:val="auto"/>
        </w:rPr>
        <w:t>Unfortunately, millions of depression sufferers (more than 30%) do not benefit from initial treatment with standard antidepressants, generally a selective serotonin reuptake inhibitor (</w:t>
      </w:r>
      <w:r>
        <w:rPr>
          <w:rFonts w:ascii="Arial" w:cs="Arial" w:eastAsia="Arial" w:hAnsi="Arial"/>
          <w:sz w:val="13"/>
          <w:szCs w:val="13"/>
          <w:i w:val="1"/>
          <w:iCs w:val="1"/>
          <w:color w:val="auto"/>
        </w:rPr>
        <w:t>SSRI</w:t>
      </w:r>
      <w:r>
        <w:rPr>
          <w:rFonts w:ascii="Arial" w:cs="Arial" w:eastAsia="Arial" w:hAnsi="Arial"/>
          <w:sz w:val="13"/>
          <w:szCs w:val="13"/>
          <w:color w:val="auto"/>
        </w:rPr>
        <w:t>) or a serotonin-norepinephrine reuptake inhibitor (</w:t>
      </w:r>
      <w:r>
        <w:rPr>
          <w:rFonts w:ascii="Arial" w:cs="Arial" w:eastAsia="Arial" w:hAnsi="Arial"/>
          <w:sz w:val="13"/>
          <w:szCs w:val="13"/>
          <w:i w:val="1"/>
          <w:iCs w:val="1"/>
          <w:color w:val="auto"/>
        </w:rPr>
        <w:t>SNRI</w:t>
      </w:r>
      <w:r>
        <w:rPr>
          <w:rFonts w:ascii="Arial" w:cs="Arial" w:eastAsia="Arial" w:hAnsi="Arial"/>
          <w:sz w:val="13"/>
          <w:szCs w:val="13"/>
          <w:color w:val="auto"/>
        </w:rPr>
        <w:t>). Moreover, even when they do relieve depressive symptoms and induce remission of a major depressive episode, SSRIs and SNRIs take many weeks to achieve therapeutic benefits because of their mechanism of action. During the weeks to months before onset of antidepressant effects, side effects of SSRIs and SNRIs, including anxiety, metabolic syndrome, sleep disturbance, sexual dysfunction and suicidal thoughts and behaviors, may be considerable. Unfortunately, even after treatment with as many as four different standard antidepressants, millions of patients (more than 30% of drug-treated patients) do not achieve an adequate therapeutic response to their standard antidepressant therapies.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AV-101</w:t>
      </w:r>
    </w:p>
    <w:p>
      <w:pPr>
        <w:spacing w:after="0" w:line="180" w:lineRule="exact"/>
        <w:rPr>
          <w:sz w:val="20"/>
          <w:szCs w:val="20"/>
          <w:color w:val="auto"/>
        </w:rPr>
      </w:pPr>
    </w:p>
    <w:p>
      <w:pPr>
        <w:ind w:firstLine="511"/>
        <w:spacing w:after="0" w:line="283" w:lineRule="auto"/>
        <w:rPr>
          <w:sz w:val="20"/>
          <w:szCs w:val="20"/>
          <w:color w:val="auto"/>
        </w:rPr>
      </w:pPr>
      <w:r>
        <w:rPr>
          <w:rFonts w:ascii="Arial" w:cs="Arial" w:eastAsia="Arial" w:hAnsi="Arial"/>
          <w:sz w:val="13"/>
          <w:szCs w:val="13"/>
          <w:color w:val="auto"/>
        </w:rPr>
        <w:t xml:space="preserve">AV-101, our orally available prodrug candidate, is in Phase 2 clinical development, initially for the adjunctive treatment of MDD patients with an inadequate response to standard antidepressant therapies. As published in the October 2015 issue of the peer-reviewed, </w:t>
      </w:r>
      <w:r>
        <w:rPr>
          <w:rFonts w:ascii="Arial" w:cs="Arial" w:eastAsia="Arial" w:hAnsi="Arial"/>
          <w:sz w:val="13"/>
          <w:szCs w:val="13"/>
          <w:i w:val="1"/>
          <w:iCs w:val="1"/>
          <w:color w:val="auto"/>
        </w:rPr>
        <w:t>Journal of Pharmacology and Experimental Therapeutics,</w:t>
      </w:r>
      <w:r>
        <w:rPr>
          <w:rFonts w:ascii="Arial" w:cs="Arial" w:eastAsia="Arial" w:hAnsi="Arial"/>
          <w:sz w:val="13"/>
          <w:szCs w:val="13"/>
          <w:color w:val="auto"/>
        </w:rPr>
        <w:t xml:space="preserve"> in an article entitled, </w:t>
      </w:r>
      <w:r>
        <w:rPr>
          <w:rFonts w:ascii="Arial" w:cs="Arial" w:eastAsia="Arial" w:hAnsi="Arial"/>
          <w:sz w:val="13"/>
          <w:szCs w:val="13"/>
          <w:i w:val="1"/>
          <w:iCs w:val="1"/>
          <w:color w:val="auto"/>
        </w:rPr>
        <w:t>The prodrug 4-chlorokynurenine causes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ketamine-like antidepressant effects, but not side effects, by NMDA/glycineB-site inhibition, </w:t>
      </w:r>
      <w:r>
        <w:rPr>
          <w:rFonts w:ascii="Arial" w:cs="Arial" w:eastAsia="Arial" w:hAnsi="Arial"/>
          <w:sz w:val="13"/>
          <w:szCs w:val="13"/>
          <w:color w:val="auto"/>
        </w:rPr>
        <w:t>in well-established preclinical models of depression, AV-101 was shown to induce fast-acting, dose-dependent, persistent and statistically significant antidepressant-like responses, following a single treatment, which responses were equivalent to responses seen with a control single sub-anesthetic dose of the NMDAR antagonist ketamine, an FDA-approved anesthetic administered intravenously by clinicians in a medical setting to treat MDD patients who have not responded adequately to standard antidepressant therapies). In the same preclinical studies, the SSRI fluoxetine did not induce rapid onset antidepressant-like responses.</w:t>
      </w:r>
    </w:p>
    <w:p>
      <w:pPr>
        <w:spacing w:after="0" w:line="156" w:lineRule="exact"/>
        <w:rPr>
          <w:sz w:val="20"/>
          <w:szCs w:val="20"/>
          <w:color w:val="auto"/>
        </w:rPr>
      </w:pPr>
    </w:p>
    <w:p>
      <w:pPr>
        <w:ind w:right="100" w:firstLine="511"/>
        <w:spacing w:after="0" w:line="268" w:lineRule="auto"/>
        <w:rPr>
          <w:sz w:val="20"/>
          <w:szCs w:val="20"/>
          <w:color w:val="auto"/>
        </w:rPr>
      </w:pPr>
      <w:r>
        <w:rPr>
          <w:rFonts w:ascii="Arial" w:cs="Arial" w:eastAsia="Arial" w:hAnsi="Arial"/>
          <w:sz w:val="14"/>
          <w:szCs w:val="14"/>
          <w:color w:val="auto"/>
        </w:rPr>
        <w:t>Following two successful randomized, double-blind, placebo-controlled Phase 1A and Phase 1B safety studies funded by the NIH, we are now collaborating with the NIMH on a Phase 2A efficacy and safety study of AV-101 in subjects with treatment-resistant MDD. This NIMH-funded Phase 2A study began in late-2015, and is expected to enroll from 24 to 28 patients. As noted above, Dr. Carlos Zarate, Jr. of the NIMH is the Principal Investigator of the study.</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196" w:name="page197"/>
    <w:bookmarkEnd w:id="19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right="380" w:firstLine="511"/>
        <w:spacing w:after="0" w:line="283" w:lineRule="auto"/>
        <w:rPr>
          <w:sz w:val="20"/>
          <w:szCs w:val="20"/>
          <w:color w:val="auto"/>
        </w:rPr>
      </w:pPr>
      <w:r>
        <w:rPr>
          <w:rFonts w:ascii="Arial" w:cs="Arial" w:eastAsia="Arial" w:hAnsi="Arial"/>
          <w:sz w:val="14"/>
          <w:szCs w:val="14"/>
          <w:color w:val="auto"/>
        </w:rPr>
        <w:t>Preclinical studies also support the hypothesis that AV-101 has the potential to treat several additional CNS disorders and neurodegenerative diseases, including chronic neuropathic pain, epilepsy, Parkinson’s disease and Huntington’s disease, where modulation of the NMDAR or active metabolites of AV-101 may have therapeutic benefit.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NCE Drug Rescue and Regenerative Medicine</w:t>
      </w:r>
    </w:p>
    <w:p>
      <w:pPr>
        <w:spacing w:after="0" w:line="205" w:lineRule="exact"/>
        <w:rPr>
          <w:sz w:val="20"/>
          <w:szCs w:val="20"/>
          <w:color w:val="auto"/>
        </w:rPr>
      </w:pPr>
    </w:p>
    <w:p>
      <w:pPr>
        <w:ind w:right="60" w:firstLine="511"/>
        <w:spacing w:after="0" w:line="263" w:lineRule="auto"/>
        <w:rPr>
          <w:sz w:val="20"/>
          <w:szCs w:val="20"/>
          <w:color w:val="auto"/>
        </w:rPr>
      </w:pPr>
      <w:r>
        <w:rPr>
          <w:rFonts w:ascii="Arial" w:cs="Arial" w:eastAsia="Arial" w:hAnsi="Arial"/>
          <w:sz w:val="14"/>
          <w:szCs w:val="14"/>
          <w:color w:val="auto"/>
        </w:rPr>
        <w:t xml:space="preserve">Our drug rescue programs involve using </w:t>
      </w:r>
      <w:r>
        <w:rPr>
          <w:rFonts w:ascii="Arial" w:cs="Arial" w:eastAsia="Arial" w:hAnsi="Arial"/>
          <w:sz w:val="14"/>
          <w:szCs w:val="14"/>
          <w:i w:val="1"/>
          <w:iCs w:val="1"/>
          <w:color w:val="auto"/>
        </w:rPr>
        <w:t>CardioSafe</w:t>
      </w:r>
      <w:r>
        <w:rPr>
          <w:rFonts w:ascii="Arial" w:cs="Arial" w:eastAsia="Arial" w:hAnsi="Arial"/>
          <w:sz w:val="14"/>
          <w:szCs w:val="14"/>
          <w:color w:val="auto"/>
        </w:rPr>
        <w:t xml:space="preserve"> 3D(TM)</w:t>
      </w:r>
      <w:r>
        <w:rPr>
          <w:rFonts w:ascii="Arial" w:cs="Arial" w:eastAsia="Arial" w:hAnsi="Arial"/>
          <w:sz w:val="14"/>
          <w:szCs w:val="14"/>
          <w:i w:val="1"/>
          <w:iCs w:val="1"/>
          <w:color w:val="auto"/>
        </w:rPr>
        <w:t>,</w:t>
      </w:r>
      <w:r>
        <w:rPr>
          <w:rFonts w:ascii="Arial" w:cs="Arial" w:eastAsia="Arial" w:hAnsi="Arial"/>
          <w:sz w:val="14"/>
          <w:szCs w:val="14"/>
          <w:color w:val="auto"/>
        </w:rPr>
        <w:t xml:space="preserve"> our customized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bioassay system, to predict potential human heart toxicity of NCEs, long before they are ever tested in animal and human studies. We are are focused on leveraging our stem cell technology platform to recapture value from substantial prior investments by pharmaceutical companies and others related to screening large-scale compound libraries, optimizing and testing for efficacy NCEs that were terminated before FDA approval due to heart toxicity risks and are now available in the public domain and amenable to drug rescue.</w:t>
      </w:r>
    </w:p>
    <w:p>
      <w:pPr>
        <w:spacing w:after="0" w:line="167" w:lineRule="exact"/>
        <w:rPr>
          <w:sz w:val="20"/>
          <w:szCs w:val="20"/>
          <w:color w:val="auto"/>
        </w:rPr>
      </w:pPr>
    </w:p>
    <w:p>
      <w:pPr>
        <w:ind w:right="180" w:firstLine="511"/>
        <w:spacing w:after="0" w:line="283" w:lineRule="auto"/>
        <w:rPr>
          <w:sz w:val="20"/>
          <w:szCs w:val="20"/>
          <w:color w:val="auto"/>
        </w:rPr>
      </w:pPr>
      <w:r>
        <w:rPr>
          <w:rFonts w:ascii="Arial" w:cs="Arial" w:eastAsia="Arial" w:hAnsi="Arial"/>
          <w:sz w:val="14"/>
          <w:szCs w:val="14"/>
          <w:color w:val="auto"/>
        </w:rPr>
        <w:t>Our current interests in the regenerative medicine arena include collaborative nonclinical proof of concept studies with academic research partners to explore potential regenerative medicine applications involving hPSC-derived blood, bone, cartilage, heart, and liver cells.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and Stock Consolidation</w:t>
      </w:r>
    </w:p>
    <w:p>
      <w:pPr>
        <w:spacing w:after="0" w:line="205" w:lineRule="exact"/>
        <w:rPr>
          <w:sz w:val="20"/>
          <w:szCs w:val="20"/>
          <w:color w:val="auto"/>
        </w:rPr>
      </w:pPr>
    </w:p>
    <w:p>
      <w:pPr>
        <w:jc w:val="both"/>
        <w:ind w:right="80" w:firstLine="511"/>
        <w:spacing w:after="0" w:line="268" w:lineRule="auto"/>
        <w:rPr>
          <w:sz w:val="20"/>
          <w:szCs w:val="20"/>
          <w:color w:val="auto"/>
        </w:rPr>
      </w:pPr>
      <w:r>
        <w:rPr>
          <w:rFonts w:ascii="Arial" w:cs="Arial" w:eastAsia="Arial" w:hAnsi="Arial"/>
          <w:sz w:val="14"/>
          <w:szCs w:val="14"/>
          <w:color w:val="auto"/>
        </w:rPr>
        <w:t>VistaGen Therapeutics, Inc., a California corporation (</w:t>
      </w:r>
      <w:r>
        <w:rPr>
          <w:rFonts w:ascii="Arial" w:cs="Arial" w:eastAsia="Arial" w:hAnsi="Arial"/>
          <w:sz w:val="14"/>
          <w:szCs w:val="14"/>
          <w:i w:val="1"/>
          <w:iCs w:val="1"/>
          <w:color w:val="auto"/>
        </w:rPr>
        <w:t>VistaGen California</w:t>
      </w:r>
      <w:r>
        <w:rPr>
          <w:rFonts w:ascii="Arial" w:cs="Arial" w:eastAsia="Arial" w:hAnsi="Arial"/>
          <w:sz w:val="14"/>
          <w:szCs w:val="14"/>
          <w:color w:val="auto"/>
        </w:rPr>
        <w:t>), is our wholly-owned subsidiary. Our Condensed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63" w:lineRule="exact"/>
        <w:rPr>
          <w:sz w:val="20"/>
          <w:szCs w:val="20"/>
          <w:color w:val="auto"/>
        </w:rPr>
      </w:pPr>
    </w:p>
    <w:p>
      <w:pPr>
        <w:ind w:right="120" w:firstLine="511"/>
        <w:spacing w:after="0" w:line="370" w:lineRule="auto"/>
        <w:rPr>
          <w:sz w:val="20"/>
          <w:szCs w:val="20"/>
          <w:color w:val="auto"/>
        </w:rPr>
      </w:pPr>
      <w:r>
        <w:rPr>
          <w:rFonts w:ascii="Arial" w:cs="Arial" w:eastAsia="Arial" w:hAnsi="Arial"/>
          <w:sz w:val="12"/>
          <w:szCs w:val="12"/>
          <w:color w:val="auto"/>
        </w:rPr>
        <w:t>Effective August 14, 2014, we consummated a 1-for-20 reverse split of our authorized, and issued and outstanding shares of common stock (</w:t>
      </w:r>
      <w:r>
        <w:rPr>
          <w:rFonts w:ascii="Arial" w:cs="Arial" w:eastAsia="Arial" w:hAnsi="Arial"/>
          <w:sz w:val="12"/>
          <w:szCs w:val="12"/>
          <w:i w:val="1"/>
          <w:iCs w:val="1"/>
          <w:color w:val="auto"/>
        </w:rPr>
        <w:t>Stock Consolidation</w:t>
      </w:r>
      <w:r>
        <w:rPr>
          <w:rFonts w:ascii="Arial" w:cs="Arial" w:eastAsia="Arial" w:hAnsi="Arial"/>
          <w:sz w:val="12"/>
          <w:szCs w:val="12"/>
          <w:color w:val="auto"/>
        </w:rPr>
        <w:t>). Each reference to shares of common stock or the price per share of common stock in these financial statements is post-Stock Consolidation, and reflects the 1-for-20 adjustment as a result of the Stock Consolidation.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Basis of Presentation and Going Concern</w:t>
      </w:r>
    </w:p>
    <w:p>
      <w:pPr>
        <w:spacing w:after="0" w:line="205" w:lineRule="exact"/>
        <w:rPr>
          <w:sz w:val="20"/>
          <w:szCs w:val="20"/>
          <w:color w:val="auto"/>
        </w:rPr>
      </w:pPr>
    </w:p>
    <w:p>
      <w:pPr>
        <w:ind w:right="60" w:firstLine="511"/>
        <w:spacing w:after="0" w:line="283" w:lineRule="auto"/>
        <w:rPr>
          <w:sz w:val="20"/>
          <w:szCs w:val="20"/>
          <w:color w:val="auto"/>
        </w:rPr>
      </w:pPr>
      <w:r>
        <w:rPr>
          <w:rFonts w:ascii="Arial" w:cs="Arial" w:eastAsia="Arial" w:hAnsi="Arial"/>
          <w:sz w:val="13"/>
          <w:szCs w:val="13"/>
          <w:color w:val="auto"/>
        </w:rPr>
        <w:t>The accompanying unaudited Condensed Consolidated Financial Statements have been prepared in accordance with accounting principles generally accepted in the United States (</w:t>
      </w:r>
      <w:r>
        <w:rPr>
          <w:rFonts w:ascii="Arial" w:cs="Arial" w:eastAsia="Arial" w:hAnsi="Arial"/>
          <w:sz w:val="13"/>
          <w:szCs w:val="13"/>
          <w:i w:val="1"/>
          <w:iCs w:val="1"/>
          <w:color w:val="auto"/>
        </w:rPr>
        <w:t>U.S. GAAP</w:t>
      </w:r>
      <w:r>
        <w:rPr>
          <w:rFonts w:ascii="Arial" w:cs="Arial" w:eastAsia="Arial" w:hAnsi="Arial"/>
          <w:sz w:val="13"/>
          <w:szCs w:val="13"/>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2015 has been derived from our audited consolidated financial statements at that date but does not include all disclosures required by U.S. GAAP. The operating results for the nine months ended December 31, 2015 are not necessarily indicative of the operating results to be expected for our fiscal year ending March 31, 2016 or for any other interim period or any other future period.</w:t>
      </w:r>
    </w:p>
    <w:p>
      <w:pPr>
        <w:spacing w:after="0" w:line="135" w:lineRule="exact"/>
        <w:rPr>
          <w:sz w:val="20"/>
          <w:szCs w:val="20"/>
          <w:color w:val="auto"/>
        </w:rPr>
      </w:pPr>
    </w:p>
    <w:p>
      <w:pPr>
        <w:ind w:right="200" w:firstLine="511"/>
        <w:spacing w:after="0" w:line="268" w:lineRule="auto"/>
        <w:rPr>
          <w:sz w:val="20"/>
          <w:szCs w:val="20"/>
          <w:color w:val="auto"/>
        </w:rPr>
      </w:pPr>
      <w:r>
        <w:rPr>
          <w:rFonts w:ascii="Arial" w:cs="Arial" w:eastAsia="Arial" w:hAnsi="Arial"/>
          <w:sz w:val="14"/>
          <w:szCs w:val="14"/>
          <w:color w:val="auto"/>
        </w:rPr>
        <w:t>The accompanying unaudited Condensed Consolidated Financial Statements and notes to Condensed Consolidated Financial Statements should be read in conjunction with our audited Consolidated Financial Statements for the fiscal year ended March 31, 2015 contained in our Annual Report on Form 10-K, as filed with the Securities and Exchange Commission (</w:t>
      </w:r>
      <w:r>
        <w:rPr>
          <w:rFonts w:ascii="Arial" w:cs="Arial" w:eastAsia="Arial" w:hAnsi="Arial"/>
          <w:sz w:val="14"/>
          <w:szCs w:val="14"/>
          <w:i w:val="1"/>
          <w:iCs w:val="1"/>
          <w:color w:val="auto"/>
        </w:rPr>
        <w:t>SEC</w:t>
      </w:r>
      <w:r>
        <w:rPr>
          <w:rFonts w:ascii="Arial" w:cs="Arial" w:eastAsia="Arial" w:hAnsi="Arial"/>
          <w:sz w:val="14"/>
          <w:szCs w:val="14"/>
          <w:color w:val="auto"/>
        </w:rPr>
        <w:t>) on June 29, 2015.</w:t>
      </w:r>
    </w:p>
    <w:p>
      <w:pPr>
        <w:spacing w:after="0" w:line="163" w:lineRule="exact"/>
        <w:rPr>
          <w:sz w:val="20"/>
          <w:szCs w:val="20"/>
          <w:color w:val="auto"/>
        </w:rPr>
      </w:pPr>
    </w:p>
    <w:p>
      <w:pPr>
        <w:ind w:firstLine="511"/>
        <w:spacing w:after="0" w:line="263" w:lineRule="auto"/>
        <w:rPr>
          <w:sz w:val="20"/>
          <w:szCs w:val="20"/>
          <w:color w:val="auto"/>
        </w:rPr>
      </w:pPr>
      <w:r>
        <w:rPr>
          <w:rFonts w:ascii="Arial" w:cs="Arial" w:eastAsia="Arial" w:hAnsi="Arial"/>
          <w:sz w:val="14"/>
          <w:szCs w:val="14"/>
          <w:color w:val="auto"/>
        </w:rPr>
        <w:t>The accompanying Condensed Consolidated Financial Statements have been prepared assuming we will continue as a going concern. As an entity having not yet achieved sustainable revenues, we have experienced recurring losses and negative cash flows from operations resulting in a deficit of $123.2 million accumulated from inception in May 1998 through December 31, 2015. We expect losses and negative cash flows from operations to continue for the foreseeable future as we continue to develop AV-101 for Major Depressive Disorder and additional CNS indications, and engage in drug rescue, drug development and exploratory regenerative medicine programs.</w:t>
      </w:r>
    </w:p>
    <w:p>
      <w:pPr>
        <w:spacing w:after="0" w:line="146" w:lineRule="exact"/>
        <w:rPr>
          <w:sz w:val="20"/>
          <w:szCs w:val="20"/>
          <w:color w:val="auto"/>
        </w:rPr>
      </w:pPr>
    </w:p>
    <w:p>
      <w:pPr>
        <w:ind w:right="100" w:firstLine="511"/>
        <w:spacing w:after="0" w:line="261" w:lineRule="auto"/>
        <w:rPr>
          <w:sz w:val="20"/>
          <w:szCs w:val="20"/>
          <w:color w:val="auto"/>
        </w:rPr>
      </w:pPr>
      <w:r>
        <w:rPr>
          <w:rFonts w:ascii="Arial" w:cs="Arial" w:eastAsia="Arial" w:hAnsi="Arial"/>
          <w:sz w:val="14"/>
          <w:szCs w:val="14"/>
          <w:color w:val="auto"/>
        </w:rPr>
        <w:t>Since our inception in May 1998 through December 31, 2015, we have financed our operations through (1) the issuance and sale of our common stock, preferred stock, warrants for common stock, and promissory notes for aggregate cash proceeds of approximately $33.8 million; (2) issuance of common stock and preferred stock with an approximate value at issuance of $28.9 million as consideration for, among other things, technology license fees and patent prosecution, sponsored research, contract research, drug development, drug manufacturing, U.S. and foreign regulatory services, as well as legal, corporate development and financial advisory services; and (3) receipt of aggregate non-dilutive cash proceeds of approximately $16.4 million from government research and development grant awards and strategic collaboration transactions.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97" w:name="page198"/>
    <w:bookmarkEnd w:id="19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right="100" w:firstLine="511"/>
        <w:spacing w:after="0" w:line="279" w:lineRule="auto"/>
        <w:rPr>
          <w:sz w:val="20"/>
          <w:szCs w:val="20"/>
          <w:color w:val="auto"/>
        </w:rPr>
      </w:pPr>
      <w:r>
        <w:rPr>
          <w:rFonts w:ascii="Arial" w:cs="Arial" w:eastAsia="Arial" w:hAnsi="Arial"/>
          <w:sz w:val="13"/>
          <w:szCs w:val="13"/>
          <w:color w:val="auto"/>
        </w:rPr>
        <w:t xml:space="preserve">As described more completely in Note 7,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xml:space="preserve">, and Note 8, </w:t>
      </w:r>
      <w:r>
        <w:rPr>
          <w:rFonts w:ascii="Arial" w:cs="Arial" w:eastAsia="Arial" w:hAnsi="Arial"/>
          <w:sz w:val="13"/>
          <w:szCs w:val="13"/>
          <w:i w:val="1"/>
          <w:iCs w:val="1"/>
          <w:color w:val="auto"/>
        </w:rPr>
        <w:t>Capital Stock</w:t>
      </w:r>
      <w:r>
        <w:rPr>
          <w:rFonts w:ascii="Arial" w:cs="Arial" w:eastAsia="Arial" w:hAnsi="Arial"/>
          <w:sz w:val="13"/>
          <w:szCs w:val="13"/>
          <w:color w:val="auto"/>
        </w:rPr>
        <w:t>, in May 2015, we created our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 Between March 31, 2015 and December 31, 2015, we extinguished approximately $17.2 million of indebtedness through conversion of such indebtedness into our Series B Preferred and, with respect to a portion of the indebtedness converted, warrants to purchase our common stock. More specifically, we converted (i) all Senior Secured Convertible Promissory Notes originally issued to Platinum Long Term Growth VII, LLC (</w:t>
      </w:r>
      <w:r>
        <w:rPr>
          <w:rFonts w:ascii="Arial" w:cs="Arial" w:eastAsia="Arial" w:hAnsi="Arial"/>
          <w:sz w:val="13"/>
          <w:szCs w:val="13"/>
          <w:i w:val="1"/>
          <w:iCs w:val="1"/>
          <w:color w:val="auto"/>
        </w:rPr>
        <w:t>Platinum</w:t>
      </w:r>
      <w:r>
        <w:rPr>
          <w:rFonts w:ascii="Arial" w:cs="Arial" w:eastAsia="Arial" w:hAnsi="Arial"/>
          <w:sz w:val="13"/>
          <w:szCs w:val="13"/>
          <w:color w:val="auto"/>
        </w:rPr>
        <w:t xml:space="preserve">), (ii) all 2014 Unit Notes outstanding at March 31, 2015 and those issued subsequently, and (iii) certain other outstanding promissory notes, including promissory notes issued to Cato Research Ltd., Cato Holding Company, Morrison &amp; Foerster LLP (Note A and Note B), McCarthy Tetrault, Burr Pilger &amp; Mayer, University Health Network (Toronto), the Icahn School of Medicine at Mount Sinai, National Jewish Health and others, into an aggregate of 2,618,917 shares of our Series B Preferred. Additionally, through December 31, 2015, we issued in self-placed private placement transactions with Platinum and other accredited investors, Series B Preferred Units consisting of an aggregate of 628,264 unregistered shares of Series B Preferred and five-year warrants to purchase 628,264 shares of our common stock, and we received cash proceeds of $4,397,800 therefrom. See Note 10, </w:t>
      </w:r>
      <w:r>
        <w:rPr>
          <w:rFonts w:ascii="Arial" w:cs="Arial" w:eastAsia="Arial" w:hAnsi="Arial"/>
          <w:sz w:val="13"/>
          <w:szCs w:val="13"/>
          <w:i w:val="1"/>
          <w:iCs w:val="1"/>
          <w:color w:val="auto"/>
        </w:rPr>
        <w:t>Subsequent</w:t>
      </w:r>
      <w:r>
        <w:rPr>
          <w:rFonts w:ascii="Arial" w:cs="Arial" w:eastAsia="Arial" w:hAnsi="Arial"/>
          <w:sz w:val="13"/>
          <w:szCs w:val="13"/>
          <w:color w:val="auto"/>
        </w:rPr>
        <w:t xml:space="preserve"> </w:t>
      </w:r>
      <w:r>
        <w:rPr>
          <w:rFonts w:ascii="Arial" w:cs="Arial" w:eastAsia="Arial" w:hAnsi="Arial"/>
          <w:sz w:val="13"/>
          <w:szCs w:val="13"/>
          <w:i w:val="1"/>
          <w:iCs w:val="1"/>
          <w:color w:val="auto"/>
        </w:rPr>
        <w:t>Events</w:t>
      </w:r>
      <w:r>
        <w:rPr>
          <w:rFonts w:ascii="Arial" w:cs="Arial" w:eastAsia="Arial" w:hAnsi="Arial"/>
          <w:sz w:val="13"/>
          <w:szCs w:val="13"/>
          <w:color w:val="auto"/>
        </w:rPr>
        <w:t>, regarding disclosure of additional self-placed private placement sales of Series B Preferred Units after December 31, 2015.</w:t>
      </w:r>
    </w:p>
    <w:p>
      <w:pPr>
        <w:spacing w:after="0" w:line="140" w:lineRule="exact"/>
        <w:rPr>
          <w:sz w:val="20"/>
          <w:szCs w:val="20"/>
          <w:color w:val="auto"/>
        </w:rPr>
      </w:pPr>
    </w:p>
    <w:p>
      <w:pPr>
        <w:ind w:right="20" w:firstLine="511"/>
        <w:spacing w:after="0" w:line="277" w:lineRule="auto"/>
        <w:rPr>
          <w:sz w:val="20"/>
          <w:szCs w:val="20"/>
          <w:color w:val="auto"/>
        </w:rPr>
      </w:pPr>
      <w:r>
        <w:rPr>
          <w:rFonts w:ascii="Arial" w:cs="Arial" w:eastAsia="Arial" w:hAnsi="Arial"/>
          <w:sz w:val="13"/>
          <w:szCs w:val="13"/>
          <w:color w:val="auto"/>
        </w:rPr>
        <w:t>At December 31, 2015, we did not have sufficient cash and cash equivalents to enable us to fund our planned operations over the next twelve months, including expected cash expenditures of approximately $6.0 million. In August 2015, we entered into an agreement with Platinum (</w:t>
      </w:r>
      <w:r>
        <w:rPr>
          <w:rFonts w:ascii="Arial" w:cs="Arial" w:eastAsia="Arial" w:hAnsi="Arial"/>
          <w:sz w:val="13"/>
          <w:szCs w:val="13"/>
          <w:i w:val="1"/>
          <w:iCs w:val="1"/>
          <w:color w:val="auto"/>
        </w:rPr>
        <w:t>August 2015 Agreement</w:t>
      </w:r>
      <w:r>
        <w:rPr>
          <w:rFonts w:ascii="Arial" w:cs="Arial" w:eastAsia="Arial" w:hAnsi="Arial"/>
          <w:sz w:val="13"/>
          <w:szCs w:val="13"/>
          <w:color w:val="auto"/>
        </w:rPr>
        <w:t xml:space="preserve">) pursuant to which we agreed to sell to Platinum an additional $3.0 million of our Series B Preferred and Series B Warrants (collectively, </w:t>
      </w:r>
      <w:r>
        <w:rPr>
          <w:rFonts w:ascii="Arial" w:cs="Arial" w:eastAsia="Arial" w:hAnsi="Arial"/>
          <w:sz w:val="13"/>
          <w:szCs w:val="13"/>
          <w:i w:val="1"/>
          <w:iCs w:val="1"/>
          <w:color w:val="auto"/>
        </w:rPr>
        <w:t>Series B Units</w:t>
      </w:r>
      <w:r>
        <w:rPr>
          <w:rFonts w:ascii="Arial" w:cs="Arial" w:eastAsia="Arial" w:hAnsi="Arial"/>
          <w:sz w:val="13"/>
          <w:szCs w:val="13"/>
          <w:color w:val="auto"/>
        </w:rPr>
        <w:t xml:space="preserve">). Through December 31, 2015, Platinum purchased an additional $1.65 million of Series B Units under the August 2015 Agreement. Concurrently with its December 2015 purchase of $1.0 million of Series B Units and at our request, Platinum agreed to cancel its right to purchase the remaining $1.35 million of the Series B Units under the August 2015 Agreement. As more particularly disclosed in Note 10, </w:t>
      </w:r>
      <w:r>
        <w:rPr>
          <w:rFonts w:ascii="Arial" w:cs="Arial" w:eastAsia="Arial" w:hAnsi="Arial"/>
          <w:sz w:val="13"/>
          <w:szCs w:val="13"/>
          <w:i w:val="1"/>
          <w:iCs w:val="1"/>
          <w:color w:val="auto"/>
        </w:rPr>
        <w:t>Subsequent Events</w:t>
      </w:r>
      <w:r>
        <w:rPr>
          <w:rFonts w:ascii="Arial" w:cs="Arial" w:eastAsia="Arial" w:hAnsi="Arial"/>
          <w:sz w:val="13"/>
          <w:szCs w:val="13"/>
          <w:color w:val="auto"/>
        </w:rPr>
        <w:t>, from January 1, 2016 through February 12, 2016, we sold to certain accredited investors other than Platinum $128,000 of our Series B Units in self-placed private placement transactions. We intend to raise additional capital through conversions, exchanges, issuances, and/or sales of our securities, which may include both debt and equity securities. We may also seek research and development collaborations that could generate revenue, as well as government grant awards. Further, strategic collaborations, such as our February 2015 Cooperative Research and Development Agreement (</w:t>
      </w:r>
      <w:r>
        <w:rPr>
          <w:rFonts w:ascii="Arial" w:cs="Arial" w:eastAsia="Arial" w:hAnsi="Arial"/>
          <w:sz w:val="13"/>
          <w:szCs w:val="13"/>
          <w:i w:val="1"/>
          <w:iCs w:val="1"/>
          <w:color w:val="auto"/>
        </w:rPr>
        <w:t>CRADA</w:t>
      </w:r>
      <w:r>
        <w:rPr>
          <w:rFonts w:ascii="Arial" w:cs="Arial" w:eastAsia="Arial" w:hAnsi="Arial"/>
          <w:sz w:val="13"/>
          <w:szCs w:val="13"/>
          <w:color w:val="auto"/>
        </w:rPr>
        <w:t>) with the U.S. National Institute of Mental Health (</w:t>
      </w:r>
      <w:r>
        <w:rPr>
          <w:rFonts w:ascii="Arial" w:cs="Arial" w:eastAsia="Arial" w:hAnsi="Arial"/>
          <w:sz w:val="13"/>
          <w:szCs w:val="13"/>
          <w:i w:val="1"/>
          <w:iCs w:val="1"/>
          <w:color w:val="auto"/>
        </w:rPr>
        <w:t>NIMH</w:t>
      </w:r>
      <w:r>
        <w:rPr>
          <w:rFonts w:ascii="Arial" w:cs="Arial" w:eastAsia="Arial" w:hAnsi="Arial"/>
          <w:sz w:val="13"/>
          <w:szCs w:val="13"/>
          <w:color w:val="auto"/>
        </w:rPr>
        <w:t>) providing NIMH funding of our Phase 2A study of AV-101 in MDD, may provide resources to support a portion of our future cash needs and working capital requirements. Although we may seek additional collaborations that could generate revenue, as well as new government grant awards, no assurance can be provided that any such collaborations or awards will occur in the future. Our future working capital requirements will depend on many factors, including, without limitation, the scope and nature of opportunities related to our success and the success of certain other companies in clinical trials, including our development of AV-101 as a treatment for MDD and other CNS conditions, and our stem cell technology platform, the availability of, and our ability to obtain, government grant awards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the size of our staff and staff salaries and benefits, as well as costs relating to regulatory consulting, contract research and development, investor relations and corporate development, legal, accounting, public company compliance and other professional services and working capital costs.</w:t>
      </w:r>
    </w:p>
    <w:p>
      <w:pPr>
        <w:spacing w:after="0" w:line="138" w:lineRule="exact"/>
        <w:rPr>
          <w:sz w:val="20"/>
          <w:szCs w:val="20"/>
          <w:color w:val="auto"/>
        </w:rPr>
      </w:pPr>
    </w:p>
    <w:p>
      <w:pPr>
        <w:ind w:right="100" w:firstLine="511"/>
        <w:spacing w:after="0" w:line="263" w:lineRule="auto"/>
        <w:rPr>
          <w:sz w:val="20"/>
          <w:szCs w:val="20"/>
          <w:color w:val="auto"/>
        </w:rPr>
      </w:pPr>
      <w:r>
        <w:rPr>
          <w:rFonts w:ascii="Arial" w:cs="Arial" w:eastAsia="Arial" w:hAnsi="Arial"/>
          <w:sz w:val="14"/>
          <w:szCs w:val="14"/>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including those relating to AV-101, and we may not be able to continue as a going concern. The accompanying Condensed Consolidated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Summary of Significant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205" w:lineRule="exact"/>
        <w:rPr>
          <w:sz w:val="20"/>
          <w:szCs w:val="20"/>
          <w:color w:val="auto"/>
        </w:rPr>
      </w:pPr>
    </w:p>
    <w:p>
      <w:pPr>
        <w:ind w:firstLine="511"/>
        <w:spacing w:after="0" w:line="263"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to value warrants, warrant modifications, warrant liabilities. We do not currently have, nor have we had during the periods covered by this report, any arrangements requiring the recognition of revenue.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198" w:name="page199"/>
    <w:bookmarkEnd w:id="19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Expenses</w:t>
      </w:r>
    </w:p>
    <w:p>
      <w:pPr>
        <w:spacing w:after="0" w:line="205" w:lineRule="exact"/>
        <w:rPr>
          <w:sz w:val="20"/>
          <w:szCs w:val="20"/>
          <w:color w:val="auto"/>
        </w:rPr>
      </w:pPr>
    </w:p>
    <w:p>
      <w:pPr>
        <w:ind w:right="120" w:firstLine="511"/>
        <w:spacing w:after="0" w:line="263" w:lineRule="auto"/>
        <w:rPr>
          <w:sz w:val="20"/>
          <w:szCs w:val="20"/>
          <w:color w:val="auto"/>
        </w:rPr>
      </w:pPr>
      <w:r>
        <w:rPr>
          <w:rFonts w:ascii="Arial" w:cs="Arial" w:eastAsia="Arial" w:hAnsi="Arial"/>
          <w:sz w:val="14"/>
          <w:szCs w:val="14"/>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nonclinical and clinical development of AV-101, now in Phase 2 clinical development, initially for Major Depressive Disorder, stem cell technology-related research and development costs, and costs related to the filing, maintenance and prosecution of patents and patent applications. All such costs are charged to expense as incurred.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205" w:lineRule="exact"/>
        <w:rPr>
          <w:sz w:val="20"/>
          <w:szCs w:val="20"/>
          <w:color w:val="auto"/>
        </w:rPr>
      </w:pPr>
    </w:p>
    <w:p>
      <w:pPr>
        <w:ind w:right="220" w:firstLine="511"/>
        <w:spacing w:after="0" w:line="263" w:lineRule="auto"/>
        <w:rPr>
          <w:sz w:val="20"/>
          <w:szCs w:val="20"/>
          <w:color w:val="auto"/>
        </w:rPr>
      </w:pPr>
      <w:r>
        <w:rPr>
          <w:rFonts w:ascii="Arial" w:cs="Arial" w:eastAsia="Arial" w:hAnsi="Arial"/>
          <w:sz w:val="14"/>
          <w:szCs w:val="14"/>
          <w:color w:val="auto"/>
        </w:rPr>
        <w:t>We recognize compensation cost for all stock-based awards to employees or consultants based on the grant date fair value of the award. Non-cash, stock-based compensation expense is recognized over the period during which the employee or consultant is required to perform services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67" w:lineRule="exact"/>
        <w:rPr>
          <w:sz w:val="20"/>
          <w:szCs w:val="20"/>
          <w:color w:val="auto"/>
        </w:rPr>
      </w:pPr>
    </w:p>
    <w:p>
      <w:pPr>
        <w:ind w:right="280" w:firstLine="511"/>
        <w:spacing w:after="0" w:line="283" w:lineRule="auto"/>
        <w:rPr>
          <w:sz w:val="20"/>
          <w:szCs w:val="20"/>
          <w:color w:val="auto"/>
        </w:rPr>
      </w:pPr>
      <w:r>
        <w:rPr>
          <w:rFonts w:ascii="Arial" w:cs="Arial" w:eastAsia="Arial" w:hAnsi="Arial"/>
          <w:sz w:val="14"/>
          <w:szCs w:val="14"/>
          <w:color w:val="auto"/>
        </w:rPr>
        <w:t>The table below summarizes stock-based compensation expense included in the accompanying Condensed Consolidated Statements of Operations and Comprehensive Loss for the three and nine months ended December 31, 2015 and 2014.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20" w:type="dxa"/>
            <w:vAlign w:val="bottom"/>
            <w:gridSpan w:val="3"/>
          </w:tcPr>
          <w:p>
            <w:pPr>
              <w:jc w:val="center"/>
              <w:ind w:left="569"/>
              <w:spacing w:after="0"/>
              <w:rPr>
                <w:sz w:val="20"/>
                <w:szCs w:val="20"/>
                <w:color w:val="auto"/>
              </w:rPr>
            </w:pPr>
            <w:r>
              <w:rPr>
                <w:rFonts w:ascii="Arial" w:cs="Arial" w:eastAsia="Arial" w:hAnsi="Arial"/>
                <w:sz w:val="14"/>
                <w:szCs w:val="14"/>
                <w:b w:val="1"/>
                <w:bCs w:val="1"/>
                <w:color w:val="auto"/>
                <w:w w:val="92"/>
              </w:rPr>
              <w:t>Three Months Ended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gridSpan w:val="3"/>
          </w:tcPr>
          <w:p>
            <w:pPr>
              <w:jc w:val="center"/>
              <w:ind w:left="609"/>
              <w:spacing w:after="0"/>
              <w:rPr>
                <w:sz w:val="20"/>
                <w:szCs w:val="20"/>
                <w:color w:val="auto"/>
              </w:rPr>
            </w:pPr>
            <w:r>
              <w:rPr>
                <w:rFonts w:ascii="Arial" w:cs="Arial" w:eastAsia="Arial" w:hAnsi="Arial"/>
                <w:sz w:val="14"/>
                <w:szCs w:val="14"/>
                <w:b w:val="1"/>
                <w:bCs w:val="1"/>
                <w:color w:val="auto"/>
                <w:w w:val="91"/>
              </w:rPr>
              <w:t>Nine Months Ended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6"/>
        </w:trPr>
        <w:tc>
          <w:tcPr>
            <w:tcW w:w="13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r>
      <w:tr>
        <w:trPr>
          <w:trHeight w:val="172"/>
        </w:trPr>
        <w:tc>
          <w:tcPr>
            <w:tcW w:w="13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w w:val="83"/>
              </w:rPr>
              <w:t>2015</w:t>
            </w:r>
          </w:p>
        </w:tc>
        <w:tc>
          <w:tcPr>
            <w:tcW w:w="1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w w:val="96"/>
              </w:rPr>
              <w:t>2014</w:t>
            </w:r>
          </w:p>
        </w:tc>
        <w:tc>
          <w:tcPr>
            <w:tcW w:w="1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2015</w:t>
            </w: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w w:val="96"/>
              </w:rPr>
              <w:t>2014</w:t>
            </w:r>
          </w:p>
        </w:tc>
        <w:tc>
          <w:tcPr>
            <w:tcW w:w="540" w:type="dxa"/>
            <w:vAlign w:val="bottom"/>
          </w:tcPr>
          <w:p>
            <w:pPr>
              <w:spacing w:after="0"/>
              <w:rPr>
                <w:sz w:val="14"/>
                <w:szCs w:val="14"/>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4"/>
                <w:szCs w:val="14"/>
                <w:color w:val="auto"/>
              </w:rPr>
              <w:t>Research and</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development</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spacing w:after="0"/>
              <w:rPr>
                <w:sz w:val="20"/>
                <w:szCs w:val="20"/>
                <w:color w:val="auto"/>
              </w:rPr>
            </w:pPr>
            <w:r>
              <w:rPr>
                <w:rFonts w:ascii="Arial" w:cs="Arial" w:eastAsia="Arial" w:hAnsi="Arial"/>
                <w:sz w:val="14"/>
                <w:szCs w:val="14"/>
                <w:color w:val="auto"/>
              </w:rPr>
              <w:t>expense:</w:t>
            </w: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Stock</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option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grants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71,300</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30,000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118,700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156,100</w:t>
            </w:r>
          </w:p>
        </w:tc>
      </w:tr>
      <w:tr>
        <w:trPr>
          <w:trHeight w:val="160"/>
        </w:trPr>
        <w:tc>
          <w:tcPr>
            <w:tcW w:w="1380" w:type="dxa"/>
            <w:vAlign w:val="bottom"/>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granted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to</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officer</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in</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2014</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and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ind w:left="400"/>
              <w:spacing w:after="0"/>
              <w:rPr>
                <w:sz w:val="20"/>
                <w:szCs w:val="20"/>
                <w:color w:val="auto"/>
              </w:rPr>
            </w:pPr>
            <w:r>
              <w:rPr>
                <w:rFonts w:ascii="Arial" w:cs="Arial" w:eastAsia="Arial" w:hAnsi="Arial"/>
                <w:sz w:val="14"/>
                <w:szCs w:val="14"/>
                <w:color w:val="auto"/>
              </w:rPr>
              <w:t>2013</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2,800</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36,300</w:t>
            </w:r>
          </w:p>
        </w:tc>
        <w:tc>
          <w:tcPr>
            <w:tcW w:w="640" w:type="dxa"/>
            <w:vAlign w:val="bottom"/>
          </w:tcPr>
          <w:p>
            <w:pPr>
              <w:spacing w:after="0"/>
              <w:rPr>
                <w:sz w:val="15"/>
                <w:szCs w:val="15"/>
                <w:color w:val="auto"/>
              </w:rPr>
            </w:pP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8,500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108,900</w:t>
            </w: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granted to</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officer in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September</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2015</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852,200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r>
      <w:tr>
        <w:trPr>
          <w:trHeight w:val="22"/>
        </w:trPr>
        <w:tc>
          <w:tcPr>
            <w:tcW w:w="13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r>
        <w:trPr>
          <w:trHeight w:val="172"/>
        </w:trPr>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74,100</w:t>
            </w: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66,300</w:t>
            </w:r>
          </w:p>
        </w:tc>
        <w:tc>
          <w:tcPr>
            <w:tcW w:w="640" w:type="dxa"/>
            <w:vAlign w:val="bottom"/>
          </w:tcPr>
          <w:p>
            <w:pPr>
              <w:spacing w:after="0"/>
              <w:rPr>
                <w:sz w:val="14"/>
                <w:szCs w:val="14"/>
                <w:color w:val="auto"/>
              </w:rPr>
            </w:pP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979,400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265,000</w:t>
            </w:r>
          </w:p>
        </w:tc>
      </w:tr>
      <w:tr>
        <w:trPr>
          <w:trHeight w:val="170"/>
        </w:trPr>
        <w:tc>
          <w:tcPr>
            <w:tcW w:w="138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0"/>
        </w:trPr>
        <w:tc>
          <w:tcPr>
            <w:tcW w:w="1380" w:type="dxa"/>
            <w:vAlign w:val="bottom"/>
          </w:tcPr>
          <w:p>
            <w:pPr>
              <w:spacing w:after="0" w:line="160" w:lineRule="exact"/>
              <w:rPr>
                <w:sz w:val="20"/>
                <w:szCs w:val="20"/>
                <w:color w:val="auto"/>
              </w:rPr>
            </w:pPr>
            <w:r>
              <w:rPr>
                <w:rFonts w:ascii="Arial" w:cs="Arial" w:eastAsia="Arial" w:hAnsi="Arial"/>
                <w:sz w:val="14"/>
                <w:szCs w:val="14"/>
                <w:color w:val="auto"/>
              </w:rPr>
              <w:t>General and</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administrative</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spacing w:after="0"/>
              <w:rPr>
                <w:sz w:val="20"/>
                <w:szCs w:val="20"/>
                <w:color w:val="auto"/>
              </w:rPr>
            </w:pPr>
            <w:r>
              <w:rPr>
                <w:rFonts w:ascii="Arial" w:cs="Arial" w:eastAsia="Arial" w:hAnsi="Arial"/>
                <w:sz w:val="14"/>
                <w:szCs w:val="14"/>
                <w:color w:val="auto"/>
              </w:rPr>
              <w:t>expense:</w:t>
            </w: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Stock</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option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grants</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20,400</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18,600</w:t>
            </w:r>
          </w:p>
        </w:tc>
        <w:tc>
          <w:tcPr>
            <w:tcW w:w="6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36,500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86,700</w:t>
            </w:r>
          </w:p>
        </w:tc>
      </w:tr>
      <w:tr>
        <w:trPr>
          <w:trHeight w:val="170"/>
        </w:trPr>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0"/>
        </w:trPr>
        <w:tc>
          <w:tcPr>
            <w:tcW w:w="13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granted</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to</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officers</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and</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directors</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2014</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and</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0"/>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March</w:t>
            </w: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1"/>
        </w:trPr>
        <w:tc>
          <w:tcPr>
            <w:tcW w:w="13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2013</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70,700</w:t>
            </w:r>
          </w:p>
        </w:tc>
        <w:tc>
          <w:tcPr>
            <w:tcW w:w="64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11,700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212,300</w:t>
            </w:r>
          </w:p>
        </w:tc>
      </w:tr>
      <w:tr>
        <w:trPr>
          <w:trHeight w:val="160"/>
        </w:trPr>
        <w:tc>
          <w:tcPr>
            <w:tcW w:w="1380" w:type="dxa"/>
            <w:vAlign w:val="bottom"/>
          </w:tcPr>
          <w:p>
            <w:pPr>
              <w:ind w:left="240"/>
              <w:spacing w:after="0" w:line="160" w:lineRule="exact"/>
              <w:rPr>
                <w:sz w:val="20"/>
                <w:szCs w:val="20"/>
                <w:color w:val="auto"/>
              </w:rPr>
            </w:pPr>
            <w:r>
              <w:rPr>
                <w:rFonts w:ascii="Arial" w:cs="Arial" w:eastAsia="Arial" w:hAnsi="Arial"/>
                <w:sz w:val="14"/>
                <w:szCs w:val="14"/>
                <w:color w:val="auto"/>
              </w:rPr>
              <w:t>Warrants</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granted to</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officers,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directors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and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consultants</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in</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ind w:left="240"/>
              <w:spacing w:after="0"/>
              <w:rPr>
                <w:sz w:val="20"/>
                <w:szCs w:val="20"/>
                <w:color w:val="auto"/>
              </w:rPr>
            </w:pPr>
            <w:r>
              <w:rPr>
                <w:rFonts w:ascii="Arial" w:cs="Arial" w:eastAsia="Arial" w:hAnsi="Arial"/>
                <w:sz w:val="14"/>
                <w:szCs w:val="14"/>
                <w:color w:val="auto"/>
              </w:rPr>
              <w:t>September</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ind w:left="240"/>
              <w:spacing w:after="0"/>
              <w:rPr>
                <w:sz w:val="20"/>
                <w:szCs w:val="20"/>
                <w:color w:val="auto"/>
              </w:rPr>
            </w:pPr>
            <w:r>
              <w:rPr>
                <w:rFonts w:ascii="Arial" w:cs="Arial" w:eastAsia="Arial" w:hAnsi="Arial"/>
                <w:sz w:val="14"/>
                <w:szCs w:val="14"/>
                <w:color w:val="auto"/>
              </w:rPr>
              <w:t>2015</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2,840,700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r>
      <w:tr>
        <w:trPr>
          <w:trHeight w:val="22"/>
        </w:trPr>
        <w:tc>
          <w:tcPr>
            <w:tcW w:w="1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2"/>
        </w:trPr>
        <w:tc>
          <w:tcPr>
            <w:tcW w:w="1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24,300</w:t>
            </w: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jc w:val="right"/>
              <w:ind w:right="1100"/>
              <w:spacing w:after="0"/>
              <w:rPr>
                <w:sz w:val="20"/>
                <w:szCs w:val="20"/>
                <w:color w:val="auto"/>
              </w:rPr>
            </w:pPr>
            <w:r>
              <w:rPr>
                <w:rFonts w:ascii="Arial" w:cs="Arial" w:eastAsia="Arial" w:hAnsi="Arial"/>
                <w:sz w:val="14"/>
                <w:szCs w:val="14"/>
                <w:color w:val="auto"/>
              </w:rPr>
              <w:t>89,300</w:t>
            </w:r>
          </w:p>
        </w:tc>
        <w:tc>
          <w:tcPr>
            <w:tcW w:w="64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right"/>
              <w:ind w:right="1029"/>
              <w:spacing w:after="0"/>
              <w:rPr>
                <w:sz w:val="20"/>
                <w:szCs w:val="20"/>
                <w:color w:val="auto"/>
              </w:rPr>
            </w:pPr>
            <w:r>
              <w:rPr>
                <w:rFonts w:ascii="Arial" w:cs="Arial" w:eastAsia="Arial" w:hAnsi="Arial"/>
                <w:sz w:val="14"/>
                <w:szCs w:val="14"/>
                <w:color w:val="auto"/>
              </w:rPr>
              <w:t>2,888,900</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299,000</w:t>
            </w:r>
          </w:p>
        </w:tc>
      </w:tr>
      <w:tr>
        <w:trPr>
          <w:trHeight w:val="160"/>
        </w:trPr>
        <w:tc>
          <w:tcPr>
            <w:tcW w:w="1380" w:type="dxa"/>
            <w:vAlign w:val="bottom"/>
            <w:tcBorders>
              <w:top w:val="single" w:sz="8" w:color="CCEEFF"/>
            </w:tcBorders>
          </w:tcPr>
          <w:p>
            <w:pPr>
              <w:spacing w:after="0" w:line="160" w:lineRule="exact"/>
              <w:rPr>
                <w:sz w:val="20"/>
                <w:szCs w:val="20"/>
                <w:color w:val="auto"/>
              </w:rPr>
            </w:pPr>
            <w:r>
              <w:rPr>
                <w:rFonts w:ascii="Arial" w:cs="Arial" w:eastAsia="Arial" w:hAnsi="Arial"/>
                <w:sz w:val="14"/>
                <w:szCs w:val="14"/>
                <w:color w:val="auto"/>
              </w:rPr>
              <w:t>Total stock-</w:t>
            </w:r>
          </w:p>
        </w:tc>
        <w:tc>
          <w:tcPr>
            <w:tcW w:w="6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100" w:type="dxa"/>
            <w:vAlign w:val="bottom"/>
            <w:tcBorders>
              <w:top w:val="single" w:sz="8" w:color="CCEEFF"/>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10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based</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1380" w:type="dxa"/>
            <w:vAlign w:val="bottom"/>
          </w:tcPr>
          <w:p>
            <w:pPr>
              <w:spacing w:after="0"/>
              <w:rPr>
                <w:sz w:val="20"/>
                <w:szCs w:val="20"/>
                <w:color w:val="auto"/>
              </w:rPr>
            </w:pPr>
            <w:r>
              <w:rPr>
                <w:rFonts w:ascii="Arial" w:cs="Arial" w:eastAsia="Arial" w:hAnsi="Arial"/>
                <w:sz w:val="14"/>
                <w:szCs w:val="14"/>
                <w:color w:val="auto"/>
              </w:rPr>
              <w:t>compensation</w:t>
            </w: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1"/>
        </w:trPr>
        <w:tc>
          <w:tcPr>
            <w:tcW w:w="1380" w:type="dxa"/>
            <w:vAlign w:val="bottom"/>
          </w:tcPr>
          <w:p>
            <w:pPr>
              <w:spacing w:after="0"/>
              <w:rPr>
                <w:sz w:val="20"/>
                <w:szCs w:val="20"/>
                <w:color w:val="auto"/>
              </w:rPr>
            </w:pPr>
            <w:r>
              <w:rPr>
                <w:rFonts w:ascii="Arial" w:cs="Arial" w:eastAsia="Arial" w:hAnsi="Arial"/>
                <w:sz w:val="14"/>
                <w:szCs w:val="14"/>
                <w:color w:val="auto"/>
              </w:rPr>
              <w:t>expense</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98,400</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060" w:type="dxa"/>
            <w:vAlign w:val="bottom"/>
            <w:gridSpan w:val="2"/>
          </w:tcPr>
          <w:p>
            <w:pPr>
              <w:jc w:val="right"/>
              <w:ind w:right="1100"/>
              <w:spacing w:after="0"/>
              <w:rPr>
                <w:sz w:val="20"/>
                <w:szCs w:val="20"/>
                <w:color w:val="auto"/>
              </w:rPr>
            </w:pPr>
            <w:r>
              <w:rPr>
                <w:rFonts w:ascii="Arial" w:cs="Arial" w:eastAsia="Arial" w:hAnsi="Arial"/>
                <w:sz w:val="14"/>
                <w:szCs w:val="14"/>
                <w:color w:val="auto"/>
              </w:rPr>
              <w:t>155,600</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1029"/>
              <w:spacing w:after="0"/>
              <w:rPr>
                <w:sz w:val="20"/>
                <w:szCs w:val="20"/>
                <w:color w:val="auto"/>
              </w:rPr>
            </w:pPr>
            <w:r>
              <w:rPr>
                <w:rFonts w:ascii="Arial" w:cs="Arial" w:eastAsia="Arial" w:hAnsi="Arial"/>
                <w:sz w:val="14"/>
                <w:szCs w:val="14"/>
                <w:color w:val="auto"/>
              </w:rPr>
              <w:t>3,868,300</w:t>
            </w: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564,000</w:t>
            </w:r>
          </w:p>
        </w:tc>
      </w:tr>
      <w:tr>
        <w:trPr>
          <w:trHeight w:val="20"/>
        </w:trPr>
        <w:tc>
          <w:tcPr>
            <w:tcW w:w="1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540"/>
          </w:cols>
          <w:pgMar w:left="220" w:top="133" w:right="139" w:bottom="1440" w:gutter="0" w:footer="0" w:header="0"/>
        </w:sectPr>
      </w:pPr>
    </w:p>
    <w:p>
      <w:pPr>
        <w:spacing w:after="0" w:line="98"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281545" cy="196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540"/>
          </w:cols>
          <w:pgMar w:left="220" w:top="133" w:right="139" w:bottom="1440" w:gutter="0" w:footer="0" w:header="0"/>
          <w:type w:val="continuous"/>
        </w:sectPr>
      </w:pPr>
    </w:p>
    <w:bookmarkStart w:id="199" w:name="page200"/>
    <w:bookmarkEnd w:id="19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ind w:right="60" w:firstLine="511"/>
        <w:spacing w:after="0" w:line="285" w:lineRule="auto"/>
        <w:rPr>
          <w:sz w:val="20"/>
          <w:szCs w:val="20"/>
          <w:color w:val="auto"/>
        </w:rPr>
      </w:pPr>
      <w:r>
        <w:rPr>
          <w:rFonts w:ascii="Arial" w:cs="Arial" w:eastAsia="Arial" w:hAnsi="Arial"/>
          <w:sz w:val="13"/>
          <w:szCs w:val="13"/>
          <w:color w:val="auto"/>
        </w:rPr>
        <w:t>During September 2015, we granted options to purchase an aggregate of 90,000 shares of our common stock at an exercise price of $9.25 per share to our non-officer employees and certain strategic consultants. We did not grant stock options to any of our employees or strategic consultants during the nine months ended December 31, 2014. At December 31, 2015, there were stock options outstanding to purchase 296,738 shares of our common stock at a weighted average exercise price of $9.83 per share. During September 2015, we also granted immediately vested warrants to purchase an aggregate of 650,000 shares of our common stock to our executive officers, independent members of our Board of Directors and certain strategic consultants. We valued the warrants and options granted in September 2015 using the Black-Scholes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Employee Options</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w w:val="95"/>
              </w:rPr>
              <w:t>Non-employee Options</w:t>
            </w:r>
          </w:p>
        </w:tc>
        <w:tc>
          <w:tcPr>
            <w:tcW w:w="180" w:type="dxa"/>
            <w:vAlign w:val="bottom"/>
          </w:tcPr>
          <w:p>
            <w:pPr>
              <w:spacing w:after="0"/>
              <w:rPr>
                <w:sz w:val="16"/>
                <w:szCs w:val="16"/>
                <w:color w:val="auto"/>
              </w:rPr>
            </w:pP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grant date</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9.11</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9.11</w:t>
            </w:r>
          </w:p>
        </w:tc>
      </w:tr>
      <w:tr>
        <w:trPr>
          <w:trHeight w:val="170"/>
        </w:trPr>
        <w:tc>
          <w:tcPr>
            <w:tcW w:w="51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9.25</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69"/>
              <w:spacing w:after="0"/>
              <w:rPr>
                <w:sz w:val="20"/>
                <w:szCs w:val="20"/>
                <w:color w:val="auto"/>
              </w:rPr>
            </w:pPr>
            <w:r>
              <w:rPr>
                <w:rFonts w:ascii="Arial" w:cs="Arial" w:eastAsia="Arial" w:hAnsi="Arial"/>
                <w:sz w:val="14"/>
                <w:szCs w:val="14"/>
                <w:color w:val="auto"/>
              </w:rPr>
              <w:t>9.25</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960" w:type="dxa"/>
            <w:vAlign w:val="bottom"/>
            <w:gridSpan w:val="2"/>
          </w:tcPr>
          <w:p>
            <w:pPr>
              <w:jc w:val="right"/>
              <w:ind w:right="180"/>
              <w:spacing w:after="0"/>
              <w:rPr>
                <w:sz w:val="20"/>
                <w:szCs w:val="20"/>
                <w:color w:val="auto"/>
              </w:rPr>
            </w:pPr>
            <w:r>
              <w:rPr>
                <w:rFonts w:ascii="Arial" w:cs="Arial" w:eastAsia="Arial" w:hAnsi="Arial"/>
                <w:sz w:val="14"/>
                <w:szCs w:val="14"/>
                <w:color w:val="auto"/>
              </w:rPr>
              <w:t>9.25</w:t>
            </w: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1.52%</w:t>
            </w: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2.20%</w:t>
            </w:r>
          </w:p>
        </w:tc>
      </w:tr>
      <w:tr>
        <w:trPr>
          <w:trHeight w:val="170"/>
        </w:trPr>
        <w:tc>
          <w:tcPr>
            <w:tcW w:w="5120" w:type="dxa"/>
            <w:vAlign w:val="bottom"/>
          </w:tcPr>
          <w:p>
            <w:pPr>
              <w:spacing w:after="0"/>
              <w:rPr>
                <w:sz w:val="20"/>
                <w:szCs w:val="20"/>
                <w:color w:val="auto"/>
              </w:rPr>
            </w:pPr>
            <w:r>
              <w:rPr>
                <w:rFonts w:ascii="Arial" w:cs="Arial" w:eastAsia="Arial" w:hAnsi="Arial"/>
                <w:sz w:val="14"/>
                <w:szCs w:val="14"/>
                <w:color w:val="auto"/>
              </w:rPr>
              <w:t>Contractual or estimated term in years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5.00</w:t>
            </w:r>
          </w:p>
        </w:tc>
        <w:tc>
          <w:tcPr>
            <w:tcW w:w="200" w:type="dxa"/>
            <w:vAlign w:val="bottom"/>
          </w:tcPr>
          <w:p>
            <w:pPr>
              <w:spacing w:after="0"/>
              <w:rPr>
                <w:sz w:val="14"/>
                <w:szCs w:val="14"/>
                <w:color w:val="auto"/>
              </w:rPr>
            </w:pPr>
          </w:p>
        </w:tc>
        <w:tc>
          <w:tcPr>
            <w:tcW w:w="1920" w:type="dxa"/>
            <w:vAlign w:val="bottom"/>
          </w:tcPr>
          <w:p>
            <w:pPr>
              <w:jc w:val="right"/>
              <w:ind w:right="69"/>
              <w:spacing w:after="0"/>
              <w:rPr>
                <w:sz w:val="20"/>
                <w:szCs w:val="20"/>
                <w:color w:val="auto"/>
              </w:rPr>
            </w:pPr>
            <w:r>
              <w:rPr>
                <w:rFonts w:ascii="Arial" w:cs="Arial" w:eastAsia="Arial" w:hAnsi="Arial"/>
                <w:sz w:val="14"/>
                <w:szCs w:val="14"/>
                <w:color w:val="auto"/>
              </w:rPr>
              <w:t>6.25</w:t>
            </w:r>
          </w:p>
        </w:tc>
        <w:tc>
          <w:tcPr>
            <w:tcW w:w="220" w:type="dxa"/>
            <w:vAlign w:val="bottom"/>
          </w:tcPr>
          <w:p>
            <w:pPr>
              <w:spacing w:after="0"/>
              <w:rPr>
                <w:sz w:val="14"/>
                <w:szCs w:val="14"/>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4"/>
                <w:szCs w:val="14"/>
                <w:color w:val="auto"/>
              </w:rPr>
              <w:t>10.00</w:t>
            </w: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77.19%</w:t>
            </w: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79.48%</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103.42%</w:t>
            </w:r>
          </w:p>
        </w:tc>
      </w:tr>
      <w:tr>
        <w:trPr>
          <w:trHeight w:val="170"/>
        </w:trPr>
        <w:tc>
          <w:tcPr>
            <w:tcW w:w="5120" w:type="dxa"/>
            <w:vAlign w:val="bottom"/>
          </w:tcPr>
          <w:p>
            <w:pPr>
              <w:spacing w:after="0"/>
              <w:rPr>
                <w:sz w:val="20"/>
                <w:szCs w:val="20"/>
                <w:color w:val="auto"/>
              </w:rPr>
            </w:pPr>
            <w:r>
              <w:rPr>
                <w:rFonts w:ascii="Arial" w:cs="Arial" w:eastAsia="Arial" w:hAnsi="Arial"/>
                <w:sz w:val="14"/>
                <w:szCs w:val="14"/>
                <w:color w:val="auto"/>
              </w:rPr>
              <w:t>Dividend rate</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4"/>
                <w:szCs w:val="14"/>
                <w:color w:val="auto"/>
              </w:rPr>
              <w:t>0.0%</w:t>
            </w:r>
          </w:p>
        </w:tc>
        <w:tc>
          <w:tcPr>
            <w:tcW w:w="20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0.0%%</w:t>
            </w:r>
          </w:p>
        </w:tc>
        <w:tc>
          <w:tcPr>
            <w:tcW w:w="220" w:type="dxa"/>
            <w:vAlign w:val="bottom"/>
          </w:tcPr>
          <w:p>
            <w:pPr>
              <w:spacing w:after="0"/>
              <w:rPr>
                <w:sz w:val="14"/>
                <w:szCs w:val="14"/>
                <w:color w:val="auto"/>
              </w:rPr>
            </w:pPr>
          </w:p>
        </w:tc>
        <w:tc>
          <w:tcPr>
            <w:tcW w:w="1960" w:type="dxa"/>
            <w:vAlign w:val="bottom"/>
            <w:gridSpan w:val="2"/>
          </w:tcPr>
          <w:p>
            <w:pPr>
              <w:jc w:val="right"/>
              <w:ind w:right="80"/>
              <w:spacing w:after="0"/>
              <w:rPr>
                <w:sz w:val="20"/>
                <w:szCs w:val="20"/>
                <w:color w:val="auto"/>
              </w:rPr>
            </w:pPr>
            <w:r>
              <w:rPr>
                <w:rFonts w:ascii="Arial" w:cs="Arial" w:eastAsia="Arial" w:hAnsi="Arial"/>
                <w:sz w:val="14"/>
                <w:szCs w:val="14"/>
                <w:color w:val="auto"/>
              </w:rPr>
              <w:t>0.0%</w:t>
            </w: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60,000</w:t>
            </w:r>
          </w:p>
        </w:tc>
        <w:tc>
          <w:tcPr>
            <w:tcW w:w="2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30,000</w:t>
            </w:r>
          </w:p>
        </w:tc>
      </w:tr>
      <w:tr>
        <w:trPr>
          <w:trHeight w:val="170"/>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0"/>
        </w:trPr>
        <w:tc>
          <w:tcPr>
            <w:tcW w:w="5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per share</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5.68</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9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6.35</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8.27</w:t>
            </w:r>
          </w:p>
        </w:tc>
      </w:tr>
      <w:tr>
        <w:trPr>
          <w:trHeight w:val="361"/>
        </w:trPr>
        <w:tc>
          <w:tcPr>
            <w:tcW w:w="5120" w:type="dxa"/>
            <w:vAlign w:val="bottom"/>
          </w:tcPr>
          <w:p>
            <w:pPr>
              <w:spacing w:after="0"/>
              <w:rPr>
                <w:sz w:val="20"/>
                <w:szCs w:val="20"/>
                <w:color w:val="auto"/>
              </w:rPr>
            </w:pPr>
            <w:r>
              <w:rPr>
                <w:rFonts w:ascii="Arial" w:cs="Arial" w:eastAsia="Arial" w:hAnsi="Arial"/>
                <w:sz w:val="14"/>
                <w:szCs w:val="14"/>
                <w:b w:val="1"/>
                <w:bCs w:val="1"/>
                <w:color w:val="auto"/>
              </w:rPr>
              <w:t>Warrant Liability</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82" w:lineRule="exact"/>
        <w:rPr>
          <w:sz w:val="20"/>
          <w:szCs w:val="20"/>
          <w:color w:val="auto"/>
        </w:rPr>
      </w:pPr>
    </w:p>
    <w:p>
      <w:pPr>
        <w:ind w:firstLine="511"/>
        <w:spacing w:after="0" w:line="279" w:lineRule="auto"/>
        <w:rPr>
          <w:sz w:val="20"/>
          <w:szCs w:val="20"/>
          <w:color w:val="auto"/>
        </w:rPr>
      </w:pPr>
      <w:r>
        <w:rPr>
          <w:rFonts w:ascii="Arial" w:cs="Arial" w:eastAsia="Arial" w:hAnsi="Arial"/>
          <w:sz w:val="13"/>
          <w:szCs w:val="13"/>
          <w:color w:val="auto"/>
        </w:rPr>
        <w:t xml:space="preserve">Between October 2012 and July 2013, we issued to Platinum warrants to purchase an aggregate of 176,129 unregistered shares of our common stock and, subject to Platinum’s exercise of its rights to exchange shares of our Series A Preferred Stock that it holds, we are obligated to issue to Platinum an additional warrant to purchase 375,000 unregistered shares of common stock (the </w:t>
      </w:r>
      <w:r>
        <w:rPr>
          <w:rFonts w:ascii="Arial" w:cs="Arial" w:eastAsia="Arial" w:hAnsi="Arial"/>
          <w:sz w:val="13"/>
          <w:szCs w:val="13"/>
          <w:i w:val="1"/>
          <w:iCs w:val="1"/>
          <w:color w:val="auto"/>
        </w:rPr>
        <w:t>Series A</w:t>
      </w:r>
      <w:r>
        <w:rPr>
          <w:rFonts w:ascii="Arial" w:cs="Arial" w:eastAsia="Arial" w:hAnsi="Arial"/>
          <w:sz w:val="13"/>
          <w:szCs w:val="13"/>
          <w:color w:val="auto"/>
        </w:rPr>
        <w:t xml:space="preserve"> </w:t>
      </w:r>
      <w:r>
        <w:rPr>
          <w:rFonts w:ascii="Arial" w:cs="Arial" w:eastAsia="Arial" w:hAnsi="Arial"/>
          <w:sz w:val="13"/>
          <w:szCs w:val="13"/>
          <w:i w:val="1"/>
          <w:iCs w:val="1"/>
          <w:color w:val="auto"/>
        </w:rPr>
        <w:t>Preferred Exchange Warrant</w:t>
      </w:r>
      <w:r>
        <w:rPr>
          <w:rFonts w:ascii="Arial" w:cs="Arial" w:eastAsia="Arial" w:hAnsi="Arial"/>
          <w:sz w:val="13"/>
          <w:szCs w:val="13"/>
          <w:color w:val="auto"/>
        </w:rPr>
        <w:t>) (collectively, the</w:t>
      </w:r>
      <w:r>
        <w:rPr>
          <w:rFonts w:ascii="Arial" w:cs="Arial" w:eastAsia="Arial" w:hAnsi="Arial"/>
          <w:sz w:val="13"/>
          <w:szCs w:val="13"/>
          <w:i w:val="1"/>
          <w:iCs w:val="1"/>
          <w:color w:val="auto"/>
        </w:rPr>
        <w:t xml:space="preserve"> Platinum Warrants</w:t>
      </w:r>
      <w:r>
        <w:rPr>
          <w:rFonts w:ascii="Arial" w:cs="Arial" w:eastAsia="Arial" w:hAnsi="Arial"/>
          <w:sz w:val="13"/>
          <w:szCs w:val="13"/>
          <w:color w:val="auto"/>
        </w:rPr>
        <w:t>). As originally issued, the Platinum Warrants contained an exercise price adjustment feature that would reduce the exercise price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Platinum Warrants and increase the number of shares of our common stock eligible for Platinum’s purchase thereunder in the event we subsequently issued equity instruments at a price lower than the exercise price of the Platinum Warrants. Prior to their amendment in May 2015, as described below, we accounted for the Platinum Warrants as non-cash liabilities and estimated their fair value at the end of each financial reporting period and recorded the change in the fair value as non-cash expense or non-cash income. The key component in determining the fair value of the Platinum Warrants and the related liability was the market price of our common stock, which is subject to significant fluctuation and is not under our control. The resulting change in the fair value of the warrant liability on our net income or loss was therefore also subject to significant fluctuation. Assuming all other fair value inputs remained generally constant, we generally recorded an increase in the warrant liability and non-cash losses when our stock price increased and a decrease in the warrant liability and non-cash gains when our stock price decreased.</w:t>
      </w:r>
    </w:p>
    <w:p>
      <w:pPr>
        <w:spacing w:after="0" w:line="140" w:lineRule="exact"/>
        <w:rPr>
          <w:sz w:val="20"/>
          <w:szCs w:val="20"/>
          <w:color w:val="auto"/>
        </w:rPr>
      </w:pPr>
    </w:p>
    <w:p>
      <w:pPr>
        <w:ind w:firstLine="511"/>
        <w:spacing w:after="0" w:line="263" w:lineRule="auto"/>
        <w:rPr>
          <w:sz w:val="20"/>
          <w:szCs w:val="20"/>
          <w:color w:val="auto"/>
        </w:rPr>
      </w:pPr>
      <w:r>
        <w:rPr>
          <w:rFonts w:ascii="Arial" w:cs="Arial" w:eastAsia="Arial" w:hAnsi="Arial"/>
          <w:sz w:val="14"/>
          <w:szCs w:val="14"/>
          <w:color w:val="auto"/>
        </w:rPr>
        <w:t xml:space="preserve">As described more completely in Note 8, </w:t>
      </w:r>
      <w:r>
        <w:rPr>
          <w:rFonts w:ascii="Arial" w:cs="Arial" w:eastAsia="Arial" w:hAnsi="Arial"/>
          <w:sz w:val="14"/>
          <w:szCs w:val="14"/>
          <w:i w:val="1"/>
          <w:iCs w:val="1"/>
          <w:color w:val="auto"/>
        </w:rPr>
        <w:t>Capital Stock</w:t>
      </w:r>
      <w:r>
        <w:rPr>
          <w:rFonts w:ascii="Arial" w:cs="Arial" w:eastAsia="Arial" w:hAnsi="Arial"/>
          <w:sz w:val="14"/>
          <w:szCs w:val="14"/>
          <w:color w:val="auto"/>
        </w:rPr>
        <w:t>, on May 12, 2015, we entered into an agreement with Platinum pursuant to which Platinum agreed, among other things, to amend the Platinum Warrants to (i) fix the exercise price thereof, (ii) eliminate the exercise price reset and cashless exercise features (iii) fix the number of shares of our common stock issuable thereunder and (iv) eliminate the cashless exercise provisions from the Platinum Warrants. This agreement and the related modifications to the Platinum Warrants resulted in the complete elimination of the warrant liability with respect to the Platinum Warrants during our fiscal quarter ended June 30, 2015.</w:t>
      </w:r>
    </w:p>
    <w:p>
      <w:pPr>
        <w:spacing w:after="0" w:line="167" w:lineRule="exact"/>
        <w:rPr>
          <w:sz w:val="20"/>
          <w:szCs w:val="20"/>
          <w:color w:val="auto"/>
        </w:rPr>
      </w:pPr>
    </w:p>
    <w:p>
      <w:pPr>
        <w:jc w:val="both"/>
        <w:ind w:right="120" w:firstLine="511"/>
        <w:spacing w:after="0" w:line="268" w:lineRule="auto"/>
        <w:rPr>
          <w:sz w:val="20"/>
          <w:szCs w:val="20"/>
          <w:color w:val="auto"/>
        </w:rPr>
      </w:pPr>
      <w:r>
        <w:rPr>
          <w:rFonts w:ascii="Arial" w:cs="Arial" w:eastAsia="Arial" w:hAnsi="Arial"/>
          <w:sz w:val="14"/>
          <w:szCs w:val="14"/>
          <w:color w:val="auto"/>
        </w:rPr>
        <w:t xml:space="preserve">As described more completely in Note 10, </w:t>
      </w:r>
      <w:r>
        <w:rPr>
          <w:rFonts w:ascii="Arial" w:cs="Arial" w:eastAsia="Arial" w:hAnsi="Arial"/>
          <w:sz w:val="14"/>
          <w:szCs w:val="14"/>
          <w:i w:val="1"/>
          <w:iCs w:val="1"/>
          <w:color w:val="auto"/>
        </w:rPr>
        <w:t>Subsequent Events</w:t>
      </w:r>
      <w:r>
        <w:rPr>
          <w:rFonts w:ascii="Arial" w:cs="Arial" w:eastAsia="Arial" w:hAnsi="Arial"/>
          <w:sz w:val="14"/>
          <w:szCs w:val="14"/>
          <w:color w:val="auto"/>
        </w:rPr>
        <w:t>, in January 2016, we entered into an Exchange Agreement with Platinum pursuant to which Platinum exchanged all outstanding Platinum Warrants, plus the shares issuable pursuant to the Series A Preferred Exchange Warrant for unregistered shares of our Series C Convertible Preferred Stock (</w:t>
      </w:r>
      <w:r>
        <w:rPr>
          <w:rFonts w:ascii="Arial" w:cs="Arial" w:eastAsia="Arial" w:hAnsi="Arial"/>
          <w:sz w:val="14"/>
          <w:szCs w:val="14"/>
          <w:i w:val="1"/>
          <w:iCs w:val="1"/>
          <w:color w:val="auto"/>
        </w:rPr>
        <w:t>Series C Preferred</w:t>
      </w:r>
      <w:r>
        <w:rPr>
          <w:rFonts w:ascii="Arial" w:cs="Arial" w:eastAsia="Arial" w:hAnsi="Arial"/>
          <w:sz w:val="14"/>
          <w:szCs w:val="14"/>
          <w:color w:val="auto"/>
        </w:rPr>
        <w:t>) in the ratio of 0.75 share of Series C Preferred for each warrant share cancelled.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0" w:name="page201"/>
    <w:bookmarkEnd w:id="20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Comprehensive Loss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have no components of other comprehensive loss other than net loss, and accordingly our comprehensive loss is equivalent to our net loss for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(Loss) per Common Share</w:t>
      </w:r>
    </w:p>
    <w:p>
      <w:pPr>
        <w:spacing w:after="0" w:line="205" w:lineRule="exact"/>
        <w:rPr>
          <w:sz w:val="20"/>
          <w:szCs w:val="20"/>
          <w:color w:val="auto"/>
        </w:rPr>
      </w:pPr>
    </w:p>
    <w:p>
      <w:pPr>
        <w:ind w:firstLine="511"/>
        <w:spacing w:after="0" w:line="283" w:lineRule="auto"/>
        <w:rPr>
          <w:sz w:val="20"/>
          <w:szCs w:val="20"/>
          <w:color w:val="auto"/>
        </w:rPr>
      </w:pPr>
      <w:r>
        <w:rPr>
          <w:rFonts w:ascii="Arial" w:cs="Arial" w:eastAsia="Arial" w:hAnsi="Arial"/>
          <w:sz w:val="13"/>
          <w:szCs w:val="13"/>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have historically adjusted the numerator for the change in the fair value of the warrant liability attributable to outstanding warrants, only if dilutive, and increased the denominator to include the number of potentially dilutive common shares assumed to be outstanding during the period using the treasury stock method. The change in the fair value of the warrant liability had an impact on the diluted earnings per share calculation in both the three and nine month periods ended December 31, 2014, but in no other periods included in these Condensed Consolidated Financial Statements, as indicated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6"/>
          </w:tcPr>
          <w:p>
            <w:pPr>
              <w:jc w:val="right"/>
              <w:ind w:right="500"/>
              <w:spacing w:after="0"/>
              <w:rPr>
                <w:sz w:val="20"/>
                <w:szCs w:val="20"/>
                <w:color w:val="auto"/>
              </w:rPr>
            </w:pPr>
            <w:r>
              <w:rPr>
                <w:rFonts w:ascii="Arial" w:cs="Arial" w:eastAsia="Arial" w:hAnsi="Arial"/>
                <w:sz w:val="14"/>
                <w:szCs w:val="14"/>
                <w:color w:val="auto"/>
                <w:w w:val="94"/>
              </w:rPr>
              <w:t>Three Months Ended December 31,</w:t>
            </w:r>
          </w:p>
        </w:tc>
        <w:tc>
          <w:tcPr>
            <w:tcW w:w="160" w:type="dxa"/>
            <w:vAlign w:val="bottom"/>
          </w:tcPr>
          <w:p>
            <w:pPr>
              <w:spacing w:after="0"/>
              <w:rPr>
                <w:sz w:val="15"/>
                <w:szCs w:val="15"/>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4"/>
                <w:szCs w:val="14"/>
                <w:color w:val="auto"/>
                <w:w w:val="95"/>
              </w:rPr>
              <w:t>Nine Months Ended December 31,</w:t>
            </w:r>
          </w:p>
        </w:tc>
      </w:tr>
      <w:tr>
        <w:trPr>
          <w:trHeight w:val="172"/>
        </w:trPr>
        <w:tc>
          <w:tcPr>
            <w:tcW w:w="60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2015</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rPr>
              <w:t>2014</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2015</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r>
      <w:tr>
        <w:trPr>
          <w:trHeight w:val="340"/>
        </w:trPr>
        <w:tc>
          <w:tcPr>
            <w:tcW w:w="6080" w:type="dxa"/>
            <w:vAlign w:val="bottom"/>
          </w:tcPr>
          <w:p>
            <w:pPr>
              <w:spacing w:after="0"/>
              <w:rPr>
                <w:sz w:val="20"/>
                <w:szCs w:val="20"/>
                <w:color w:val="auto"/>
              </w:rPr>
            </w:pPr>
            <w:r>
              <w:rPr>
                <w:rFonts w:ascii="Arial" w:cs="Arial" w:eastAsia="Arial" w:hAnsi="Arial"/>
                <w:sz w:val="14"/>
                <w:szCs w:val="14"/>
                <w:color w:val="auto"/>
              </w:rPr>
              <w:t>Numerator:</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 attributable to common stockholders for basic earnings per share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(3,446,600)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(1,090,300)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(41,989,900)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(7,664,500)</w:t>
            </w: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w w:val="97"/>
              </w:rPr>
              <w:t>less: change in fair value of warrant liability attributable to outstanding warrants issued to Platinum</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(314,900)</w:t>
            </w: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(251,500)</w:t>
            </w:r>
          </w:p>
        </w:tc>
      </w:tr>
      <w:tr>
        <w:trPr>
          <w:trHeight w:val="21"/>
        </w:trPr>
        <w:tc>
          <w:tcPr>
            <w:tcW w:w="6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 for diluted earnings per share attributable to common stockholders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(3,446,600)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(1,405,200)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(41,989,900)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(7,916,000)</w:t>
            </w:r>
          </w:p>
        </w:tc>
      </w:tr>
      <w:tr>
        <w:trPr>
          <w:trHeight w:val="153"/>
        </w:trPr>
        <w:tc>
          <w:tcPr>
            <w:tcW w:w="60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Denominator:</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Weighted average basic common shares outstanding</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1,765,641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1,302,300</w:t>
            </w: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1,650,160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1,270,495</w:t>
            </w: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Assumed conversion of dilutive securities:</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Warrants to purchase common stock</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18,179</w:t>
            </w:r>
          </w:p>
        </w:tc>
      </w:tr>
      <w:tr>
        <w:trPr>
          <w:trHeight w:val="21"/>
        </w:trPr>
        <w:tc>
          <w:tcPr>
            <w:tcW w:w="6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Potentially dilutive common shares assumed converted</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18,179</w:t>
            </w:r>
          </w:p>
        </w:tc>
      </w:tr>
      <w:tr>
        <w:trPr>
          <w:trHeight w:val="21"/>
        </w:trPr>
        <w:tc>
          <w:tcPr>
            <w:tcW w:w="60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6080" w:type="dxa"/>
            <w:vAlign w:val="bottom"/>
          </w:tcPr>
          <w:p>
            <w:pPr>
              <w:ind w:left="160"/>
              <w:spacing w:after="0"/>
              <w:rPr>
                <w:sz w:val="20"/>
                <w:szCs w:val="20"/>
                <w:color w:val="auto"/>
              </w:rPr>
            </w:pPr>
            <w:r>
              <w:rPr>
                <w:rFonts w:ascii="Arial" w:cs="Arial" w:eastAsia="Arial" w:hAnsi="Arial"/>
                <w:sz w:val="14"/>
                <w:szCs w:val="14"/>
                <w:color w:val="auto"/>
              </w:rPr>
              <w:t>Denominator for diluted earnings per share - adjusted weighted average shares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1,765,641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1,302,300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1,650,160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1,288,674</w:t>
            </w:r>
          </w:p>
        </w:tc>
      </w:tr>
      <w:tr>
        <w:trPr>
          <w:trHeight w:val="20"/>
        </w:trPr>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6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Basic net loss attributable to common stockholders per common share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(0.84)</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(6.03)</w:t>
            </w:r>
          </w:p>
        </w:tc>
      </w:tr>
      <w:tr>
        <w:trPr>
          <w:trHeight w:val="153"/>
        </w:trPr>
        <w:tc>
          <w:tcPr>
            <w:tcW w:w="60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Diluted net loss attributable to common stockholders per common share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(6.14)</w:t>
            </w:r>
          </w:p>
        </w:tc>
      </w:tr>
      <w:tr>
        <w:trPr>
          <w:trHeight w:val="632"/>
        </w:trPr>
        <w:tc>
          <w:tcPr>
            <w:tcW w:w="6080" w:type="dxa"/>
            <w:vAlign w:val="bottom"/>
            <w:tcBorders>
              <w:top w:val="single" w:sz="8" w:color="CCEEFF"/>
            </w:tcBorders>
          </w:tcPr>
          <w:p>
            <w:pPr>
              <w:ind w:left="5600"/>
              <w:spacing w:after="0"/>
              <w:rPr>
                <w:sz w:val="20"/>
                <w:szCs w:val="20"/>
                <w:color w:val="auto"/>
              </w:rPr>
            </w:pPr>
            <w:r>
              <w:rPr>
                <w:rFonts w:ascii="Arial" w:cs="Arial" w:eastAsia="Arial" w:hAnsi="Arial"/>
                <w:sz w:val="14"/>
                <w:szCs w:val="14"/>
                <w:color w:val="auto"/>
              </w:rPr>
              <w:t>F-58</w:t>
            </w: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2"/>
        </w:trPr>
        <w:tc>
          <w:tcPr>
            <w:tcW w:w="60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1" w:name="page202"/>
    <w:bookmarkEnd w:id="20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jc w:val="both"/>
        <w:ind w:firstLine="511"/>
        <w:spacing w:after="0" w:line="268" w:lineRule="auto"/>
        <w:rPr>
          <w:sz w:val="20"/>
          <w:szCs w:val="20"/>
          <w:color w:val="auto"/>
        </w:rPr>
      </w:pPr>
      <w:r>
        <w:rPr>
          <w:rFonts w:ascii="Arial" w:cs="Arial" w:eastAsia="Arial" w:hAnsi="Arial"/>
          <w:sz w:val="14"/>
          <w:szCs w:val="14"/>
          <w:color w:val="auto"/>
        </w:rPr>
        <w:t>As a result of our net loss for the periods presented, potentially dilutive securities were excluded from the computation, as their effect would be antidilutive. For the three month and nine month periods ended December 31, 2015, the accrual for dividends on our Series B Preferred and the deemed dividend attributable to the issuance of our Series B Preferred Units represent deductions from our net loss to arrive at net loss attributable to common stockholders for those periods.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840" w:type="dxa"/>
            <w:vAlign w:val="bottom"/>
          </w:tcPr>
          <w:p>
            <w:pPr>
              <w:ind w:left="520"/>
              <w:spacing w:after="0"/>
              <w:rPr>
                <w:sz w:val="20"/>
                <w:szCs w:val="20"/>
                <w:color w:val="auto"/>
              </w:rPr>
            </w:pPr>
            <w:r>
              <w:rPr>
                <w:rFonts w:ascii="Arial" w:cs="Arial" w:eastAsia="Arial" w:hAnsi="Arial"/>
                <w:sz w:val="14"/>
                <w:szCs w:val="14"/>
                <w:color w:val="auto"/>
              </w:rPr>
              <w:t>Potentially dilutive securities excluded in determining diluted net loss per common share are as follows:</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4"/>
        </w:trPr>
        <w:tc>
          <w:tcPr>
            <w:tcW w:w="8840" w:type="dxa"/>
            <w:vAlign w:val="bottom"/>
          </w:tcPr>
          <w:p>
            <w:pPr>
              <w:spacing w:after="0"/>
              <w:rPr>
                <w:sz w:val="24"/>
                <w:szCs w:val="24"/>
                <w:color w:val="auto"/>
              </w:rPr>
            </w:pPr>
          </w:p>
        </w:tc>
        <w:tc>
          <w:tcPr>
            <w:tcW w:w="2620" w:type="dxa"/>
            <w:vAlign w:val="bottom"/>
            <w:gridSpan w:val="4"/>
          </w:tcPr>
          <w:p>
            <w:pPr>
              <w:ind w:left="660"/>
              <w:spacing w:after="0"/>
              <w:rPr>
                <w:sz w:val="20"/>
                <w:szCs w:val="20"/>
                <w:color w:val="auto"/>
              </w:rPr>
            </w:pPr>
            <w:r>
              <w:rPr>
                <w:rFonts w:ascii="Arial" w:cs="Arial" w:eastAsia="Arial" w:hAnsi="Arial"/>
                <w:sz w:val="14"/>
                <w:szCs w:val="14"/>
                <w:b w:val="1"/>
                <w:bCs w:val="1"/>
                <w:color w:val="auto"/>
              </w:rPr>
              <w:t>As of December 31,</w:t>
            </w:r>
          </w:p>
        </w:tc>
      </w:tr>
      <w:tr>
        <w:trPr>
          <w:trHeight w:val="172"/>
        </w:trPr>
        <w:tc>
          <w:tcPr>
            <w:tcW w:w="884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Series A Preferred stock issued and outstanding </w:t>
            </w:r>
            <w:r>
              <w:rPr>
                <w:rFonts w:ascii="Arial" w:cs="Arial" w:eastAsia="Arial" w:hAnsi="Arial"/>
                <w:sz w:val="19"/>
                <w:szCs w:val="19"/>
                <w:color w:val="auto"/>
                <w:vertAlign w:val="superscript"/>
              </w:rPr>
              <w:t>(1)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line="171" w:lineRule="exact"/>
              <w:rPr>
                <w:sz w:val="20"/>
                <w:szCs w:val="20"/>
                <w:color w:val="auto"/>
              </w:rPr>
            </w:pPr>
            <w:r>
              <w:rPr>
                <w:rFonts w:ascii="Arial" w:cs="Arial" w:eastAsia="Arial" w:hAnsi="Arial"/>
                <w:sz w:val="14"/>
                <w:szCs w:val="14"/>
                <w:color w:val="auto"/>
              </w:rPr>
              <w:t xml:space="preserve">Series B Preferred stock issued and outstanding </w:t>
            </w:r>
            <w:r>
              <w:rPr>
                <w:rFonts w:ascii="Arial" w:cs="Arial" w:eastAsia="Arial" w:hAnsi="Arial"/>
                <w:sz w:val="19"/>
                <w:szCs w:val="19"/>
                <w:color w:val="auto"/>
                <w:vertAlign w:val="superscript"/>
              </w:rPr>
              <w:t>(2)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3,588,863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88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4"/>
              </w:rPr>
              <w:t>Warrant shares issuable to Platinum upon exercise of common stock warrants by Platinum upon exchange of Series A Preferred under the terms of the</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8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October 11, 2012 Note Exchange and Purchase Agreement, as subsequently amended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535,715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375,000</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Outstanding options under the 2008 and 1999 Stock Incentive Plans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296,738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207,768</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Outstanding warrants to purchase common stock</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4,971,497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999,840</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w w:val="93"/>
              </w:rPr>
              <w:t>10% Senior Secured Convertible Notes issued to Platinum between October 2012 and July 2013, including accrued interest through December 31, 2014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433,311</w:t>
            </w:r>
          </w:p>
        </w:tc>
      </w:tr>
      <w:tr>
        <w:trPr>
          <w:trHeight w:val="170"/>
        </w:trPr>
        <w:tc>
          <w:tcPr>
            <w:tcW w:w="8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10% convertible notes issued as a component of Unit Private Placements, including accrued interest through December 31, 2014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322,091</w:t>
            </w:r>
          </w:p>
        </w:tc>
      </w:tr>
      <w:tr>
        <w:trPr>
          <w:trHeight w:val="170"/>
        </w:trPr>
        <w:tc>
          <w:tcPr>
            <w:tcW w:w="88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10,142,813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3,088,010</w:t>
            </w:r>
          </w:p>
        </w:tc>
      </w:tr>
      <w:tr>
        <w:trPr>
          <w:trHeight w:val="150"/>
        </w:trPr>
        <w:tc>
          <w:tcPr>
            <w:tcW w:w="8840" w:type="dxa"/>
            <w:vAlign w:val="bottom"/>
            <w:tcBorders>
              <w:top w:val="single" w:sz="8" w:color="CCEEFF"/>
            </w:tcBorders>
          </w:tcPr>
          <w:p>
            <w:pPr>
              <w:spacing w:after="0" w:line="150" w:lineRule="exact"/>
              <w:rPr>
                <w:sz w:val="20"/>
                <w:szCs w:val="20"/>
                <w:color w:val="auto"/>
              </w:rPr>
            </w:pPr>
            <w:r>
              <w:rPr>
                <w:rFonts w:ascii="Arial" w:cs="Arial" w:eastAsia="Arial" w:hAnsi="Arial"/>
                <w:sz w:val="14"/>
                <w:szCs w:val="14"/>
                <w:color w:val="auto"/>
              </w:rPr>
              <w:t>____________</w:t>
            </w: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bl>
    <w:p>
      <w:pPr>
        <w:ind w:left="160" w:hanging="155"/>
        <w:spacing w:after="0" w:line="190" w:lineRule="auto"/>
        <w:tabs>
          <w:tab w:leader="none" w:pos="160" w:val="left"/>
        </w:tabs>
        <w:numPr>
          <w:ilvl w:val="0"/>
          <w:numId w:val="93"/>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October 11, 2012 Note Exchange and Purchase Agreement with Platinum, as amended</w:t>
      </w:r>
    </w:p>
    <w:p>
      <w:pPr>
        <w:spacing w:after="0" w:line="2" w:lineRule="exact"/>
        <w:rPr>
          <w:rFonts w:ascii="Arial" w:cs="Arial" w:eastAsia="Arial" w:hAnsi="Arial"/>
          <w:sz w:val="19"/>
          <w:szCs w:val="19"/>
          <w:color w:val="auto"/>
          <w:vertAlign w:val="superscript"/>
        </w:rPr>
      </w:pPr>
    </w:p>
    <w:p>
      <w:pPr>
        <w:ind w:left="160" w:hanging="155"/>
        <w:spacing w:after="0" w:line="185" w:lineRule="auto"/>
        <w:tabs>
          <w:tab w:leader="none" w:pos="160" w:val="left"/>
        </w:tabs>
        <w:numPr>
          <w:ilvl w:val="0"/>
          <w:numId w:val="93"/>
        </w:numPr>
        <w:rPr>
          <w:rFonts w:ascii="Arial" w:cs="Arial" w:eastAsia="Arial" w:hAnsi="Arial"/>
          <w:sz w:val="19"/>
          <w:szCs w:val="19"/>
          <w:color w:val="auto"/>
          <w:vertAlign w:val="superscript"/>
        </w:rPr>
      </w:pPr>
      <w:r>
        <w:rPr>
          <w:rFonts w:ascii="Arial" w:cs="Arial" w:eastAsia="Arial" w:hAnsi="Arial"/>
          <w:sz w:val="13"/>
          <w:szCs w:val="13"/>
          <w:color w:val="auto"/>
        </w:rPr>
        <w:t>Assumes exchange under the terms of the Certificate of Designation of the Relative Rights and Preferences of the Series B 10% Convertible Preferred Stock, effective May 5, 2015</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205" w:lineRule="exact"/>
        <w:rPr>
          <w:sz w:val="20"/>
          <w:szCs w:val="20"/>
          <w:color w:val="auto"/>
        </w:rPr>
      </w:pPr>
    </w:p>
    <w:p>
      <w:pPr>
        <w:ind w:right="340" w:firstLine="511"/>
        <w:spacing w:after="0" w:line="323" w:lineRule="auto"/>
        <w:rPr>
          <w:sz w:val="20"/>
          <w:szCs w:val="20"/>
          <w:color w:val="auto"/>
        </w:rPr>
      </w:pPr>
      <w:r>
        <w:rPr>
          <w:rFonts w:ascii="Arial" w:cs="Arial" w:eastAsia="Arial" w:hAnsi="Arial"/>
          <w:sz w:val="13"/>
          <w:szCs w:val="13"/>
          <w:color w:val="auto"/>
        </w:rPr>
        <w:t>There have been no recent accounting pronouncements or changes in accounting pronouncements during the nine months ended December 31, 2015, as compared to the recent accounting pronouncements described in the Company’s Form 10-K for the fiscal year ended March 31, 2015, that are of significance or potential significance to the Company.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2" w:name="page203"/>
    <w:bookmarkEnd w:id="20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Fair Value Measurements</w:t>
      </w:r>
    </w:p>
    <w:p>
      <w:pPr>
        <w:spacing w:after="0" w:line="205" w:lineRule="exact"/>
        <w:rPr>
          <w:sz w:val="20"/>
          <w:szCs w:val="20"/>
          <w:color w:val="auto"/>
        </w:rPr>
      </w:pPr>
    </w:p>
    <w:p>
      <w:pPr>
        <w:ind w:right="280" w:firstLine="511"/>
        <w:spacing w:after="0" w:line="283" w:lineRule="auto"/>
        <w:rPr>
          <w:sz w:val="20"/>
          <w:szCs w:val="20"/>
          <w:color w:val="auto"/>
        </w:rPr>
      </w:pPr>
      <w:r>
        <w:rPr>
          <w:rFonts w:ascii="Arial" w:cs="Arial" w:eastAsia="Arial" w:hAnsi="Arial"/>
          <w:sz w:val="14"/>
          <w:szCs w:val="14"/>
          <w:color w:val="auto"/>
        </w:rPr>
        <w:t>We follow the principles of fair value accounting as they relate to our financial assets and financial liabilities. The required fair value hierarchy that prioritizes observable and unobservable inputs used to measure and classify fair value into three broad levels is described as follows:</w:t>
      </w:r>
    </w:p>
    <w:p>
      <w:pPr>
        <w:spacing w:after="0" w:line="153" w:lineRule="exact"/>
        <w:rPr>
          <w:sz w:val="20"/>
          <w:szCs w:val="20"/>
          <w:color w:val="auto"/>
        </w:rPr>
      </w:pPr>
    </w:p>
    <w:p>
      <w:pPr>
        <w:ind w:left="980" w:hanging="410"/>
        <w:spacing w:after="0"/>
        <w:tabs>
          <w:tab w:leader="none" w:pos="980" w:val="left"/>
        </w:tabs>
        <w:numPr>
          <w:ilvl w:val="0"/>
          <w:numId w:val="94"/>
        </w:numPr>
        <w:rPr>
          <w:rFonts w:ascii="Arial" w:cs="Arial" w:eastAsia="Arial" w:hAnsi="Arial"/>
          <w:sz w:val="14"/>
          <w:szCs w:val="14"/>
          <w:color w:val="auto"/>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 Quoted prices (unadjusted) in active markets for identical assets or liabilities.</w:t>
      </w:r>
    </w:p>
    <w:p>
      <w:pPr>
        <w:spacing w:after="0" w:line="201" w:lineRule="exact"/>
        <w:rPr>
          <w:rFonts w:ascii="Arial" w:cs="Arial" w:eastAsia="Arial" w:hAnsi="Arial"/>
          <w:sz w:val="14"/>
          <w:szCs w:val="14"/>
          <w:color w:val="auto"/>
        </w:rPr>
      </w:pPr>
    </w:p>
    <w:p>
      <w:pPr>
        <w:ind w:left="980" w:right="40" w:hanging="410"/>
        <w:spacing w:after="0" w:line="283" w:lineRule="auto"/>
        <w:tabs>
          <w:tab w:leader="none" w:pos="980" w:val="left"/>
        </w:tabs>
        <w:numPr>
          <w:ilvl w:val="0"/>
          <w:numId w:val="94"/>
        </w:numPr>
        <w:rPr>
          <w:rFonts w:ascii="Arial" w:cs="Arial" w:eastAsia="Arial" w:hAnsi="Arial"/>
          <w:sz w:val="14"/>
          <w:szCs w:val="14"/>
          <w:color w:val="auto"/>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 Inputs other than Level 1 that are observable, either directly or indirectly, such as quoted prices for similar assets or liabilities; quoted prices in markets that are not active; or</w:t>
      </w:r>
      <w:r>
        <w:rPr>
          <w:rFonts w:ascii="Arial" w:cs="Arial" w:eastAsia="Arial" w:hAnsi="Arial"/>
          <w:sz w:val="14"/>
          <w:szCs w:val="14"/>
          <w:i w:val="1"/>
          <w:iCs w:val="1"/>
          <w:color w:val="auto"/>
        </w:rPr>
        <w:t xml:space="preserve"> </w:t>
      </w:r>
      <w:r>
        <w:rPr>
          <w:rFonts w:ascii="Arial" w:cs="Arial" w:eastAsia="Arial" w:hAnsi="Arial"/>
          <w:sz w:val="14"/>
          <w:szCs w:val="14"/>
          <w:color w:val="auto"/>
        </w:rPr>
        <w:t>other inputs that are observable or can be corroborated by observable market data for substantially the full term of the assets or liabilities.</w:t>
      </w:r>
    </w:p>
    <w:p>
      <w:pPr>
        <w:spacing w:after="0" w:line="152" w:lineRule="exact"/>
        <w:rPr>
          <w:rFonts w:ascii="Arial" w:cs="Arial" w:eastAsia="Arial" w:hAnsi="Arial"/>
          <w:sz w:val="14"/>
          <w:szCs w:val="14"/>
          <w:color w:val="auto"/>
        </w:rPr>
      </w:pPr>
    </w:p>
    <w:p>
      <w:pPr>
        <w:ind w:left="980" w:right="140" w:hanging="410"/>
        <w:spacing w:after="0" w:line="283" w:lineRule="auto"/>
        <w:tabs>
          <w:tab w:leader="none" w:pos="980" w:val="left"/>
        </w:tabs>
        <w:numPr>
          <w:ilvl w:val="0"/>
          <w:numId w:val="94"/>
        </w:numPr>
        <w:rPr>
          <w:rFonts w:ascii="Arial" w:cs="Arial" w:eastAsia="Arial" w:hAnsi="Arial"/>
          <w:sz w:val="14"/>
          <w:szCs w:val="14"/>
          <w:color w:val="auto"/>
        </w:rPr>
      </w:pPr>
      <w:r>
        <w:rPr>
          <w:rFonts w:ascii="Arial" w:cs="Arial" w:eastAsia="Arial" w:hAnsi="Arial"/>
          <w:sz w:val="14"/>
          <w:szCs w:val="14"/>
          <w:i w:val="1"/>
          <w:iCs w:val="1"/>
          <w:color w:val="auto"/>
        </w:rPr>
        <w:t xml:space="preserve">Level 3 </w:t>
      </w:r>
      <w:r>
        <w:rPr>
          <w:rFonts w:ascii="Arial" w:cs="Arial" w:eastAsia="Arial" w:hAnsi="Arial"/>
          <w:sz w:val="14"/>
          <w:szCs w:val="14"/>
          <w:color w:val="auto"/>
        </w:rPr>
        <w:t>— Unobservable inputs (</w:t>
      </w:r>
      <w:r>
        <w:rPr>
          <w:rFonts w:ascii="Arial" w:cs="Arial" w:eastAsia="Arial" w:hAnsi="Arial"/>
          <w:sz w:val="14"/>
          <w:szCs w:val="14"/>
          <w:i w:val="1"/>
          <w:iCs w:val="1"/>
          <w:color w:val="auto"/>
        </w:rPr>
        <w:t xml:space="preserve">i.e., </w:t>
      </w:r>
      <w:r>
        <w:rPr>
          <w:rFonts w:ascii="Arial" w:cs="Arial" w:eastAsia="Arial" w:hAnsi="Arial"/>
          <w:sz w:val="14"/>
          <w:szCs w:val="14"/>
          <w:color w:val="auto"/>
        </w:rPr>
        <w:t>inputs that reflect the reporting entity’s own assumptions about the assumptions that market participants would use in estimating the fair value of</w:t>
      </w:r>
      <w:r>
        <w:rPr>
          <w:rFonts w:ascii="Arial" w:cs="Arial" w:eastAsia="Arial" w:hAnsi="Arial"/>
          <w:sz w:val="14"/>
          <w:szCs w:val="14"/>
          <w:i w:val="1"/>
          <w:iCs w:val="1"/>
          <w:color w:val="auto"/>
        </w:rPr>
        <w:t xml:space="preserve"> </w:t>
      </w:r>
      <w:r>
        <w:rPr>
          <w:rFonts w:ascii="Arial" w:cs="Arial" w:eastAsia="Arial" w:hAnsi="Arial"/>
          <w:sz w:val="14"/>
          <w:szCs w:val="14"/>
          <w:color w:val="auto"/>
        </w:rPr>
        <w:t>an asset or liability) are used when little or no market data is available.</w:t>
      </w:r>
    </w:p>
    <w:p>
      <w:pPr>
        <w:spacing w:after="0" w:line="153" w:lineRule="exact"/>
        <w:rPr>
          <w:sz w:val="20"/>
          <w:szCs w:val="20"/>
          <w:color w:val="auto"/>
        </w:rPr>
      </w:pPr>
    </w:p>
    <w:p>
      <w:pPr>
        <w:ind w:right="60" w:firstLine="511"/>
        <w:spacing w:after="0" w:line="278" w:lineRule="auto"/>
        <w:rPr>
          <w:sz w:val="20"/>
          <w:szCs w:val="20"/>
          <w:color w:val="auto"/>
        </w:rPr>
      </w:pPr>
      <w:r>
        <w:rPr>
          <w:rFonts w:ascii="Arial" w:cs="Arial" w:eastAsia="Arial" w:hAnsi="Arial"/>
          <w:sz w:val="13"/>
          <w:szCs w:val="13"/>
          <w:color w:val="auto"/>
        </w:rPr>
        <w:t xml:space="preserve">We do not use derivative instruments for hedging of market risks or for trading or speculative purposes. In conjunction with the issuance to Platinum of the Senior Secured Convertible Promissory Notes and Platinum Warrants between October 2012 and July 2013, and the potential issuance of the Series A Preferred Exchange Warrant pursuant to Platinum’s exchange of the Series A Preferred stock that it holds into shares of our common stock, we determined that the Platinum Warrants included certain exercise price adjustment features that required the warrants to be treated as non-cash liabilities and recorded at their estimated fair value. Prior to their amendment in May 2015, as described below, we determined the initial fair value and subsequent fair value measurements of the warrant liability using a Monte Carlo simulation model with Level 3 inputs or the Black-Scholes Option Pricing model. Inputs used to determine fair value included the remaining contractual term of the Platinum Warrants, risk-free interest rates, expected volatility of the price of the underlying common stock, and the probability of a financing transaction or other equity issuance that would trigger a reset in the exercise price of the Platinum Warrants, and, in the case of the Series A Preferred Exchange Warrant, the probability of Platinum’s exchange of the shares of Series A preferred stock it holds into shares of common stock. As described more completely in Note 8, </w:t>
      </w:r>
      <w:r>
        <w:rPr>
          <w:rFonts w:ascii="Arial" w:cs="Arial" w:eastAsia="Arial" w:hAnsi="Arial"/>
          <w:sz w:val="13"/>
          <w:szCs w:val="13"/>
          <w:i w:val="1"/>
          <w:iCs w:val="1"/>
          <w:color w:val="auto"/>
        </w:rPr>
        <w:t>Capital Stock</w:t>
      </w:r>
      <w:r>
        <w:rPr>
          <w:rFonts w:ascii="Arial" w:cs="Arial" w:eastAsia="Arial" w:hAnsi="Arial"/>
          <w:sz w:val="13"/>
          <w:szCs w:val="13"/>
          <w:color w:val="auto"/>
        </w:rPr>
        <w:t>, on May 12, 2015, we entered into an agreement with Platinum pursuant to which we amended the Platinum Warrants to fix the exercise price thereof and eliminate the anti-dilution reset features that had previously required the Platinum Warrants to be treated as liabilities and carried at fair value. As a result of the agreement with Platinum, at May 12, 2015, we adjusted the Platinum Warrants to their fair value, estimated to be $4,903,200, reflecting an increase of $1,894,700 since March 31, 2015, which was recorded as a non-cash charge to other expense, net in the Condensed Consolidated Statements of Operations and Comprehensive Loss for the first quarter of our current fiscal year, and subsequently eliminated the warrant liability with respect to the Platinum Warrants, with a corresponding credit to Additional Paid-in Capital.</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fair value hierarchy for the warrant liability which had been measured at fair value on a recurring basis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2"/>
              </w:rPr>
              <w:t>Fair Value Measurements at Reporting Date Using</w:t>
            </w:r>
          </w:p>
        </w:tc>
      </w:tr>
      <w:tr>
        <w:trPr>
          <w:trHeight w:val="156"/>
        </w:trPr>
        <w:tc>
          <w:tcPr>
            <w:tcW w:w="6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0"/>
              </w:rPr>
              <w:t>Quoted Prices</w:t>
            </w: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inActive Markets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r>
      <w:tr>
        <w:trPr>
          <w:trHeight w:val="170"/>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for Identical</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Unobservable</w:t>
            </w:r>
          </w:p>
        </w:tc>
      </w:tr>
      <w:tr>
        <w:trPr>
          <w:trHeight w:val="170"/>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Inputs</w:t>
            </w:r>
          </w:p>
        </w:tc>
      </w:tr>
      <w:tr>
        <w:trPr>
          <w:trHeight w:val="186"/>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9"/>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r>
      <w:tr>
        <w:trPr>
          <w:trHeight w:val="170"/>
        </w:trPr>
        <w:tc>
          <w:tcPr>
            <w:tcW w:w="6080" w:type="dxa"/>
            <w:vAlign w:val="bottom"/>
          </w:tcPr>
          <w:p>
            <w:pPr>
              <w:spacing w:after="0"/>
              <w:rPr>
                <w:sz w:val="20"/>
                <w:szCs w:val="20"/>
                <w:color w:val="auto"/>
              </w:rPr>
            </w:pPr>
            <w:r>
              <w:rPr>
                <w:rFonts w:ascii="Arial" w:cs="Arial" w:eastAsia="Arial" w:hAnsi="Arial"/>
                <w:sz w:val="14"/>
                <w:szCs w:val="14"/>
                <w:color w:val="auto"/>
              </w:rPr>
              <w:t>December 31, 2015:</w:t>
            </w: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1"/>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Warrant liability</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969"/>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w w:val="73"/>
              </w:rPr>
              <w:t>-</w:t>
            </w: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tcBorders>
              <w:left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53"/>
        </w:trPr>
        <w:tc>
          <w:tcPr>
            <w:tcW w:w="6080" w:type="dxa"/>
            <w:vAlign w:val="bottom"/>
            <w:tcBorders>
              <w:top w:val="single" w:sz="8" w:color="CCEEFF"/>
            </w:tcBorders>
          </w:tcPr>
          <w:p>
            <w:pPr>
              <w:spacing w:after="0" w:line="153" w:lineRule="exact"/>
              <w:rPr>
                <w:sz w:val="20"/>
                <w:szCs w:val="20"/>
                <w:color w:val="auto"/>
              </w:rPr>
            </w:pPr>
            <w:r>
              <w:rPr>
                <w:rFonts w:ascii="Arial" w:cs="Arial" w:eastAsia="Arial" w:hAnsi="Arial"/>
                <w:sz w:val="14"/>
                <w:szCs w:val="14"/>
                <w:color w:val="auto"/>
              </w:rPr>
              <w:t>March 31, 2015:</w:t>
            </w: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90"/>
        </w:trPr>
        <w:tc>
          <w:tcPr>
            <w:tcW w:w="6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Warrant liability</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69"/>
              <w:spacing w:after="0"/>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77"/>
              <w:spacing w:after="0"/>
              <w:rPr>
                <w:sz w:val="20"/>
                <w:szCs w:val="20"/>
                <w:color w:val="auto"/>
              </w:rPr>
            </w:pPr>
            <w:r>
              <w:rPr>
                <w:rFonts w:ascii="Arial" w:cs="Arial" w:eastAsia="Arial" w:hAnsi="Arial"/>
                <w:sz w:val="10"/>
                <w:szCs w:val="10"/>
                <w:color w:val="auto"/>
                <w:w w:val="71"/>
              </w:rPr>
              <w:t>$</w:t>
            </w:r>
          </w:p>
        </w:tc>
        <w:tc>
          <w:tcPr>
            <w:tcW w:w="160" w:type="dxa"/>
            <w:vAlign w:val="bottom"/>
            <w:tcBorders>
              <w:left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3,008,500</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During the nine month period ended December 31, 2015, there was no significant change to the valuation models used for purposes of determining the fair value of the Level 3 warrant liability.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149"/>
        </w:trPr>
        <w:tc>
          <w:tcPr>
            <w:tcW w:w="6620" w:type="dxa"/>
            <w:vAlign w:val="bottom"/>
            <w:gridSpan w:val="3"/>
          </w:tcPr>
          <w:p>
            <w:pPr>
              <w:spacing w:after="0"/>
              <w:rPr>
                <w:rFonts w:ascii="Arial" w:cs="Arial" w:eastAsia="Arial" w:hAnsi="Arial"/>
                <w:sz w:val="13"/>
                <w:szCs w:val="13"/>
                <w:i w:val="1"/>
                <w:iCs w:val="1"/>
                <w:color w:val="0000EE"/>
              </w:rPr>
            </w:pPr>
            <w:hyperlink w:anchor="page5">
              <w:r>
                <w:rPr>
                  <w:rFonts w:ascii="Arial" w:cs="Arial" w:eastAsia="Arial" w:hAnsi="Arial"/>
                  <w:sz w:val="13"/>
                  <w:szCs w:val="13"/>
                  <w:i w:val="1"/>
                  <w:iCs w:val="1"/>
                  <w:color w:val="0000EE"/>
                </w:rPr>
                <w:t>Table of Contents</w:t>
              </w:r>
            </w:hyperlink>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620" w:type="dxa"/>
            <w:vAlign w:val="bottom"/>
            <w:gridSpan w:val="3"/>
          </w:tcPr>
          <w:p>
            <w:pPr>
              <w:ind w:left="520"/>
              <w:spacing w:after="0"/>
              <w:rPr>
                <w:sz w:val="20"/>
                <w:szCs w:val="20"/>
                <w:color w:val="auto"/>
              </w:rPr>
            </w:pPr>
            <w:r>
              <w:rPr>
                <w:rFonts w:ascii="Arial" w:cs="Arial" w:eastAsia="Arial" w:hAnsi="Arial"/>
                <w:sz w:val="14"/>
                <w:szCs w:val="14"/>
                <w:color w:val="auto"/>
              </w:rPr>
              <w:t>The changes in Level 3 liabilities measured at fair value on a recurring basis are as follows: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Fair Value Measurements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Using Significant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Unobservable Inputs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89"/>
              <w:spacing w:after="0"/>
              <w:rPr>
                <w:sz w:val="20"/>
                <w:szCs w:val="20"/>
                <w:color w:val="auto"/>
              </w:rPr>
            </w:pPr>
            <w:r>
              <w:rPr>
                <w:rFonts w:ascii="Arial" w:cs="Arial" w:eastAsia="Arial" w:hAnsi="Arial"/>
                <w:sz w:val="14"/>
                <w:szCs w:val="14"/>
                <w:b w:val="1"/>
                <w:bCs w:val="1"/>
                <w:color w:val="auto"/>
                <w:w w:val="91"/>
              </w:rPr>
              <w:t>(Level 3)</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Warrant Liability</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Balance at March 31, 2015</w:t>
            </w: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3,008,500</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tcPr>
          <w:p>
            <w:pPr>
              <w:ind w:left="160"/>
              <w:spacing w:after="0"/>
              <w:rPr>
                <w:sz w:val="20"/>
                <w:szCs w:val="20"/>
                <w:color w:val="auto"/>
              </w:rPr>
            </w:pPr>
            <w:r>
              <w:rPr>
                <w:rFonts w:ascii="Arial" w:cs="Arial" w:eastAsia="Arial" w:hAnsi="Arial"/>
                <w:sz w:val="14"/>
                <w:szCs w:val="14"/>
                <w:color w:val="auto"/>
              </w:rPr>
              <w:t>Mark to market loss included in net loss</w:t>
            </w: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1,894,700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Elimination of liability upon modification of warrants</w:t>
            </w: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(4,903,200</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Balance at December 31, 2015</w:t>
            </w:r>
          </w:p>
        </w:tc>
        <w:tc>
          <w:tcPr>
            <w:tcW w:w="10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6620" w:type="dxa"/>
            <w:vAlign w:val="bottom"/>
            <w:gridSpan w:val="3"/>
          </w:tcPr>
          <w:p>
            <w:pPr>
              <w:ind w:left="520"/>
              <w:spacing w:after="0"/>
              <w:rPr>
                <w:sz w:val="20"/>
                <w:szCs w:val="20"/>
                <w:color w:val="auto"/>
              </w:rPr>
            </w:pPr>
            <w:r>
              <w:rPr>
                <w:rFonts w:ascii="Arial" w:cs="Arial" w:eastAsia="Arial" w:hAnsi="Arial"/>
                <w:sz w:val="14"/>
                <w:szCs w:val="14"/>
                <w:color w:val="auto"/>
              </w:rPr>
              <w:t>We carried no assets or other liabilities at fair value at December 31, 2015 or March 31, 2015.</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Note 5. Prepaid Expenses and Other Current Assets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7620" w:type="dxa"/>
            <w:vAlign w:val="bottom"/>
            <w:gridSpan w:val="4"/>
          </w:tcPr>
          <w:p>
            <w:pPr>
              <w:ind w:left="520"/>
              <w:spacing w:after="0"/>
              <w:rPr>
                <w:sz w:val="20"/>
                <w:szCs w:val="20"/>
                <w:color w:val="auto"/>
              </w:rPr>
            </w:pPr>
            <w:r>
              <w:rPr>
                <w:rFonts w:ascii="Arial" w:cs="Arial" w:eastAsia="Arial" w:hAnsi="Arial"/>
                <w:sz w:val="14"/>
                <w:szCs w:val="14"/>
                <w:color w:val="auto"/>
                <w:w w:val="96"/>
              </w:rPr>
              <w:t>Prepaid expenses and other current assets are composed of the following at December 31, 2015 and March 31, 2015: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4"/>
          </w:tcPr>
          <w:p>
            <w:pPr>
              <w:ind w:left="400"/>
              <w:spacing w:after="0"/>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480"/>
              <w:spacing w:after="0"/>
              <w:rPr>
                <w:sz w:val="20"/>
                <w:szCs w:val="20"/>
                <w:color w:val="auto"/>
              </w:rPr>
            </w:pPr>
            <w:r>
              <w:rPr>
                <w:rFonts w:ascii="Arial" w:cs="Arial" w:eastAsia="Arial" w:hAnsi="Arial"/>
                <w:sz w:val="14"/>
                <w:szCs w:val="14"/>
                <w:color w:val="auto"/>
              </w:rPr>
              <w:t>March 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color w:val="auto"/>
              </w:rPr>
              <w:t>2015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Insurance</w:t>
            </w:r>
          </w:p>
        </w:tc>
        <w:tc>
          <w:tcPr>
            <w:tcW w:w="10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560" w:type="dxa"/>
            <w:vAlign w:val="bottom"/>
            <w:gridSpan w:val="3"/>
            <w:shd w:val="clear" w:color="auto" w:fill="CCEEFF"/>
          </w:tcPr>
          <w:p>
            <w:pPr>
              <w:jc w:val="right"/>
              <w:ind w:right="960"/>
              <w:spacing w:after="0"/>
              <w:rPr>
                <w:sz w:val="20"/>
                <w:szCs w:val="20"/>
                <w:color w:val="auto"/>
              </w:rPr>
            </w:pPr>
            <w:r>
              <w:rPr>
                <w:rFonts w:ascii="Arial" w:cs="Arial" w:eastAsia="Arial" w:hAnsi="Arial"/>
                <w:sz w:val="14"/>
                <w:szCs w:val="14"/>
                <w:color w:val="auto"/>
              </w:rPr>
              <w:t>51,600</w:t>
            </w:r>
          </w:p>
        </w:tc>
        <w:tc>
          <w:tcPr>
            <w:tcW w:w="74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27,300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tcPr>
          <w:p>
            <w:pPr>
              <w:spacing w:after="0"/>
              <w:rPr>
                <w:sz w:val="20"/>
                <w:szCs w:val="20"/>
                <w:color w:val="auto"/>
              </w:rPr>
            </w:pPr>
            <w:r>
              <w:rPr>
                <w:rFonts w:ascii="Arial" w:cs="Arial" w:eastAsia="Arial" w:hAnsi="Arial"/>
                <w:sz w:val="14"/>
                <w:szCs w:val="14"/>
                <w:color w:val="auto"/>
              </w:rPr>
              <w:t>Prepaid compensation under financial advisory and other consulting agreements</w:t>
            </w:r>
          </w:p>
        </w:tc>
        <w:tc>
          <w:tcPr>
            <w:tcW w:w="1000" w:type="dxa"/>
            <w:vAlign w:val="bottom"/>
          </w:tcPr>
          <w:p>
            <w:pPr>
              <w:spacing w:after="0"/>
              <w:rPr>
                <w:sz w:val="14"/>
                <w:szCs w:val="14"/>
                <w:color w:val="auto"/>
              </w:rPr>
            </w:pPr>
          </w:p>
        </w:tc>
        <w:tc>
          <w:tcPr>
            <w:tcW w:w="1560" w:type="dxa"/>
            <w:vAlign w:val="bottom"/>
            <w:gridSpan w:val="3"/>
          </w:tcPr>
          <w:p>
            <w:pPr>
              <w:jc w:val="right"/>
              <w:ind w:right="960"/>
              <w:spacing w:after="0"/>
              <w:rPr>
                <w:sz w:val="20"/>
                <w:szCs w:val="20"/>
                <w:color w:val="auto"/>
              </w:rPr>
            </w:pPr>
            <w:r>
              <w:rPr>
                <w:rFonts w:ascii="Arial" w:cs="Arial" w:eastAsia="Arial" w:hAnsi="Arial"/>
                <w:sz w:val="14"/>
                <w:szCs w:val="14"/>
                <w:color w:val="auto"/>
              </w:rPr>
              <w:t>675,000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Legal fees</w:t>
            </w:r>
          </w:p>
        </w:tc>
        <w:tc>
          <w:tcPr>
            <w:tcW w:w="1000" w:type="dxa"/>
            <w:vAlign w:val="bottom"/>
            <w:shd w:val="clear" w:color="auto" w:fill="CCEEFF"/>
          </w:tcPr>
          <w:p>
            <w:pPr>
              <w:spacing w:after="0"/>
              <w:rPr>
                <w:sz w:val="14"/>
                <w:szCs w:val="14"/>
                <w:color w:val="auto"/>
              </w:rPr>
            </w:pPr>
          </w:p>
        </w:tc>
        <w:tc>
          <w:tcPr>
            <w:tcW w:w="1560" w:type="dxa"/>
            <w:vAlign w:val="bottom"/>
            <w:gridSpan w:val="3"/>
            <w:shd w:val="clear" w:color="auto" w:fill="CCEEFF"/>
          </w:tcPr>
          <w:p>
            <w:pPr>
              <w:jc w:val="right"/>
              <w:ind w:right="9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3,400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620" w:type="dxa"/>
            <w:vAlign w:val="bottom"/>
            <w:gridSpan w:val="3"/>
          </w:tcPr>
          <w:p>
            <w:pPr>
              <w:spacing w:after="0"/>
              <w:rPr>
                <w:sz w:val="20"/>
                <w:szCs w:val="20"/>
                <w:color w:val="auto"/>
              </w:rPr>
            </w:pPr>
            <w:r>
              <w:rPr>
                <w:rFonts w:ascii="Arial" w:cs="Arial" w:eastAsia="Arial" w:hAnsi="Arial"/>
                <w:sz w:val="14"/>
                <w:szCs w:val="14"/>
                <w:color w:val="auto"/>
              </w:rPr>
              <w:t>Technology license fees and all other</w:t>
            </w:r>
          </w:p>
        </w:tc>
        <w:tc>
          <w:tcPr>
            <w:tcW w:w="1000" w:type="dxa"/>
            <w:vAlign w:val="bottom"/>
          </w:tcPr>
          <w:p>
            <w:pPr>
              <w:spacing w:after="0"/>
              <w:rPr>
                <w:sz w:val="14"/>
                <w:szCs w:val="14"/>
                <w:color w:val="auto"/>
              </w:rPr>
            </w:pPr>
          </w:p>
        </w:tc>
        <w:tc>
          <w:tcPr>
            <w:tcW w:w="1560" w:type="dxa"/>
            <w:vAlign w:val="bottom"/>
            <w:gridSpan w:val="3"/>
          </w:tcPr>
          <w:p>
            <w:pPr>
              <w:jc w:val="right"/>
              <w:ind w:right="960"/>
              <w:spacing w:after="0"/>
              <w:rPr>
                <w:sz w:val="20"/>
                <w:szCs w:val="20"/>
                <w:color w:val="auto"/>
              </w:rPr>
            </w:pPr>
            <w:r>
              <w:rPr>
                <w:rFonts w:ascii="Arial" w:cs="Arial" w:eastAsia="Arial" w:hAnsi="Arial"/>
                <w:sz w:val="14"/>
                <w:szCs w:val="14"/>
                <w:color w:val="auto"/>
              </w:rPr>
              <w:t>1,700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5,000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shd w:val="clear" w:color="auto" w:fill="CCEEFF"/>
          </w:tcPr>
          <w:p>
            <w:pPr>
              <w:spacing w:after="0"/>
              <w:rPr>
                <w:sz w:val="14"/>
                <w:szCs w:val="14"/>
                <w:color w:val="auto"/>
              </w:rPr>
            </w:pPr>
          </w:p>
        </w:tc>
        <w:tc>
          <w:tcPr>
            <w:tcW w:w="5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960"/>
              <w:spacing w:after="0"/>
              <w:rPr>
                <w:sz w:val="20"/>
                <w:szCs w:val="20"/>
                <w:color w:val="auto"/>
              </w:rPr>
            </w:pPr>
            <w:r>
              <w:rPr>
                <w:rFonts w:ascii="Arial" w:cs="Arial" w:eastAsia="Arial" w:hAnsi="Arial"/>
                <w:sz w:val="14"/>
                <w:szCs w:val="14"/>
                <w:color w:val="auto"/>
              </w:rPr>
              <w:t>728,300</w:t>
            </w:r>
          </w:p>
        </w:tc>
        <w:tc>
          <w:tcPr>
            <w:tcW w:w="740" w:type="dxa"/>
            <w:vAlign w:val="bottom"/>
            <w:gridSpan w:val="3"/>
          </w:tcPr>
          <w:p>
            <w:pPr>
              <w:ind w:left="660"/>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35,700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Note 6. Accrued Expenses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662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6620" w:type="dxa"/>
            <w:vAlign w:val="bottom"/>
            <w:gridSpan w:val="3"/>
          </w:tcPr>
          <w:p>
            <w:pPr>
              <w:ind w:left="520"/>
              <w:spacing w:after="0"/>
              <w:rPr>
                <w:sz w:val="20"/>
                <w:szCs w:val="20"/>
                <w:color w:val="auto"/>
              </w:rPr>
            </w:pPr>
            <w:r>
              <w:rPr>
                <w:rFonts w:ascii="Arial" w:cs="Arial" w:eastAsia="Arial" w:hAnsi="Arial"/>
                <w:sz w:val="14"/>
                <w:szCs w:val="14"/>
                <w:color w:val="auto"/>
              </w:rPr>
              <w:t>Accrued expenses are composed of the following at December 31, 2015 and March 31, 2015:</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9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4"/>
          </w:tcPr>
          <w:p>
            <w:pPr>
              <w:jc w:val="center"/>
              <w:ind w:right="1140"/>
              <w:spacing w:after="0"/>
              <w:rPr>
                <w:sz w:val="20"/>
                <w:szCs w:val="20"/>
                <w:color w:val="auto"/>
              </w:rPr>
            </w:pPr>
            <w:r>
              <w:rPr>
                <w:rFonts w:ascii="Arial" w:cs="Arial" w:eastAsia="Arial" w:hAnsi="Arial"/>
                <w:sz w:val="14"/>
                <w:szCs w:val="14"/>
                <w:color w:val="auto"/>
                <w:w w:val="88"/>
              </w:rPr>
              <w:t>December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jc w:val="right"/>
              <w:ind w:right="800"/>
              <w:spacing w:after="0"/>
              <w:rPr>
                <w:sz w:val="20"/>
                <w:szCs w:val="20"/>
                <w:color w:val="auto"/>
              </w:rPr>
            </w:pPr>
            <w:r>
              <w:rPr>
                <w:rFonts w:ascii="Arial" w:cs="Arial" w:eastAsia="Arial" w:hAnsi="Arial"/>
                <w:sz w:val="14"/>
                <w:szCs w:val="14"/>
                <w:color w:val="auto"/>
              </w:rPr>
              <w:t>March 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2015</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w w:val="89"/>
              </w:rPr>
              <w:t>2015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9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Accrued professional services</w:t>
            </w: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367,000</w:t>
            </w:r>
          </w:p>
        </w:tc>
        <w:tc>
          <w:tcPr>
            <w:tcW w:w="9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213,800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620" w:type="dxa"/>
            <w:vAlign w:val="bottom"/>
            <w:gridSpan w:val="3"/>
          </w:tcPr>
          <w:p>
            <w:pPr>
              <w:spacing w:after="0"/>
              <w:rPr>
                <w:sz w:val="20"/>
                <w:szCs w:val="20"/>
                <w:color w:val="auto"/>
              </w:rPr>
            </w:pPr>
            <w:r>
              <w:rPr>
                <w:rFonts w:ascii="Arial" w:cs="Arial" w:eastAsia="Arial" w:hAnsi="Arial"/>
                <w:sz w:val="14"/>
                <w:szCs w:val="14"/>
                <w:color w:val="auto"/>
              </w:rPr>
              <w:t>Accrued compensation</w:t>
            </w:r>
          </w:p>
        </w:tc>
        <w:tc>
          <w:tcPr>
            <w:tcW w:w="10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561,100</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990,700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 other</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w:t>
            </w: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2,000</w:t>
            </w: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00" w:type="dxa"/>
            <w:vAlign w:val="bottom"/>
            <w:tcBorders>
              <w:top w:val="single" w:sz="8" w:color="CCEEFF"/>
            </w:tcBorders>
          </w:tcPr>
          <w:p>
            <w:pPr>
              <w:spacing w:after="0"/>
              <w:rPr>
                <w:sz w:val="14"/>
                <w:szCs w:val="14"/>
                <w:color w:val="auto"/>
              </w:rPr>
            </w:pPr>
          </w:p>
        </w:tc>
        <w:tc>
          <w:tcPr>
            <w:tcW w:w="56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gridSpan w:val="2"/>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929,100</w:t>
            </w:r>
          </w:p>
        </w:tc>
        <w:tc>
          <w:tcPr>
            <w:tcW w:w="9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1,206,500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900" w:type="dxa"/>
            <w:vAlign w:val="bottom"/>
            <w:tcBorders>
              <w:top w:val="single" w:sz="8" w:color="CCEEFF"/>
            </w:tcBorders>
          </w:tcPr>
          <w:p>
            <w:pPr>
              <w:spacing w:after="0"/>
              <w:rPr>
                <w:sz w:val="24"/>
                <w:szCs w:val="24"/>
                <w:color w:val="auto"/>
              </w:rPr>
            </w:pPr>
          </w:p>
        </w:tc>
        <w:tc>
          <w:tcPr>
            <w:tcW w:w="5640" w:type="dxa"/>
            <w:vAlign w:val="bottom"/>
            <w:tcBorders>
              <w:top w:val="single" w:sz="8" w:color="CCEEFF"/>
            </w:tcBorders>
          </w:tcPr>
          <w:p>
            <w:pPr>
              <w:ind w:left="4700"/>
              <w:spacing w:after="0"/>
              <w:rPr>
                <w:sz w:val="20"/>
                <w:szCs w:val="20"/>
                <w:color w:val="auto"/>
              </w:rPr>
            </w:pPr>
            <w:r>
              <w:rPr>
                <w:rFonts w:ascii="Arial" w:cs="Arial" w:eastAsia="Arial" w:hAnsi="Arial"/>
                <w:sz w:val="14"/>
                <w:szCs w:val="14"/>
                <w:color w:val="auto"/>
              </w:rPr>
              <w:t>F-61</w:t>
            </w: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900" w:type="dxa"/>
            <w:vAlign w:val="bottom"/>
            <w:tcBorders>
              <w:bottom w:val="single" w:sz="8" w:color="808080"/>
            </w:tcBorders>
          </w:tcPr>
          <w:p>
            <w:pPr>
              <w:spacing w:after="0"/>
              <w:rPr>
                <w:sz w:val="7"/>
                <w:szCs w:val="7"/>
                <w:color w:val="auto"/>
              </w:rPr>
            </w:pPr>
          </w:p>
        </w:tc>
        <w:tc>
          <w:tcPr>
            <w:tcW w:w="56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04" w:name="page205"/>
    <w:bookmarkEnd w:id="204"/>
    <w:p>
      <w:pPr>
        <w:spacing w:after="0" w:line="51" w:lineRule="exact"/>
        <w:rPr>
          <w:sz w:val="20"/>
          <w:szCs w:val="20"/>
          <w:color w:val="auto"/>
        </w:rPr>
      </w:pPr>
    </w:p>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Convertible Promissory Notes and Other Notes Payable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secured and unsecured convertible promissory notes and other notes payable at December 31, 2015 and March 31,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March 31, 2015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460"/>
              <w:spacing w:after="0" w:line="160" w:lineRule="exact"/>
              <w:rPr>
                <w:sz w:val="20"/>
                <w:szCs w:val="20"/>
                <w:color w:val="auto"/>
              </w:rPr>
            </w:pPr>
            <w:r>
              <w:rPr>
                <w:rFonts w:ascii="Arial" w:cs="Arial" w:eastAsia="Arial" w:hAnsi="Arial"/>
                <w:sz w:val="14"/>
                <w:szCs w:val="14"/>
                <w:color w:val="auto"/>
              </w:rPr>
              <w:t>Principal</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69"/>
              <w:spacing w:after="0" w:line="160" w:lineRule="exact"/>
              <w:rPr>
                <w:sz w:val="20"/>
                <w:szCs w:val="20"/>
                <w:color w:val="auto"/>
              </w:rPr>
            </w:pPr>
            <w:r>
              <w:rPr>
                <w:rFonts w:ascii="Arial" w:cs="Arial" w:eastAsia="Arial" w:hAnsi="Arial"/>
                <w:sz w:val="14"/>
                <w:szCs w:val="14"/>
                <w:color w:val="auto"/>
              </w:rPr>
              <w:t>Accrued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460"/>
              <w:spacing w:after="0" w:line="160" w:lineRule="exact"/>
              <w:rPr>
                <w:sz w:val="20"/>
                <w:szCs w:val="20"/>
                <w:color w:val="auto"/>
              </w:rPr>
            </w:pPr>
            <w:r>
              <w:rPr>
                <w:rFonts w:ascii="Arial" w:cs="Arial" w:eastAsia="Arial" w:hAnsi="Arial"/>
                <w:sz w:val="14"/>
                <w:szCs w:val="14"/>
                <w:color w:val="auto"/>
              </w:rPr>
              <w:t>Principal</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69"/>
              <w:spacing w:after="0" w:line="160" w:lineRule="exact"/>
              <w:rPr>
                <w:sz w:val="20"/>
                <w:szCs w:val="20"/>
                <w:color w:val="auto"/>
              </w:rPr>
            </w:pPr>
            <w:r>
              <w:rPr>
                <w:rFonts w:ascii="Arial" w:cs="Arial" w:eastAsia="Arial" w:hAnsi="Arial"/>
                <w:sz w:val="14"/>
                <w:szCs w:val="14"/>
                <w:color w:val="auto"/>
              </w:rPr>
              <w:t>Accrued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color w:val="auto"/>
              </w:rPr>
              <w:t>Total</w:t>
            </w:r>
          </w:p>
        </w:tc>
      </w:tr>
      <w:tr>
        <w:trPr>
          <w:trHeight w:val="160"/>
        </w:trPr>
        <w:tc>
          <w:tcPr>
            <w:tcW w:w="3340" w:type="dxa"/>
            <w:vAlign w:val="bottom"/>
          </w:tcPr>
          <w:p>
            <w:pPr>
              <w:spacing w:after="0" w:line="160" w:lineRule="exact"/>
              <w:rPr>
                <w:sz w:val="20"/>
                <w:szCs w:val="20"/>
                <w:color w:val="auto"/>
              </w:rPr>
            </w:pPr>
            <w:r>
              <w:rPr>
                <w:rFonts w:ascii="Arial" w:cs="Arial" w:eastAsia="Arial" w:hAnsi="Arial"/>
                <w:sz w:val="14"/>
                <w:szCs w:val="14"/>
                <w:b w:val="1"/>
                <w:bCs w:val="1"/>
                <w:i w:val="1"/>
                <w:iCs w:val="1"/>
                <w:color w:val="auto"/>
                <w:w w:val="97"/>
              </w:rPr>
              <w:t>Senior Secured 10% Convertible Promissory Notes</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issued to Platinum:</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0"/>
        </w:trPr>
        <w:tc>
          <w:tcPr>
            <w:tcW w:w="3340" w:type="dxa"/>
            <w:vAlign w:val="bottom"/>
            <w:shd w:val="clear" w:color="auto" w:fill="CCEEFF"/>
          </w:tcPr>
          <w:p>
            <w:pPr>
              <w:ind w:left="160"/>
              <w:spacing w:after="0" w:line="160" w:lineRule="exact"/>
              <w:rPr>
                <w:sz w:val="20"/>
                <w:szCs w:val="20"/>
                <w:color w:val="auto"/>
              </w:rPr>
            </w:pPr>
            <w:r>
              <w:rPr>
                <w:rFonts w:ascii="Arial" w:cs="Arial" w:eastAsia="Arial" w:hAnsi="Arial"/>
                <w:sz w:val="14"/>
                <w:szCs w:val="14"/>
                <w:color w:val="auto"/>
                <w:w w:val="96"/>
              </w:rPr>
              <w:t>Total Senior notes issued between October 11, 2012</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and July 23, 2013</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3,522,600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919,700</w:t>
            </w:r>
          </w:p>
        </w:tc>
        <w:tc>
          <w:tcPr>
            <w:tcW w:w="1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4,442,300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less: current portion</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(3,272,600)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(873,500)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(4,146,100)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Senior notes - non-current portion</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250,000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46,200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296,200</w:t>
            </w:r>
          </w:p>
        </w:tc>
      </w:tr>
      <w:tr>
        <w:trPr>
          <w:trHeight w:val="153"/>
        </w:trPr>
        <w:tc>
          <w:tcPr>
            <w:tcW w:w="33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10% Convertible Promissory Notes (Unit Notes)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0"/>
        </w:trPr>
        <w:tc>
          <w:tcPr>
            <w:tcW w:w="3340" w:type="dxa"/>
            <w:vAlign w:val="bottom"/>
          </w:tcPr>
          <w:p>
            <w:pPr>
              <w:ind w:left="160"/>
              <w:spacing w:after="0" w:line="160" w:lineRule="exact"/>
              <w:rPr>
                <w:sz w:val="20"/>
                <w:szCs w:val="20"/>
                <w:color w:val="auto"/>
              </w:rPr>
            </w:pPr>
            <w:r>
              <w:rPr>
                <w:rFonts w:ascii="Arial" w:cs="Arial" w:eastAsia="Arial" w:hAnsi="Arial"/>
                <w:sz w:val="14"/>
                <w:szCs w:val="14"/>
                <w:color w:val="auto"/>
              </w:rPr>
              <w:t>2014 Unit Notes, including amended notes, due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jc w:val="right"/>
              <w:ind w:right="2509"/>
              <w:spacing w:after="0"/>
              <w:rPr>
                <w:sz w:val="20"/>
                <w:szCs w:val="20"/>
                <w:color w:val="auto"/>
              </w:rPr>
            </w:pPr>
            <w:r>
              <w:rPr>
                <w:rFonts w:ascii="Arial" w:cs="Arial" w:eastAsia="Arial" w:hAnsi="Arial"/>
                <w:sz w:val="14"/>
                <w:szCs w:val="14"/>
                <w:color w:val="auto"/>
              </w:rPr>
              <w:t>3/31/15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4,066,900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270,700</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4,337,600</w:t>
            </w:r>
          </w:p>
        </w:tc>
      </w:tr>
      <w:tr>
        <w:trPr>
          <w:trHeight w:val="172"/>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Note discounts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(180,000)</w:t>
            </w:r>
          </w:p>
        </w:tc>
      </w:tr>
      <w:tr>
        <w:trPr>
          <w:trHeight w:val="160"/>
        </w:trPr>
        <w:tc>
          <w:tcPr>
            <w:tcW w:w="3340" w:type="dxa"/>
            <w:vAlign w:val="bottom"/>
            <w:tcBorders>
              <w:top w:val="single" w:sz="8" w:color="CCEEFF"/>
            </w:tcBorders>
          </w:tcPr>
          <w:p>
            <w:pPr>
              <w:ind w:left="320"/>
              <w:spacing w:after="0" w:line="160" w:lineRule="exact"/>
              <w:rPr>
                <w:sz w:val="20"/>
                <w:szCs w:val="20"/>
                <w:color w:val="auto"/>
              </w:rPr>
            </w:pPr>
            <w:r>
              <w:rPr>
                <w:rFonts w:ascii="Arial" w:cs="Arial" w:eastAsia="Arial" w:hAnsi="Arial"/>
                <w:sz w:val="14"/>
                <w:szCs w:val="14"/>
                <w:color w:val="auto"/>
              </w:rPr>
              <w:t>Net convertible notes (all current at March 31,</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81"/>
        </w:trPr>
        <w:tc>
          <w:tcPr>
            <w:tcW w:w="3340" w:type="dxa"/>
            <w:vAlign w:val="bottom"/>
          </w:tcPr>
          <w:p>
            <w:pPr>
              <w:jc w:val="right"/>
              <w:ind w:right="2469"/>
              <w:spacing w:after="0"/>
              <w:rPr>
                <w:sz w:val="20"/>
                <w:szCs w:val="20"/>
                <w:color w:val="auto"/>
              </w:rPr>
            </w:pPr>
            <w:r>
              <w:rPr>
                <w:rFonts w:ascii="Arial" w:cs="Arial" w:eastAsia="Arial" w:hAnsi="Arial"/>
                <w:sz w:val="14"/>
                <w:szCs w:val="14"/>
                <w:color w:val="auto"/>
              </w:rPr>
              <w:t>2015)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3,886,900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270,700</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4,157,600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spacing w:after="0"/>
              <w:rPr>
                <w:sz w:val="20"/>
                <w:szCs w:val="20"/>
                <w:color w:val="auto"/>
              </w:rPr>
            </w:pPr>
            <w:r>
              <w:rPr>
                <w:rFonts w:ascii="Arial" w:cs="Arial" w:eastAsia="Arial" w:hAnsi="Arial"/>
                <w:sz w:val="14"/>
                <w:szCs w:val="14"/>
                <w:b w:val="1"/>
                <w:bCs w:val="1"/>
                <w:i w:val="1"/>
                <w:iCs w:val="1"/>
                <w:color w:val="auto"/>
              </w:rPr>
              <w:t>Notes Payable to unrelated parties: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3340" w:type="dxa"/>
            <w:vAlign w:val="bottom"/>
            <w:shd w:val="clear" w:color="auto" w:fill="CCEEFF"/>
          </w:tcPr>
          <w:p>
            <w:pPr>
              <w:ind w:left="160"/>
              <w:spacing w:after="0" w:line="160" w:lineRule="exact"/>
              <w:rPr>
                <w:sz w:val="20"/>
                <w:szCs w:val="20"/>
                <w:color w:val="auto"/>
              </w:rPr>
            </w:pPr>
            <w:r>
              <w:rPr>
                <w:rFonts w:ascii="Arial" w:cs="Arial" w:eastAsia="Arial" w:hAnsi="Arial"/>
                <w:sz w:val="14"/>
                <w:szCs w:val="14"/>
                <w:color w:val="auto"/>
                <w:w w:val="95"/>
              </w:rPr>
              <w:t>7.5% Notes payable to service providers for accounts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payable converted to notes payable:</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Burr, Pilger, Mayer</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90,400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13,100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103,500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Desjardins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156,300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24,100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180,400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McCarthy Tetrault</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319,700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46,000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365,700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August 2012 Morrison &amp; Foerster Note A</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918,200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1,111,400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August 2012 Morrison &amp; Foerster Note B</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1,379,400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333,100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1,712,500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University Health Network</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549,500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651,300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3,413,500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711,300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4,124,800</w:t>
            </w:r>
          </w:p>
        </w:tc>
      </w:tr>
      <w:tr>
        <w:trPr>
          <w:trHeight w:val="170"/>
        </w:trPr>
        <w:tc>
          <w:tcPr>
            <w:tcW w:w="3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Note discount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(474,500)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(474,500)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2,939,000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711,300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3,650,300</w:t>
            </w:r>
          </w:p>
        </w:tc>
      </w:tr>
      <w:tr>
        <w:trPr>
          <w:trHeight w:val="160"/>
        </w:trPr>
        <w:tc>
          <w:tcPr>
            <w:tcW w:w="3340" w:type="dxa"/>
            <w:vAlign w:val="bottom"/>
            <w:shd w:val="clear" w:color="auto" w:fill="CCEEFF"/>
          </w:tcPr>
          <w:p>
            <w:pPr>
              <w:ind w:left="480"/>
              <w:spacing w:after="0" w:line="160" w:lineRule="exact"/>
              <w:rPr>
                <w:sz w:val="20"/>
                <w:szCs w:val="20"/>
                <w:color w:val="auto"/>
              </w:rPr>
            </w:pPr>
            <w:r>
              <w:rPr>
                <w:rFonts w:ascii="Arial" w:cs="Arial" w:eastAsia="Arial" w:hAnsi="Arial"/>
                <w:sz w:val="14"/>
                <w:szCs w:val="14"/>
                <w:color w:val="auto"/>
                <w:w w:val="97"/>
              </w:rPr>
              <w:t>less: current portion (and discount at March 31,</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2015)</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(2,939,000)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(711,300)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(3,650,300)</w:t>
            </w:r>
          </w:p>
        </w:tc>
      </w:tr>
      <w:tr>
        <w:trPr>
          <w:trHeight w:val="22"/>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480"/>
              <w:spacing w:after="0"/>
              <w:rPr>
                <w:sz w:val="20"/>
                <w:szCs w:val="20"/>
                <w:color w:val="auto"/>
              </w:rPr>
            </w:pPr>
            <w:r>
              <w:rPr>
                <w:rFonts w:ascii="Arial" w:cs="Arial" w:eastAsia="Arial" w:hAnsi="Arial"/>
                <w:sz w:val="14"/>
                <w:szCs w:val="14"/>
                <w:color w:val="auto"/>
              </w:rPr>
              <w:t>non-current portion and discount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0"/>
        </w:trPr>
        <w:tc>
          <w:tcPr>
            <w:tcW w:w="3340" w:type="dxa"/>
            <w:vAlign w:val="bottom"/>
          </w:tcPr>
          <w:p>
            <w:pPr>
              <w:ind w:left="160"/>
              <w:spacing w:after="0" w:line="160" w:lineRule="exact"/>
              <w:rPr>
                <w:sz w:val="20"/>
                <w:szCs w:val="20"/>
                <w:color w:val="auto"/>
              </w:rPr>
            </w:pPr>
            <w:r>
              <w:rPr>
                <w:rFonts w:ascii="Arial" w:cs="Arial" w:eastAsia="Arial" w:hAnsi="Arial"/>
                <w:sz w:val="14"/>
                <w:szCs w:val="14"/>
                <w:color w:val="auto"/>
              </w:rPr>
              <w:t>5.67% and 10.25% Notes payable to insurance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ind w:left="320"/>
              <w:spacing w:after="0"/>
              <w:rPr>
                <w:sz w:val="20"/>
                <w:szCs w:val="20"/>
                <w:color w:val="auto"/>
              </w:rPr>
            </w:pPr>
            <w:r>
              <w:rPr>
                <w:rFonts w:ascii="Arial" w:cs="Arial" w:eastAsia="Arial" w:hAnsi="Arial"/>
                <w:sz w:val="14"/>
                <w:szCs w:val="14"/>
                <w:color w:val="auto"/>
              </w:rPr>
              <w:t>premium financing company (current)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5,800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5,800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0"/>
        </w:trPr>
        <w:tc>
          <w:tcPr>
            <w:tcW w:w="3340" w:type="dxa"/>
            <w:vAlign w:val="bottom"/>
          </w:tcPr>
          <w:p>
            <w:pPr>
              <w:ind w:left="160"/>
              <w:spacing w:after="0" w:line="160" w:lineRule="exact"/>
              <w:rPr>
                <w:sz w:val="20"/>
                <w:szCs w:val="20"/>
                <w:color w:val="auto"/>
              </w:rPr>
            </w:pPr>
            <w:r>
              <w:rPr>
                <w:rFonts w:ascii="Arial" w:cs="Arial" w:eastAsia="Arial" w:hAnsi="Arial"/>
                <w:sz w:val="14"/>
                <w:szCs w:val="14"/>
                <w:color w:val="auto"/>
                <w:w w:val="97"/>
              </w:rPr>
              <w:t>10% Notes payable to vendors for accounts payable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3340" w:type="dxa"/>
            <w:vAlign w:val="bottom"/>
          </w:tcPr>
          <w:p>
            <w:pPr>
              <w:ind w:left="320"/>
              <w:spacing w:after="0"/>
              <w:rPr>
                <w:sz w:val="20"/>
                <w:szCs w:val="20"/>
                <w:color w:val="auto"/>
              </w:rPr>
            </w:pPr>
            <w:r>
              <w:rPr>
                <w:rFonts w:ascii="Arial" w:cs="Arial" w:eastAsia="Arial" w:hAnsi="Arial"/>
                <w:sz w:val="14"/>
                <w:szCs w:val="14"/>
                <w:color w:val="auto"/>
              </w:rPr>
              <w:t>converted to notes payable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26,300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7,000</w:t>
            </w:r>
          </w:p>
        </w:tc>
        <w:tc>
          <w:tcPr>
            <w:tcW w:w="140" w:type="dxa"/>
            <w:vAlign w:val="bottom"/>
          </w:tcPr>
          <w:p>
            <w:pPr>
              <w:spacing w:after="0"/>
              <w:rPr>
                <w:sz w:val="15"/>
                <w:szCs w:val="15"/>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33,300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378,300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51,500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429,800</w:t>
            </w:r>
          </w:p>
        </w:tc>
      </w:tr>
      <w:tr>
        <w:trPr>
          <w:trHeight w:val="171"/>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less: current portion</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(33,300)</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(51,500)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(429,800)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non-current portion</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ind w:left="160"/>
              <w:spacing w:after="0"/>
              <w:rPr>
                <w:sz w:val="20"/>
                <w:szCs w:val="20"/>
                <w:color w:val="auto"/>
              </w:rPr>
            </w:pPr>
            <w:r>
              <w:rPr>
                <w:rFonts w:ascii="Arial" w:cs="Arial" w:eastAsia="Arial" w:hAnsi="Arial"/>
                <w:sz w:val="14"/>
                <w:szCs w:val="14"/>
                <w:color w:val="auto"/>
              </w:rPr>
              <w:t>7.0% Note payable (August 2012)</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58,800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11,000</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69,800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58,800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7,900</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66,700</w:t>
            </w: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less: current portion</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(40,500)</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(23,200)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(31,100)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7.0% Notes payable - non-current portion</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29,300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29,300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35,600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35,600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Total notes payable to unrelated parties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85,100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18,000</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103,100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3,381,900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770,700</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4,152,600</w:t>
            </w:r>
          </w:p>
        </w:tc>
      </w:tr>
      <w:tr>
        <w:trPr>
          <w:trHeight w:val="160"/>
        </w:trPr>
        <w:tc>
          <w:tcPr>
            <w:tcW w:w="3340" w:type="dxa"/>
            <w:vAlign w:val="bottom"/>
            <w:shd w:val="clear" w:color="auto" w:fill="CCEEFF"/>
          </w:tcPr>
          <w:p>
            <w:pPr>
              <w:ind w:left="480"/>
              <w:spacing w:after="0" w:line="160" w:lineRule="exact"/>
              <w:rPr>
                <w:sz w:val="20"/>
                <w:szCs w:val="20"/>
                <w:color w:val="auto"/>
              </w:rPr>
            </w:pPr>
            <w:r>
              <w:rPr>
                <w:rFonts w:ascii="Arial" w:cs="Arial" w:eastAsia="Arial" w:hAnsi="Arial"/>
                <w:sz w:val="14"/>
                <w:szCs w:val="14"/>
                <w:color w:val="auto"/>
                <w:w w:val="97"/>
              </w:rPr>
              <w:t>less: current portion (and discount at March 31,</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1"/>
        </w:trPr>
        <w:tc>
          <w:tcPr>
            <w:tcW w:w="33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2015)</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(55,800)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(73,800)</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(3,346,300)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(770,700)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(4,117,000)</w:t>
            </w:r>
          </w:p>
        </w:tc>
      </w:tr>
      <w:tr>
        <w:trPr>
          <w:trHeight w:val="22"/>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480"/>
              <w:spacing w:after="0"/>
              <w:rPr>
                <w:sz w:val="20"/>
                <w:szCs w:val="20"/>
                <w:color w:val="auto"/>
              </w:rPr>
            </w:pPr>
            <w:r>
              <w:rPr>
                <w:rFonts w:ascii="Arial" w:cs="Arial" w:eastAsia="Arial" w:hAnsi="Arial"/>
                <w:sz w:val="14"/>
                <w:szCs w:val="14"/>
                <w:color w:val="auto"/>
              </w:rPr>
              <w:t>Net non-current portion</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29,300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29,300</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35,600</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35,600</w:t>
            </w: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340" w:type="dxa"/>
            <w:vAlign w:val="bottom"/>
          </w:tcPr>
          <w:p>
            <w:pPr>
              <w:spacing w:after="0"/>
              <w:rPr>
                <w:sz w:val="20"/>
                <w:szCs w:val="20"/>
                <w:color w:val="auto"/>
              </w:rPr>
            </w:pPr>
            <w:r>
              <w:rPr>
                <w:rFonts w:ascii="Arial" w:cs="Arial" w:eastAsia="Arial" w:hAnsi="Arial"/>
                <w:sz w:val="14"/>
                <w:szCs w:val="14"/>
                <w:b w:val="1"/>
                <w:bCs w:val="1"/>
                <w:i w:val="1"/>
                <w:iCs w:val="1"/>
                <w:color w:val="auto"/>
              </w:rPr>
              <w:t>Notes payable to related parties: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October 2012 7.5% Note to Cato Holding Co.</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293,600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55,900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349,500</w:t>
            </w:r>
          </w:p>
        </w:tc>
      </w:tr>
      <w:tr>
        <w:trPr>
          <w:trHeight w:val="170"/>
        </w:trPr>
        <w:tc>
          <w:tcPr>
            <w:tcW w:w="3340" w:type="dxa"/>
            <w:vAlign w:val="bottom"/>
          </w:tcPr>
          <w:p>
            <w:pPr>
              <w:ind w:left="160"/>
              <w:spacing w:after="0"/>
              <w:rPr>
                <w:sz w:val="20"/>
                <w:szCs w:val="20"/>
                <w:color w:val="auto"/>
              </w:rPr>
            </w:pPr>
            <w:r>
              <w:rPr>
                <w:rFonts w:ascii="Arial" w:cs="Arial" w:eastAsia="Arial" w:hAnsi="Arial"/>
                <w:sz w:val="14"/>
                <w:szCs w:val="14"/>
                <w:color w:val="auto"/>
              </w:rPr>
              <w:t>October 2012 7.5% Note to Cato Research Ltd.</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1,009,000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204,800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1,213,800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1,302,600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1,563,300</w:t>
            </w:r>
          </w:p>
        </w:tc>
      </w:tr>
      <w:tr>
        <w:trPr>
          <w:trHeight w:val="170"/>
        </w:trPr>
        <w:tc>
          <w:tcPr>
            <w:tcW w:w="3340" w:type="dxa"/>
            <w:vAlign w:val="bottom"/>
          </w:tcPr>
          <w:p>
            <w:pPr>
              <w:ind w:left="320"/>
              <w:spacing w:after="0"/>
              <w:rPr>
                <w:sz w:val="20"/>
                <w:szCs w:val="20"/>
                <w:color w:val="auto"/>
              </w:rPr>
            </w:pPr>
            <w:r>
              <w:rPr>
                <w:rFonts w:ascii="Arial" w:cs="Arial" w:eastAsia="Arial" w:hAnsi="Arial"/>
                <w:sz w:val="14"/>
                <w:szCs w:val="14"/>
                <w:color w:val="auto"/>
              </w:rPr>
              <w:t>Note discount</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(54,500)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(54,500)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33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notes payable to related parties</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1,248,100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1,508,800</w:t>
            </w:r>
          </w:p>
        </w:tc>
      </w:tr>
      <w:tr>
        <w:trPr>
          <w:trHeight w:val="21"/>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0"/>
        </w:trPr>
        <w:tc>
          <w:tcPr>
            <w:tcW w:w="3340" w:type="dxa"/>
            <w:vAlign w:val="bottom"/>
          </w:tcPr>
          <w:p>
            <w:pPr>
              <w:ind w:left="480"/>
              <w:spacing w:after="0"/>
              <w:rPr>
                <w:sz w:val="20"/>
                <w:szCs w:val="20"/>
                <w:color w:val="auto"/>
              </w:rPr>
            </w:pPr>
            <w:r>
              <w:rPr>
                <w:rFonts w:ascii="Arial" w:cs="Arial" w:eastAsia="Arial" w:hAnsi="Arial"/>
                <w:sz w:val="14"/>
                <w:szCs w:val="14"/>
                <w:color w:val="auto"/>
              </w:rPr>
              <w:t>less: current portion</w:t>
            </w:r>
          </w:p>
        </w:tc>
        <w:tc>
          <w:tcPr>
            <w:tcW w:w="20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(1,248,100)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(260,700)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(1,508,800)</w:t>
            </w:r>
          </w:p>
        </w:tc>
      </w:tr>
      <w:tr>
        <w:trPr>
          <w:trHeight w:val="21"/>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33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non-current portion and discount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right="60" w:firstLine="469"/>
        <w:spacing w:after="0" w:line="281" w:lineRule="auto"/>
        <w:rPr>
          <w:sz w:val="20"/>
          <w:szCs w:val="20"/>
          <w:color w:val="auto"/>
        </w:rPr>
      </w:pPr>
      <w:r>
        <w:rPr>
          <w:rFonts w:ascii="Arial" w:cs="Arial" w:eastAsia="Arial" w:hAnsi="Arial"/>
          <w:sz w:val="15"/>
          <w:szCs w:val="15"/>
          <w:color w:val="auto"/>
        </w:rPr>
        <w:t xml:space="preserve">Between March 31, 2015 and December 31, 2015, we have extinguished the outstanding balances of approximately $17.2 million of indebtedness, including all senior secured promissory notes, all except $85,100 principal of unsecured promissory notes, and a substantial portion of other indebtedness, and certain adjustments thereto, that were either due and payable or would have become due and payable prior to March 31, 2016, by converting all such indebtedness into shares of our Series B Preferred (which is described more completely below under the caption </w:t>
      </w:r>
      <w:r>
        <w:rPr>
          <w:rFonts w:ascii="Arial" w:cs="Arial" w:eastAsia="Arial" w:hAnsi="Arial"/>
          <w:sz w:val="15"/>
          <w:szCs w:val="15"/>
          <w:i w:val="1"/>
          <w:iCs w:val="1"/>
          <w:color w:val="auto"/>
        </w:rPr>
        <w:t>Creation of Series B Preferred Stock</w:t>
      </w:r>
      <w:r>
        <w:rPr>
          <w:rFonts w:ascii="Arial" w:cs="Arial" w:eastAsia="Arial" w:hAnsi="Arial"/>
          <w:sz w:val="15"/>
          <w:szCs w:val="15"/>
          <w:color w:val="auto"/>
        </w:rPr>
        <w:t xml:space="preserve"> in Note 8, </w:t>
      </w:r>
      <w:r>
        <w:rPr>
          <w:rFonts w:ascii="Arial" w:cs="Arial" w:eastAsia="Arial" w:hAnsi="Arial"/>
          <w:sz w:val="15"/>
          <w:szCs w:val="15"/>
          <w:i w:val="1"/>
          <w:iCs w:val="1"/>
          <w:color w:val="auto"/>
        </w:rPr>
        <w:t>Capital Stock</w:t>
      </w:r>
      <w:r>
        <w:rPr>
          <w:rFonts w:ascii="Arial" w:cs="Arial" w:eastAsia="Arial" w:hAnsi="Arial"/>
          <w:sz w:val="15"/>
          <w:szCs w:val="15"/>
          <w:color w:val="auto"/>
        </w:rPr>
        <w:t>). Significant changes in and conversions of our convertible promissory notes and other promissory notes since March 31, 2015 are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10% Convertible Notes Issued in Connection with 2014 Unit Private Placement</w:t>
      </w:r>
    </w:p>
    <w:p>
      <w:pPr>
        <w:spacing w:after="0" w:line="201" w:lineRule="exact"/>
        <w:rPr>
          <w:sz w:val="20"/>
          <w:szCs w:val="20"/>
          <w:color w:val="auto"/>
        </w:rPr>
      </w:pPr>
    </w:p>
    <w:p>
      <w:pPr>
        <w:ind w:right="40" w:firstLine="511"/>
        <w:spacing w:after="0" w:line="279" w:lineRule="auto"/>
        <w:rPr>
          <w:sz w:val="20"/>
          <w:szCs w:val="20"/>
          <w:color w:val="auto"/>
        </w:rPr>
      </w:pPr>
      <w:r>
        <w:rPr>
          <w:rFonts w:ascii="Arial" w:cs="Arial" w:eastAsia="Arial" w:hAnsi="Arial"/>
          <w:sz w:val="13"/>
          <w:szCs w:val="13"/>
          <w:color w:val="auto"/>
        </w:rPr>
        <w:t xml:space="preserve">As described more completely under the caption </w:t>
      </w:r>
      <w:r>
        <w:rPr>
          <w:rFonts w:ascii="Arial" w:cs="Arial" w:eastAsia="Arial" w:hAnsi="Arial"/>
          <w:sz w:val="13"/>
          <w:szCs w:val="13"/>
          <w:i w:val="1"/>
          <w:iCs w:val="1"/>
          <w:color w:val="auto"/>
        </w:rPr>
        <w:t>2014 Unit Private Placement</w:t>
      </w:r>
      <w:r>
        <w:rPr>
          <w:rFonts w:ascii="Arial" w:cs="Arial" w:eastAsia="Arial" w:hAnsi="Arial"/>
          <w:sz w:val="13"/>
          <w:szCs w:val="13"/>
          <w:color w:val="auto"/>
        </w:rPr>
        <w:t xml:space="preserve"> in Note 8, </w:t>
      </w:r>
      <w:r>
        <w:rPr>
          <w:rFonts w:ascii="Arial" w:cs="Arial" w:eastAsia="Arial" w:hAnsi="Arial"/>
          <w:sz w:val="13"/>
          <w:szCs w:val="13"/>
          <w:i w:val="1"/>
          <w:iCs w:val="1"/>
          <w:color w:val="auto"/>
        </w:rPr>
        <w:t>Capital Stock,</w:t>
      </w:r>
      <w:r>
        <w:rPr>
          <w:rFonts w:ascii="Arial" w:cs="Arial" w:eastAsia="Arial" w:hAnsi="Arial"/>
          <w:sz w:val="13"/>
          <w:szCs w:val="13"/>
          <w:color w:val="auto"/>
        </w:rPr>
        <w:t xml:space="preserve"> between April 1, 2015 and May 14, 2015, we issued to accredited investors in self-placed private placement transactions 10% convertible notes (the </w:t>
      </w:r>
      <w:r>
        <w:rPr>
          <w:rFonts w:ascii="Arial" w:cs="Arial" w:eastAsia="Arial" w:hAnsi="Arial"/>
          <w:sz w:val="13"/>
          <w:szCs w:val="13"/>
          <w:i w:val="1"/>
          <w:iCs w:val="1"/>
          <w:color w:val="auto"/>
        </w:rPr>
        <w:t>2014 Unit Notes</w:t>
      </w:r>
      <w:r>
        <w:rPr>
          <w:rFonts w:ascii="Arial" w:cs="Arial" w:eastAsia="Arial" w:hAnsi="Arial"/>
          <w:sz w:val="13"/>
          <w:szCs w:val="13"/>
          <w:color w:val="auto"/>
        </w:rPr>
        <w:t>) in the aggregate face amount of $280,000. The 2014 Unit Notes issued in April and May 2015 represented a continuation of the 2014 Unit Private Placement pursuant to which we had issued in self-placed private placement transactions to accredited investors an aggregate of $3,113,500 principal amount of substantially similar notes between late-March 2014 and March 31, 2015. The 2014 Unit Notes matured between April 30, 2015 and May 15, 2015 (</w:t>
      </w:r>
      <w:r>
        <w:rPr>
          <w:rFonts w:ascii="Arial" w:cs="Arial" w:eastAsia="Arial" w:hAnsi="Arial"/>
          <w:sz w:val="13"/>
          <w:szCs w:val="13"/>
          <w:i w:val="1"/>
          <w:iCs w:val="1"/>
          <w:color w:val="auto"/>
        </w:rPr>
        <w:t>Maturity</w:t>
      </w:r>
      <w:r>
        <w:rPr>
          <w:rFonts w:ascii="Arial" w:cs="Arial" w:eastAsia="Arial" w:hAnsi="Arial"/>
          <w:sz w:val="13"/>
          <w:szCs w:val="13"/>
          <w:color w:val="auto"/>
        </w:rPr>
        <w:t xml:space="preserve">) and the outstanding principal of the 2014 Unit Notes and their related accrued interest (the </w:t>
      </w:r>
      <w:r>
        <w:rPr>
          <w:rFonts w:ascii="Arial" w:cs="Arial" w:eastAsia="Arial" w:hAnsi="Arial"/>
          <w:sz w:val="13"/>
          <w:szCs w:val="13"/>
          <w:i w:val="1"/>
          <w:iCs w:val="1"/>
          <w:color w:val="auto"/>
        </w:rPr>
        <w:t>Outstanding Balance</w:t>
      </w:r>
      <w:r>
        <w:rPr>
          <w:rFonts w:ascii="Arial" w:cs="Arial" w:eastAsia="Arial" w:hAnsi="Arial"/>
          <w:sz w:val="13"/>
          <w:szCs w:val="13"/>
          <w:color w:val="auto"/>
        </w:rPr>
        <w:t xml:space="preserve">) was convertible into shares of our common stock at a conversion price of $10.00 per share at or prior to Maturity, at the option of the accredited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3"/>
          <w:szCs w:val="13"/>
          <w:i w:val="1"/>
          <w:iCs w:val="1"/>
          <w:color w:val="auto"/>
        </w:rPr>
        <w:t>Qualified Financing</w:t>
      </w:r>
      <w:r>
        <w:rPr>
          <w:rFonts w:ascii="Arial" w:cs="Arial" w:eastAsia="Arial" w:hAnsi="Arial"/>
          <w:sz w:val="13"/>
          <w:szCs w:val="13"/>
          <w:color w:val="auto"/>
        </w:rPr>
        <w:t>), the Outstanding Balance of the 2014 Unit Notes would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w:t>
      </w:r>
    </w:p>
    <w:p>
      <w:pPr>
        <w:spacing w:after="0" w:line="161" w:lineRule="exact"/>
        <w:rPr>
          <w:sz w:val="20"/>
          <w:szCs w:val="20"/>
          <w:color w:val="auto"/>
        </w:rPr>
      </w:pPr>
    </w:p>
    <w:p>
      <w:pPr>
        <w:ind w:right="20" w:firstLine="511"/>
        <w:spacing w:after="0" w:line="306" w:lineRule="auto"/>
        <w:rPr>
          <w:sz w:val="20"/>
          <w:szCs w:val="20"/>
          <w:color w:val="auto"/>
        </w:rPr>
      </w:pPr>
      <w:r>
        <w:rPr>
          <w:rFonts w:ascii="Arial" w:cs="Arial" w:eastAsia="Arial" w:hAnsi="Arial"/>
          <w:sz w:val="12"/>
          <w:szCs w:val="12"/>
          <w:color w:val="auto"/>
        </w:rPr>
        <w:t>We allocated the proceeds from the self-placed private placement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contained an embedded conversion feature having intrinsic value at the issuance date, which value we treated as an additional discount attributable to those 2014 Unit Notes, subject to limitations on the absolute amount of discount attributable to each 2014 Unit Note. We recorded a corresponding credit to additional paid-in capital, an equity account, attributable to the beneficial conversion feature. We amortized the discounts attributable to the 2014 Unit Notes issued in April and May 2015, an aggregate of $277,200, using the effective interest method over the respective term of each 2014 Unit Note. Because the discount on each of these 2014 Unit Notes represented 99% of its initial face value, and because we were required to amortize such discount over the period from issuance to maturity, which was no more than two months for these notes, the calculated effective interest rate is extremely</w:t>
      </w:r>
    </w:p>
    <w:p>
      <w:pPr>
        <w:sectPr>
          <w:pgSz w:w="11900" w:h="16889" w:orient="portrait"/>
          <w:cols w:equalWidth="0" w:num="1">
            <w:col w:w="11460"/>
          </w:cols>
          <w:pgMar w:left="220" w:top="133" w:right="219" w:bottom="0" w:gutter="0" w:footer="0" w:header="0"/>
        </w:sectPr>
      </w:pPr>
    </w:p>
    <w:bookmarkStart w:id="205" w:name="page206"/>
    <w:bookmarkEnd w:id="205"/>
    <w:p>
      <w:pPr>
        <w:spacing w:after="0" w:line="283" w:lineRule="auto"/>
        <w:rPr>
          <w:sz w:val="20"/>
          <w:szCs w:val="20"/>
          <w:color w:val="auto"/>
        </w:rPr>
      </w:pPr>
      <w:r>
        <w:rPr>
          <w:rFonts w:ascii="Arial" w:cs="Arial" w:eastAsia="Arial" w:hAnsi="Arial"/>
          <w:sz w:val="14"/>
          <w:szCs w:val="14"/>
          <w:color w:val="auto"/>
        </w:rPr>
        <w:t>high. Based on the amounts of their respective discounts and the term between issuance and maturity, the effective interest rates attributable to the 2014 Unit Notes issued in April and May 2015 are in excess of 10,000%.</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40"/>
          </w:cols>
          <w:pgMar w:left="220" w:top="129" w:right="339" w:bottom="1440" w:gutter="0" w:footer="0" w:header="0"/>
        </w:sectPr>
      </w:pPr>
    </w:p>
    <w:bookmarkStart w:id="206" w:name="page207"/>
    <w:bookmarkEnd w:id="206"/>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Senior Secured 10% Convertible Promissory Notes issued to Platinum into Series B Preferred</w:t>
      </w:r>
    </w:p>
    <w:p>
      <w:pPr>
        <w:spacing w:after="0" w:line="201" w:lineRule="exact"/>
        <w:rPr>
          <w:sz w:val="20"/>
          <w:szCs w:val="20"/>
          <w:color w:val="auto"/>
        </w:rPr>
      </w:pPr>
    </w:p>
    <w:p>
      <w:pPr>
        <w:ind w:right="160" w:firstLine="511"/>
        <w:spacing w:after="0" w:line="280" w:lineRule="auto"/>
        <w:rPr>
          <w:sz w:val="20"/>
          <w:szCs w:val="20"/>
          <w:color w:val="auto"/>
        </w:rPr>
      </w:pPr>
      <w:r>
        <w:rPr>
          <w:rFonts w:ascii="Arial" w:cs="Arial" w:eastAsia="Arial" w:hAnsi="Arial"/>
          <w:sz w:val="13"/>
          <w:szCs w:val="13"/>
          <w:color w:val="auto"/>
        </w:rPr>
        <w:t xml:space="preserve">As described more completely in Note 8, </w:t>
      </w:r>
      <w:r>
        <w:rPr>
          <w:rFonts w:ascii="Arial" w:cs="Arial" w:eastAsia="Arial" w:hAnsi="Arial"/>
          <w:sz w:val="13"/>
          <w:szCs w:val="13"/>
          <w:i w:val="1"/>
          <w:iCs w:val="1"/>
          <w:color w:val="auto"/>
        </w:rPr>
        <w:t>Capital Stock</w:t>
      </w:r>
      <w:r>
        <w:rPr>
          <w:rFonts w:ascii="Arial" w:cs="Arial" w:eastAsia="Arial" w:hAnsi="Arial"/>
          <w:sz w:val="13"/>
          <w:szCs w:val="13"/>
          <w:color w:val="auto"/>
        </w:rPr>
        <w:t>, effective on May 12, 2015, we entered in to a broad strategic agreement with Platinum (</w:t>
      </w:r>
      <w:r>
        <w:rPr>
          <w:rFonts w:ascii="Arial" w:cs="Arial" w:eastAsia="Arial" w:hAnsi="Arial"/>
          <w:sz w:val="13"/>
          <w:szCs w:val="13"/>
          <w:i w:val="1"/>
          <w:iCs w:val="1"/>
          <w:color w:val="auto"/>
        </w:rPr>
        <w:t>Platinum Agreement</w:t>
      </w:r>
      <w:r>
        <w:rPr>
          <w:rFonts w:ascii="Arial" w:cs="Arial" w:eastAsia="Arial" w:hAnsi="Arial"/>
          <w:sz w:val="13"/>
          <w:szCs w:val="13"/>
          <w:color w:val="auto"/>
        </w:rPr>
        <w:t>) pursuant to which Platinum, among other things, converted all of the $4,489,300 outstanding balance (principal and accrued interest) of the Senior Secured Notes having maturity dates between October 2015 and July 2016 into 641,335 shares of our Series B Preferred. We determined that the conversion of the Senior Secured Notes into Series B Preferred should be accounted for as an extinguishment of debt. Considering the exchangeability of the Series B Preferred into our common stock, the 10% in-kind dividend applicable to the Series B Preferred prior to such exchange and other factors, we also determined that the fair value of a share of Series B Preferred issued pursuant to the conversions of the Senior Secured Notes was equal to the market value of a share of our common stock on the conversion date. Based on the $10.00 per share fair value of the Series B Preferred at the date the Senior Secured Notes were converted, we issued Series B Preferred having an aggregate fair value of $6,413,300 to Platinum. Accordingly, we recognized a non-cash loss on the extinguishment of debt of $1,924,000 in the quarter ended June 30, 2015, as reflected in the accompanying Condensed Consolidated Statement of Operations and Comprehensive Loss.</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2014 Unit Notes into Series B Preferred</w:t>
      </w:r>
    </w:p>
    <w:p>
      <w:pPr>
        <w:spacing w:after="0" w:line="201" w:lineRule="exact"/>
        <w:rPr>
          <w:sz w:val="20"/>
          <w:szCs w:val="20"/>
          <w:color w:val="auto"/>
        </w:rPr>
      </w:pPr>
    </w:p>
    <w:p>
      <w:pPr>
        <w:ind w:right="120" w:firstLine="511"/>
        <w:spacing w:after="0" w:line="279" w:lineRule="auto"/>
        <w:rPr>
          <w:sz w:val="20"/>
          <w:szCs w:val="20"/>
          <w:color w:val="auto"/>
        </w:rPr>
      </w:pPr>
      <w:r>
        <w:rPr>
          <w:rFonts w:ascii="Arial" w:cs="Arial" w:eastAsia="Arial" w:hAnsi="Arial"/>
          <w:sz w:val="13"/>
          <w:szCs w:val="13"/>
          <w:color w:val="auto"/>
        </w:rPr>
        <w:t>Pursuant to the Platinum Agreement, Platinum also converted the $1,345,700 outstanding balance of the 2014 Unit Notes originally issued by us to Platinum that had matured on March 31, 2015 (</w:t>
      </w:r>
      <w:r>
        <w:rPr>
          <w:rFonts w:ascii="Arial" w:cs="Arial" w:eastAsia="Arial" w:hAnsi="Arial"/>
          <w:sz w:val="13"/>
          <w:szCs w:val="13"/>
          <w:i w:val="1"/>
          <w:iCs w:val="1"/>
          <w:color w:val="auto"/>
        </w:rPr>
        <w:t>Platinum Unit Notes</w:t>
      </w:r>
      <w:r>
        <w:rPr>
          <w:rFonts w:ascii="Arial" w:cs="Arial" w:eastAsia="Arial" w:hAnsi="Arial"/>
          <w:sz w:val="13"/>
          <w:szCs w:val="13"/>
          <w:color w:val="auto"/>
        </w:rPr>
        <w:t>) into shares of our Series B Preferred. Platinum additionally agreed to acquire and convert into our Series B Preferred other 2014 Unit Notes that had matured on March 31, 2015 originally issued to other investors having an aggregate outstanding balance of $1,487,900 (</w:t>
      </w:r>
      <w:r>
        <w:rPr>
          <w:rFonts w:ascii="Arial" w:cs="Arial" w:eastAsia="Arial" w:hAnsi="Arial"/>
          <w:sz w:val="13"/>
          <w:szCs w:val="13"/>
          <w:i w:val="1"/>
          <w:iCs w:val="1"/>
          <w:color w:val="auto"/>
        </w:rPr>
        <w:t>Acquired Unit Notes</w:t>
      </w:r>
      <w:r>
        <w:rPr>
          <w:rFonts w:ascii="Arial" w:cs="Arial" w:eastAsia="Arial" w:hAnsi="Arial"/>
          <w:sz w:val="13"/>
          <w:szCs w:val="13"/>
          <w:color w:val="auto"/>
        </w:rPr>
        <w:t>). Further, effective May 20, 2015, the holders of other 2014 Unit Notes that had matured on March 31, 2015 or shortly thereafter having an aggregate outstanding balance of $1,831,200 (</w:t>
      </w:r>
      <w:r>
        <w:rPr>
          <w:rFonts w:ascii="Arial" w:cs="Arial" w:eastAsia="Arial" w:hAnsi="Arial"/>
          <w:sz w:val="13"/>
          <w:szCs w:val="13"/>
          <w:i w:val="1"/>
          <w:iCs w:val="1"/>
          <w:color w:val="auto"/>
        </w:rPr>
        <w:t>Investor Unit Notes</w:t>
      </w:r>
      <w:r>
        <w:rPr>
          <w:rFonts w:ascii="Arial" w:cs="Arial" w:eastAsia="Arial" w:hAnsi="Arial"/>
          <w:sz w:val="13"/>
          <w:szCs w:val="13"/>
          <w:color w:val="auto"/>
        </w:rPr>
        <w:t xml:space="preserve">) individually converted such notes into our Series B Preferred. Consequently, the aggregate outstanding balance totaling $4,664,800 of all 2014 Unit Notes, including those issued in April and May 2015, was converted into shares of our Series B Preferred. We determined that the Series B Preferred Unit Offering, as described in Note 8, </w:t>
      </w:r>
      <w:r>
        <w:rPr>
          <w:rFonts w:ascii="Arial" w:cs="Arial" w:eastAsia="Arial" w:hAnsi="Arial"/>
          <w:sz w:val="13"/>
          <w:szCs w:val="13"/>
          <w:i w:val="1"/>
          <w:iCs w:val="1"/>
          <w:color w:val="auto"/>
        </w:rPr>
        <w:t>Capital Stock</w:t>
      </w:r>
      <w:r>
        <w:rPr>
          <w:rFonts w:ascii="Arial" w:cs="Arial" w:eastAsia="Arial" w:hAnsi="Arial"/>
          <w:sz w:val="13"/>
          <w:szCs w:val="13"/>
          <w:color w:val="auto"/>
        </w:rPr>
        <w:t>, would be treated as a Qualified Financing applicable to the 2014 Unit Notes, entitling the 2014 Unit Note holders at the time of conversion to the 25% Qualified Financing conversion premium under the terms of the 2014 Unit Notes. Accordingly, we issued in a self-placed private placement transaction an aggregate of 833,020 shares of our Series B Preferred and warrants to purchase an aggregate of 833,020 shares of our common stock upon the conversion of the outstanding balance of all 2014 Unit Notes, including an aggregate conversion premium of $1,166,200.</w:t>
      </w:r>
    </w:p>
    <w:p>
      <w:pPr>
        <w:spacing w:after="0" w:line="310" w:lineRule="exact"/>
        <w:rPr>
          <w:sz w:val="20"/>
          <w:szCs w:val="20"/>
          <w:color w:val="auto"/>
        </w:rPr>
      </w:pPr>
    </w:p>
    <w:p>
      <w:pPr>
        <w:ind w:right="20" w:firstLine="511"/>
        <w:spacing w:after="0" w:line="283" w:lineRule="auto"/>
        <w:rPr>
          <w:sz w:val="20"/>
          <w:szCs w:val="20"/>
          <w:color w:val="auto"/>
        </w:rPr>
      </w:pPr>
      <w:r>
        <w:rPr>
          <w:rFonts w:ascii="Arial" w:cs="Arial" w:eastAsia="Arial" w:hAnsi="Arial"/>
          <w:sz w:val="13"/>
          <w:szCs w:val="13"/>
          <w:color w:val="auto"/>
        </w:rPr>
        <w:t>We determined that the conversion of the 2014 Unit Notes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2014 Unit Notes was equal to the market value of a share of our common stock on the conversion dates. Based on the $10.00 per share fair value of the Series B Preferred at the date the Platinum Unit Notes and Acquired Unit Notes were converted and the $8.00 per share fair value of the Series B Preferred at the date the Investor Unit Notes were converted, we issued in a self-placed private placement transaction Series B Preferred having an aggregate fair value of $7,676,200 upon the conversions. We valued the warrants issued in connection with the 2014 Unit Note conversions at an aggregate of $5,168,400 using the Black Scholes option pricing model and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Platinum Unit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Notes and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Acquired</w:t>
            </w:r>
          </w:p>
        </w:tc>
        <w:tc>
          <w:tcPr>
            <w:tcW w:w="16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Investor</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1"/>
              </w:rPr>
              <w:t>Unit Notes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Unit Notes</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conversion date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7.00</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5.00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76.5%</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Warrant shares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506,004</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327,016</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per share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6.89</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5.15</w:t>
            </w:r>
          </w:p>
        </w:tc>
      </w:tr>
    </w:tbl>
    <w:p>
      <w:pPr>
        <w:spacing w:after="0" w:line="181" w:lineRule="exact"/>
        <w:rPr>
          <w:sz w:val="20"/>
          <w:szCs w:val="20"/>
          <w:color w:val="auto"/>
        </w:rPr>
      </w:pPr>
    </w:p>
    <w:p>
      <w:pPr>
        <w:jc w:val="both"/>
        <w:ind w:right="60" w:firstLine="511"/>
        <w:spacing w:after="0" w:line="320" w:lineRule="auto"/>
        <w:rPr>
          <w:sz w:val="20"/>
          <w:szCs w:val="20"/>
          <w:color w:val="auto"/>
        </w:rPr>
      </w:pPr>
      <w:r>
        <w:rPr>
          <w:rFonts w:ascii="Arial" w:cs="Arial" w:eastAsia="Arial" w:hAnsi="Arial"/>
          <w:sz w:val="12"/>
          <w:szCs w:val="12"/>
          <w:color w:val="auto"/>
        </w:rPr>
        <w:t>Nearly all of the 2014 Unit Notes contained a beneficial conversion feature at the time they were originally issued. We have accounted for the repurchase of the beneficial conversion feature at the time of the extinguishment and conversion, an aggregate of $2,237,100, as a reduction to the loss on extinguishment of debt in the accompanying Condensed Consolidated Statements of Operations and Comprehensive Loss, with a corresponding reduction to additional paid-in capital. In aggregate, we recognized a non-cash loss on extinguishment of debt attributable to the conversion of the 2014 Unit Notes in the amount of $5,942,700 in the quarter ended June 30, 2015, as reflected in the accompanying Condensed Consolidated Statement of Operations and Comprehensive Loss.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7" w:name="page208"/>
    <w:bookmarkEnd w:id="20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University Health Network into Series B Preferred</w:t>
      </w:r>
    </w:p>
    <w:p>
      <w:pPr>
        <w:spacing w:after="0" w:line="201" w:lineRule="exact"/>
        <w:rPr>
          <w:sz w:val="20"/>
          <w:szCs w:val="20"/>
          <w:color w:val="auto"/>
        </w:rPr>
      </w:pPr>
    </w:p>
    <w:p>
      <w:pPr>
        <w:ind w:right="80" w:firstLine="511"/>
        <w:spacing w:after="0" w:line="281" w:lineRule="auto"/>
        <w:rPr>
          <w:sz w:val="20"/>
          <w:szCs w:val="20"/>
          <w:color w:val="auto"/>
        </w:rPr>
      </w:pPr>
      <w:r>
        <w:rPr>
          <w:rFonts w:ascii="Arial" w:cs="Arial" w:eastAsia="Arial" w:hAnsi="Arial"/>
          <w:sz w:val="13"/>
          <w:szCs w:val="13"/>
          <w:color w:val="auto"/>
        </w:rPr>
        <w:t>On May 29, 2015, University Health Network (</w:t>
      </w:r>
      <w:r>
        <w:rPr>
          <w:rFonts w:ascii="Arial" w:cs="Arial" w:eastAsia="Arial" w:hAnsi="Arial"/>
          <w:sz w:val="13"/>
          <w:szCs w:val="13"/>
          <w:i w:val="1"/>
          <w:iCs w:val="1"/>
          <w:color w:val="auto"/>
        </w:rPr>
        <w:t>UHN</w:t>
      </w:r>
      <w:r>
        <w:rPr>
          <w:rFonts w:ascii="Arial" w:cs="Arial" w:eastAsia="Arial" w:hAnsi="Arial"/>
          <w:sz w:val="13"/>
          <w:szCs w:val="13"/>
          <w:color w:val="auto"/>
        </w:rPr>
        <w:t>) converted the entire $656,400 outstanding balance (principal and accrued interest) of our promissory note maturing on March 31, 2016 into 93,775 shares of our Series B Preferred. We determined that the conversion of the UHN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UHN note was equal to the market value of a share of our common stock on the conversion date. Based on the $10.00 per share fair value of the Series B Preferred at the date the UHN note was converted, we issued Series B Preferred having an aggregate fair value of $937,800 to UHN. After eliminating the remaining $27,500 of unamortized discount on the UHN note, we recognized a non-cash loss on the extinguishment of debt attributable to the conversion of the UHN Note of $308,900 in the quarter ended June 30, 2015, as reflected in the accompanying Condensed Consolidated Statement of Operations and Comprehensive Loss.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Notes and Accounts Payable issued to Cato Holding Company (CHC) and Cato Research Ltd. (CRL) into Series B Preferred</w:t>
      </w:r>
    </w:p>
    <w:p>
      <w:pPr>
        <w:spacing w:after="0" w:line="201" w:lineRule="exact"/>
        <w:rPr>
          <w:sz w:val="20"/>
          <w:szCs w:val="20"/>
          <w:color w:val="auto"/>
        </w:rPr>
      </w:pPr>
    </w:p>
    <w:p>
      <w:pPr>
        <w:ind w:right="80" w:firstLine="511"/>
        <w:spacing w:after="0" w:line="279" w:lineRule="auto"/>
        <w:rPr>
          <w:sz w:val="20"/>
          <w:szCs w:val="20"/>
          <w:color w:val="auto"/>
        </w:rPr>
      </w:pPr>
      <w:r>
        <w:rPr>
          <w:rFonts w:ascii="Arial" w:cs="Arial" w:eastAsia="Arial" w:hAnsi="Arial"/>
          <w:sz w:val="13"/>
          <w:szCs w:val="13"/>
          <w:color w:val="auto"/>
        </w:rPr>
        <w:t xml:space="preserve">On June 10, 2015, CHC, the parent company of CRL and a related party, converted the entire aggregate outstanding balance (principal and accrued interest) of $1,583,000 of our outstanding promissory notes issued to CHC and CRL and maturing on March 31, 2016 (together, the </w:t>
      </w:r>
      <w:r>
        <w:rPr>
          <w:rFonts w:ascii="Arial" w:cs="Arial" w:eastAsia="Arial" w:hAnsi="Arial"/>
          <w:sz w:val="13"/>
          <w:szCs w:val="13"/>
          <w:i w:val="1"/>
          <w:iCs w:val="1"/>
          <w:color w:val="auto"/>
        </w:rPr>
        <w:t>Cato Notes</w:t>
      </w:r>
      <w:r>
        <w:rPr>
          <w:rFonts w:ascii="Arial" w:cs="Arial" w:eastAsia="Arial" w:hAnsi="Arial"/>
          <w:sz w:val="13"/>
          <w:szCs w:val="13"/>
          <w:color w:val="auto"/>
        </w:rPr>
        <w:t>), plus an additional $171,300 of past due accounts payable to CRL and a strategic adjustment thereto (</w:t>
      </w:r>
      <w:r>
        <w:rPr>
          <w:rFonts w:ascii="Arial" w:cs="Arial" w:eastAsia="Arial" w:hAnsi="Arial"/>
          <w:sz w:val="13"/>
          <w:szCs w:val="13"/>
          <w:i w:val="1"/>
          <w:iCs w:val="1"/>
          <w:color w:val="auto"/>
        </w:rPr>
        <w:t>CRL Payables</w:t>
      </w:r>
      <w:r>
        <w:rPr>
          <w:rFonts w:ascii="Arial" w:cs="Arial" w:eastAsia="Arial" w:hAnsi="Arial"/>
          <w:sz w:val="13"/>
          <w:szCs w:val="13"/>
          <w:color w:val="auto"/>
        </w:rPr>
        <w:t>) into a total of 328,571 shares of our Series B Preferred. We determined that the conversion of the Cato Notes and the CRL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Cato Notes and CRL Payables was equal to the market value of a share of our common stock on the conversion date. Based on the $10.00 per share fair value of the Series B Preferred at the date the Cato Notes and CRL Payables were converted, we issued Series B Preferred having an aggregate fair value of $3,285,700 to CHC. As additional consideration for the conversion of the Cato Notes and the CRL Payables, we amended certain outstanding warrants held by CHC and CRL to purchase 12,500 and 60,691 restricted shares of our common stock, respectively, to reduce the exercise price thereof from $30.00 and $20.00 per share, respectively, to $7.00 per share. We calculated the fair value of the warrants immediately before and after the modifications and determined that the fair value of the warrants increased by $222,700. The warrants subject to the exercise price modifications were valued using the Black-Scholes Option Pricing Model and the following assumptions: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8"/>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20.00 and $30.00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0.87%</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2.31</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73.9%</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73.9%</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$ 2.44 and $1.57</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5.33</w:t>
            </w:r>
          </w:p>
        </w:tc>
      </w:tr>
    </w:tbl>
    <w:p>
      <w:pPr>
        <w:spacing w:after="0" w:line="167" w:lineRule="exact"/>
        <w:rPr>
          <w:sz w:val="20"/>
          <w:szCs w:val="20"/>
          <w:color w:val="auto"/>
        </w:rPr>
      </w:pPr>
    </w:p>
    <w:p>
      <w:pPr>
        <w:ind w:right="140" w:firstLine="511"/>
        <w:spacing w:after="0" w:line="370" w:lineRule="auto"/>
        <w:rPr>
          <w:sz w:val="20"/>
          <w:szCs w:val="20"/>
          <w:color w:val="auto"/>
        </w:rPr>
      </w:pPr>
      <w:r>
        <w:rPr>
          <w:rFonts w:ascii="Arial" w:cs="Arial" w:eastAsia="Arial" w:hAnsi="Arial"/>
          <w:sz w:val="12"/>
          <w:szCs w:val="12"/>
          <w:color w:val="auto"/>
        </w:rPr>
        <w:t>After eliminating the remaining unamortized discount of $46,000 attributable to the Cato Notes, we recognized a non-cash loss on the extinguishment of debt attributable to the conversion of the Cato Notes and CRL Payables of $1,800,100 in the quarter ended June 30, 2015, as reflected in the accompanying Condensed Consolidated Statement of Operations and Comprehensive Loss.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8" w:name="page209"/>
    <w:bookmarkEnd w:id="20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B issued to Morrison &amp; Foerster into Series B Preferred</w:t>
      </w:r>
    </w:p>
    <w:p>
      <w:pPr>
        <w:spacing w:after="0" w:line="201" w:lineRule="exact"/>
        <w:rPr>
          <w:sz w:val="20"/>
          <w:szCs w:val="20"/>
          <w:color w:val="auto"/>
        </w:rPr>
      </w:pPr>
    </w:p>
    <w:p>
      <w:pPr>
        <w:ind w:right="80" w:firstLine="511"/>
        <w:spacing w:after="0" w:line="279" w:lineRule="auto"/>
        <w:rPr>
          <w:sz w:val="20"/>
          <w:szCs w:val="20"/>
          <w:color w:val="auto"/>
        </w:rPr>
      </w:pPr>
      <w:r>
        <w:rPr>
          <w:rFonts w:ascii="Arial" w:cs="Arial" w:eastAsia="Arial" w:hAnsi="Arial"/>
          <w:sz w:val="13"/>
          <w:szCs w:val="13"/>
          <w:color w:val="auto"/>
        </w:rPr>
        <w:t>On June 12, 2015, Morrison &amp; Foerster (</w:t>
      </w:r>
      <w:r>
        <w:rPr>
          <w:rFonts w:ascii="Arial" w:cs="Arial" w:eastAsia="Arial" w:hAnsi="Arial"/>
          <w:sz w:val="13"/>
          <w:szCs w:val="13"/>
          <w:i w:val="1"/>
          <w:iCs w:val="1"/>
          <w:color w:val="auto"/>
        </w:rPr>
        <w:t>M&amp;F</w:t>
      </w:r>
      <w:r>
        <w:rPr>
          <w:rFonts w:ascii="Arial" w:cs="Arial" w:eastAsia="Arial" w:hAnsi="Arial"/>
          <w:sz w:val="13"/>
          <w:szCs w:val="13"/>
          <w:color w:val="auto"/>
        </w:rPr>
        <w:t>) converted the entire aggregate outstanding balance (principal and accrued interest) of $1,735,500 of our August 2012 promissory Note B maturing on March 31, 2016 (</w:t>
      </w:r>
      <w:r>
        <w:rPr>
          <w:rFonts w:ascii="Arial" w:cs="Arial" w:eastAsia="Arial" w:hAnsi="Arial"/>
          <w:sz w:val="13"/>
          <w:szCs w:val="13"/>
          <w:i w:val="1"/>
          <w:iCs w:val="1"/>
          <w:color w:val="auto"/>
        </w:rPr>
        <w:t>M&amp;F Note B</w:t>
      </w:r>
      <w:r>
        <w:rPr>
          <w:rFonts w:ascii="Arial" w:cs="Arial" w:eastAsia="Arial" w:hAnsi="Arial"/>
          <w:sz w:val="13"/>
          <w:szCs w:val="13"/>
          <w:color w:val="auto"/>
        </w:rPr>
        <w:t>), plus an agreed strategic adjustment thereto into a total of 257,143 shares of our Series B Preferred. We determined that the conversion of M&amp;F Note B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M&amp;F Note B was equal to the market value of a share of our common stock on the conversion date. Based on the $10.00 per share fair value of the Series B Preferred at the date M&amp;F Note B was converted, we issued Series B Preferred having an aggregate fair value of $2,571,400 to M&amp;F. As additional consideration for the conversion of M&amp;F Note B, we amended two outstanding warrants held by M&amp;F to purchase an aggregate of 110,448 restricted shares of our common stock to reduce the exercise price of one of the warrants from $40.00 per share to $20.00 per share and to extend the term of both warrants from September 15, 2017 to September 15, 2019. We calculated the fair value of the warrants immediately before and after the modifications and determined that the fair value of the warrants increased by $244,200. The warrants subject to the exercise price and term modifications were valued using the Black-Scholes Option Pricing Model and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8"/>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20.00 and $40.00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0.86%</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2.27</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4.27</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73.8%</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$ 2.39 and $1.04</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4.35</w:t>
            </w:r>
          </w:p>
        </w:tc>
      </w:tr>
    </w:tbl>
    <w:p>
      <w:pPr>
        <w:spacing w:after="0" w:line="167" w:lineRule="exact"/>
        <w:rPr>
          <w:sz w:val="20"/>
          <w:szCs w:val="20"/>
          <w:color w:val="auto"/>
        </w:rPr>
      </w:pPr>
    </w:p>
    <w:p>
      <w:pPr>
        <w:ind w:right="160" w:firstLine="511"/>
        <w:spacing w:after="0" w:line="323" w:lineRule="auto"/>
        <w:rPr>
          <w:sz w:val="20"/>
          <w:szCs w:val="20"/>
          <w:color w:val="auto"/>
        </w:rPr>
      </w:pPr>
      <w:r>
        <w:rPr>
          <w:rFonts w:ascii="Arial" w:cs="Arial" w:eastAsia="Arial" w:hAnsi="Arial"/>
          <w:sz w:val="13"/>
          <w:szCs w:val="13"/>
          <w:color w:val="auto"/>
        </w:rPr>
        <w:t>After eliminating the remaining unamortized discount of $225,500 attributable to M&amp;F Note B, we recognized a non-cash loss on the extinguishment of debt attributable to the conversion of M&amp;F Note B of $1,305,600 in the quarter ended June 30, 2015, as reflected in the accompanying Condensed Consolidated Statement of Operations and Comprehensive Loss.</w:t>
      </w:r>
    </w:p>
    <w:p>
      <w:pPr>
        <w:spacing w:after="0" w:line="130" w:lineRule="exact"/>
        <w:rPr>
          <w:sz w:val="20"/>
          <w:szCs w:val="20"/>
          <w:color w:val="auto"/>
        </w:rPr>
      </w:pPr>
    </w:p>
    <w:p>
      <w:pPr>
        <w:ind w:right="40" w:firstLine="511"/>
        <w:spacing w:after="0" w:line="333" w:lineRule="auto"/>
        <w:rPr>
          <w:sz w:val="20"/>
          <w:szCs w:val="20"/>
          <w:color w:val="auto"/>
        </w:rPr>
      </w:pPr>
      <w:r>
        <w:rPr>
          <w:rFonts w:ascii="Arial" w:cs="Arial" w:eastAsia="Arial" w:hAnsi="Arial"/>
          <w:sz w:val="12"/>
          <w:szCs w:val="12"/>
          <w:color w:val="auto"/>
        </w:rPr>
        <w:t>In addition to its agreement to convert M&amp;F Note B into Series B Preferred, M&amp;F also agreed to withhold, through the later of (i) December 31, 2016 or (ii) our consummation of a registered public offering or a strategic transaction involving AV-101 in which, in either case, we received gross proceeds of at least $20.0 million, any and all action to collect amounts due under our August 2012 promissory Note A maturing on March 31, 2016 (</w:t>
      </w:r>
      <w:r>
        <w:rPr>
          <w:rFonts w:ascii="Arial" w:cs="Arial" w:eastAsia="Arial" w:hAnsi="Arial"/>
          <w:sz w:val="12"/>
          <w:szCs w:val="12"/>
          <w:i w:val="1"/>
          <w:iCs w:val="1"/>
          <w:color w:val="auto"/>
        </w:rPr>
        <w:t>M&amp;F Note A</w:t>
      </w:r>
      <w:r>
        <w:rPr>
          <w:rFonts w:ascii="Arial" w:cs="Arial" w:eastAsia="Arial" w:hAnsi="Arial"/>
          <w:sz w:val="12"/>
          <w:szCs w:val="12"/>
          <w:color w:val="auto"/>
        </w:rPr>
        <w:t>) and all past due amounts owed by us to M&amp;F in connection with professional services previously rendered by M&amp;F (</w:t>
      </w:r>
      <w:r>
        <w:rPr>
          <w:rFonts w:ascii="Arial" w:cs="Arial" w:eastAsia="Arial" w:hAnsi="Arial"/>
          <w:sz w:val="12"/>
          <w:szCs w:val="12"/>
          <w:i w:val="1"/>
          <w:iCs w:val="1"/>
          <w:color w:val="auto"/>
        </w:rPr>
        <w:t>M&amp;F Payables</w:t>
      </w:r>
      <w:r>
        <w:rPr>
          <w:rFonts w:ascii="Arial" w:cs="Arial" w:eastAsia="Arial" w:hAnsi="Arial"/>
          <w:sz w:val="12"/>
          <w:szCs w:val="12"/>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Morrison &amp; Foerster Note A and Morrison &amp; Foerster Payables into Series B Preferred</w:t>
      </w:r>
    </w:p>
    <w:p>
      <w:pPr>
        <w:spacing w:after="0" w:line="201" w:lineRule="exact"/>
        <w:rPr>
          <w:sz w:val="20"/>
          <w:szCs w:val="20"/>
          <w:color w:val="auto"/>
        </w:rPr>
      </w:pPr>
    </w:p>
    <w:p>
      <w:pPr>
        <w:ind w:firstLine="511"/>
        <w:spacing w:after="0" w:line="257" w:lineRule="auto"/>
        <w:rPr>
          <w:sz w:val="20"/>
          <w:szCs w:val="20"/>
          <w:color w:val="auto"/>
        </w:rPr>
      </w:pPr>
      <w:r>
        <w:rPr>
          <w:rFonts w:ascii="Arial" w:cs="Arial" w:eastAsia="Arial" w:hAnsi="Arial"/>
          <w:sz w:val="14"/>
          <w:szCs w:val="14"/>
          <w:color w:val="auto"/>
        </w:rPr>
        <w:t xml:space="preserve">In a transaction to which we were not a party, M&amp;F sold M&amp;F Note A, which, at the time of the sale, had an outstanding balance (principal and accrued interest) of $1,149,000, as well as the M&amp;F Payables in the amount of $165,100, to two third-party accredited investors (the </w:t>
      </w:r>
      <w:r>
        <w:rPr>
          <w:rFonts w:ascii="Arial" w:cs="Arial" w:eastAsia="Arial" w:hAnsi="Arial"/>
          <w:sz w:val="14"/>
          <w:szCs w:val="14"/>
          <w:i w:val="1"/>
          <w:iCs w:val="1"/>
          <w:color w:val="auto"/>
        </w:rPr>
        <w:t>M&amp;F Note A Investors</w:t>
      </w:r>
      <w:r>
        <w:rPr>
          <w:rFonts w:ascii="Arial" w:cs="Arial" w:eastAsia="Arial" w:hAnsi="Arial"/>
          <w:sz w:val="14"/>
          <w:szCs w:val="14"/>
          <w:color w:val="auto"/>
        </w:rPr>
        <w:t>). On August 10, 2015, the M&amp;F Note A Investors converted M&amp;F Note A and the M&amp;F Payables into 192,628 shares of our Series B Preferred. We determined that the conversion of M&amp;F Note A and the M&amp;F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M&amp;F Note A and M&amp;F Payables was equal to the market value of a share of our common stock on the conversion date. Based on the $12.25 per share fair value of the Series B Preferred at the date M&amp;F Note A and the M&amp;F Payables were converted, we issued Series B Preferred having an aggregate fair value of $2,359,700 to the M&amp;F Note A Investors. After eliminating the remaining unamortized discount of $122,400 attributable to M&amp;F Note A, we recognized a non-cash loss on extinguishment of debt attributable to the conversion of M&amp;F Note A and the M&amp;F Payables of $1,168,000 in the quarter ended September 30, 2015, as reflected in the accompanying Condensed Consolidated Statement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McCarthy Tetrault into Series B Preferred</w:t>
      </w:r>
    </w:p>
    <w:p>
      <w:pPr>
        <w:spacing w:after="0" w:line="201" w:lineRule="exact"/>
        <w:rPr>
          <w:sz w:val="20"/>
          <w:szCs w:val="20"/>
          <w:color w:val="auto"/>
        </w:rPr>
      </w:pPr>
    </w:p>
    <w:p>
      <w:pPr>
        <w:ind w:right="40" w:firstLine="511"/>
        <w:spacing w:after="0" w:line="281" w:lineRule="auto"/>
        <w:rPr>
          <w:sz w:val="20"/>
          <w:szCs w:val="20"/>
          <w:color w:val="auto"/>
        </w:rPr>
      </w:pPr>
      <w:r>
        <w:rPr>
          <w:rFonts w:ascii="Arial" w:cs="Arial" w:eastAsia="Arial" w:hAnsi="Arial"/>
          <w:sz w:val="13"/>
          <w:szCs w:val="13"/>
          <w:color w:val="auto"/>
        </w:rPr>
        <w:t>On June 18, 2015, McCarthy Tetrault (</w:t>
      </w:r>
      <w:r>
        <w:rPr>
          <w:rFonts w:ascii="Arial" w:cs="Arial" w:eastAsia="Arial" w:hAnsi="Arial"/>
          <w:sz w:val="13"/>
          <w:szCs w:val="13"/>
          <w:i w:val="1"/>
          <w:iCs w:val="1"/>
          <w:color w:val="auto"/>
        </w:rPr>
        <w:t>McCarthy</w:t>
      </w:r>
      <w:r>
        <w:rPr>
          <w:rFonts w:ascii="Arial" w:cs="Arial" w:eastAsia="Arial" w:hAnsi="Arial"/>
          <w:sz w:val="13"/>
          <w:szCs w:val="13"/>
          <w:color w:val="auto"/>
        </w:rPr>
        <w:t xml:space="preserve">) converted the entire $379,600 outstanding balance (principal and accrued interest) of our past due promissory note issued in May 2011, plus an additional $2,100 of past due accounts payable (together, the </w:t>
      </w:r>
      <w:r>
        <w:rPr>
          <w:rFonts w:ascii="Arial" w:cs="Arial" w:eastAsia="Arial" w:hAnsi="Arial"/>
          <w:sz w:val="13"/>
          <w:szCs w:val="13"/>
          <w:i w:val="1"/>
          <w:iCs w:val="1"/>
          <w:color w:val="auto"/>
        </w:rPr>
        <w:t>McCarthy Note</w:t>
      </w:r>
      <w:r>
        <w:rPr>
          <w:rFonts w:ascii="Arial" w:cs="Arial" w:eastAsia="Arial" w:hAnsi="Arial"/>
          <w:sz w:val="13"/>
          <w:szCs w:val="13"/>
          <w:color w:val="auto"/>
        </w:rPr>
        <w:t>), into 59,230 shares of our Series B Preferred. We determined that the conversion of the McCarthy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McCarthy Note was equal to the market value of a share of our common stock on the McCarthy Note conversion date. Based on the $14.00 per share fair value of the Series B Preferred at the date the McCarthy Note was converted, we issued Series B Preferred having an aggregate fair value of $829,200 to McCarthy. Accordingly, we recognized a non-cash loss on extinguishment of debt attributable to the conversion of the McCarthy Note of $447,500 in the quarter ended June 30, 2015 in the accompanying Condensed Consolidated Statement of Operations and Comprehensive Loss.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09" w:name="page210"/>
    <w:bookmarkEnd w:id="20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Burr Pilger &amp; Mayer into Series B Preferred</w:t>
      </w:r>
    </w:p>
    <w:p>
      <w:pPr>
        <w:spacing w:after="0" w:line="201" w:lineRule="exact"/>
        <w:rPr>
          <w:sz w:val="20"/>
          <w:szCs w:val="20"/>
          <w:color w:val="auto"/>
        </w:rPr>
      </w:pPr>
    </w:p>
    <w:p>
      <w:pPr>
        <w:ind w:right="60" w:firstLine="511"/>
        <w:spacing w:after="0" w:line="281" w:lineRule="auto"/>
        <w:rPr>
          <w:sz w:val="20"/>
          <w:szCs w:val="20"/>
          <w:color w:val="auto"/>
        </w:rPr>
      </w:pPr>
      <w:r>
        <w:rPr>
          <w:rFonts w:ascii="Arial" w:cs="Arial" w:eastAsia="Arial" w:hAnsi="Arial"/>
          <w:sz w:val="13"/>
          <w:szCs w:val="13"/>
          <w:color w:val="auto"/>
        </w:rPr>
        <w:t>On June 24, 2015, Burr Pilger &amp; Mayer (</w:t>
      </w:r>
      <w:r>
        <w:rPr>
          <w:rFonts w:ascii="Arial" w:cs="Arial" w:eastAsia="Arial" w:hAnsi="Arial"/>
          <w:sz w:val="13"/>
          <w:szCs w:val="13"/>
          <w:i w:val="1"/>
          <w:iCs w:val="1"/>
          <w:color w:val="auto"/>
        </w:rPr>
        <w:t>Burr</w:t>
      </w:r>
      <w:r>
        <w:rPr>
          <w:rFonts w:ascii="Arial" w:cs="Arial" w:eastAsia="Arial" w:hAnsi="Arial"/>
          <w:sz w:val="13"/>
          <w:szCs w:val="13"/>
          <w:color w:val="auto"/>
        </w:rPr>
        <w:t xml:space="preserve">) converted the entire $105,200 outstanding balance (principal and accrued interest) of our past due promissory note issued in May 2011, plus an additional $17,900 of past due accounts payable (together, the </w:t>
      </w:r>
      <w:r>
        <w:rPr>
          <w:rFonts w:ascii="Arial" w:cs="Arial" w:eastAsia="Arial" w:hAnsi="Arial"/>
          <w:sz w:val="13"/>
          <w:szCs w:val="13"/>
          <w:i w:val="1"/>
          <w:iCs w:val="1"/>
          <w:color w:val="auto"/>
        </w:rPr>
        <w:t>Burr Note</w:t>
      </w:r>
      <w:r>
        <w:rPr>
          <w:rFonts w:ascii="Arial" w:cs="Arial" w:eastAsia="Arial" w:hAnsi="Arial"/>
          <w:sz w:val="13"/>
          <w:szCs w:val="13"/>
          <w:color w:val="auto"/>
        </w:rPr>
        <w:t>), into 21,429 shares of our Series B Preferred. We determined that the conversion of the Burr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Burr Note was equal to the market value of a share of our common stock on the note conversion date. Based on the $16.50 per share fair value of the Series B Preferred at the date the Burr Note was converted, we issued Series B Preferred having an aggregate fair value of $353,600 to Burr. Accordiungly, we recognized a non-cash loss on the extinguishment of debt attributable to the conversion of the Burr Note of $230,500 in the quarter ended June 30, 2015, as reflected in the accompanying Condensed Consolidated Statement of Operations and Comprehensive Loss.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and Accounts Payable Issued to Icahn School of Medicine at Mount Sinai into Series B Preferred</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On June 26, 2015, Icahn School of Medicine at Mount Sinai (</w:t>
      </w:r>
      <w:r>
        <w:rPr>
          <w:rFonts w:ascii="Arial" w:cs="Arial" w:eastAsia="Arial" w:hAnsi="Arial"/>
          <w:sz w:val="12"/>
          <w:szCs w:val="12"/>
          <w:i w:val="1"/>
          <w:iCs w:val="1"/>
          <w:color w:val="auto"/>
        </w:rPr>
        <w:t>ISMMS</w:t>
      </w:r>
      <w:r>
        <w:rPr>
          <w:rFonts w:ascii="Arial" w:cs="Arial" w:eastAsia="Arial" w:hAnsi="Arial"/>
          <w:sz w:val="12"/>
          <w:szCs w:val="12"/>
          <w:color w:val="auto"/>
        </w:rPr>
        <w:t>) converted the entire $270,400 outstanding balance (principal and accrued interest) of our past due April 2014 promissory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note into a total of 40,000 shares of our Series B Preferred. We determined that the conversion of the ISMMS note into Series B Preferred should be accounted for as an extinguishment of debt.</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Considering the exchangeability of the Series B Preferred into our common stock, the dividend applicable to the Series B Preferred prior to such exchange and other factors, we also determined that the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fair value of a share of Series B Preferred issued pursuant to the conversion of the ISMMS note was equal to the market value of a share of our common stock on the conversion date. Based on the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$16.00 per share fair value of the Series B Preferred at the date the note was converted, we issued Series B Preferred having an aggregate fair value of $640,000 to ISMMS. As additional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for the conversion of the ISMMS note, we amended an outstanding warrant held by ISMMS to purchase 15,000 restricted shares of our common stock to reduce the exercise price from $10.00 per share</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to $7.00 per share. We calculated the fair value of the warrant immediately before and after the modification and determined that the fair value of the warrant increased by $16,600. The warrant subject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to the exercise price modification was valued using the Black-Scholes Option Pricing Model and the following assumptions: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6"/>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 at modification date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4"/>
                <w:szCs w:val="14"/>
                <w:color w:val="auto"/>
              </w:rPr>
            </w:pP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3.76</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3.76</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76.3%</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76.3%</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Weighted Average Fair Value per share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10.48</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11.60</w:t>
            </w:r>
          </w:p>
        </w:tc>
        <w:tc>
          <w:tcPr>
            <w:tcW w:w="120" w:type="dxa"/>
            <w:vAlign w:val="bottom"/>
          </w:tcPr>
          <w:p>
            <w:pPr>
              <w:spacing w:after="0"/>
              <w:rPr>
                <w:sz w:val="16"/>
                <w:szCs w:val="16"/>
                <w:color w:val="auto"/>
              </w:rPr>
            </w:pPr>
          </w:p>
        </w:tc>
      </w:tr>
    </w:tbl>
    <w:p>
      <w:pPr>
        <w:spacing w:after="0" w:line="167" w:lineRule="exact"/>
        <w:rPr>
          <w:sz w:val="20"/>
          <w:szCs w:val="20"/>
          <w:color w:val="auto"/>
        </w:rPr>
      </w:pPr>
    </w:p>
    <w:p>
      <w:pPr>
        <w:ind w:right="460" w:firstLine="511"/>
        <w:spacing w:after="0" w:line="283" w:lineRule="auto"/>
        <w:rPr>
          <w:sz w:val="20"/>
          <w:szCs w:val="20"/>
          <w:color w:val="auto"/>
        </w:rPr>
      </w:pPr>
      <w:r>
        <w:rPr>
          <w:rFonts w:ascii="Arial" w:cs="Arial" w:eastAsia="Arial" w:hAnsi="Arial"/>
          <w:sz w:val="14"/>
          <w:szCs w:val="14"/>
          <w:color w:val="auto"/>
        </w:rPr>
        <w:t>We recognized a non-cash loss on extinguishment of debt attributable to the conversion of ISMMS note of $386,200 in the quarter ended June 30, 2015 in the accompanying Condensed Consolidated Statement of Operations and Comprehensive Loss.</w:t>
      </w:r>
    </w:p>
    <w:p>
      <w:pPr>
        <w:spacing w:after="0" w:line="153" w:lineRule="exact"/>
        <w:rPr>
          <w:sz w:val="20"/>
          <w:szCs w:val="20"/>
          <w:color w:val="auto"/>
        </w:rPr>
      </w:pPr>
    </w:p>
    <w:p>
      <w:pPr>
        <w:ind w:right="160" w:firstLine="511"/>
        <w:spacing w:after="0" w:line="261" w:lineRule="auto"/>
        <w:rPr>
          <w:sz w:val="20"/>
          <w:szCs w:val="20"/>
          <w:color w:val="auto"/>
        </w:rPr>
      </w:pPr>
      <w:r>
        <w:rPr>
          <w:rFonts w:ascii="Arial" w:cs="Arial" w:eastAsia="Arial" w:hAnsi="Arial"/>
          <w:sz w:val="14"/>
          <w:szCs w:val="14"/>
          <w:color w:val="auto"/>
        </w:rPr>
        <w:t>On July 13, 2015, ISMMS also converted accounts payable in the amount of $19,100 (</w:t>
      </w:r>
      <w:r>
        <w:rPr>
          <w:rFonts w:ascii="Arial" w:cs="Arial" w:eastAsia="Arial" w:hAnsi="Arial"/>
          <w:sz w:val="14"/>
          <w:szCs w:val="14"/>
          <w:i w:val="1"/>
          <w:iCs w:val="1"/>
          <w:color w:val="auto"/>
        </w:rPr>
        <w:t>ISMMS Payables</w:t>
      </w:r>
      <w:r>
        <w:rPr>
          <w:rFonts w:ascii="Arial" w:cs="Arial" w:eastAsia="Arial" w:hAnsi="Arial"/>
          <w:sz w:val="14"/>
          <w:szCs w:val="14"/>
          <w:color w:val="auto"/>
        </w:rPr>
        <w:t>) into an additional 3,000 shares of our Series B Preferred. We determined that the conversion of the ISMMS Payables into Series B Preferred should also be accounted for as an extinguishment of debt. Based on the $12.00 per share fair value of the Series B Preferred at the date the ISMMS Payables were converted, we issued Series B Preferred having an aggregate fair value of $36,000 to ISMMS. Accordingly, we recognized a non-cash loss on the extinguishment of debt attributable to the conversion of the ISMMS Payables of $16,900 in the quarter ended September 30, 2015 in the accompanying Condensed Consolidated Statement of Operations and Comprehensive Loss.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National Jewish Health into Series B Preferred</w:t>
      </w:r>
    </w:p>
    <w:p>
      <w:pPr>
        <w:spacing w:after="0" w:line="201" w:lineRule="exact"/>
        <w:rPr>
          <w:sz w:val="20"/>
          <w:szCs w:val="20"/>
          <w:color w:val="auto"/>
        </w:rPr>
      </w:pPr>
    </w:p>
    <w:p>
      <w:pPr>
        <w:ind w:firstLine="511"/>
        <w:spacing w:after="0" w:line="258" w:lineRule="auto"/>
        <w:rPr>
          <w:sz w:val="20"/>
          <w:szCs w:val="20"/>
          <w:color w:val="auto"/>
        </w:rPr>
      </w:pPr>
      <w:r>
        <w:rPr>
          <w:rFonts w:ascii="Arial" w:cs="Arial" w:eastAsia="Arial" w:hAnsi="Arial"/>
          <w:sz w:val="14"/>
          <w:szCs w:val="14"/>
          <w:color w:val="auto"/>
        </w:rPr>
        <w:t>On June 29, 2015, National Jewish Health (</w:t>
      </w:r>
      <w:r>
        <w:rPr>
          <w:rFonts w:ascii="Arial" w:cs="Arial" w:eastAsia="Arial" w:hAnsi="Arial"/>
          <w:sz w:val="14"/>
          <w:szCs w:val="14"/>
          <w:i w:val="1"/>
          <w:iCs w:val="1"/>
          <w:color w:val="auto"/>
        </w:rPr>
        <w:t>NJH</w:t>
      </w:r>
      <w:r>
        <w:rPr>
          <w:rFonts w:ascii="Arial" w:cs="Arial" w:eastAsia="Arial" w:hAnsi="Arial"/>
          <w:sz w:val="14"/>
          <w:szCs w:val="14"/>
          <w:color w:val="auto"/>
        </w:rPr>
        <w:t>) converted the entire $115,000 outstanding balance (principal and accrued interest) of our past due promissory note into 17,857 shares of our Series B Preferred. We determined that the conversion of the NJH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NJH note was equal to the market value of a share of our common stock on the conversion date. Based on the $15.00 per share fair value of the Series B Preferred at the date the NJH note was converted, we issued Series B Preferred having an aggregate fair value of $267,900 to NJH. Accordingly, we recognized a non-cash loss on the extinguishment of debt attributable to the conversion of the NJH note of $152,900 in the quarter ended June 30, 2015, as reflected in the accompanying Condensed Consolidated Statement of Operations and Comprehensive Loss.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0" w:name="page211"/>
    <w:bookmarkEnd w:id="21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issued to Desjardins Securities into Series B Preferred</w:t>
      </w:r>
    </w:p>
    <w:p>
      <w:pPr>
        <w:spacing w:after="0" w:line="201" w:lineRule="exact"/>
        <w:rPr>
          <w:sz w:val="20"/>
          <w:szCs w:val="20"/>
          <w:color w:val="auto"/>
        </w:rPr>
      </w:pPr>
    </w:p>
    <w:p>
      <w:pPr>
        <w:ind w:right="20" w:firstLine="511"/>
        <w:spacing w:after="0" w:line="258" w:lineRule="auto"/>
        <w:rPr>
          <w:sz w:val="20"/>
          <w:szCs w:val="20"/>
          <w:color w:val="auto"/>
        </w:rPr>
      </w:pPr>
      <w:r>
        <w:rPr>
          <w:rFonts w:ascii="Arial" w:cs="Arial" w:eastAsia="Arial" w:hAnsi="Arial"/>
          <w:sz w:val="14"/>
          <w:szCs w:val="14"/>
          <w:color w:val="auto"/>
        </w:rPr>
        <w:t xml:space="preserve">On July 2, 2015, Desjardins Securities </w:t>
      </w:r>
      <w:r>
        <w:rPr>
          <w:rFonts w:ascii="Arial" w:cs="Arial" w:eastAsia="Arial" w:hAnsi="Arial"/>
          <w:sz w:val="14"/>
          <w:szCs w:val="14"/>
          <w:i w:val="1"/>
          <w:iCs w:val="1"/>
          <w:color w:val="auto"/>
        </w:rPr>
        <w:t>(Desjardins</w:t>
      </w:r>
      <w:r>
        <w:rPr>
          <w:rFonts w:ascii="Arial" w:cs="Arial" w:eastAsia="Arial" w:hAnsi="Arial"/>
          <w:sz w:val="14"/>
          <w:szCs w:val="14"/>
          <w:color w:val="auto"/>
        </w:rPr>
        <w:t>) converted the entire $187,400 outstanding balance (principal and accrued interest) of our past due promissory note into 32,143 shares of our Series B Preferred. We determined that the conversion of the Desjardins note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Desjardins note was equal to the market value of a share of our common stock on the conversion date. Based on the $14.00 per share fair value of the Series B Preferred at the date the Desjardins note was converted, we issued Series B Preferred having an aggregate fair value of $450,000 to Desjardins. Accordingly, we recognized a non-cash loss on extinguishment of the debt attributable to the conversion of the Desjardins note of $262,600 in the quarter ended September 30, 2015 as reflected in the accompanying Condensed Consolidated Statement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Promissory Note and Accounts Payable issued to MicroConstants into Series B Preferred</w:t>
      </w:r>
    </w:p>
    <w:p>
      <w:pPr>
        <w:spacing w:after="0" w:line="201" w:lineRule="exact"/>
        <w:rPr>
          <w:sz w:val="20"/>
          <w:szCs w:val="20"/>
          <w:color w:val="auto"/>
        </w:rPr>
      </w:pPr>
    </w:p>
    <w:p>
      <w:pPr>
        <w:ind w:right="40" w:firstLine="511"/>
        <w:spacing w:after="0" w:line="308" w:lineRule="auto"/>
        <w:rPr>
          <w:sz w:val="20"/>
          <w:szCs w:val="20"/>
          <w:color w:val="auto"/>
        </w:rPr>
      </w:pPr>
      <w:r>
        <w:rPr>
          <w:rFonts w:ascii="Arial" w:cs="Arial" w:eastAsia="Arial" w:hAnsi="Arial"/>
          <w:sz w:val="12"/>
          <w:szCs w:val="12"/>
          <w:color w:val="auto"/>
        </w:rPr>
        <w:t>On July 6, 2015, MicroConstants, Inc. (</w:t>
      </w:r>
      <w:r>
        <w:rPr>
          <w:rFonts w:ascii="Arial" w:cs="Arial" w:eastAsia="Arial" w:hAnsi="Arial"/>
          <w:sz w:val="12"/>
          <w:szCs w:val="12"/>
          <w:i w:val="1"/>
          <w:iCs w:val="1"/>
          <w:color w:val="auto"/>
        </w:rPr>
        <w:t>MicroConstants)</w:t>
      </w:r>
      <w:r>
        <w:rPr>
          <w:rFonts w:ascii="Arial" w:cs="Arial" w:eastAsia="Arial" w:hAnsi="Arial"/>
          <w:sz w:val="12"/>
          <w:szCs w:val="12"/>
          <w:color w:val="auto"/>
        </w:rPr>
        <w:t xml:space="preserve"> converted the $22,000 outstanding balance (principal and accrued interest) of our past due promissory note and outstanding accounts payable in the amount of $70,400 into an aggregate of 17,857 shares of our Series B Preferred. We determined that the conversion of the MicroConstants note and accounts payables into Series B Preferred should be accounted for as an extinguishment of debt. Considering the exchangeability of the Series B Preferred into our common stock, the dividend applicable to the Series B Preferred prior to such exchange and other factors, we also determined that the fair value of a share of Series B Preferred issued pursuant to the conversion of the MicroConstants note and accounts payable was equal to the market value of a share of our common stock on the conversion date. Based on the $14.00 per share fair value of the Series B Preferred at the date the MicroConstants note and accounts payable were converted, we issued Series B Preferred having an aggregate fair value of $250,000. Accordingly, we recognized a non-cash loss on extinguishment of debt attributable to the conversion of the MicroConstants note and payables of $157,600 in the quarter ended September 30, 2015 as reflected in the accompanying Condensed Consolidated Statement of Operations and Comprehensive Loss.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 of Accounts Payable to Professional Services Providers and Other Debt into Series B Preferred</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During June and July 2015, two of our professional service providers and a former employee to whom we were contractually obligated for certain accrued compensation amounts converted an</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aggregate of $497,900 past due amounts for prior services (</w:t>
      </w:r>
      <w:r>
        <w:rPr>
          <w:rFonts w:ascii="Arial" w:cs="Arial" w:eastAsia="Arial" w:hAnsi="Arial"/>
          <w:sz w:val="12"/>
          <w:szCs w:val="12"/>
          <w:i w:val="1"/>
          <w:iCs w:val="1"/>
          <w:color w:val="auto"/>
        </w:rPr>
        <w:t>Service Provider Payables</w:t>
      </w:r>
      <w:r>
        <w:rPr>
          <w:rFonts w:ascii="Arial" w:cs="Arial" w:eastAsia="Arial" w:hAnsi="Arial"/>
          <w:sz w:val="12"/>
          <w:szCs w:val="12"/>
          <w:color w:val="auto"/>
        </w:rPr>
        <w:t>) into an aggregate of 80,929 shares of our Series B Preferred. We determined that the conversion of the Service</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Provider Payables balances into Series B Preferred should be accounted for as an extinguishment of debt. Considering the exchangeability of the Series B Preferred into our common stock, the dividend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applicable to the Series B Preferred prior to such exchange and other factors, we also determined that the fair value of a share of Series B Preferred issued pursuant to the conversion of the Service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Provider Payables was equal to the market value of a share of our common stock on the respective Service Provider Payable conversion dates. Based on the per share fair value of the Series B Preferred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on the respective dates that each Service Provider Payable was converted, which ranged from $10.00 per share to $12.00 per share, we issued Series B Preferred having an aggregate fair value of</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$823,800 to the Service Providers. Accordingly, we recognized an aggregate non-cash loss on the extinguishment of debt attributable to the conversion of the Service Provider Payables in the amounts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of $281,800 and $44,100 in the quarters ended June 30, 2015 and September 30, 2015, respectively, as reflected in the accompanying Condensed Consolidated Statement of Operations and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Capital Stock</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2014 Unit Private Placement</w:t>
      </w:r>
    </w:p>
    <w:p>
      <w:pPr>
        <w:spacing w:after="0" w:line="201" w:lineRule="exact"/>
        <w:rPr>
          <w:sz w:val="20"/>
          <w:szCs w:val="20"/>
          <w:color w:val="auto"/>
        </w:rPr>
      </w:pPr>
    </w:p>
    <w:p>
      <w:pPr>
        <w:ind w:right="60" w:firstLine="511"/>
        <w:spacing w:after="0" w:line="261" w:lineRule="auto"/>
        <w:rPr>
          <w:sz w:val="20"/>
          <w:szCs w:val="20"/>
          <w:color w:val="auto"/>
        </w:rPr>
      </w:pPr>
      <w:r>
        <w:rPr>
          <w:rFonts w:ascii="Arial" w:cs="Arial" w:eastAsia="Arial" w:hAnsi="Arial"/>
          <w:sz w:val="14"/>
          <w:szCs w:val="14"/>
          <w:color w:val="auto"/>
        </w:rPr>
        <w:t>Between April 1, 2015 and May 14, 2015, in self-placed private placement transactions, we entered into securities purchase agreements with accredited investors pursuant to which we sold Units (</w:t>
      </w:r>
      <w:r>
        <w:rPr>
          <w:rFonts w:ascii="Arial" w:cs="Arial" w:eastAsia="Arial" w:hAnsi="Arial"/>
          <w:sz w:val="14"/>
          <w:szCs w:val="14"/>
          <w:i w:val="1"/>
          <w:iCs w:val="1"/>
          <w:color w:val="auto"/>
        </w:rPr>
        <w:t>2014 Units</w:t>
      </w:r>
      <w:r>
        <w:rPr>
          <w:rFonts w:ascii="Arial" w:cs="Arial" w:eastAsia="Arial" w:hAnsi="Arial"/>
          <w:sz w:val="14"/>
          <w:szCs w:val="14"/>
          <w:color w:val="auto"/>
        </w:rPr>
        <w:t>) to such accredited investors for aggregate cash proceeds of $280,000, such 2014 Units consisting of (i) 10% convertible notes in the aggregate face amount of $280,000 due between April 30, 2015 and May 15, 2015 or automatically convertible into securities issuable upon our consummation of a Qualified Financing, as defined in the note (</w:t>
      </w:r>
      <w:r>
        <w:rPr>
          <w:rFonts w:ascii="Arial" w:cs="Arial" w:eastAsia="Arial" w:hAnsi="Arial"/>
          <w:sz w:val="14"/>
          <w:szCs w:val="14"/>
          <w:i w:val="1"/>
          <w:iCs w:val="1"/>
          <w:color w:val="auto"/>
        </w:rPr>
        <w:t>2014 Unit Notes</w:t>
      </w:r>
      <w:r>
        <w:rPr>
          <w:rFonts w:ascii="Arial" w:cs="Arial" w:eastAsia="Arial" w:hAnsi="Arial"/>
          <w:sz w:val="14"/>
          <w:szCs w:val="14"/>
          <w:color w:val="auto"/>
        </w:rPr>
        <w:t>); (ii) an aggregate of 33,000 restricted shares of our common stock (</w:t>
      </w:r>
      <w:r>
        <w:rPr>
          <w:rFonts w:ascii="Arial" w:cs="Arial" w:eastAsia="Arial" w:hAnsi="Arial"/>
          <w:sz w:val="14"/>
          <w:szCs w:val="14"/>
          <w:i w:val="1"/>
          <w:iCs w:val="1"/>
          <w:color w:val="auto"/>
        </w:rPr>
        <w:t>2014 Unit Stock</w:t>
      </w:r>
      <w:r>
        <w:rPr>
          <w:rFonts w:ascii="Arial" w:cs="Arial" w:eastAsia="Arial" w:hAnsi="Arial"/>
          <w:sz w:val="14"/>
          <w:szCs w:val="14"/>
          <w:color w:val="auto"/>
        </w:rPr>
        <w:t>); and (iii) warrants (</w:t>
      </w:r>
      <w:r>
        <w:rPr>
          <w:rFonts w:ascii="Arial" w:cs="Arial" w:eastAsia="Arial" w:hAnsi="Arial"/>
          <w:sz w:val="14"/>
          <w:szCs w:val="14"/>
          <w:i w:val="1"/>
          <w:iCs w:val="1"/>
          <w:color w:val="auto"/>
        </w:rPr>
        <w:t>2014 Unit Warrants</w:t>
      </w:r>
      <w:r>
        <w:rPr>
          <w:rFonts w:ascii="Arial" w:cs="Arial" w:eastAsia="Arial" w:hAnsi="Arial"/>
          <w:sz w:val="14"/>
          <w:szCs w:val="14"/>
          <w:color w:val="auto"/>
        </w:rPr>
        <w:t>) exercisable through December 31, 2016 to purchase an aggregate of 24,250 restricted shares of our common stock at an exercise price of $10.00 per share.</w:t>
      </w:r>
    </w:p>
    <w:p>
      <w:pPr>
        <w:spacing w:after="0" w:line="168" w:lineRule="exact"/>
        <w:rPr>
          <w:sz w:val="20"/>
          <w:szCs w:val="20"/>
          <w:color w:val="auto"/>
        </w:rPr>
      </w:pPr>
    </w:p>
    <w:p>
      <w:pPr>
        <w:ind w:right="40" w:firstLine="511"/>
        <w:spacing w:after="0" w:line="285" w:lineRule="auto"/>
        <w:rPr>
          <w:sz w:val="20"/>
          <w:szCs w:val="20"/>
          <w:color w:val="auto"/>
        </w:rPr>
      </w:pPr>
      <w:r>
        <w:rPr>
          <w:rFonts w:ascii="Arial" w:cs="Arial" w:eastAsia="Arial" w:hAnsi="Arial"/>
          <w:sz w:val="13"/>
          <w:szCs w:val="13"/>
          <w:color w:val="auto"/>
        </w:rPr>
        <w:t xml:space="preserve">We allocated the proceeds from the private placement sales of the 2014 Units to the various securities based on their relative fair values on the dates of the sales. As described in Note 8,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 based on the short-term nature of the Unit Notes, we determined that fair value of the 2014 Unit Notes was equal to their face value. We</w:t>
      </w:r>
      <w:r>
        <w:rPr>
          <w:rFonts w:ascii="Arial" w:cs="Arial" w:eastAsia="Arial" w:hAnsi="Arial"/>
          <w:sz w:val="13"/>
          <w:szCs w:val="13"/>
          <w:i w:val="1"/>
          <w:iCs w:val="1"/>
          <w:color w:val="auto"/>
        </w:rPr>
        <w:t xml:space="preserve"> </w:t>
      </w:r>
      <w:r>
        <w:rPr>
          <w:rFonts w:ascii="Arial" w:cs="Arial" w:eastAsia="Arial" w:hAnsi="Arial"/>
          <w:sz w:val="13"/>
          <w:szCs w:val="13"/>
          <w:color w:val="auto"/>
        </w:rPr>
        <w:t>determined the fair value of the 2014 Unit Stock based on the quoted market price of our common stock on the respective dates of the 2014 Unit sales.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left="489"/>
              <w:spacing w:after="0"/>
              <w:rPr>
                <w:sz w:val="20"/>
                <w:szCs w:val="20"/>
                <w:color w:val="auto"/>
              </w:rPr>
            </w:pPr>
            <w:r>
              <w:rPr>
                <w:rFonts w:ascii="Arial" w:cs="Arial" w:eastAsia="Arial" w:hAnsi="Arial"/>
                <w:sz w:val="14"/>
                <w:szCs w:val="14"/>
                <w:color w:val="auto"/>
                <w:w w:val="93"/>
              </w:rPr>
              <w:t>Unit Warrants</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60"/>
        </w:trPr>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780" w:type="dxa"/>
            <w:vAlign w:val="bottom"/>
            <w:gridSpan w:val="4"/>
          </w:tcPr>
          <w:p>
            <w:pPr>
              <w:jc w:val="center"/>
              <w:ind w:right="29"/>
              <w:spacing w:after="0" w:line="160" w:lineRule="exact"/>
              <w:rPr>
                <w:sz w:val="20"/>
                <w:szCs w:val="20"/>
                <w:color w:val="auto"/>
              </w:rPr>
            </w:pPr>
            <w:r>
              <w:rPr>
                <w:rFonts w:ascii="Arial" w:cs="Arial" w:eastAsia="Arial" w:hAnsi="Arial"/>
                <w:sz w:val="14"/>
                <w:szCs w:val="14"/>
                <w:color w:val="auto"/>
                <w:w w:val="90"/>
              </w:rPr>
              <w:t>Weighted Average Issuance Date</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2"/>
        </w:trPr>
        <w:tc>
          <w:tcPr>
            <w:tcW w:w="7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Valuation Assumptions</w:t>
            </w:r>
          </w:p>
        </w:tc>
        <w:tc>
          <w:tcPr>
            <w:tcW w:w="7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269"/>
              <w:spacing w:after="0"/>
              <w:rPr>
                <w:sz w:val="20"/>
                <w:szCs w:val="20"/>
                <w:color w:val="auto"/>
              </w:rPr>
            </w:pPr>
            <w:r>
              <w:rPr>
                <w:rFonts w:ascii="Arial" w:cs="Arial" w:eastAsia="Arial" w:hAnsi="Arial"/>
                <w:sz w:val="14"/>
                <w:szCs w:val="14"/>
                <w:color w:val="auto"/>
              </w:rPr>
              <w:t>Per Share</w:t>
            </w:r>
          </w:p>
        </w:tc>
        <w:tc>
          <w:tcPr>
            <w:tcW w:w="1420" w:type="dxa"/>
            <w:vAlign w:val="bottom"/>
            <w:gridSpan w:val="2"/>
          </w:tcPr>
          <w:p>
            <w:pPr>
              <w:ind w:left="460"/>
              <w:spacing w:after="0"/>
              <w:rPr>
                <w:sz w:val="20"/>
                <w:szCs w:val="20"/>
                <w:color w:val="auto"/>
              </w:rPr>
            </w:pPr>
            <w:r>
              <w:rPr>
                <w:rFonts w:ascii="Arial" w:cs="Arial" w:eastAsia="Arial" w:hAnsi="Arial"/>
                <w:sz w:val="14"/>
                <w:szCs w:val="14"/>
                <w:color w:val="auto"/>
              </w:rPr>
              <w:t>Aggregate</w:t>
            </w: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Aggregate</w:t>
            </w:r>
          </w:p>
        </w:tc>
        <w:tc>
          <w:tcPr>
            <w:tcW w:w="2460" w:type="dxa"/>
            <w:vAlign w:val="bottom"/>
            <w:gridSpan w:val="3"/>
          </w:tcPr>
          <w:p>
            <w:pPr>
              <w:ind w:left="260"/>
              <w:spacing w:after="0"/>
              <w:rPr>
                <w:sz w:val="20"/>
                <w:szCs w:val="20"/>
                <w:color w:val="auto"/>
              </w:rPr>
            </w:pPr>
            <w:r>
              <w:rPr>
                <w:rFonts w:ascii="Arial" w:cs="Arial" w:eastAsia="Arial" w:hAnsi="Arial"/>
                <w:sz w:val="14"/>
                <w:szCs w:val="14"/>
                <w:color w:val="auto"/>
              </w:rPr>
              <w:t>Aggregate Allocation of Proceeds</w:t>
            </w:r>
          </w:p>
        </w:tc>
      </w:tr>
      <w:tr>
        <w:trPr>
          <w:trHeight w:val="150"/>
        </w:trPr>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2"/>
              </w:rPr>
              <w:t>Warrant</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center"/>
              <w:ind w:right="9"/>
              <w:spacing w:after="0" w:line="149" w:lineRule="exact"/>
              <w:rPr>
                <w:sz w:val="20"/>
                <w:szCs w:val="20"/>
                <w:color w:val="auto"/>
              </w:rPr>
            </w:pPr>
            <w:r>
              <w:rPr>
                <w:rFonts w:ascii="Arial" w:cs="Arial" w:eastAsia="Arial" w:hAnsi="Arial"/>
                <w:sz w:val="14"/>
                <w:szCs w:val="14"/>
                <w:color w:val="auto"/>
                <w:w w:val="94"/>
              </w:rPr>
              <w:t>Risk free</w:t>
            </w: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ind w:right="349"/>
              <w:spacing w:after="0" w:line="149" w:lineRule="exact"/>
              <w:rPr>
                <w:sz w:val="20"/>
                <w:szCs w:val="20"/>
                <w:color w:val="auto"/>
              </w:rPr>
            </w:pPr>
            <w:r>
              <w:rPr>
                <w:rFonts w:ascii="Arial" w:cs="Arial" w:eastAsia="Arial" w:hAnsi="Arial"/>
                <w:sz w:val="14"/>
                <w:szCs w:val="14"/>
                <w:color w:val="auto"/>
                <w:w w:val="99"/>
              </w:rPr>
              <w:t>Fair</w:t>
            </w: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0"/>
              </w:rPr>
              <w:t>Fair Value</w:t>
            </w:r>
          </w:p>
        </w:tc>
        <w:tc>
          <w:tcPr>
            <w:tcW w:w="1180" w:type="dxa"/>
            <w:vAlign w:val="bottom"/>
          </w:tcPr>
          <w:p>
            <w:pPr>
              <w:jc w:val="center"/>
              <w:ind w:right="149"/>
              <w:spacing w:after="0" w:line="149" w:lineRule="exact"/>
              <w:rPr>
                <w:sz w:val="20"/>
                <w:szCs w:val="20"/>
                <w:color w:val="auto"/>
              </w:rPr>
            </w:pPr>
            <w:r>
              <w:rPr>
                <w:rFonts w:ascii="Arial" w:cs="Arial" w:eastAsia="Arial" w:hAnsi="Arial"/>
                <w:sz w:val="14"/>
                <w:szCs w:val="14"/>
                <w:color w:val="auto"/>
                <w:w w:val="87"/>
              </w:rPr>
              <w:t>Proceeds</w:t>
            </w:r>
          </w:p>
        </w:tc>
        <w:tc>
          <w:tcPr>
            <w:tcW w:w="2460" w:type="dxa"/>
            <w:vAlign w:val="bottom"/>
            <w:tcBorders>
              <w:bottom w:val="single" w:sz="8" w:color="auto"/>
            </w:tcBorders>
            <w:gridSpan w:val="3"/>
          </w:tcPr>
          <w:p>
            <w:pPr>
              <w:ind w:left="300"/>
              <w:spacing w:after="0" w:line="149" w:lineRule="exact"/>
              <w:rPr>
                <w:sz w:val="20"/>
                <w:szCs w:val="20"/>
                <w:color w:val="auto"/>
              </w:rPr>
            </w:pPr>
            <w:r>
              <w:rPr>
                <w:rFonts w:ascii="Arial" w:cs="Arial" w:eastAsia="Arial" w:hAnsi="Arial"/>
                <w:sz w:val="14"/>
                <w:szCs w:val="14"/>
                <w:color w:val="auto"/>
              </w:rPr>
              <w:t>Based on Relative Fair Value of:</w:t>
            </w:r>
          </w:p>
        </w:tc>
      </w:tr>
      <w:tr>
        <w:trPr>
          <w:trHeight w:val="160"/>
        </w:trPr>
        <w:tc>
          <w:tcPr>
            <w:tcW w:w="760" w:type="dxa"/>
            <w:vAlign w:val="bottom"/>
            <w:gridSpan w:val="2"/>
          </w:tcPr>
          <w:p>
            <w:pPr>
              <w:jc w:val="center"/>
              <w:ind w:right="60"/>
              <w:spacing w:after="0" w:line="160" w:lineRule="exact"/>
              <w:rPr>
                <w:sz w:val="20"/>
                <w:szCs w:val="20"/>
                <w:color w:val="auto"/>
              </w:rPr>
            </w:pPr>
            <w:r>
              <w:rPr>
                <w:rFonts w:ascii="Arial" w:cs="Arial" w:eastAsia="Arial" w:hAnsi="Arial"/>
                <w:sz w:val="14"/>
                <w:szCs w:val="14"/>
                <w:color w:val="auto"/>
                <w:w w:val="85"/>
              </w:rPr>
              <w:t>Shares</w:t>
            </w:r>
          </w:p>
        </w:tc>
        <w:tc>
          <w:tcPr>
            <w:tcW w:w="680" w:type="dxa"/>
            <w:vAlign w:val="bottom"/>
          </w:tcPr>
          <w:p>
            <w:pPr>
              <w:jc w:val="center"/>
              <w:ind w:right="49"/>
              <w:spacing w:after="0" w:line="160" w:lineRule="exact"/>
              <w:rPr>
                <w:sz w:val="20"/>
                <w:szCs w:val="20"/>
                <w:color w:val="auto"/>
              </w:rPr>
            </w:pPr>
            <w:r>
              <w:rPr>
                <w:rFonts w:ascii="Arial" w:cs="Arial" w:eastAsia="Arial" w:hAnsi="Arial"/>
                <w:sz w:val="14"/>
                <w:szCs w:val="14"/>
                <w:color w:val="auto"/>
                <w:w w:val="93"/>
              </w:rPr>
              <w:t>Market</w:t>
            </w:r>
          </w:p>
        </w:tc>
        <w:tc>
          <w:tcPr>
            <w:tcW w:w="660" w:type="dxa"/>
            <w:vAlign w:val="bottom"/>
          </w:tcPr>
          <w:p>
            <w:pPr>
              <w:jc w:val="center"/>
              <w:spacing w:after="0" w:line="160" w:lineRule="exact"/>
              <w:rPr>
                <w:sz w:val="20"/>
                <w:szCs w:val="20"/>
                <w:color w:val="auto"/>
              </w:rPr>
            </w:pPr>
            <w:r>
              <w:rPr>
                <w:rFonts w:ascii="Arial" w:cs="Arial" w:eastAsia="Arial" w:hAnsi="Arial"/>
                <w:sz w:val="14"/>
                <w:szCs w:val="14"/>
                <w:color w:val="auto"/>
                <w:w w:val="89"/>
              </w:rPr>
              <w:t>Exercise</w:t>
            </w:r>
          </w:p>
        </w:tc>
        <w:tc>
          <w:tcPr>
            <w:tcW w:w="720" w:type="dxa"/>
            <w:vAlign w:val="bottom"/>
          </w:tcPr>
          <w:p>
            <w:pPr>
              <w:jc w:val="center"/>
              <w:spacing w:after="0" w:line="160" w:lineRule="exact"/>
              <w:rPr>
                <w:sz w:val="20"/>
                <w:szCs w:val="20"/>
                <w:color w:val="auto"/>
              </w:rPr>
            </w:pPr>
            <w:r>
              <w:rPr>
                <w:rFonts w:ascii="Arial" w:cs="Arial" w:eastAsia="Arial" w:hAnsi="Arial"/>
                <w:sz w:val="14"/>
                <w:szCs w:val="14"/>
                <w:color w:val="auto"/>
                <w:w w:val="91"/>
              </w:rPr>
              <w:t>Term</w:t>
            </w:r>
          </w:p>
        </w:tc>
        <w:tc>
          <w:tcPr>
            <w:tcW w:w="6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94"/>
              </w:rPr>
              <w:t>Interest</w:t>
            </w:r>
          </w:p>
        </w:tc>
        <w:tc>
          <w:tcPr>
            <w:tcW w:w="720" w:type="dxa"/>
            <w:vAlign w:val="bottom"/>
          </w:tcPr>
          <w:p>
            <w:pPr>
              <w:spacing w:after="0"/>
              <w:rPr>
                <w:sz w:val="13"/>
                <w:szCs w:val="13"/>
                <w:color w:val="auto"/>
              </w:rPr>
            </w:pPr>
          </w:p>
        </w:tc>
        <w:tc>
          <w:tcPr>
            <w:tcW w:w="840" w:type="dxa"/>
            <w:vAlign w:val="bottom"/>
            <w:gridSpan w:val="2"/>
          </w:tcPr>
          <w:p>
            <w:pPr>
              <w:jc w:val="center"/>
              <w:ind w:right="280"/>
              <w:spacing w:after="0" w:line="160" w:lineRule="exact"/>
              <w:rPr>
                <w:sz w:val="20"/>
                <w:szCs w:val="20"/>
                <w:color w:val="auto"/>
              </w:rPr>
            </w:pPr>
            <w:r>
              <w:rPr>
                <w:rFonts w:ascii="Arial" w:cs="Arial" w:eastAsia="Arial" w:hAnsi="Arial"/>
                <w:sz w:val="14"/>
                <w:szCs w:val="14"/>
                <w:color w:val="auto"/>
                <w:w w:val="95"/>
              </w:rPr>
              <w:t>Dividend</w:t>
            </w:r>
          </w:p>
        </w:tc>
        <w:tc>
          <w:tcPr>
            <w:tcW w:w="1340" w:type="dxa"/>
            <w:vAlign w:val="bottom"/>
          </w:tcPr>
          <w:p>
            <w:pPr>
              <w:jc w:val="center"/>
              <w:ind w:right="349"/>
              <w:spacing w:after="0" w:line="160" w:lineRule="exact"/>
              <w:rPr>
                <w:sz w:val="20"/>
                <w:szCs w:val="20"/>
                <w:color w:val="auto"/>
              </w:rPr>
            </w:pPr>
            <w:r>
              <w:rPr>
                <w:rFonts w:ascii="Arial" w:cs="Arial" w:eastAsia="Arial" w:hAnsi="Arial"/>
                <w:sz w:val="14"/>
                <w:szCs w:val="14"/>
                <w:color w:val="auto"/>
                <w:w w:val="93"/>
              </w:rPr>
              <w:t>Value of</w:t>
            </w:r>
          </w:p>
        </w:tc>
        <w:tc>
          <w:tcPr>
            <w:tcW w:w="1420" w:type="dxa"/>
            <w:vAlign w:val="bottom"/>
            <w:gridSpan w:val="2"/>
          </w:tcPr>
          <w:p>
            <w:pPr>
              <w:jc w:val="center"/>
              <w:ind w:right="420"/>
              <w:spacing w:after="0" w:line="160" w:lineRule="exact"/>
              <w:rPr>
                <w:sz w:val="20"/>
                <w:szCs w:val="20"/>
                <w:color w:val="auto"/>
              </w:rPr>
            </w:pPr>
            <w:r>
              <w:rPr>
                <w:rFonts w:ascii="Arial" w:cs="Arial" w:eastAsia="Arial" w:hAnsi="Arial"/>
                <w:sz w:val="14"/>
                <w:szCs w:val="14"/>
                <w:color w:val="auto"/>
                <w:w w:val="98"/>
              </w:rPr>
              <w:t>of Unit</w:t>
            </w:r>
          </w:p>
        </w:tc>
        <w:tc>
          <w:tcPr>
            <w:tcW w:w="1180" w:type="dxa"/>
            <w:vAlign w:val="bottom"/>
          </w:tcPr>
          <w:p>
            <w:pPr>
              <w:jc w:val="center"/>
              <w:ind w:right="149"/>
              <w:spacing w:after="0" w:line="160" w:lineRule="exact"/>
              <w:rPr>
                <w:sz w:val="20"/>
                <w:szCs w:val="20"/>
                <w:color w:val="auto"/>
              </w:rPr>
            </w:pPr>
            <w:r>
              <w:rPr>
                <w:rFonts w:ascii="Arial" w:cs="Arial" w:eastAsia="Arial" w:hAnsi="Arial"/>
                <w:sz w:val="14"/>
                <w:szCs w:val="14"/>
                <w:color w:val="auto"/>
                <w:w w:val="98"/>
              </w:rPr>
              <w:t>of Unit</w:t>
            </w:r>
          </w:p>
        </w:tc>
        <w:tc>
          <w:tcPr>
            <w:tcW w:w="940" w:type="dxa"/>
            <w:vAlign w:val="bottom"/>
          </w:tcPr>
          <w:p>
            <w:pPr>
              <w:ind w:left="300"/>
              <w:spacing w:after="0" w:line="160" w:lineRule="exact"/>
              <w:rPr>
                <w:sz w:val="20"/>
                <w:szCs w:val="20"/>
                <w:color w:val="auto"/>
              </w:rPr>
            </w:pPr>
            <w:r>
              <w:rPr>
                <w:rFonts w:ascii="Arial" w:cs="Arial" w:eastAsia="Arial" w:hAnsi="Arial"/>
                <w:sz w:val="14"/>
                <w:szCs w:val="14"/>
                <w:color w:val="auto"/>
              </w:rPr>
              <w:t>Unit</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2"/>
        </w:trPr>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color w:val="auto"/>
                <w:w w:val="87"/>
              </w:rPr>
              <w:t>Issued</w:t>
            </w:r>
          </w:p>
        </w:tc>
        <w:tc>
          <w:tcPr>
            <w:tcW w:w="6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87"/>
              </w:rPr>
              <w:t>Price</w:t>
            </w:r>
          </w:p>
        </w:tc>
        <w:tc>
          <w:tcPr>
            <w:tcW w:w="6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93"/>
              </w:rPr>
              <w:t>Price</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(Years)</w:t>
            </w:r>
          </w:p>
        </w:tc>
        <w:tc>
          <w:tcPr>
            <w:tcW w:w="6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87"/>
              </w:rPr>
              <w:t>Rate</w:t>
            </w:r>
          </w:p>
        </w:tc>
        <w:tc>
          <w:tcPr>
            <w:tcW w:w="72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rPr>
              <w:t>Volatility</w:t>
            </w: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87"/>
              </w:rPr>
              <w:t>Rate</w:t>
            </w:r>
          </w:p>
        </w:tc>
        <w:tc>
          <w:tcPr>
            <w:tcW w:w="1340" w:type="dxa"/>
            <w:vAlign w:val="bottom"/>
            <w:tcBorders>
              <w:bottom w:val="single" w:sz="8" w:color="auto"/>
            </w:tcBorders>
          </w:tcPr>
          <w:p>
            <w:pPr>
              <w:jc w:val="center"/>
              <w:ind w:right="349"/>
              <w:spacing w:after="0"/>
              <w:rPr>
                <w:sz w:val="20"/>
                <w:szCs w:val="20"/>
                <w:color w:val="auto"/>
              </w:rPr>
            </w:pPr>
            <w:r>
              <w:rPr>
                <w:rFonts w:ascii="Arial" w:cs="Arial" w:eastAsia="Arial" w:hAnsi="Arial"/>
                <w:sz w:val="14"/>
                <w:szCs w:val="14"/>
                <w:color w:val="auto"/>
                <w:w w:val="88"/>
              </w:rPr>
              <w:t>Warrant</w:t>
            </w:r>
          </w:p>
        </w:tc>
        <w:tc>
          <w:tcPr>
            <w:tcW w:w="14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color w:val="auto"/>
                <w:w w:val="87"/>
              </w:rPr>
              <w:t>Warrants</w:t>
            </w:r>
          </w:p>
        </w:tc>
        <w:tc>
          <w:tcPr>
            <w:tcW w:w="118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color w:val="auto"/>
                <w:w w:val="85"/>
              </w:rPr>
              <w:t>Sales</w:t>
            </w: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Unit Stock</w:t>
            </w:r>
          </w:p>
        </w:tc>
        <w:tc>
          <w:tcPr>
            <w:tcW w:w="7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Warrant</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Unit Note</w:t>
            </w:r>
          </w:p>
        </w:tc>
      </w:tr>
      <w:tr>
        <w:trPr>
          <w:trHeight w:val="170"/>
        </w:trPr>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24,250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$ 10.00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$ 10.00</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0.00%</w:t>
            </w:r>
          </w:p>
        </w:tc>
        <w:tc>
          <w:tcPr>
            <w:tcW w:w="13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$ 3.69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$ 89,600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$ 280,000</w:t>
            </w:r>
          </w:p>
        </w:tc>
        <w:tc>
          <w:tcPr>
            <w:tcW w:w="9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9"/>
              </w:rPr>
              <w:t>$ 128,900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$ 32,900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$ 118,200</w:t>
            </w:r>
          </w:p>
        </w:tc>
      </w:tr>
      <w:tr>
        <w:trPr>
          <w:trHeight w:val="479"/>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469"/>
              <w:spacing w:after="0"/>
              <w:rPr>
                <w:sz w:val="20"/>
                <w:szCs w:val="20"/>
                <w:color w:val="auto"/>
              </w:rPr>
            </w:pPr>
            <w:r>
              <w:rPr>
                <w:rFonts w:ascii="Arial" w:cs="Arial" w:eastAsia="Arial" w:hAnsi="Arial"/>
                <w:sz w:val="14"/>
                <w:szCs w:val="14"/>
                <w:color w:val="auto"/>
              </w:rPr>
              <w:t>F-67</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92"/>
        </w:trPr>
        <w:tc>
          <w:tcPr>
            <w:tcW w:w="7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1" w:name="page212"/>
    <w:bookmarkEnd w:id="21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7" w:lineRule="exact"/>
        <w:rPr>
          <w:sz w:val="20"/>
          <w:szCs w:val="20"/>
          <w:color w:val="auto"/>
        </w:rPr>
      </w:pPr>
    </w:p>
    <w:p>
      <w:pPr>
        <w:ind w:firstLine="511"/>
        <w:spacing w:after="0" w:line="261" w:lineRule="auto"/>
        <w:rPr>
          <w:sz w:val="20"/>
          <w:szCs w:val="20"/>
          <w:color w:val="auto"/>
        </w:rPr>
      </w:pPr>
      <w:r>
        <w:rPr>
          <w:rFonts w:ascii="Arial" w:cs="Arial" w:eastAsia="Arial" w:hAnsi="Arial"/>
          <w:sz w:val="14"/>
          <w:szCs w:val="14"/>
          <w:color w:val="auto"/>
        </w:rPr>
        <w:t>Between late-March 2014 and May 14, 2015, in self-placed private placement transactions, we entered into securities purchase agreements with accredited investors for the 2014 Unit Private Placement pursuant to which we sold 2014 Units to such accredited investors for aggregate cash proceeds of $3,393,500, consisting of (i) 2014 Unit Notes in the aggregate face amount of $3,393,500 due between March 31, 2015 and May 15, 2015 or automatically convertible into securities issuable upon our consummation of a Qualified Financing, as defined in the note; (ii) an aggregate of 315,850 restricted shares of 2014 Unit Stock; and (iii) 2014 Unit Warrants exercisable through December 31, 2016 to purchase an aggregate of 307,100 restricted shares of our common stock at an exercise price of $10.00 per share.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Creation of Series B Preferred Stock</w:t>
      </w:r>
    </w:p>
    <w:p>
      <w:pPr>
        <w:spacing w:after="0" w:line="180" w:lineRule="exact"/>
        <w:rPr>
          <w:sz w:val="20"/>
          <w:szCs w:val="20"/>
          <w:color w:val="auto"/>
        </w:rPr>
      </w:pPr>
    </w:p>
    <w:p>
      <w:pPr>
        <w:ind w:right="180" w:firstLine="511"/>
        <w:spacing w:after="0" w:line="323" w:lineRule="auto"/>
        <w:rPr>
          <w:sz w:val="20"/>
          <w:szCs w:val="20"/>
          <w:color w:val="auto"/>
        </w:rPr>
      </w:pPr>
      <w:r>
        <w:rPr>
          <w:rFonts w:ascii="Arial" w:cs="Arial" w:eastAsia="Arial" w:hAnsi="Arial"/>
          <w:sz w:val="13"/>
          <w:szCs w:val="13"/>
          <w:color w:val="auto"/>
        </w:rPr>
        <w:t>On May 7, 2015, we filed a Certificate of Designation of the Relative Rights and Preferences of the Series B 10% Preferred Stock of VistaGen Therapeutics, Inc. (</w:t>
      </w:r>
      <w:r>
        <w:rPr>
          <w:rFonts w:ascii="Arial" w:cs="Arial" w:eastAsia="Arial" w:hAnsi="Arial"/>
          <w:sz w:val="13"/>
          <w:szCs w:val="13"/>
          <w:i w:val="1"/>
          <w:iCs w:val="1"/>
          <w:color w:val="auto"/>
        </w:rPr>
        <w:t>Certificate of Designation</w:t>
      </w:r>
      <w:r>
        <w:rPr>
          <w:rFonts w:ascii="Arial" w:cs="Arial" w:eastAsia="Arial" w:hAnsi="Arial"/>
          <w:sz w:val="13"/>
          <w:szCs w:val="13"/>
          <w:color w:val="auto"/>
        </w:rPr>
        <w:t>) with the Nevada Secretary of State to designate 4.0 million shares of our authorized preferred stock as Series B 10% Convertible Preferred Stock (</w:t>
      </w:r>
      <w:r>
        <w:rPr>
          <w:rFonts w:ascii="Arial" w:cs="Arial" w:eastAsia="Arial" w:hAnsi="Arial"/>
          <w:sz w:val="13"/>
          <w:szCs w:val="13"/>
          <w:i w:val="1"/>
          <w:iCs w:val="1"/>
          <w:color w:val="auto"/>
        </w:rPr>
        <w:t>Series B Preferred</w:t>
      </w:r>
      <w:r>
        <w:rPr>
          <w:rFonts w:ascii="Arial" w:cs="Arial" w:eastAsia="Arial" w:hAnsi="Arial"/>
          <w:sz w:val="13"/>
          <w:szCs w:val="13"/>
          <w:color w:val="auto"/>
        </w:rPr>
        <w:t>).</w:t>
      </w:r>
    </w:p>
    <w:p>
      <w:pPr>
        <w:spacing w:after="0" w:line="109" w:lineRule="exact"/>
        <w:rPr>
          <w:sz w:val="20"/>
          <w:szCs w:val="20"/>
          <w:color w:val="auto"/>
        </w:rPr>
      </w:pPr>
    </w:p>
    <w:p>
      <w:pPr>
        <w:ind w:right="20" w:firstLine="511"/>
        <w:spacing w:after="0" w:line="283" w:lineRule="auto"/>
        <w:rPr>
          <w:sz w:val="20"/>
          <w:szCs w:val="20"/>
          <w:color w:val="auto"/>
        </w:rPr>
      </w:pPr>
      <w:r>
        <w:rPr>
          <w:rFonts w:ascii="Arial" w:cs="Arial" w:eastAsia="Arial" w:hAnsi="Arial"/>
          <w:sz w:val="13"/>
          <w:szCs w:val="13"/>
          <w:color w:val="auto"/>
        </w:rPr>
        <w:t>Each share of Series B Preferred is convertible, at the option of the holder (</w:t>
      </w:r>
      <w:r>
        <w:rPr>
          <w:rFonts w:ascii="Arial" w:cs="Arial" w:eastAsia="Arial" w:hAnsi="Arial"/>
          <w:sz w:val="13"/>
          <w:szCs w:val="13"/>
          <w:i w:val="1"/>
          <w:iCs w:val="1"/>
          <w:color w:val="auto"/>
        </w:rPr>
        <w:t>Voluntary Conversion</w:t>
      </w:r>
      <w:r>
        <w:rPr>
          <w:rFonts w:ascii="Arial" w:cs="Arial" w:eastAsia="Arial" w:hAnsi="Arial"/>
          <w:sz w:val="13"/>
          <w:szCs w:val="13"/>
          <w:color w:val="auto"/>
        </w:rPr>
        <w:t>), into one (1) share of our Common Stock, subject to adjustment, only for customary stock dividends, reclassifications, splits and similar transactions set forth in the Certificate of Designation. All outstanding shares of Series B Preferred are also convertible automatically on a one-to-one basis into shares of our Common Stock (</w:t>
      </w:r>
      <w:r>
        <w:rPr>
          <w:rFonts w:ascii="Arial" w:cs="Arial" w:eastAsia="Arial" w:hAnsi="Arial"/>
          <w:sz w:val="13"/>
          <w:szCs w:val="13"/>
          <w:i w:val="1"/>
          <w:iCs w:val="1"/>
          <w:color w:val="auto"/>
        </w:rPr>
        <w:t>Automatic Conversion</w:t>
      </w:r>
      <w:r>
        <w:rPr>
          <w:rFonts w:ascii="Arial" w:cs="Arial" w:eastAsia="Arial" w:hAnsi="Arial"/>
          <w:sz w:val="13"/>
          <w:szCs w:val="13"/>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3"/>
          <w:szCs w:val="13"/>
          <w:i w:val="1"/>
          <w:iCs w:val="1"/>
          <w:color w:val="auto"/>
        </w:rPr>
        <w:t>Conversion</w:t>
      </w:r>
      <w:r>
        <w:rPr>
          <w:rFonts w:ascii="Arial" w:cs="Arial" w:eastAsia="Arial" w:hAnsi="Arial"/>
          <w:sz w:val="13"/>
          <w:szCs w:val="13"/>
          <w:color w:val="auto"/>
        </w:rPr>
        <w:t>) are subject to certain beneficial ownership blockers as set forth in the Certificate of Designation and/or securities purchase agreements.</w:t>
      </w:r>
    </w:p>
    <w:p>
      <w:pPr>
        <w:spacing w:after="0" w:line="135" w:lineRule="exact"/>
        <w:rPr>
          <w:sz w:val="20"/>
          <w:szCs w:val="20"/>
          <w:color w:val="auto"/>
        </w:rPr>
      </w:pPr>
    </w:p>
    <w:p>
      <w:pPr>
        <w:ind w:firstLine="511"/>
        <w:spacing w:after="0" w:line="283" w:lineRule="auto"/>
        <w:rPr>
          <w:sz w:val="20"/>
          <w:szCs w:val="20"/>
          <w:color w:val="auto"/>
        </w:rPr>
      </w:pPr>
      <w:r>
        <w:rPr>
          <w:rFonts w:ascii="Arial" w:cs="Arial" w:eastAsia="Arial" w:hAnsi="Arial"/>
          <w:sz w:val="13"/>
          <w:szCs w:val="13"/>
          <w:color w:val="auto"/>
        </w:rPr>
        <w:t>Prior to Conversion, shares of Series B Preferred will accrue in-kind dividends (payable only in unregistered shares of our common stock) at a rate of 10% per annum (</w:t>
      </w:r>
      <w:r>
        <w:rPr>
          <w:rFonts w:ascii="Arial" w:cs="Arial" w:eastAsia="Arial" w:hAnsi="Arial"/>
          <w:sz w:val="13"/>
          <w:szCs w:val="13"/>
          <w:i w:val="1"/>
          <w:iCs w:val="1"/>
          <w:color w:val="auto"/>
        </w:rPr>
        <w:t>Accrued Dividends</w:t>
      </w:r>
      <w:r>
        <w:rPr>
          <w:rFonts w:ascii="Arial" w:cs="Arial" w:eastAsia="Arial" w:hAnsi="Arial"/>
          <w:sz w:val="13"/>
          <w:szCs w:val="13"/>
          <w:color w:val="auto"/>
        </w:rPr>
        <w:t>). The Accrued Dividends will be payable on the date of either a Voluntary Conversion or Automatic Conversion solely in that number of shares of common stock equal to the Accrued Dividends. At December 31, 2015, we have recognized a liability in the amount of $1,415,800 for Accrued Dividends in the accompanying Condensed Consolidated Balance Sheet at December 31, 2015, based on the Series B Preferred issued and outstanding, net of exchanges to common stock, through the quarter ended December 31, 2015. We have recognized a deduction from net loss of $1,459,300 related to dividends on Series B Preferred in arriving at net loss attributable to common stockholders in the accompanying Condensed Consolidated Statement of Operations and Comprehensive Loss for the nine months ended December 31, 2015. The liquidation value of the Series B Preferred at December 31, 2015 is approximately $26,541,400.</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May 2015 Agreement with Platinum</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May 5, 2015, we entered into an Agreement with Platinum, which, as modified, became effective on May 12, 2015 (</w:t>
      </w:r>
      <w:r>
        <w:rPr>
          <w:rFonts w:ascii="Arial" w:cs="Arial" w:eastAsia="Arial" w:hAnsi="Arial"/>
          <w:sz w:val="14"/>
          <w:szCs w:val="14"/>
          <w:i w:val="1"/>
          <w:iCs w:val="1"/>
          <w:color w:val="auto"/>
        </w:rPr>
        <w:t>Platinum Agreement</w:t>
      </w:r>
      <w:r>
        <w:rPr>
          <w:rFonts w:ascii="Arial" w:cs="Arial" w:eastAsia="Arial" w:hAnsi="Arial"/>
          <w:sz w:val="14"/>
          <w:szCs w:val="14"/>
          <w:color w:val="auto"/>
        </w:rPr>
        <w:t>) and pursuant to which Platinum:</w:t>
      </w:r>
    </w:p>
    <w:p>
      <w:pPr>
        <w:spacing w:after="0" w:line="201" w:lineRule="exact"/>
        <w:rPr>
          <w:sz w:val="20"/>
          <w:szCs w:val="20"/>
          <w:color w:val="auto"/>
        </w:rPr>
      </w:pPr>
    </w:p>
    <w:p>
      <w:pPr>
        <w:ind w:left="400" w:right="280" w:hanging="395"/>
        <w:spacing w:after="0" w:line="283" w:lineRule="auto"/>
        <w:tabs>
          <w:tab w:leader="none" w:pos="4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 xml:space="preserve">Converted into 641,335 shares of Series B Preferred all of the approximately $4.5 million outstanding balance (principal and accrued but unpaid interest) of the Senior Secured Notes we had previously issued to Platinum, as described previously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w:t>
      </w:r>
    </w:p>
    <w:p>
      <w:pPr>
        <w:spacing w:after="0" w:line="152" w:lineRule="exact"/>
        <w:rPr>
          <w:rFonts w:ascii="Arial" w:cs="Arial" w:eastAsia="Arial" w:hAnsi="Arial"/>
          <w:sz w:val="14"/>
          <w:szCs w:val="14"/>
          <w:color w:val="auto"/>
        </w:rPr>
      </w:pPr>
    </w:p>
    <w:p>
      <w:pPr>
        <w:ind w:left="400" w:right="280" w:hanging="395"/>
        <w:spacing w:after="0" w:line="283" w:lineRule="auto"/>
        <w:tabs>
          <w:tab w:leader="none" w:pos="4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Released all of its security interests in our assets and those of our subsidiaries by terminating the Amended and Restated Security Agreement, IP Security Agreement and Negative Covenant, each dated October 11, 2012 between us and Platinum;</w:t>
      </w:r>
    </w:p>
    <w:p>
      <w:pPr>
        <w:spacing w:after="0" w:line="152" w:lineRule="exact"/>
        <w:rPr>
          <w:rFonts w:ascii="Arial" w:cs="Arial" w:eastAsia="Arial" w:hAnsi="Arial"/>
          <w:sz w:val="14"/>
          <w:szCs w:val="14"/>
          <w:color w:val="auto"/>
        </w:rPr>
      </w:pPr>
    </w:p>
    <w:p>
      <w:pPr>
        <w:ind w:left="400" w:right="20" w:hanging="395"/>
        <w:spacing w:after="0" w:line="268" w:lineRule="auto"/>
        <w:tabs>
          <w:tab w:leader="none" w:pos="4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Converted into 240,305 shares of Series B Preferred and five-year warrants to purchase 240,305 shares of our common stock at a fixed exercise price of $7.00 per share (</w:t>
      </w:r>
      <w:r>
        <w:rPr>
          <w:rFonts w:ascii="Arial" w:cs="Arial" w:eastAsia="Arial" w:hAnsi="Arial"/>
          <w:sz w:val="14"/>
          <w:szCs w:val="14"/>
          <w:i w:val="1"/>
          <w:iCs w:val="1"/>
          <w:color w:val="auto"/>
        </w:rPr>
        <w:t>Series B Warrants</w:t>
      </w:r>
      <w:r>
        <w:rPr>
          <w:rFonts w:ascii="Arial" w:cs="Arial" w:eastAsia="Arial" w:hAnsi="Arial"/>
          <w:sz w:val="14"/>
          <w:szCs w:val="14"/>
          <w:color w:val="auto"/>
        </w:rPr>
        <w:t xml:space="preserve">) all of the approximately $1.3 million outstanding balance (principal and accrued but unpaid interest) of the 2014 Unit Notes that we issued to Platinum, as described previously in Note 7, </w:t>
      </w:r>
      <w:r>
        <w:rPr>
          <w:rFonts w:ascii="Arial" w:cs="Arial" w:eastAsia="Arial" w:hAnsi="Arial"/>
          <w:sz w:val="14"/>
          <w:szCs w:val="14"/>
          <w:i w:val="1"/>
          <w:iCs w:val="1"/>
          <w:color w:val="auto"/>
        </w:rPr>
        <w:t>Convertible</w:t>
      </w:r>
      <w:r>
        <w:rPr>
          <w:rFonts w:ascii="Arial" w:cs="Arial" w:eastAsia="Arial" w:hAnsi="Arial"/>
          <w:sz w:val="14"/>
          <w:szCs w:val="14"/>
          <w:color w:val="auto"/>
        </w:rPr>
        <w:t xml:space="preserve"> </w:t>
      </w:r>
      <w:r>
        <w:rPr>
          <w:rFonts w:ascii="Arial" w:cs="Arial" w:eastAsia="Arial" w:hAnsi="Arial"/>
          <w:sz w:val="14"/>
          <w:szCs w:val="14"/>
          <w:i w:val="1"/>
          <w:iCs w:val="1"/>
          <w:color w:val="auto"/>
        </w:rPr>
        <w:t>Promissory Notes and Other Notes Payable</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jc w:val="both"/>
        <w:ind w:left="400" w:hanging="395"/>
        <w:spacing w:after="0" w:line="298" w:lineRule="auto"/>
        <w:tabs>
          <w:tab w:leader="none" w:pos="4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Purchased approximately $1.5 million (including accrued but unpaid interest thereon) of outstanding 2014 Unit Notes we had previously issued to various accredited investors from the respective holders thereof (</w:t>
      </w:r>
      <w:r>
        <w:rPr>
          <w:rFonts w:ascii="Arial" w:cs="Arial" w:eastAsia="Arial" w:hAnsi="Arial"/>
          <w:sz w:val="13"/>
          <w:szCs w:val="13"/>
          <w:i w:val="1"/>
          <w:iCs w:val="1"/>
          <w:color w:val="auto"/>
        </w:rPr>
        <w:t>Acquired Unit Notes</w:t>
      </w:r>
      <w:r>
        <w:rPr>
          <w:rFonts w:ascii="Arial" w:cs="Arial" w:eastAsia="Arial" w:hAnsi="Arial"/>
          <w:sz w:val="13"/>
          <w:szCs w:val="13"/>
          <w:color w:val="auto"/>
        </w:rPr>
        <w:t xml:space="preserve">) and converted the entire approximately $1.5 million outstanding balance of the Acquired Unit Notes into 265,699 shares of Series B Preferred and Series B Warrants to purchase 265,699 shares of our common stock, as described previously in Note 7, </w:t>
      </w:r>
      <w:r>
        <w:rPr>
          <w:rFonts w:ascii="Arial" w:cs="Arial" w:eastAsia="Arial" w:hAnsi="Arial"/>
          <w:sz w:val="13"/>
          <w:szCs w:val="13"/>
          <w:i w:val="1"/>
          <w:iCs w:val="1"/>
          <w:color w:val="auto"/>
        </w:rPr>
        <w:t>Convertible Promissory Notes and Other Notes Payable</w:t>
      </w:r>
      <w:r>
        <w:rPr>
          <w:rFonts w:ascii="Arial" w:cs="Arial" w:eastAsia="Arial" w:hAnsi="Arial"/>
          <w:sz w:val="13"/>
          <w:szCs w:val="13"/>
          <w:color w:val="auto"/>
        </w:rPr>
        <w:t>;</w:t>
      </w:r>
    </w:p>
    <w:p>
      <w:pPr>
        <w:spacing w:after="0" w:line="145" w:lineRule="exact"/>
        <w:rPr>
          <w:rFonts w:ascii="Arial" w:cs="Arial" w:eastAsia="Arial" w:hAnsi="Arial"/>
          <w:sz w:val="13"/>
          <w:szCs w:val="13"/>
          <w:color w:val="auto"/>
        </w:rPr>
      </w:pPr>
    </w:p>
    <w:p>
      <w:pPr>
        <w:ind w:left="400" w:right="300" w:hanging="395"/>
        <w:spacing w:after="0" w:line="323" w:lineRule="auto"/>
        <w:tabs>
          <w:tab w:leader="none" w:pos="4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Entered into a Securities Purchase Agreement (</w:t>
      </w:r>
      <w:r>
        <w:rPr>
          <w:rFonts w:ascii="Arial" w:cs="Arial" w:eastAsia="Arial" w:hAnsi="Arial"/>
          <w:sz w:val="13"/>
          <w:szCs w:val="13"/>
          <w:i w:val="1"/>
          <w:iCs w:val="1"/>
          <w:color w:val="auto"/>
        </w:rPr>
        <w:t>SPA</w:t>
      </w:r>
      <w:r>
        <w:rPr>
          <w:rFonts w:ascii="Arial" w:cs="Arial" w:eastAsia="Arial" w:hAnsi="Arial"/>
          <w:sz w:val="13"/>
          <w:szCs w:val="13"/>
          <w:color w:val="auto"/>
        </w:rPr>
        <w:t>) to purchase from us, in our self-placed private placement, for $1.0 million, a total of 142,857 shares of Series B Preferred and a Series B Warrant to purchase 142,857 shares of our common stock, which shares of Series B Preferred and Series B Warrants have been purchased and issued;</w:t>
      </w:r>
    </w:p>
    <w:p>
      <w:pPr>
        <w:spacing w:after="0" w:line="130" w:lineRule="exact"/>
        <w:rPr>
          <w:rFonts w:ascii="Arial" w:cs="Arial" w:eastAsia="Arial" w:hAnsi="Arial"/>
          <w:sz w:val="13"/>
          <w:szCs w:val="13"/>
          <w:color w:val="auto"/>
        </w:rPr>
      </w:pPr>
    </w:p>
    <w:p>
      <w:pPr>
        <w:ind w:left="400" w:right="300" w:hanging="395"/>
        <w:spacing w:after="0" w:line="268" w:lineRule="auto"/>
        <w:tabs>
          <w:tab w:leader="none" w:pos="4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Amended the Platinum Warrants previously issued by us to Platinum in connection with the Senior Secured Notes and the Series A Exchange Warrant to (i) fix the exercise price thereof, (ii) eliminate the exercise price reset features and (iii) fix the number of shares of our common stock issuable thereunder, and (iv) eliminate the cashless exercise provisions from the Platinum Warrants; and</w:t>
      </w:r>
    </w:p>
    <w:p>
      <w:pPr>
        <w:spacing w:after="0" w:line="163" w:lineRule="exact"/>
        <w:rPr>
          <w:rFonts w:ascii="Arial" w:cs="Arial" w:eastAsia="Arial" w:hAnsi="Arial"/>
          <w:sz w:val="14"/>
          <w:szCs w:val="14"/>
          <w:color w:val="auto"/>
        </w:rPr>
      </w:pPr>
    </w:p>
    <w:p>
      <w:pPr>
        <w:ind w:left="400" w:right="340" w:hanging="395"/>
        <w:spacing w:after="0" w:line="283" w:lineRule="auto"/>
        <w:tabs>
          <w:tab w:leader="none" w:pos="4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2" w:name="page213"/>
    <w:bookmarkEnd w:id="21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7" w:lineRule="exact"/>
        <w:rPr>
          <w:sz w:val="20"/>
          <w:szCs w:val="20"/>
          <w:color w:val="auto"/>
        </w:rPr>
      </w:pPr>
    </w:p>
    <w:p>
      <w:pPr>
        <w:ind w:right="60" w:firstLine="511"/>
        <w:spacing w:after="0" w:line="257" w:lineRule="auto"/>
        <w:rPr>
          <w:sz w:val="20"/>
          <w:szCs w:val="20"/>
          <w:color w:val="auto"/>
        </w:rPr>
      </w:pPr>
      <w:r>
        <w:rPr>
          <w:rFonts w:ascii="Arial" w:cs="Arial" w:eastAsia="Arial" w:hAnsi="Arial"/>
          <w:sz w:val="14"/>
          <w:szCs w:val="14"/>
          <w:color w:val="auto"/>
        </w:rPr>
        <w:t>As additional consideration for the several agreements of Platinum under the Platinum Agreement, we issued to Platinum 400,000 shares of Series B Preferred (</w:t>
      </w:r>
      <w:r>
        <w:rPr>
          <w:rFonts w:ascii="Arial" w:cs="Arial" w:eastAsia="Arial" w:hAnsi="Arial"/>
          <w:sz w:val="14"/>
          <w:szCs w:val="14"/>
          <w:i w:val="1"/>
          <w:iCs w:val="1"/>
          <w:color w:val="auto"/>
        </w:rPr>
        <w:t>Additional Consideration</w:t>
      </w:r>
      <w:r>
        <w:rPr>
          <w:rFonts w:ascii="Arial" w:cs="Arial" w:eastAsia="Arial" w:hAnsi="Arial"/>
          <w:sz w:val="14"/>
          <w:szCs w:val="14"/>
          <w:color w:val="auto"/>
        </w:rPr>
        <w:t xml:space="preserve"> </w:t>
      </w:r>
      <w:r>
        <w:rPr>
          <w:rFonts w:ascii="Arial" w:cs="Arial" w:eastAsia="Arial" w:hAnsi="Arial"/>
          <w:sz w:val="14"/>
          <w:szCs w:val="14"/>
          <w:i w:val="1"/>
          <w:iCs w:val="1"/>
          <w:color w:val="auto"/>
        </w:rPr>
        <w:t>Shares</w:t>
      </w:r>
      <w:r>
        <w:rPr>
          <w:rFonts w:ascii="Arial" w:cs="Arial" w:eastAsia="Arial" w:hAnsi="Arial"/>
          <w:sz w:val="14"/>
          <w:szCs w:val="14"/>
          <w:color w:val="auto"/>
        </w:rPr>
        <w:t>) and Series B Warrants (</w:t>
      </w:r>
      <w:r>
        <w:rPr>
          <w:rFonts w:ascii="Arial" w:cs="Arial" w:eastAsia="Arial" w:hAnsi="Arial"/>
          <w:sz w:val="14"/>
          <w:szCs w:val="14"/>
          <w:i w:val="1"/>
          <w:iCs w:val="1"/>
          <w:color w:val="auto"/>
        </w:rPr>
        <w:t>Additional Consideration Warrants</w:t>
      </w:r>
      <w:r>
        <w:rPr>
          <w:rFonts w:ascii="Arial" w:cs="Arial" w:eastAsia="Arial" w:hAnsi="Arial"/>
          <w:sz w:val="14"/>
          <w:szCs w:val="14"/>
          <w:color w:val="auto"/>
        </w:rPr>
        <w:t>) to purchase 1.2 million shares of our common stock, and exchanged 30,000 shares of our common stock then beneficially owned or</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controlled by Platinum for 30,000 shares of Series B Preferred. Considering the exchangeability of the Series B Preferred into our common stock, the dividend applicable to the Series B Preferred prior to such exchange and other factors, we determined that the fair value of a share of Series B Preferred issued to Platinum pursuant to the Platinum Agreement was equal to the market value of a share of our common stock on the effective date of the Platinum Agreement. Based on the $10.00 per share fair value of the Series B Preferred at the May 12, 2015 effective date of the Platinum Agreement, we issued Additional Consideration Shares having an aggregate fair value of $4.0 million to Platinum. We valued the Additional Consideration Warrants at an aggregate of $8,270,900 using the Black Scholes option pricing model and the same assumptions used in valuing the Series B Warrants issued to Platinum in connection with the conversion of the Platinum Unit Notes and the Acquired Unit Notes, as described previously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We recognized the aggregate fair value of the Additional Consideration Shares and Additional Consideration Warrants as a non-cash component of loss on debt extinguishment in the quarter ended June 30, 2015, as reflected in the accompanying Condensed Consolidated Statement of Operations and Comprehensive Loss.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August 2015 Agreement with Platinum</w:t>
      </w:r>
    </w:p>
    <w:p>
      <w:pPr>
        <w:spacing w:after="0" w:line="201" w:lineRule="exact"/>
        <w:rPr>
          <w:sz w:val="20"/>
          <w:szCs w:val="20"/>
          <w:color w:val="auto"/>
        </w:rPr>
      </w:pPr>
    </w:p>
    <w:p>
      <w:pPr>
        <w:ind w:right="120" w:firstLine="511"/>
        <w:spacing w:after="0" w:line="290" w:lineRule="auto"/>
        <w:rPr>
          <w:sz w:val="20"/>
          <w:szCs w:val="20"/>
          <w:color w:val="auto"/>
        </w:rPr>
      </w:pPr>
      <w:r>
        <w:rPr>
          <w:rFonts w:ascii="Arial" w:cs="Arial" w:eastAsia="Arial" w:hAnsi="Arial"/>
          <w:sz w:val="13"/>
          <w:szCs w:val="13"/>
          <w:color w:val="auto"/>
        </w:rPr>
        <w:t>On August 3, 2015, we entered into the August 2015 Agreement with Platinum pursuant to which we agreed to sell to Platinum an additional $3.0 million of our Series B Preferred and Series B Warrants between August 15, 2015 and October 15, 2015 and issue an aggregate of 458,571 shares of Series B Preferred and Series B Warrants to purchase 458,571 shares of our common stock. Through December 31, 2015, Platinum had purchased an aggregate of $1,650,000 of Series B Preferred and Series B Warrants contemplated under the August 2015 Agreement and we had issued 235,714 shares of Series B Preferred and Series B Warrants to purchase 235,714 shares of our common stock related to such purchases.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2015 Series B Preferred Unit Offering</w:t>
      </w:r>
    </w:p>
    <w:p>
      <w:pPr>
        <w:spacing w:after="0" w:line="205" w:lineRule="exact"/>
        <w:rPr>
          <w:sz w:val="20"/>
          <w:szCs w:val="20"/>
          <w:color w:val="auto"/>
        </w:rPr>
      </w:pPr>
    </w:p>
    <w:p>
      <w:pPr>
        <w:ind w:right="20" w:firstLine="511"/>
        <w:spacing w:after="0" w:line="263" w:lineRule="auto"/>
        <w:rPr>
          <w:sz w:val="20"/>
          <w:szCs w:val="20"/>
          <w:color w:val="auto"/>
        </w:rPr>
      </w:pPr>
      <w:r>
        <w:rPr>
          <w:rFonts w:ascii="Arial" w:cs="Arial" w:eastAsia="Arial" w:hAnsi="Arial"/>
          <w:sz w:val="14"/>
          <w:szCs w:val="14"/>
          <w:color w:val="auto"/>
        </w:rPr>
        <w:t xml:space="preserve">Between May 26, 2015 and December 31, 2015, in self-placed private placement transactions, we sold to accredited investors an aggregate of $4,397,800 of units in our Series B Preferred Unit offering, which units consist of Series B Preferred and Series B Warrants (together </w:t>
      </w:r>
      <w:r>
        <w:rPr>
          <w:rFonts w:ascii="Arial" w:cs="Arial" w:eastAsia="Arial" w:hAnsi="Arial"/>
          <w:sz w:val="14"/>
          <w:szCs w:val="14"/>
          <w:i w:val="1"/>
          <w:iCs w:val="1"/>
          <w:color w:val="auto"/>
        </w:rPr>
        <w:t>Series B Preferred Units</w:t>
      </w:r>
      <w:r>
        <w:rPr>
          <w:rFonts w:ascii="Arial" w:cs="Arial" w:eastAsia="Arial" w:hAnsi="Arial"/>
          <w:sz w:val="14"/>
          <w:szCs w:val="14"/>
          <w:color w:val="auto"/>
        </w:rPr>
        <w:t>), including $2,650,000 to Platinum, which amount includes $1,650,000 pursuant to the August 2015 Agreement with Platinum. We issued 628,264 shares of Series B Preferred and Series B Warrants to purchase 628,264 shares of our common stock. Through December 31, 2015, we received an aggregate of $4,397,800 in cash proceeds from our self-placed private placement and sale of the Series B Preferred Units.</w:t>
      </w:r>
    </w:p>
    <w:p>
      <w:pPr>
        <w:spacing w:after="0" w:line="167" w:lineRule="exact"/>
        <w:rPr>
          <w:sz w:val="20"/>
          <w:szCs w:val="20"/>
          <w:color w:val="auto"/>
        </w:rPr>
      </w:pPr>
    </w:p>
    <w:p>
      <w:pPr>
        <w:ind w:right="20" w:firstLine="511"/>
        <w:spacing w:after="0" w:line="258" w:lineRule="auto"/>
        <w:rPr>
          <w:sz w:val="20"/>
          <w:szCs w:val="20"/>
          <w:color w:val="auto"/>
        </w:rPr>
      </w:pPr>
      <w:r>
        <w:rPr>
          <w:rFonts w:ascii="Arial" w:cs="Arial" w:eastAsia="Arial" w:hAnsi="Arial"/>
          <w:sz w:val="14"/>
          <w:szCs w:val="14"/>
          <w:color w:val="auto"/>
        </w:rPr>
        <w:t xml:space="preserve">We allocated the proceeds from the sale of the Series B Preferred Units to the Series B Preferred and the Seies B Warrants based on their relative fair values on the dates of the sales. As described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we determined that the fair value of a share of Series B Preferred was equal to the quoted market value of a share of our common stock on the date of a Series B Preferred Unit sale. We 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$4.12 per share, and its Conversion Price (or stated value) of $7.00 per share represents a deemed dividend to the purchasers of the Series B Preferred Units. Accordingly, we have recognized a deemed dividend in the aggregate amount of $1,811,800 in arriving at net loss attributable to common stockholders in the accompanying Condensed Consolidated Statement of Operations and Comprehensive Loss for the nine months ended December 31, 2015.</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See Note 10, </w:t>
      </w:r>
      <w:r>
        <w:rPr>
          <w:rFonts w:ascii="Arial" w:cs="Arial" w:eastAsia="Arial" w:hAnsi="Arial"/>
          <w:sz w:val="14"/>
          <w:szCs w:val="14"/>
          <w:i w:val="1"/>
          <w:iCs w:val="1"/>
          <w:color w:val="auto"/>
        </w:rPr>
        <w:t>Subsequent Events</w:t>
      </w:r>
      <w:r>
        <w:rPr>
          <w:rFonts w:ascii="Arial" w:cs="Arial" w:eastAsia="Arial" w:hAnsi="Arial"/>
          <w:sz w:val="14"/>
          <w:szCs w:val="14"/>
          <w:color w:val="auto"/>
        </w:rPr>
        <w:t>, for disclosure regarding additional sales of Series B Preferred Units after December 31, 2015.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Unit Warrants</w:t>
            </w: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0"/>
        </w:trPr>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80" w:type="dxa"/>
            <w:vAlign w:val="bottom"/>
            <w:gridSpan w:val="3"/>
          </w:tcPr>
          <w:p>
            <w:pPr>
              <w:jc w:val="center"/>
              <w:spacing w:after="0" w:line="160" w:lineRule="exact"/>
              <w:rPr>
                <w:sz w:val="20"/>
                <w:szCs w:val="20"/>
                <w:color w:val="auto"/>
              </w:rPr>
            </w:pPr>
            <w:r>
              <w:rPr>
                <w:rFonts w:ascii="Arial" w:cs="Arial" w:eastAsia="Arial" w:hAnsi="Arial"/>
                <w:sz w:val="14"/>
                <w:szCs w:val="14"/>
                <w:color w:val="auto"/>
                <w:w w:val="90"/>
              </w:rPr>
              <w:t>Weighted Average Issuance Date</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2"/>
        </w:trPr>
        <w:tc>
          <w:tcPr>
            <w:tcW w:w="6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Valuation Assumptions</w:t>
            </w:r>
          </w:p>
        </w:tc>
        <w:tc>
          <w:tcPr>
            <w:tcW w:w="6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229"/>
              <w:spacing w:after="0"/>
              <w:rPr>
                <w:sz w:val="20"/>
                <w:szCs w:val="20"/>
                <w:color w:val="auto"/>
              </w:rPr>
            </w:pPr>
            <w:r>
              <w:rPr>
                <w:rFonts w:ascii="Arial" w:cs="Arial" w:eastAsia="Arial" w:hAnsi="Arial"/>
                <w:sz w:val="14"/>
                <w:szCs w:val="14"/>
                <w:color w:val="auto"/>
              </w:rPr>
              <w:t>Per Share</w:t>
            </w:r>
          </w:p>
        </w:tc>
        <w:tc>
          <w:tcPr>
            <w:tcW w:w="1340" w:type="dxa"/>
            <w:vAlign w:val="bottom"/>
            <w:gridSpan w:val="2"/>
          </w:tcPr>
          <w:p>
            <w:pPr>
              <w:ind w:left="440"/>
              <w:spacing w:after="0"/>
              <w:rPr>
                <w:sz w:val="20"/>
                <w:szCs w:val="20"/>
                <w:color w:val="auto"/>
              </w:rPr>
            </w:pPr>
            <w:r>
              <w:rPr>
                <w:rFonts w:ascii="Arial" w:cs="Arial" w:eastAsia="Arial" w:hAnsi="Arial"/>
                <w:sz w:val="14"/>
                <w:szCs w:val="14"/>
                <w:color w:val="auto"/>
              </w:rPr>
              <w:t>Aggregate</w:t>
            </w:r>
          </w:p>
        </w:tc>
        <w:tc>
          <w:tcPr>
            <w:tcW w:w="1320" w:type="dxa"/>
            <w:vAlign w:val="bottom"/>
            <w:gridSpan w:val="2"/>
          </w:tcPr>
          <w:p>
            <w:pPr>
              <w:ind w:left="420"/>
              <w:spacing w:after="0"/>
              <w:rPr>
                <w:sz w:val="20"/>
                <w:szCs w:val="20"/>
                <w:color w:val="auto"/>
              </w:rPr>
            </w:pPr>
            <w:r>
              <w:rPr>
                <w:rFonts w:ascii="Arial" w:cs="Arial" w:eastAsia="Arial" w:hAnsi="Arial"/>
                <w:sz w:val="14"/>
                <w:szCs w:val="14"/>
                <w:color w:val="auto"/>
              </w:rPr>
              <w:t>Aggregate</w:t>
            </w:r>
          </w:p>
        </w:tc>
        <w:tc>
          <w:tcPr>
            <w:tcW w:w="2720" w:type="dxa"/>
            <w:vAlign w:val="bottom"/>
            <w:gridSpan w:val="2"/>
          </w:tcPr>
          <w:p>
            <w:pPr>
              <w:jc w:val="right"/>
              <w:ind w:right="169"/>
              <w:spacing w:after="0"/>
              <w:rPr>
                <w:sz w:val="20"/>
                <w:szCs w:val="20"/>
                <w:color w:val="auto"/>
              </w:rPr>
            </w:pPr>
            <w:r>
              <w:rPr>
                <w:rFonts w:ascii="Arial" w:cs="Arial" w:eastAsia="Arial" w:hAnsi="Arial"/>
                <w:sz w:val="14"/>
                <w:szCs w:val="14"/>
                <w:color w:val="auto"/>
              </w:rPr>
              <w:t>Aggregate Allocation of Proceeds</w:t>
            </w:r>
          </w:p>
        </w:tc>
      </w:tr>
      <w:tr>
        <w:trPr>
          <w:trHeight w:val="150"/>
        </w:trPr>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2"/>
              </w:rPr>
              <w:t>Warrant</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Risk free</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309"/>
              <w:spacing w:after="0" w:line="149" w:lineRule="exact"/>
              <w:rPr>
                <w:sz w:val="20"/>
                <w:szCs w:val="20"/>
                <w:color w:val="auto"/>
              </w:rPr>
            </w:pPr>
            <w:r>
              <w:rPr>
                <w:rFonts w:ascii="Arial" w:cs="Arial" w:eastAsia="Arial" w:hAnsi="Arial"/>
                <w:sz w:val="14"/>
                <w:szCs w:val="14"/>
                <w:color w:val="auto"/>
                <w:w w:val="99"/>
              </w:rPr>
              <w:t>Fair</w:t>
            </w: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Fair Value</w:t>
            </w: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7"/>
              </w:rPr>
              <w:t>Proceeds</w:t>
            </w:r>
          </w:p>
        </w:tc>
        <w:tc>
          <w:tcPr>
            <w:tcW w:w="2720" w:type="dxa"/>
            <w:vAlign w:val="bottom"/>
            <w:gridSpan w:val="2"/>
          </w:tcPr>
          <w:p>
            <w:pPr>
              <w:jc w:val="right"/>
              <w:ind w:right="469"/>
              <w:spacing w:after="0" w:line="149" w:lineRule="exact"/>
              <w:rPr>
                <w:sz w:val="20"/>
                <w:szCs w:val="20"/>
                <w:color w:val="auto"/>
              </w:rPr>
            </w:pPr>
            <w:r>
              <w:rPr>
                <w:rFonts w:ascii="Arial" w:cs="Arial" w:eastAsia="Arial" w:hAnsi="Arial"/>
                <w:sz w:val="14"/>
                <w:szCs w:val="14"/>
                <w:color w:val="auto"/>
              </w:rPr>
              <w:t>Based on Relative Fair Value of:</w:t>
            </w:r>
          </w:p>
        </w:tc>
      </w:tr>
      <w:tr>
        <w:trPr>
          <w:trHeight w:val="160"/>
        </w:trPr>
        <w:tc>
          <w:tcPr>
            <w:tcW w:w="660" w:type="dxa"/>
            <w:vAlign w:val="bottom"/>
          </w:tcPr>
          <w:p>
            <w:pPr>
              <w:jc w:val="center"/>
              <w:spacing w:after="0" w:line="160" w:lineRule="exact"/>
              <w:rPr>
                <w:sz w:val="20"/>
                <w:szCs w:val="20"/>
                <w:color w:val="auto"/>
              </w:rPr>
            </w:pPr>
            <w:r>
              <w:rPr>
                <w:rFonts w:ascii="Arial" w:cs="Arial" w:eastAsia="Arial" w:hAnsi="Arial"/>
                <w:sz w:val="14"/>
                <w:szCs w:val="14"/>
                <w:color w:val="auto"/>
                <w:w w:val="85"/>
              </w:rPr>
              <w:t>Shares</w:t>
            </w:r>
          </w:p>
        </w:tc>
        <w:tc>
          <w:tcPr>
            <w:tcW w:w="700" w:type="dxa"/>
            <w:vAlign w:val="bottom"/>
          </w:tcPr>
          <w:p>
            <w:pPr>
              <w:jc w:val="center"/>
              <w:spacing w:after="0" w:line="160" w:lineRule="exact"/>
              <w:rPr>
                <w:sz w:val="20"/>
                <w:szCs w:val="20"/>
                <w:color w:val="auto"/>
              </w:rPr>
            </w:pPr>
            <w:r>
              <w:rPr>
                <w:rFonts w:ascii="Arial" w:cs="Arial" w:eastAsia="Arial" w:hAnsi="Arial"/>
                <w:sz w:val="14"/>
                <w:szCs w:val="14"/>
                <w:color w:val="auto"/>
                <w:w w:val="93"/>
              </w:rPr>
              <w:t>Market</w:t>
            </w:r>
          </w:p>
        </w:tc>
        <w:tc>
          <w:tcPr>
            <w:tcW w:w="680" w:type="dxa"/>
            <w:vAlign w:val="bottom"/>
          </w:tcPr>
          <w:p>
            <w:pPr>
              <w:jc w:val="center"/>
              <w:ind w:right="9"/>
              <w:spacing w:after="0" w:line="160" w:lineRule="exact"/>
              <w:rPr>
                <w:sz w:val="20"/>
                <w:szCs w:val="20"/>
                <w:color w:val="auto"/>
              </w:rPr>
            </w:pPr>
            <w:r>
              <w:rPr>
                <w:rFonts w:ascii="Arial" w:cs="Arial" w:eastAsia="Arial" w:hAnsi="Arial"/>
                <w:sz w:val="14"/>
                <w:szCs w:val="14"/>
                <w:color w:val="auto"/>
                <w:w w:val="89"/>
              </w:rPr>
              <w:t>Exercise</w:t>
            </w:r>
          </w:p>
        </w:tc>
        <w:tc>
          <w:tcPr>
            <w:tcW w:w="640" w:type="dxa"/>
            <w:vAlign w:val="bottom"/>
          </w:tcPr>
          <w:p>
            <w:pPr>
              <w:jc w:val="center"/>
              <w:ind w:right="29"/>
              <w:spacing w:after="0" w:line="160" w:lineRule="exact"/>
              <w:rPr>
                <w:sz w:val="20"/>
                <w:szCs w:val="20"/>
                <w:color w:val="auto"/>
              </w:rPr>
            </w:pPr>
            <w:r>
              <w:rPr>
                <w:rFonts w:ascii="Arial" w:cs="Arial" w:eastAsia="Arial" w:hAnsi="Arial"/>
                <w:sz w:val="14"/>
                <w:szCs w:val="14"/>
                <w:color w:val="auto"/>
                <w:w w:val="91"/>
              </w:rPr>
              <w:t>Term</w:t>
            </w:r>
          </w:p>
        </w:tc>
        <w:tc>
          <w:tcPr>
            <w:tcW w:w="660" w:type="dxa"/>
            <w:vAlign w:val="bottom"/>
          </w:tcPr>
          <w:p>
            <w:pPr>
              <w:jc w:val="center"/>
              <w:ind w:right="9"/>
              <w:spacing w:after="0" w:line="160" w:lineRule="exact"/>
              <w:rPr>
                <w:sz w:val="20"/>
                <w:szCs w:val="20"/>
                <w:color w:val="auto"/>
              </w:rPr>
            </w:pPr>
            <w:r>
              <w:rPr>
                <w:rFonts w:ascii="Arial" w:cs="Arial" w:eastAsia="Arial" w:hAnsi="Arial"/>
                <w:sz w:val="14"/>
                <w:szCs w:val="14"/>
                <w:color w:val="auto"/>
                <w:w w:val="89"/>
              </w:rPr>
              <w:t>Interest</w:t>
            </w:r>
          </w:p>
        </w:tc>
        <w:tc>
          <w:tcPr>
            <w:tcW w:w="680" w:type="dxa"/>
            <w:vAlign w:val="bottom"/>
          </w:tcPr>
          <w:p>
            <w:pPr>
              <w:spacing w:after="0"/>
              <w:rPr>
                <w:sz w:val="13"/>
                <w:szCs w:val="13"/>
                <w:color w:val="auto"/>
              </w:rPr>
            </w:pPr>
          </w:p>
        </w:tc>
        <w:tc>
          <w:tcPr>
            <w:tcW w:w="800" w:type="dxa"/>
            <w:vAlign w:val="bottom"/>
            <w:gridSpan w:val="2"/>
          </w:tcPr>
          <w:p>
            <w:pPr>
              <w:jc w:val="center"/>
              <w:ind w:right="240"/>
              <w:spacing w:after="0" w:line="160" w:lineRule="exact"/>
              <w:rPr>
                <w:sz w:val="20"/>
                <w:szCs w:val="20"/>
                <w:color w:val="auto"/>
              </w:rPr>
            </w:pPr>
            <w:r>
              <w:rPr>
                <w:rFonts w:ascii="Arial" w:cs="Arial" w:eastAsia="Arial" w:hAnsi="Arial"/>
                <w:sz w:val="14"/>
                <w:szCs w:val="14"/>
                <w:color w:val="auto"/>
                <w:w w:val="95"/>
              </w:rPr>
              <w:t>Dividend</w:t>
            </w:r>
          </w:p>
        </w:tc>
        <w:tc>
          <w:tcPr>
            <w:tcW w:w="1260" w:type="dxa"/>
            <w:vAlign w:val="bottom"/>
          </w:tcPr>
          <w:p>
            <w:pPr>
              <w:jc w:val="center"/>
              <w:ind w:right="309"/>
              <w:spacing w:after="0" w:line="160" w:lineRule="exact"/>
              <w:rPr>
                <w:sz w:val="20"/>
                <w:szCs w:val="20"/>
                <w:color w:val="auto"/>
              </w:rPr>
            </w:pPr>
            <w:r>
              <w:rPr>
                <w:rFonts w:ascii="Arial" w:cs="Arial" w:eastAsia="Arial" w:hAnsi="Arial"/>
                <w:sz w:val="14"/>
                <w:szCs w:val="14"/>
                <w:color w:val="auto"/>
                <w:w w:val="93"/>
              </w:rPr>
              <w:t>Value of</w:t>
            </w:r>
          </w:p>
        </w:tc>
        <w:tc>
          <w:tcPr>
            <w:tcW w:w="1340" w:type="dxa"/>
            <w:vAlign w:val="bottom"/>
            <w:gridSpan w:val="2"/>
          </w:tcPr>
          <w:p>
            <w:pPr>
              <w:jc w:val="center"/>
              <w:ind w:right="380"/>
              <w:spacing w:after="0" w:line="160" w:lineRule="exact"/>
              <w:rPr>
                <w:sz w:val="20"/>
                <w:szCs w:val="20"/>
                <w:color w:val="auto"/>
              </w:rPr>
            </w:pPr>
            <w:r>
              <w:rPr>
                <w:rFonts w:ascii="Arial" w:cs="Arial" w:eastAsia="Arial" w:hAnsi="Arial"/>
                <w:sz w:val="14"/>
                <w:szCs w:val="14"/>
                <w:color w:val="auto"/>
                <w:w w:val="98"/>
              </w:rPr>
              <w:t>of Unit</w:t>
            </w:r>
          </w:p>
        </w:tc>
        <w:tc>
          <w:tcPr>
            <w:tcW w:w="1120" w:type="dxa"/>
            <w:vAlign w:val="bottom"/>
          </w:tcPr>
          <w:p>
            <w:pPr>
              <w:jc w:val="center"/>
              <w:ind w:right="129"/>
              <w:spacing w:after="0" w:line="160" w:lineRule="exact"/>
              <w:rPr>
                <w:sz w:val="20"/>
                <w:szCs w:val="20"/>
                <w:color w:val="auto"/>
              </w:rPr>
            </w:pPr>
            <w:r>
              <w:rPr>
                <w:rFonts w:ascii="Arial" w:cs="Arial" w:eastAsia="Arial" w:hAnsi="Arial"/>
                <w:sz w:val="14"/>
                <w:szCs w:val="14"/>
                <w:color w:val="auto"/>
                <w:w w:val="98"/>
              </w:rPr>
              <w:t>of Unit</w:t>
            </w:r>
          </w:p>
        </w:tc>
        <w:tc>
          <w:tcPr>
            <w:tcW w:w="2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89"/>
              <w:spacing w:after="0" w:line="160" w:lineRule="exact"/>
              <w:rPr>
                <w:sz w:val="20"/>
                <w:szCs w:val="20"/>
                <w:color w:val="auto"/>
              </w:rPr>
            </w:pPr>
            <w:r>
              <w:rPr>
                <w:rFonts w:ascii="Arial" w:cs="Arial" w:eastAsia="Arial" w:hAnsi="Arial"/>
                <w:sz w:val="14"/>
                <w:szCs w:val="14"/>
                <w:color w:val="auto"/>
              </w:rPr>
              <w:t>Unit</w:t>
            </w:r>
          </w:p>
        </w:tc>
      </w:tr>
      <w:tr>
        <w:trPr>
          <w:trHeight w:val="182"/>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Issued</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Price</w:t>
            </w:r>
          </w:p>
        </w:tc>
        <w:tc>
          <w:tcPr>
            <w:tcW w:w="6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87"/>
              </w:rPr>
              <w:t>Price</w:t>
            </w:r>
          </w:p>
        </w:tc>
        <w:tc>
          <w:tcPr>
            <w:tcW w:w="64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87"/>
              </w:rPr>
              <w:t>(Years)</w:t>
            </w:r>
          </w:p>
        </w:tc>
        <w:tc>
          <w:tcPr>
            <w:tcW w:w="6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w w:val="87"/>
              </w:rPr>
              <w:t>Rate</w:t>
            </w: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Volatility</w:t>
            </w:r>
          </w:p>
        </w:tc>
        <w:tc>
          <w:tcPr>
            <w:tcW w:w="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87"/>
              </w:rPr>
              <w:t>Rate</w:t>
            </w:r>
          </w:p>
        </w:tc>
        <w:tc>
          <w:tcPr>
            <w:tcW w:w="1260" w:type="dxa"/>
            <w:vAlign w:val="bottom"/>
            <w:tcBorders>
              <w:bottom w:val="single" w:sz="8" w:color="auto"/>
            </w:tcBorders>
          </w:tcPr>
          <w:p>
            <w:pPr>
              <w:jc w:val="center"/>
              <w:ind w:right="309"/>
              <w:spacing w:after="0"/>
              <w:rPr>
                <w:sz w:val="20"/>
                <w:szCs w:val="20"/>
                <w:color w:val="auto"/>
              </w:rPr>
            </w:pPr>
            <w:r>
              <w:rPr>
                <w:rFonts w:ascii="Arial" w:cs="Arial" w:eastAsia="Arial" w:hAnsi="Arial"/>
                <w:sz w:val="14"/>
                <w:szCs w:val="14"/>
                <w:color w:val="auto"/>
                <w:w w:val="88"/>
              </w:rPr>
              <w:t>Warrant</w:t>
            </w:r>
          </w:p>
        </w:tc>
        <w:tc>
          <w:tcPr>
            <w:tcW w:w="13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color w:val="auto"/>
                <w:w w:val="87"/>
              </w:rPr>
              <w:t>Warrants</w:t>
            </w:r>
          </w:p>
        </w:tc>
        <w:tc>
          <w:tcPr>
            <w:tcW w:w="13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color w:val="auto"/>
                <w:w w:val="85"/>
              </w:rPr>
              <w:t>Sales</w:t>
            </w:r>
          </w:p>
        </w:tc>
        <w:tc>
          <w:tcPr>
            <w:tcW w:w="152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Unit Stock</w:t>
            </w:r>
          </w:p>
        </w:tc>
        <w:tc>
          <w:tcPr>
            <w:tcW w:w="120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color w:val="auto"/>
                <w:w w:val="92"/>
              </w:rPr>
              <w:t>Warrant</w:t>
            </w:r>
          </w:p>
        </w:tc>
      </w:tr>
      <w:tr>
        <w:trPr>
          <w:trHeight w:val="170"/>
        </w:trPr>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6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86"/>
              </w:rPr>
              <w:t>628,264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$ 10.86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$ 7.00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0.0%</w:t>
            </w:r>
          </w:p>
        </w:tc>
        <w:tc>
          <w:tcPr>
            <w:tcW w:w="1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$ 7.72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$ 4,849,100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$ 4,397,800</w:t>
            </w:r>
          </w:p>
        </w:tc>
        <w:tc>
          <w:tcPr>
            <w:tcW w:w="152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$ 2,585,900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$ 1,811,900</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Statement for Common Stock underlying Series B Preferred and Series B Warrants</w:t>
      </w:r>
    </w:p>
    <w:p>
      <w:pPr>
        <w:spacing w:after="0" w:line="205" w:lineRule="exact"/>
        <w:rPr>
          <w:sz w:val="20"/>
          <w:szCs w:val="20"/>
          <w:color w:val="auto"/>
        </w:rPr>
      </w:pPr>
    </w:p>
    <w:p>
      <w:pPr>
        <w:ind w:right="100" w:firstLine="511"/>
        <w:spacing w:after="0" w:line="283" w:lineRule="auto"/>
        <w:rPr>
          <w:sz w:val="20"/>
          <w:szCs w:val="20"/>
          <w:color w:val="auto"/>
        </w:rPr>
      </w:pPr>
      <w:r>
        <w:rPr>
          <w:rFonts w:ascii="Arial" w:cs="Arial" w:eastAsia="Arial" w:hAnsi="Arial"/>
          <w:sz w:val="13"/>
          <w:szCs w:val="13"/>
          <w:color w:val="auto"/>
        </w:rPr>
        <w:t>The securities purchase agreements for the Series B Preferred and Series B Preferred Units executed with Platinum, the holders of the Investor Unit Notes, the holders of our promissory notes and other contractual indebtedness converted into shares of Series B Preferred, initial investors in Series B Preferred Units, and certain others to whom we issued Series B Preferred, contained registration rights requiring that a Registration Statement on Form S-1 (</w:t>
      </w:r>
      <w:r>
        <w:rPr>
          <w:rFonts w:ascii="Arial" w:cs="Arial" w:eastAsia="Arial" w:hAnsi="Arial"/>
          <w:sz w:val="13"/>
          <w:szCs w:val="13"/>
          <w:i w:val="1"/>
          <w:iCs w:val="1"/>
          <w:color w:val="auto"/>
        </w:rPr>
        <w:t>Registration Statement</w:t>
      </w:r>
      <w:r>
        <w:rPr>
          <w:rFonts w:ascii="Arial" w:cs="Arial" w:eastAsia="Arial" w:hAnsi="Arial"/>
          <w:sz w:val="13"/>
          <w:szCs w:val="13"/>
          <w:color w:val="auto"/>
        </w:rPr>
        <w:t>) registering, under the Securities Act, certain shares of common stock underlying the Series B Preferred and the Series B Warrants be declared effective on or before August 30, 2015. We filed an initial Registration Statement with the SEC on July 21, 2015, which we amended on August 25, 2015, and which was declared effective by the SEC on August 28, 2015. The Registration Statement registered an aggregate of 3,992,479 shares of our common stock underlying outstanding Series B Preferred and Series B Warrants. Accordingly, we incurred no cash or in kind penalties under the securities purchase agreements.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3" w:name="page214"/>
    <w:bookmarkEnd w:id="21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of Series B Preferred to Common Stock</w:t>
      </w:r>
    </w:p>
    <w:p>
      <w:pPr>
        <w:spacing w:after="0" w:line="205" w:lineRule="exact"/>
        <w:rPr>
          <w:sz w:val="20"/>
          <w:szCs w:val="20"/>
          <w:color w:val="auto"/>
        </w:rPr>
      </w:pPr>
    </w:p>
    <w:p>
      <w:pPr>
        <w:ind w:right="100" w:firstLine="511"/>
        <w:spacing w:after="0" w:line="323" w:lineRule="auto"/>
        <w:rPr>
          <w:sz w:val="20"/>
          <w:szCs w:val="20"/>
          <w:color w:val="auto"/>
        </w:rPr>
      </w:pPr>
      <w:r>
        <w:rPr>
          <w:rFonts w:ascii="Arial" w:cs="Arial" w:eastAsia="Arial" w:hAnsi="Arial"/>
          <w:sz w:val="13"/>
          <w:szCs w:val="13"/>
          <w:color w:val="auto"/>
        </w:rPr>
        <w:t>Between September 2015 and December 31, 2015, holders of an aggregate of 213,318 shares of Series B Preferred converted such shares into an equivalent number of registered shares of our common stock. Additionally, we issued an aggregate of 5,976 shares of our restricted common stock in payment of $43,500 in accrued dividends on the Series B Preferred converted.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to Professional Service Providers</w:t>
      </w:r>
    </w:p>
    <w:p>
      <w:pPr>
        <w:spacing w:after="0" w:line="205" w:lineRule="exact"/>
        <w:rPr>
          <w:sz w:val="20"/>
          <w:szCs w:val="20"/>
          <w:color w:val="auto"/>
        </w:rPr>
      </w:pPr>
    </w:p>
    <w:p>
      <w:pPr>
        <w:ind w:right="20" w:firstLine="511"/>
        <w:spacing w:after="0" w:line="278" w:lineRule="auto"/>
        <w:rPr>
          <w:sz w:val="20"/>
          <w:szCs w:val="20"/>
          <w:color w:val="auto"/>
        </w:rPr>
      </w:pPr>
      <w:r>
        <w:rPr>
          <w:rFonts w:ascii="Arial" w:cs="Arial" w:eastAsia="Arial" w:hAnsi="Arial"/>
          <w:sz w:val="13"/>
          <w:szCs w:val="13"/>
          <w:color w:val="auto"/>
        </w:rPr>
        <w:t>In June 2015, we issued, in a self-placed private placement transaction, an aggregate of 25,000 shares of our Series B Preferred having a fair value of $250,000 as compensation for legal services related to our debt restructuring and other corporate finance matters. Effective on June 30, 2015, we issued, in a self-placed private placement transaction, an aggregate of 90,000 shares of our Series B Preferred having an aggregate value of $1,350,000 as compensation for financial advisory and corporate development service contracts with two independent contractors for services to be performed through June 30, 2016. The value of the Series B Preferred grants was recorded as a prepaid expense in the Condensed Consolidated Balance Sheet at the date of the grant and is being expensed ratably over the twelve months ending June 30, 2016, with $337,500 and $675,000 expensed as a component of general and administrative expense in the three and nine months ended December 31, 2015, respectively. During the quarter ended June 30, 2015, we also issued, in a self-placed private placement transaction, an aggregate of 50,000 shares of our common stock, having an aggregate value of $500,000, as compensation under two corporate development service contracts. The value of the common stock grants was expensed as a component of general and administrative expense in the Condensed Consolidated Statement of Operations and Comprehensive Loss for the quarter ended June 30, 2015. During the quarter ended September 30, 2015, we issued, in a self-placed private placement transaction, an aggregate of 10,000 shares of our Series B Preferred having an aggregate fair value of $120,000 to two providers of intellectual property-related legal services. During the quarter ended December 31, 2015, we issued warrants to purchase an aggregate of 45,000 shares of our unregistered common stock to four parties as compensation under certain investment banking agreements. We valued the warrants granted on the dates indicated using the Black Scholes Option Pricing Model and the following assumptions.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9"/>
              </w:rPr>
              <w:t>11/23/2015</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12/11/2015</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6.75</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7.00</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Contractual term in years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77.95%</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77.88%</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Arial" w:cs="Arial" w:eastAsia="Arial" w:hAnsi="Arial"/>
                <w:sz w:val="14"/>
                <w:szCs w:val="14"/>
                <w:b w:val="1"/>
                <w:bCs w:val="1"/>
                <w:color w:val="auto"/>
              </w:rPr>
              <w:t>Fair Value per share</w:t>
            </w:r>
          </w:p>
        </w:tc>
        <w:tc>
          <w:tcPr>
            <w:tcW w:w="416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4.22</w:t>
            </w:r>
          </w:p>
        </w:tc>
        <w:tc>
          <w:tcPr>
            <w:tcW w:w="540" w:type="dxa"/>
            <w:vAlign w:val="bottom"/>
          </w:tcPr>
          <w:p>
            <w:pPr>
              <w:jc w:val="right"/>
              <w:ind w:right="269"/>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b w:val="1"/>
                <w:bCs w:val="1"/>
                <w:color w:val="auto"/>
              </w:rPr>
              <w:t>2.12</w:t>
            </w:r>
          </w:p>
        </w:tc>
      </w:tr>
      <w:tr>
        <w:trPr>
          <w:trHeight w:val="170"/>
        </w:trPr>
        <w:tc>
          <w:tcPr>
            <w:tcW w:w="5080" w:type="dxa"/>
            <w:vAlign w:val="bottom"/>
            <w:shd w:val="clear" w:color="auto" w:fill="CCEEFF"/>
          </w:tcPr>
          <w:p>
            <w:pPr>
              <w:spacing w:after="0"/>
              <w:rPr>
                <w:sz w:val="20"/>
                <w:szCs w:val="20"/>
                <w:color w:val="auto"/>
              </w:rPr>
            </w:pPr>
            <w:r>
              <w:rPr>
                <w:rFonts w:ascii="Arial" w:cs="Arial" w:eastAsia="Arial" w:hAnsi="Arial"/>
                <w:sz w:val="14"/>
                <w:szCs w:val="14"/>
                <w:color w:val="auto"/>
              </w:rPr>
              <w:t>Warrant shares granted</w:t>
            </w:r>
          </w:p>
        </w:tc>
        <w:tc>
          <w:tcPr>
            <w:tcW w:w="4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7,500</w:t>
            </w: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37,500</w:t>
            </w:r>
          </w:p>
        </w:tc>
      </w:tr>
      <w:tr>
        <w:trPr>
          <w:trHeight w:val="180"/>
        </w:trPr>
        <w:tc>
          <w:tcPr>
            <w:tcW w:w="5080" w:type="dxa"/>
            <w:vAlign w:val="bottom"/>
          </w:tcPr>
          <w:p>
            <w:pPr>
              <w:spacing w:after="0"/>
              <w:rPr>
                <w:sz w:val="20"/>
                <w:szCs w:val="20"/>
                <w:color w:val="auto"/>
              </w:rPr>
            </w:pPr>
            <w:r>
              <w:rPr>
                <w:rFonts w:ascii="Arial" w:cs="Arial" w:eastAsia="Arial" w:hAnsi="Arial"/>
                <w:sz w:val="14"/>
                <w:szCs w:val="14"/>
                <w:color w:val="auto"/>
              </w:rPr>
              <w:t>Expense recognized</w:t>
            </w:r>
          </w:p>
        </w:tc>
        <w:tc>
          <w:tcPr>
            <w:tcW w:w="416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31,700</w:t>
            </w:r>
          </w:p>
        </w:tc>
        <w:tc>
          <w:tcPr>
            <w:tcW w:w="5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79,600</w:t>
            </w:r>
          </w:p>
        </w:tc>
      </w:tr>
    </w:tbl>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color w:val="auto"/>
        </w:rPr>
        <w:t>In connection with the November 2015 warrant grant, we also issued 15,750 shares of unregistered common stock valued at $106,300 and, in connection with the December 11, 2015 warrant grant, we made a cash payment of $20,000. We recognized an aggregate of $237,600 in general and administrative expense during the quarter ended December 31, 2015 attributable to these agreements, of which $20,000 was cash.</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of Warrants</w:t>
      </w:r>
    </w:p>
    <w:p>
      <w:pPr>
        <w:spacing w:after="0" w:line="205" w:lineRule="exact"/>
        <w:rPr>
          <w:sz w:val="20"/>
          <w:szCs w:val="20"/>
          <w:color w:val="auto"/>
        </w:rPr>
      </w:pPr>
    </w:p>
    <w:p>
      <w:pPr>
        <w:ind w:right="180" w:firstLine="511"/>
        <w:spacing w:after="0" w:line="314" w:lineRule="auto"/>
        <w:rPr>
          <w:sz w:val="20"/>
          <w:szCs w:val="20"/>
          <w:color w:val="auto"/>
        </w:rPr>
      </w:pPr>
      <w:r>
        <w:rPr>
          <w:rFonts w:ascii="Arial" w:cs="Arial" w:eastAsia="Arial" w:hAnsi="Arial"/>
          <w:sz w:val="12"/>
          <w:szCs w:val="12"/>
          <w:color w:val="auto"/>
        </w:rPr>
        <w:t xml:space="preserve">In addition to warrants modified in connection with conversions of certain of our outstanding promissory notes into Series B Preferred as described earlier in Note 7, </w:t>
      </w:r>
      <w:r>
        <w:rPr>
          <w:rFonts w:ascii="Arial" w:cs="Arial" w:eastAsia="Arial" w:hAnsi="Arial"/>
          <w:sz w:val="12"/>
          <w:szCs w:val="12"/>
          <w:i w:val="1"/>
          <w:iCs w:val="1"/>
          <w:color w:val="auto"/>
        </w:rPr>
        <w:t>Convertible Promissory</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Notes and Other Notes Payable, </w:t>
      </w:r>
      <w:r>
        <w:rPr>
          <w:rFonts w:ascii="Arial" w:cs="Arial" w:eastAsia="Arial" w:hAnsi="Arial"/>
          <w:sz w:val="12"/>
          <w:szCs w:val="12"/>
          <w:color w:val="auto"/>
        </w:rPr>
        <w:t>on June 10, 2015, we modified certain other outstanding warrants to purchase an aggregate of 54,576 shares of our common stock to reduce their exercise price. We</w:t>
      </w:r>
      <w:r>
        <w:rPr>
          <w:rFonts w:ascii="Arial" w:cs="Arial" w:eastAsia="Arial" w:hAnsi="Arial"/>
          <w:sz w:val="12"/>
          <w:szCs w:val="12"/>
          <w:i w:val="1"/>
          <w:iCs w:val="1"/>
          <w:color w:val="auto"/>
        </w:rPr>
        <w:t xml:space="preserve"> </w:t>
      </w:r>
      <w:r>
        <w:rPr>
          <w:rFonts w:ascii="Arial" w:cs="Arial" w:eastAsia="Arial" w:hAnsi="Arial"/>
          <w:sz w:val="12"/>
          <w:szCs w:val="12"/>
          <w:color w:val="auto"/>
        </w:rPr>
        <w:t>calculated the fair value of the modified warrants immediately before and after the modifications and determined that the fair value of the warrants increased by an aggregate of $122,300, which we recognized as a component of general and administrative expense in the Condensed Consolidated Statements of Operations and Comprehensive Loss for the quarter ended June 30, 2015, with a corresponding credit to additional paid-in capital. The warrants subject to the exercise price modifications were valued using the Black-Scholes Option Pricing Model and the following assumptions: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4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6"/>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45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45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30.23</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11.92</w:t>
            </w:r>
          </w:p>
        </w:tc>
      </w:tr>
      <w:tr>
        <w:trPr>
          <w:trHeight w:val="170"/>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4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0.83%</w:t>
            </w:r>
          </w:p>
        </w:tc>
      </w:tr>
      <w:tr>
        <w:trPr>
          <w:trHeight w:val="170"/>
        </w:trPr>
        <w:tc>
          <w:tcPr>
            <w:tcW w:w="4400" w:type="dxa"/>
            <w:vAlign w:val="bottom"/>
          </w:tcPr>
          <w:p>
            <w:pPr>
              <w:spacing w:after="0"/>
              <w:rPr>
                <w:sz w:val="20"/>
                <w:szCs w:val="20"/>
                <w:color w:val="auto"/>
              </w:rPr>
            </w:pPr>
            <w:r>
              <w:rPr>
                <w:rFonts w:ascii="Arial" w:cs="Arial" w:eastAsia="Arial" w:hAnsi="Arial"/>
                <w:sz w:val="14"/>
                <w:szCs w:val="14"/>
                <w:color w:val="auto"/>
              </w:rPr>
              <w:t>Remaining contractual term in years (weighted average)</w:t>
            </w: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2.26</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2.26</w:t>
            </w:r>
          </w:p>
        </w:tc>
      </w:tr>
      <w:tr>
        <w:trPr>
          <w:trHeight w:val="170"/>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4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73.7%</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73.7%</w:t>
            </w:r>
          </w:p>
        </w:tc>
      </w:tr>
      <w:tr>
        <w:trPr>
          <w:trHeight w:val="170"/>
        </w:trPr>
        <w:tc>
          <w:tcPr>
            <w:tcW w:w="4400" w:type="dxa"/>
            <w:vAlign w:val="bottom"/>
          </w:tcPr>
          <w:p>
            <w:pPr>
              <w:spacing w:after="0"/>
              <w:rPr>
                <w:sz w:val="20"/>
                <w:szCs w:val="20"/>
                <w:color w:val="auto"/>
              </w:rPr>
            </w:pPr>
            <w:r>
              <w:rPr>
                <w:rFonts w:ascii="Arial" w:cs="Arial" w:eastAsia="Arial" w:hAnsi="Arial"/>
                <w:sz w:val="14"/>
                <w:szCs w:val="14"/>
                <w:color w:val="auto"/>
              </w:rPr>
              <w:t>Dividend rate</w:t>
            </w:r>
          </w:p>
        </w:tc>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44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4400" w:type="dxa"/>
            <w:vAlign w:val="bottom"/>
          </w:tcPr>
          <w:p>
            <w:pPr>
              <w:spacing w:after="0"/>
              <w:rPr>
                <w:sz w:val="20"/>
                <w:szCs w:val="20"/>
                <w:color w:val="auto"/>
              </w:rPr>
            </w:pPr>
            <w:r>
              <w:rPr>
                <w:rFonts w:ascii="Arial" w:cs="Arial" w:eastAsia="Arial" w:hAnsi="Arial"/>
                <w:sz w:val="14"/>
                <w:szCs w:val="14"/>
                <w:b w:val="1"/>
                <w:bCs w:val="1"/>
                <w:color w:val="auto"/>
              </w:rPr>
              <w:t>Fair Value per share (weighted average)</w:t>
            </w:r>
          </w:p>
        </w:tc>
        <w:tc>
          <w:tcPr>
            <w:tcW w:w="45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1.55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3.79</w:t>
            </w:r>
          </w:p>
        </w:tc>
      </w:tr>
      <w:tr>
        <w:trPr>
          <w:trHeight w:val="464"/>
        </w:trPr>
        <w:tc>
          <w:tcPr>
            <w:tcW w:w="4400" w:type="dxa"/>
            <w:vAlign w:val="bottom"/>
          </w:tcPr>
          <w:p>
            <w:pPr>
              <w:spacing w:after="0"/>
              <w:rPr>
                <w:sz w:val="24"/>
                <w:szCs w:val="24"/>
                <w:color w:val="auto"/>
              </w:rPr>
            </w:pPr>
          </w:p>
        </w:tc>
        <w:tc>
          <w:tcPr>
            <w:tcW w:w="4560" w:type="dxa"/>
            <w:vAlign w:val="bottom"/>
            <w:gridSpan w:val="3"/>
          </w:tcPr>
          <w:p>
            <w:pPr>
              <w:jc w:val="right"/>
              <w:ind w:right="3100"/>
              <w:spacing w:after="0"/>
              <w:rPr>
                <w:sz w:val="20"/>
                <w:szCs w:val="20"/>
                <w:color w:val="auto"/>
              </w:rPr>
            </w:pPr>
            <w:r>
              <w:rPr>
                <w:rFonts w:ascii="Arial" w:cs="Arial" w:eastAsia="Arial" w:hAnsi="Arial"/>
                <w:sz w:val="14"/>
                <w:szCs w:val="14"/>
                <w:color w:val="auto"/>
              </w:rPr>
              <w:t>F-70</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2"/>
        </w:trPr>
        <w:tc>
          <w:tcPr>
            <w:tcW w:w="4400" w:type="dxa"/>
            <w:vAlign w:val="bottom"/>
            <w:tcBorders>
              <w:bottom w:val="single" w:sz="8" w:color="808080"/>
            </w:tcBorders>
          </w:tcPr>
          <w:p>
            <w:pPr>
              <w:spacing w:after="0"/>
              <w:rPr>
                <w:sz w:val="7"/>
                <w:szCs w:val="7"/>
                <w:color w:val="auto"/>
              </w:rPr>
            </w:pPr>
          </w:p>
        </w:tc>
        <w:tc>
          <w:tcPr>
            <w:tcW w:w="43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4" w:name="page215"/>
    <w:bookmarkEnd w:id="21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 Grants and Modifications</w:t>
      </w:r>
    </w:p>
    <w:p>
      <w:pPr>
        <w:spacing w:after="0" w:line="205" w:lineRule="exact"/>
        <w:rPr>
          <w:sz w:val="20"/>
          <w:szCs w:val="20"/>
          <w:color w:val="auto"/>
        </w:rPr>
      </w:pPr>
    </w:p>
    <w:p>
      <w:pPr>
        <w:ind w:right="120" w:firstLine="511"/>
        <w:spacing w:after="0" w:line="259" w:lineRule="auto"/>
        <w:rPr>
          <w:sz w:val="20"/>
          <w:szCs w:val="20"/>
          <w:color w:val="auto"/>
        </w:rPr>
      </w:pPr>
      <w:r>
        <w:rPr>
          <w:rFonts w:ascii="Arial" w:cs="Arial" w:eastAsia="Arial" w:hAnsi="Arial"/>
          <w:sz w:val="14"/>
          <w:szCs w:val="14"/>
          <w:color w:val="auto"/>
        </w:rPr>
        <w:t>On September 2, 2015, when the market price of our common stock was $9.11 per share, our Board of Directors (</w:t>
      </w:r>
      <w:r>
        <w:rPr>
          <w:rFonts w:ascii="Arial" w:cs="Arial" w:eastAsia="Arial" w:hAnsi="Arial"/>
          <w:sz w:val="14"/>
          <w:szCs w:val="14"/>
          <w:i w:val="1"/>
          <w:iCs w:val="1"/>
          <w:color w:val="auto"/>
        </w:rPr>
        <w:t>Board</w:t>
      </w:r>
      <w:r>
        <w:rPr>
          <w:rFonts w:ascii="Arial" w:cs="Arial" w:eastAsia="Arial" w:hAnsi="Arial"/>
          <w:sz w:val="14"/>
          <w:szCs w:val="14"/>
          <w:color w:val="auto"/>
        </w:rPr>
        <w:t xml:space="preserve">) authorized the grant of fully-vested five-year warrants to purchase an aggregate of 650,000 restricted shares of our common stock at an exercise price of $9.25 per share, including an aggregate of 600,000 of such shares to company officers and independent members of the Board. We valued the new warrant grants at $5.68 per share, or an aggregate of $3,692,900, using the Black Scholes Option Pricing Model and the assumptions indicated in Note 2, </w:t>
      </w:r>
      <w:r>
        <w:rPr>
          <w:rFonts w:ascii="Arial" w:cs="Arial" w:eastAsia="Arial" w:hAnsi="Arial"/>
          <w:sz w:val="14"/>
          <w:szCs w:val="14"/>
          <w:i w:val="1"/>
          <w:iCs w:val="1"/>
          <w:color w:val="auto"/>
        </w:rPr>
        <w:t>Summary of</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Significant Accounting Policies. </w:t>
      </w:r>
      <w:r>
        <w:rPr>
          <w:rFonts w:ascii="Arial" w:cs="Arial" w:eastAsia="Arial" w:hAnsi="Arial"/>
          <w:sz w:val="14"/>
          <w:szCs w:val="14"/>
          <w:color w:val="auto"/>
        </w:rPr>
        <w:t>We recognized non-cash research and development and general and administrative stock compensation expense in the amounts of $852,200 and $2,840,700,</w:t>
      </w:r>
      <w:r>
        <w:rPr>
          <w:rFonts w:ascii="Arial" w:cs="Arial" w:eastAsia="Arial" w:hAnsi="Arial"/>
          <w:sz w:val="14"/>
          <w:szCs w:val="14"/>
          <w:i w:val="1"/>
          <w:iCs w:val="1"/>
          <w:color w:val="auto"/>
        </w:rPr>
        <w:t xml:space="preserve"> </w:t>
      </w:r>
      <w:r>
        <w:rPr>
          <w:rFonts w:ascii="Arial" w:cs="Arial" w:eastAsia="Arial" w:hAnsi="Arial"/>
          <w:sz w:val="14"/>
          <w:szCs w:val="14"/>
          <w:color w:val="auto"/>
        </w:rPr>
        <w:t>respectively, attributable to the warrant grants in the quarter ended September 30, 2015, which amounts are reflected in the accompanying Condensed Consolidated Statement of Operations and Comprehensive Loss.</w:t>
      </w:r>
    </w:p>
    <w:p>
      <w:pPr>
        <w:spacing w:after="0" w:line="171" w:lineRule="exact"/>
        <w:rPr>
          <w:sz w:val="20"/>
          <w:szCs w:val="20"/>
          <w:color w:val="auto"/>
        </w:rPr>
      </w:pPr>
    </w:p>
    <w:p>
      <w:pPr>
        <w:ind w:right="20" w:firstLine="511"/>
        <w:spacing w:after="0" w:line="308" w:lineRule="auto"/>
        <w:rPr>
          <w:sz w:val="20"/>
          <w:szCs w:val="20"/>
          <w:color w:val="auto"/>
        </w:rPr>
      </w:pPr>
      <w:r>
        <w:rPr>
          <w:rFonts w:ascii="Arial" w:cs="Arial" w:eastAsia="Arial" w:hAnsi="Arial"/>
          <w:sz w:val="12"/>
          <w:szCs w:val="12"/>
          <w:color w:val="auto"/>
        </w:rPr>
        <w:t>On November 11, 2015, when the market price of our common stock was $6.50 per share, our Board authorized the modification of outstanding warrants to purchase an aggregate of 1,123,533 shares of our common stock, including warrants to purchase an aggregate of 600,000 shares granted in September 2015, as described above, previously granted to company officers, independent members of the Board and a key scientific advisor to reduce the exercise prices thereof to $7.00 per share and to extend through March 19, 2019 the expiration date of such warrants to purchase an aggregate of 10,803 shares of our unregistered common stock otherwise scheduled to expire during calendar 2016. We calculated the fair value of the modified warrants immediately before and after the modifications and determined that the fair value of the warrants increased by an aggregate of $492,600. We recognized $357,500 of such increase as a component of general and administrative expense in the Condensed Consolidated Statements of Operations and Comprehensive Loss for the quarter ended December 31, 2015, and the remaining $135,100 as a component of research and development expense in the same period. The warrants subject to the exercise price modifications were valued using the Black-Scholes Option Pricing Model and the following assumptions: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Pre-</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Post-</w:t>
            </w:r>
          </w:p>
        </w:tc>
      </w:tr>
      <w:tr>
        <w:trPr>
          <w:trHeight w:val="186"/>
        </w:trPr>
        <w:tc>
          <w:tcPr>
            <w:tcW w:w="8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Assumption: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6"/>
              </w:rPr>
              <w:t>modification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6"/>
                <w:szCs w:val="16"/>
                <w:color w:val="auto"/>
              </w:rPr>
            </w:pP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Market price per share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6.50</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Exercise price per share (weighted average)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9.97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7.00</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 (weighted average)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1.74%</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Remaining contractual term in years (weighted 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5.13</w:t>
            </w: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5.16</w:t>
            </w:r>
          </w:p>
        </w:tc>
      </w:tr>
      <w:tr>
        <w:trPr>
          <w:trHeight w:val="170"/>
        </w:trPr>
        <w:tc>
          <w:tcPr>
            <w:tcW w:w="8720" w:type="dxa"/>
            <w:vAlign w:val="bottom"/>
            <w:shd w:val="clear" w:color="auto" w:fill="CCEEFF"/>
          </w:tcPr>
          <w:p>
            <w:pPr>
              <w:spacing w:after="0"/>
              <w:rPr>
                <w:sz w:val="20"/>
                <w:szCs w:val="20"/>
                <w:color w:val="auto"/>
              </w:rPr>
            </w:pPr>
            <w:r>
              <w:rPr>
                <w:rFonts w:ascii="Arial" w:cs="Arial" w:eastAsia="Arial" w:hAnsi="Arial"/>
                <w:sz w:val="14"/>
                <w:szCs w:val="14"/>
                <w:color w:val="auto"/>
              </w:rPr>
              <w:t>Volatility (weighted average)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78.8%</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78.7%</w:t>
            </w:r>
          </w:p>
        </w:tc>
      </w:tr>
      <w:tr>
        <w:trPr>
          <w:trHeight w:val="170"/>
        </w:trPr>
        <w:tc>
          <w:tcPr>
            <w:tcW w:w="8720" w:type="dxa"/>
            <w:vAlign w:val="bottom"/>
          </w:tcPr>
          <w:p>
            <w:pPr>
              <w:spacing w:after="0"/>
              <w:rPr>
                <w:sz w:val="20"/>
                <w:szCs w:val="20"/>
                <w:color w:val="auto"/>
              </w:rPr>
            </w:pPr>
            <w:r>
              <w:rPr>
                <w:rFonts w:ascii="Arial" w:cs="Arial" w:eastAsia="Arial" w:hAnsi="Arial"/>
                <w:sz w:val="14"/>
                <w:szCs w:val="14"/>
                <w:color w:val="auto"/>
              </w:rPr>
              <w:t>Dividend rate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1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70"/>
        </w:trPr>
        <w:tc>
          <w:tcPr>
            <w:tcW w:w="8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8720" w:type="dxa"/>
            <w:vAlign w:val="bottom"/>
          </w:tcPr>
          <w:p>
            <w:pPr>
              <w:spacing w:after="0"/>
              <w:rPr>
                <w:sz w:val="20"/>
                <w:szCs w:val="20"/>
                <w:color w:val="auto"/>
              </w:rPr>
            </w:pPr>
            <w:r>
              <w:rPr>
                <w:rFonts w:ascii="Arial" w:cs="Arial" w:eastAsia="Arial" w:hAnsi="Arial"/>
                <w:sz w:val="14"/>
                <w:szCs w:val="14"/>
                <w:b w:val="1"/>
                <w:bCs w:val="1"/>
                <w:color w:val="auto"/>
              </w:rPr>
              <w:t>Fair Value per share (weighted average)</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3.65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4.08</w:t>
            </w:r>
          </w:p>
        </w:tc>
      </w:tr>
      <w:tr>
        <w:trPr>
          <w:trHeight w:val="326"/>
        </w:trPr>
        <w:tc>
          <w:tcPr>
            <w:tcW w:w="8720" w:type="dxa"/>
            <w:vAlign w:val="bottom"/>
          </w:tcPr>
          <w:p>
            <w:pPr>
              <w:spacing w:after="0"/>
              <w:rPr>
                <w:sz w:val="20"/>
                <w:szCs w:val="20"/>
                <w:color w:val="auto"/>
              </w:rPr>
            </w:pPr>
            <w:r>
              <w:rPr>
                <w:rFonts w:ascii="Arial" w:cs="Arial" w:eastAsia="Arial" w:hAnsi="Arial"/>
                <w:sz w:val="14"/>
                <w:szCs w:val="14"/>
                <w:b w:val="1"/>
                <w:bCs w:val="1"/>
                <w:color w:val="auto"/>
              </w:rPr>
              <w:t>Warrants Outstanding</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82" w:lineRule="exact"/>
        <w:rPr>
          <w:sz w:val="20"/>
          <w:szCs w:val="20"/>
          <w:color w:val="auto"/>
        </w:rPr>
      </w:pPr>
    </w:p>
    <w:p>
      <w:pPr>
        <w:ind w:right="680" w:firstLine="511"/>
        <w:spacing w:after="0" w:line="283" w:lineRule="auto"/>
        <w:rPr>
          <w:sz w:val="20"/>
          <w:szCs w:val="20"/>
          <w:color w:val="auto"/>
        </w:rPr>
      </w:pPr>
      <w:r>
        <w:rPr>
          <w:rFonts w:ascii="Arial" w:cs="Arial" w:eastAsia="Arial" w:hAnsi="Arial"/>
          <w:sz w:val="14"/>
          <w:szCs w:val="14"/>
          <w:color w:val="auto"/>
        </w:rPr>
        <w:t>Following the Series B Warrant issuances and other warrant grants and modifications described above, at December 31, 2015, we had outstanding warrants to purchase shares of our unregistered common stock at a weighted average exercise price of $7.81 per share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Shares Subject</w:t>
            </w: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3160" w:type="dxa"/>
            <w:vAlign w:val="bottom"/>
            <w:gridSpan w:val="2"/>
          </w:tcPr>
          <w:p>
            <w:pPr>
              <w:jc w:val="center"/>
              <w:ind w:right="2420"/>
              <w:spacing w:after="0"/>
              <w:rPr>
                <w:sz w:val="20"/>
                <w:szCs w:val="20"/>
                <w:color w:val="auto"/>
              </w:rPr>
            </w:pPr>
            <w:r>
              <w:rPr>
                <w:rFonts w:ascii="Arial" w:cs="Arial" w:eastAsia="Arial" w:hAnsi="Arial"/>
                <w:sz w:val="14"/>
                <w:szCs w:val="14"/>
                <w:b w:val="1"/>
                <w:bCs w:val="1"/>
                <w:color w:val="auto"/>
                <w:w w:val="86"/>
              </w:rPr>
              <w:t>Exercise</w:t>
            </w:r>
          </w:p>
        </w:tc>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to Purchase at</w:t>
            </w: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3160" w:type="dxa"/>
            <w:vAlign w:val="bottom"/>
            <w:gridSpan w:val="2"/>
          </w:tcPr>
          <w:p>
            <w:pPr>
              <w:jc w:val="center"/>
              <w:ind w:right="2440"/>
              <w:spacing w:after="0"/>
              <w:rPr>
                <w:sz w:val="20"/>
                <w:szCs w:val="20"/>
                <w:color w:val="auto"/>
              </w:rPr>
            </w:pPr>
            <w:r>
              <w:rPr>
                <w:rFonts w:ascii="Arial" w:cs="Arial" w:eastAsia="Arial" w:hAnsi="Arial"/>
                <w:sz w:val="14"/>
                <w:szCs w:val="14"/>
                <w:b w:val="1"/>
                <w:bCs w:val="1"/>
                <w:color w:val="auto"/>
                <w:w w:val="93"/>
              </w:rPr>
              <w:t>Price</w:t>
            </w:r>
          </w:p>
        </w:tc>
        <w:tc>
          <w:tcPr>
            <w:tcW w:w="3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540" w:type="dxa"/>
            <w:vAlign w:val="bottom"/>
          </w:tcPr>
          <w:p>
            <w:pPr>
              <w:spacing w:after="0"/>
              <w:rPr>
                <w:sz w:val="14"/>
                <w:szCs w:val="14"/>
                <w:color w:val="auto"/>
              </w:rPr>
            </w:pPr>
          </w:p>
        </w:tc>
        <w:tc>
          <w:tcPr>
            <w:tcW w:w="2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3160" w:type="dxa"/>
            <w:vAlign w:val="bottom"/>
            <w:gridSpan w:val="2"/>
          </w:tcPr>
          <w:p>
            <w:pPr>
              <w:jc w:val="center"/>
              <w:ind w:right="2440"/>
              <w:spacing w:after="0"/>
              <w:rPr>
                <w:sz w:val="20"/>
                <w:szCs w:val="20"/>
                <w:color w:val="auto"/>
              </w:rPr>
            </w:pPr>
            <w:r>
              <w:rPr>
                <w:rFonts w:ascii="Arial" w:cs="Arial" w:eastAsia="Arial" w:hAnsi="Arial"/>
                <w:sz w:val="14"/>
                <w:szCs w:val="14"/>
                <w:b w:val="1"/>
                <w:bCs w:val="1"/>
                <w:color w:val="auto"/>
                <w:w w:val="92"/>
              </w:rPr>
              <w:t>per Share</w:t>
            </w:r>
          </w:p>
        </w:tc>
        <w:tc>
          <w:tcPr>
            <w:tcW w:w="32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180" w:type="dxa"/>
            <w:vAlign w:val="bottom"/>
            <w:gridSpan w:val="2"/>
          </w:tcPr>
          <w:p>
            <w:pPr>
              <w:jc w:val="center"/>
              <w:ind w:left="489"/>
              <w:spacing w:after="0"/>
              <w:rPr>
                <w:sz w:val="20"/>
                <w:szCs w:val="20"/>
                <w:color w:val="auto"/>
              </w:rPr>
            </w:pPr>
            <w:r>
              <w:rPr>
                <w:rFonts w:ascii="Arial" w:cs="Arial" w:eastAsia="Arial" w:hAnsi="Arial"/>
                <w:sz w:val="14"/>
                <w:szCs w:val="14"/>
                <w:b w:val="1"/>
                <w:bCs w:val="1"/>
                <w:color w:val="auto"/>
                <w:w w:val="96"/>
              </w:rPr>
              <w:t>2015</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Arial" w:cs="Arial" w:eastAsia="Arial" w:hAnsi="Arial"/>
                <w:sz w:val="14"/>
                <w:szCs w:val="14"/>
                <w:color w:val="auto"/>
              </w:rPr>
              <w:t>7.00</w:t>
            </w:r>
          </w:p>
        </w:tc>
        <w:tc>
          <w:tcPr>
            <w:tcW w:w="32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9/30/2017 to 3/3/2023</w:t>
            </w:r>
          </w:p>
        </w:tc>
        <w:tc>
          <w:tcPr>
            <w:tcW w:w="274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4,169,645</w:t>
            </w:r>
          </w:p>
        </w:tc>
        <w:tc>
          <w:tcPr>
            <w:tcW w:w="0" w:type="dxa"/>
            <w:vAlign w:val="bottom"/>
          </w:tcPr>
          <w:p>
            <w:pPr>
              <w:spacing w:after="0"/>
              <w:rPr>
                <w:sz w:val="1"/>
                <w:szCs w:val="1"/>
                <w:color w:val="auto"/>
              </w:rPr>
            </w:pPr>
          </w:p>
        </w:tc>
      </w:tr>
      <w:tr>
        <w:trPr>
          <w:trHeight w:val="170"/>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tcPr>
          <w:p>
            <w:pPr>
              <w:jc w:val="right"/>
              <w:ind w:right="1800"/>
              <w:spacing w:after="0"/>
              <w:rPr>
                <w:sz w:val="20"/>
                <w:szCs w:val="20"/>
                <w:color w:val="auto"/>
              </w:rPr>
            </w:pPr>
            <w:r>
              <w:rPr>
                <w:rFonts w:ascii="Arial" w:cs="Arial" w:eastAsia="Arial" w:hAnsi="Arial"/>
                <w:sz w:val="14"/>
                <w:szCs w:val="14"/>
                <w:color w:val="auto"/>
              </w:rPr>
              <w:t>9.25</w:t>
            </w:r>
          </w:p>
        </w:tc>
        <w:tc>
          <w:tcPr>
            <w:tcW w:w="4920" w:type="dxa"/>
            <w:vAlign w:val="bottom"/>
            <w:gridSpan w:val="2"/>
          </w:tcPr>
          <w:p>
            <w:pPr>
              <w:jc w:val="center"/>
              <w:ind w:left="3189"/>
              <w:spacing w:after="0"/>
              <w:rPr>
                <w:sz w:val="20"/>
                <w:szCs w:val="20"/>
                <w:color w:val="auto"/>
              </w:rPr>
            </w:pPr>
            <w:r>
              <w:rPr>
                <w:rFonts w:ascii="Arial" w:cs="Arial" w:eastAsia="Arial" w:hAnsi="Arial"/>
                <w:sz w:val="14"/>
                <w:szCs w:val="14"/>
                <w:color w:val="auto"/>
                <w:w w:val="91"/>
              </w:rPr>
              <w:t>9/2/2020</w:t>
            </w: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70"/>
        </w:trPr>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Arial" w:cs="Arial" w:eastAsia="Arial" w:hAnsi="Arial"/>
                <w:sz w:val="14"/>
                <w:szCs w:val="14"/>
                <w:color w:val="auto"/>
              </w:rPr>
              <w:t>10.00</w:t>
            </w:r>
          </w:p>
        </w:tc>
        <w:tc>
          <w:tcPr>
            <w:tcW w:w="32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1/31/2016 to 1/11/2020</w:t>
            </w:r>
          </w:p>
        </w:tc>
        <w:tc>
          <w:tcPr>
            <w:tcW w:w="274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554,915</w:t>
            </w:r>
          </w:p>
        </w:tc>
        <w:tc>
          <w:tcPr>
            <w:tcW w:w="0" w:type="dxa"/>
            <w:vAlign w:val="bottom"/>
          </w:tcPr>
          <w:p>
            <w:pPr>
              <w:spacing w:after="0"/>
              <w:rPr>
                <w:sz w:val="1"/>
                <w:szCs w:val="1"/>
                <w:color w:val="auto"/>
              </w:rPr>
            </w:pPr>
          </w:p>
        </w:tc>
      </w:tr>
      <w:tr>
        <w:trPr>
          <w:trHeight w:val="170"/>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tcPr>
          <w:p>
            <w:pPr>
              <w:jc w:val="right"/>
              <w:ind w:right="1800"/>
              <w:spacing w:after="0"/>
              <w:rPr>
                <w:sz w:val="20"/>
                <w:szCs w:val="20"/>
                <w:color w:val="auto"/>
              </w:rPr>
            </w:pPr>
            <w:r>
              <w:rPr>
                <w:rFonts w:ascii="Arial" w:cs="Arial" w:eastAsia="Arial" w:hAnsi="Arial"/>
                <w:sz w:val="14"/>
                <w:szCs w:val="14"/>
                <w:color w:val="auto"/>
              </w:rPr>
              <w:t>15.00</w:t>
            </w:r>
          </w:p>
        </w:tc>
        <w:tc>
          <w:tcPr>
            <w:tcW w:w="3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2"/>
              </w:rPr>
              <w:t>2/14/2018 to 3/4/2018</w:t>
            </w: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75,389</w:t>
            </w:r>
          </w:p>
        </w:tc>
        <w:tc>
          <w:tcPr>
            <w:tcW w:w="0" w:type="dxa"/>
            <w:vAlign w:val="bottom"/>
          </w:tcPr>
          <w:p>
            <w:pPr>
              <w:spacing w:after="0"/>
              <w:rPr>
                <w:sz w:val="1"/>
                <w:szCs w:val="1"/>
                <w:color w:val="auto"/>
              </w:rPr>
            </w:pPr>
          </w:p>
        </w:tc>
      </w:tr>
      <w:tr>
        <w:trPr>
          <w:trHeight w:val="170"/>
        </w:trPr>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shd w:val="clear" w:color="auto" w:fill="CCEEFF"/>
          </w:tcPr>
          <w:p>
            <w:pPr>
              <w:jc w:val="right"/>
              <w:ind w:right="1800"/>
              <w:spacing w:after="0"/>
              <w:rPr>
                <w:sz w:val="20"/>
                <w:szCs w:val="20"/>
                <w:color w:val="auto"/>
              </w:rPr>
            </w:pPr>
            <w:r>
              <w:rPr>
                <w:rFonts w:ascii="Arial" w:cs="Arial" w:eastAsia="Arial" w:hAnsi="Arial"/>
                <w:sz w:val="14"/>
                <w:szCs w:val="14"/>
                <w:color w:val="auto"/>
              </w:rPr>
              <w:t>20.00</w:t>
            </w:r>
          </w:p>
        </w:tc>
        <w:tc>
          <w:tcPr>
            <w:tcW w:w="32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7/30/2016 to 9/15/2019</w:t>
            </w:r>
          </w:p>
        </w:tc>
        <w:tc>
          <w:tcPr>
            <w:tcW w:w="274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color w:val="auto"/>
              </w:rPr>
              <w:t>115,448</w:t>
            </w:r>
          </w:p>
        </w:tc>
        <w:tc>
          <w:tcPr>
            <w:tcW w:w="0" w:type="dxa"/>
            <w:vAlign w:val="bottom"/>
          </w:tcPr>
          <w:p>
            <w:pPr>
              <w:spacing w:after="0"/>
              <w:rPr>
                <w:sz w:val="1"/>
                <w:szCs w:val="1"/>
                <w:color w:val="auto"/>
              </w:rPr>
            </w:pPr>
          </w:p>
        </w:tc>
      </w:tr>
      <w:tr>
        <w:trPr>
          <w:trHeight w:val="170"/>
        </w:trPr>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160" w:type="dxa"/>
            <w:vAlign w:val="bottom"/>
            <w:gridSpan w:val="2"/>
          </w:tcPr>
          <w:p>
            <w:pPr>
              <w:jc w:val="right"/>
              <w:ind w:right="1800"/>
              <w:spacing w:after="0"/>
              <w:rPr>
                <w:sz w:val="20"/>
                <w:szCs w:val="20"/>
                <w:color w:val="auto"/>
              </w:rPr>
            </w:pPr>
            <w:r>
              <w:rPr>
                <w:rFonts w:ascii="Arial" w:cs="Arial" w:eastAsia="Arial" w:hAnsi="Arial"/>
                <w:sz w:val="14"/>
                <w:szCs w:val="14"/>
                <w:color w:val="auto"/>
              </w:rPr>
              <w:t>30.00</w:t>
            </w:r>
          </w:p>
        </w:tc>
        <w:tc>
          <w:tcPr>
            <w:tcW w:w="3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0"/>
              </w:rPr>
              <w:t>2/13/2016 to 11/20/2017</w:t>
            </w: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6,100</w:t>
            </w:r>
          </w:p>
        </w:tc>
        <w:tc>
          <w:tcPr>
            <w:tcW w:w="0" w:type="dxa"/>
            <w:vAlign w:val="bottom"/>
          </w:tcPr>
          <w:p>
            <w:pPr>
              <w:spacing w:after="0"/>
              <w:rPr>
                <w:sz w:val="1"/>
                <w:szCs w:val="1"/>
                <w:color w:val="auto"/>
              </w:rPr>
            </w:pPr>
          </w:p>
        </w:tc>
      </w:tr>
      <w:tr>
        <w:trPr>
          <w:trHeight w:val="172"/>
        </w:trPr>
        <w:tc>
          <w:tcPr>
            <w:tcW w:w="64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326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40" w:type="dxa"/>
            <w:vAlign w:val="bottom"/>
            <w:gridSpan w:val="3"/>
          </w:tcPr>
          <w:p>
            <w:pPr>
              <w:jc w:val="right"/>
              <w:ind w:right="560"/>
              <w:spacing w:after="0"/>
              <w:rPr>
                <w:sz w:val="20"/>
                <w:szCs w:val="20"/>
                <w:color w:val="auto"/>
              </w:rPr>
            </w:pPr>
            <w:r>
              <w:rPr>
                <w:rFonts w:ascii="Arial" w:cs="Arial" w:eastAsia="Arial" w:hAnsi="Arial"/>
                <w:sz w:val="14"/>
                <w:szCs w:val="14"/>
                <w:color w:val="auto"/>
              </w:rPr>
              <w:t>4,971,497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920" w:type="dxa"/>
            <w:vAlign w:val="bottom"/>
            <w:gridSpan w:val="2"/>
            <w:vMerge w:val="restart"/>
          </w:tcPr>
          <w:p>
            <w:pPr>
              <w:ind w:left="1800"/>
              <w:spacing w:after="0"/>
              <w:rPr>
                <w:sz w:val="20"/>
                <w:szCs w:val="20"/>
                <w:color w:val="auto"/>
              </w:rPr>
            </w:pPr>
            <w:r>
              <w:rPr>
                <w:rFonts w:ascii="Arial" w:cs="Arial" w:eastAsia="Arial" w:hAnsi="Arial"/>
                <w:sz w:val="14"/>
                <w:szCs w:val="14"/>
                <w:color w:val="auto"/>
              </w:rPr>
              <w:t>F-71</w:t>
            </w:r>
          </w:p>
        </w:tc>
        <w:tc>
          <w:tcPr>
            <w:tcW w:w="5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920" w:type="dxa"/>
            <w:vAlign w:val="bottom"/>
            <w:gridSpan w:val="2"/>
            <w:vMerge w:val="continue"/>
          </w:tcPr>
          <w:p>
            <w:pPr>
              <w:spacing w:after="0"/>
              <w:rPr>
                <w:sz w:val="23"/>
                <w:szCs w:val="23"/>
                <w:color w:val="auto"/>
              </w:rPr>
            </w:pPr>
          </w:p>
        </w:tc>
        <w:tc>
          <w:tcPr>
            <w:tcW w:w="5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64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1800" w:type="dxa"/>
            <w:vAlign w:val="bottom"/>
            <w:tcBorders>
              <w:bottom w:val="single" w:sz="8" w:color="808080"/>
            </w:tcBorders>
          </w:tcPr>
          <w:p>
            <w:pPr>
              <w:spacing w:after="0"/>
              <w:rPr>
                <w:sz w:val="7"/>
                <w:szCs w:val="7"/>
                <w:color w:val="auto"/>
              </w:rPr>
            </w:pPr>
          </w:p>
        </w:tc>
        <w:tc>
          <w:tcPr>
            <w:tcW w:w="3260" w:type="dxa"/>
            <w:vAlign w:val="bottom"/>
            <w:tcBorders>
              <w:bottom w:val="single" w:sz="8" w:color="808080"/>
            </w:tcBorders>
          </w:tcPr>
          <w:p>
            <w:pPr>
              <w:spacing w:after="0"/>
              <w:rPr>
                <w:sz w:val="7"/>
                <w:szCs w:val="7"/>
                <w:color w:val="auto"/>
              </w:rPr>
            </w:pPr>
          </w:p>
        </w:tc>
        <w:tc>
          <w:tcPr>
            <w:tcW w:w="16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6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5" w:name="page216"/>
    <w:bookmarkEnd w:id="21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Related Party Transactions</w:t>
      </w:r>
    </w:p>
    <w:p>
      <w:pPr>
        <w:spacing w:after="0" w:line="205" w:lineRule="exact"/>
        <w:rPr>
          <w:sz w:val="20"/>
          <w:szCs w:val="20"/>
          <w:color w:val="auto"/>
        </w:rPr>
      </w:pPr>
    </w:p>
    <w:p>
      <w:pPr>
        <w:ind w:firstLine="511"/>
        <w:spacing w:after="0" w:line="261" w:lineRule="auto"/>
        <w:rPr>
          <w:sz w:val="20"/>
          <w:szCs w:val="20"/>
          <w:color w:val="auto"/>
        </w:rPr>
      </w:pPr>
      <w:r>
        <w:rPr>
          <w:rFonts w:ascii="Arial" w:cs="Arial" w:eastAsia="Arial" w:hAnsi="Arial"/>
          <w:sz w:val="14"/>
          <w:szCs w:val="14"/>
          <w:color w:val="auto"/>
        </w:rPr>
        <w:t>Cato Holding Company, doing business as Cato BioVentures (</w:t>
      </w:r>
      <w:r>
        <w:rPr>
          <w:rFonts w:ascii="Arial" w:cs="Arial" w:eastAsia="Arial" w:hAnsi="Arial"/>
          <w:sz w:val="14"/>
          <w:szCs w:val="14"/>
          <w:i w:val="1"/>
          <w:iCs w:val="1"/>
          <w:color w:val="auto"/>
        </w:rPr>
        <w:t>CBV</w:t>
      </w:r>
      <w:r>
        <w:rPr>
          <w:rFonts w:ascii="Arial" w:cs="Arial" w:eastAsia="Arial" w:hAnsi="Arial"/>
          <w:sz w:val="14"/>
          <w:szCs w:val="14"/>
          <w:color w:val="auto"/>
        </w:rPr>
        <w:t>), the parent of Cato Research Ltd. (</w:t>
      </w:r>
      <w:r>
        <w:rPr>
          <w:rFonts w:ascii="Arial" w:cs="Arial" w:eastAsia="Arial" w:hAnsi="Arial"/>
          <w:sz w:val="14"/>
          <w:szCs w:val="14"/>
          <w:i w:val="1"/>
          <w:iCs w:val="1"/>
          <w:color w:val="auto"/>
        </w:rPr>
        <w:t>CRL</w:t>
      </w:r>
      <w:r>
        <w:rPr>
          <w:rFonts w:ascii="Arial" w:cs="Arial" w:eastAsia="Arial" w:hAnsi="Arial"/>
          <w:sz w:val="14"/>
          <w:szCs w:val="14"/>
          <w:color w:val="auto"/>
        </w:rPr>
        <w:t>), is one the largest institutional holders of our common stock at December 31, 2015. In October 2012, we issued a 7.5% promissory note (</w:t>
      </w:r>
      <w:r>
        <w:rPr>
          <w:rFonts w:ascii="Arial" w:cs="Arial" w:eastAsia="Arial" w:hAnsi="Arial"/>
          <w:sz w:val="14"/>
          <w:szCs w:val="14"/>
          <w:i w:val="1"/>
          <w:iCs w:val="1"/>
          <w:color w:val="auto"/>
        </w:rPr>
        <w:t>CHC Note</w:t>
      </w:r>
      <w:r>
        <w:rPr>
          <w:rFonts w:ascii="Arial" w:cs="Arial" w:eastAsia="Arial" w:hAnsi="Arial"/>
          <w:sz w:val="14"/>
          <w:szCs w:val="14"/>
          <w:color w:val="auto"/>
        </w:rPr>
        <w:t>) and a warrant (</w:t>
      </w:r>
      <w:r>
        <w:rPr>
          <w:rFonts w:ascii="Arial" w:cs="Arial" w:eastAsia="Arial" w:hAnsi="Arial"/>
          <w:sz w:val="14"/>
          <w:szCs w:val="14"/>
          <w:i w:val="1"/>
          <w:iCs w:val="1"/>
          <w:color w:val="auto"/>
        </w:rPr>
        <w:t>CHC Warrant</w:t>
      </w:r>
      <w:r>
        <w:rPr>
          <w:rFonts w:ascii="Arial" w:cs="Arial" w:eastAsia="Arial" w:hAnsi="Arial"/>
          <w:sz w:val="14"/>
          <w:szCs w:val="14"/>
          <w:color w:val="auto"/>
        </w:rPr>
        <w:t xml:space="preserve">) to CHC in settlement of prior indebtedness. As disclosed in Note 7, </w:t>
      </w:r>
      <w:r>
        <w:rPr>
          <w:rFonts w:ascii="Arial" w:cs="Arial" w:eastAsia="Arial" w:hAnsi="Arial"/>
          <w:sz w:val="14"/>
          <w:szCs w:val="14"/>
          <w:i w:val="1"/>
          <w:iCs w:val="1"/>
          <w:color w:val="auto"/>
        </w:rPr>
        <w:t>Convertible Promissory Notes and</w:t>
      </w:r>
      <w:r>
        <w:rPr>
          <w:rFonts w:ascii="Arial" w:cs="Arial" w:eastAsia="Arial" w:hAnsi="Arial"/>
          <w:sz w:val="14"/>
          <w:szCs w:val="14"/>
          <w:color w:val="auto"/>
        </w:rPr>
        <w:t xml:space="preserve"> </w:t>
      </w:r>
      <w:r>
        <w:rPr>
          <w:rFonts w:ascii="Arial" w:cs="Arial" w:eastAsia="Arial" w:hAnsi="Arial"/>
          <w:sz w:val="14"/>
          <w:szCs w:val="14"/>
          <w:i w:val="1"/>
          <w:iCs w:val="1"/>
          <w:color w:val="auto"/>
        </w:rPr>
        <w:t>Other Notes Payable</w:t>
      </w:r>
      <w:r>
        <w:rPr>
          <w:rFonts w:ascii="Arial" w:cs="Arial" w:eastAsia="Arial" w:hAnsi="Arial"/>
          <w:sz w:val="14"/>
          <w:szCs w:val="14"/>
          <w:color w:val="auto"/>
        </w:rPr>
        <w:t>, during June 2015, the outstanding balance of the CHC Note was converted into shares of our Series B Preferred and we reduced the exercise price of the CHC Warrant from</w:t>
      </w:r>
      <w:r>
        <w:rPr>
          <w:rFonts w:ascii="Arial" w:cs="Arial" w:eastAsia="Arial" w:hAnsi="Arial"/>
          <w:sz w:val="14"/>
          <w:szCs w:val="14"/>
          <w:i w:val="1"/>
          <w:iCs w:val="1"/>
          <w:color w:val="auto"/>
        </w:rPr>
        <w:t xml:space="preserve"> </w:t>
      </w:r>
      <w:r>
        <w:rPr>
          <w:rFonts w:ascii="Arial" w:cs="Arial" w:eastAsia="Arial" w:hAnsi="Arial"/>
          <w:sz w:val="14"/>
          <w:szCs w:val="14"/>
          <w:color w:val="auto"/>
        </w:rPr>
        <w:t>$30.00 per share to $7.00 per share. Total interest expense, including amortization of note discount, on the CHC Note was $0 and $7,400 for the quarters ended December 31, 2015 and 2014, respectively, and $4,700 and $22,500 in the nine month periods ended December 31, 2015 and 2014, respectively.</w:t>
      </w:r>
    </w:p>
    <w:p>
      <w:pPr>
        <w:spacing w:after="0" w:line="168" w:lineRule="exact"/>
        <w:rPr>
          <w:sz w:val="20"/>
          <w:szCs w:val="20"/>
          <w:color w:val="auto"/>
        </w:rPr>
      </w:pPr>
    </w:p>
    <w:p>
      <w:pPr>
        <w:ind w:right="240" w:firstLine="511"/>
        <w:spacing w:after="0" w:line="263" w:lineRule="auto"/>
        <w:rPr>
          <w:sz w:val="20"/>
          <w:szCs w:val="20"/>
          <w:color w:val="auto"/>
        </w:rPr>
      </w:pPr>
      <w:r>
        <w:rPr>
          <w:rFonts w:ascii="Arial" w:cs="Arial" w:eastAsia="Arial" w:hAnsi="Arial"/>
          <w:sz w:val="14"/>
          <w:szCs w:val="14"/>
          <w:color w:val="auto"/>
        </w:rPr>
        <w:t>During fiscal year 2007, we entered into a master contract research, development and regulatory service arrangement with CRL, a contract research organization (</w:t>
      </w:r>
      <w:r>
        <w:rPr>
          <w:rFonts w:ascii="Arial" w:cs="Arial" w:eastAsia="Arial" w:hAnsi="Arial"/>
          <w:sz w:val="14"/>
          <w:szCs w:val="14"/>
          <w:i w:val="1"/>
          <w:iCs w:val="1"/>
          <w:color w:val="auto"/>
        </w:rPr>
        <w:t>CRO</w:t>
      </w:r>
      <w:r>
        <w:rPr>
          <w:rFonts w:ascii="Arial" w:cs="Arial" w:eastAsia="Arial" w:hAnsi="Arial"/>
          <w:sz w:val="14"/>
          <w:szCs w:val="14"/>
          <w:color w:val="auto"/>
        </w:rPr>
        <w:t>), related to the development of AV-101, our orally available small molecule prodrug candidate now in Phase 2 clinical development for Major Depressive Disorder, and subsequent other projects under which we incurred expenses of $19,400 and $7,500 for the quarters ended December 31, 2015 and 2014, respectively, and $41,500 and $22,500 in the nine month periods ended December 31, 2015 and 2014, respectively.</w:t>
      </w:r>
    </w:p>
    <w:p>
      <w:pPr>
        <w:spacing w:after="0" w:line="167" w:lineRule="exact"/>
        <w:rPr>
          <w:sz w:val="20"/>
          <w:szCs w:val="20"/>
          <w:color w:val="auto"/>
        </w:rPr>
      </w:pPr>
    </w:p>
    <w:p>
      <w:pPr>
        <w:ind w:firstLine="511"/>
        <w:spacing w:after="0" w:line="259" w:lineRule="auto"/>
        <w:rPr>
          <w:sz w:val="20"/>
          <w:szCs w:val="20"/>
          <w:color w:val="auto"/>
        </w:rPr>
      </w:pPr>
      <w:r>
        <w:rPr>
          <w:rFonts w:ascii="Arial" w:cs="Arial" w:eastAsia="Arial" w:hAnsi="Arial"/>
          <w:sz w:val="14"/>
          <w:szCs w:val="14"/>
          <w:color w:val="auto"/>
        </w:rPr>
        <w:t>In October 2012, we issued to CRL (i) a 7.5% promissory note (</w:t>
      </w:r>
      <w:r>
        <w:rPr>
          <w:rFonts w:ascii="Arial" w:cs="Arial" w:eastAsia="Arial" w:hAnsi="Arial"/>
          <w:sz w:val="14"/>
          <w:szCs w:val="14"/>
          <w:i w:val="1"/>
          <w:iCs w:val="1"/>
          <w:color w:val="auto"/>
        </w:rPr>
        <w:t>CRL Note</w:t>
      </w:r>
      <w:r>
        <w:rPr>
          <w:rFonts w:ascii="Arial" w:cs="Arial" w:eastAsia="Arial" w:hAnsi="Arial"/>
          <w:sz w:val="14"/>
          <w:szCs w:val="14"/>
          <w:color w:val="auto"/>
        </w:rPr>
        <w:t>) as payment in full for all contract research, development and regulatory services and advice (</w:t>
      </w:r>
      <w:r>
        <w:rPr>
          <w:rFonts w:ascii="Arial" w:cs="Arial" w:eastAsia="Arial" w:hAnsi="Arial"/>
          <w:sz w:val="14"/>
          <w:szCs w:val="14"/>
          <w:i w:val="1"/>
          <w:iCs w:val="1"/>
          <w:color w:val="auto"/>
        </w:rPr>
        <w:t>CRO Services</w:t>
      </w:r>
      <w:r>
        <w:rPr>
          <w:rFonts w:ascii="Arial" w:cs="Arial" w:eastAsia="Arial" w:hAnsi="Arial"/>
          <w:sz w:val="14"/>
          <w:szCs w:val="14"/>
          <w:color w:val="auto"/>
        </w:rPr>
        <w:t>) rendered by CRL to us through December 31, 2012 with respect to certain AV-101 preclinical and clinical development and regulatory activities, and (ii) a warrant (</w:t>
      </w:r>
      <w:r>
        <w:rPr>
          <w:rFonts w:ascii="Arial" w:cs="Arial" w:eastAsia="Arial" w:hAnsi="Arial"/>
          <w:sz w:val="14"/>
          <w:szCs w:val="14"/>
          <w:i w:val="1"/>
          <w:iCs w:val="1"/>
          <w:color w:val="auto"/>
        </w:rPr>
        <w:t>CRL Warrant</w:t>
      </w:r>
      <w:r>
        <w:rPr>
          <w:rFonts w:ascii="Arial" w:cs="Arial" w:eastAsia="Arial" w:hAnsi="Arial"/>
          <w:sz w:val="14"/>
          <w:szCs w:val="14"/>
          <w:color w:val="auto"/>
        </w:rPr>
        <w:t xml:space="preserve">). As disclosed in Note 7, </w:t>
      </w:r>
      <w:r>
        <w:rPr>
          <w:rFonts w:ascii="Arial" w:cs="Arial" w:eastAsia="Arial" w:hAnsi="Arial"/>
          <w:sz w:val="14"/>
          <w:szCs w:val="14"/>
          <w:i w:val="1"/>
          <w:iCs w:val="1"/>
          <w:color w:val="auto"/>
        </w:rPr>
        <w:t>Convertible Promissory Notes and Other Notes Payable</w:t>
      </w:r>
      <w:r>
        <w:rPr>
          <w:rFonts w:ascii="Arial" w:cs="Arial" w:eastAsia="Arial" w:hAnsi="Arial"/>
          <w:sz w:val="14"/>
          <w:szCs w:val="14"/>
          <w:color w:val="auto"/>
        </w:rPr>
        <w:t>, during June 2015, the entire outstanding balance of the CRL Note and all other outstanding amounts owed to CRL for CRO services were converted into shares of our Series B Preferred and we reduced the exercise price of the CRL Warrant from $20.00 per share to $7.00 per share. Total interest expense, including amortization of the note discount, on the CRL Note was $0 and $36,300 for the quarters ended December 31, 2015 and 2014, respectively, and $23,500 and $109,900 for the nine month periods ended December 31, 2015 and 2014,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Subsequent Events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Series B Preferred Unit Offering</w:t>
      </w:r>
    </w:p>
    <w:p>
      <w:pPr>
        <w:spacing w:after="0" w:line="205" w:lineRule="exact"/>
        <w:rPr>
          <w:sz w:val="20"/>
          <w:szCs w:val="20"/>
          <w:color w:val="auto"/>
        </w:rPr>
      </w:pPr>
    </w:p>
    <w:p>
      <w:pPr>
        <w:ind w:right="60" w:firstLine="511"/>
        <w:spacing w:after="0" w:line="268" w:lineRule="auto"/>
        <w:rPr>
          <w:sz w:val="20"/>
          <w:szCs w:val="20"/>
          <w:color w:val="auto"/>
        </w:rPr>
      </w:pPr>
      <w:r>
        <w:rPr>
          <w:rFonts w:ascii="Arial" w:cs="Arial" w:eastAsia="Arial" w:hAnsi="Arial"/>
          <w:sz w:val="14"/>
          <w:szCs w:val="14"/>
          <w:color w:val="auto"/>
        </w:rPr>
        <w:t>Between January 1, 2016 and February 12, 2016, in self-placed private placement transactions, we sold to accredited investors Series B Preferred Units consisting of (i) an aggregate of 18,286 shares of our Series B Preferred and (ii) Series B Warrants to purchase an aggregate of 18,286 shares of our common stock at an exercise price of $7.00 per share. We received cash proceeds of $128,000 from these sales of Series B Preferred Units.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of Series B Preferred into Common Stock</w:t>
      </w:r>
    </w:p>
    <w:p>
      <w:pPr>
        <w:spacing w:after="0" w:line="205" w:lineRule="exact"/>
        <w:rPr>
          <w:sz w:val="20"/>
          <w:szCs w:val="20"/>
          <w:color w:val="auto"/>
        </w:rPr>
      </w:pPr>
    </w:p>
    <w:p>
      <w:pPr>
        <w:ind w:right="260" w:firstLine="511"/>
        <w:spacing w:after="0" w:line="323" w:lineRule="auto"/>
        <w:rPr>
          <w:sz w:val="20"/>
          <w:szCs w:val="20"/>
          <w:color w:val="auto"/>
        </w:rPr>
      </w:pPr>
      <w:r>
        <w:rPr>
          <w:rFonts w:ascii="Arial" w:cs="Arial" w:eastAsia="Arial" w:hAnsi="Arial"/>
          <w:sz w:val="13"/>
          <w:szCs w:val="13"/>
          <w:color w:val="auto"/>
        </w:rPr>
        <w:t>Between January 1, 2016 and February 12, 2016, holders of an aggregate of 13,500 shares of Series B Preferred converted such shares into an equivalent number of registered shares of our common stock. Additionally, we issued an aggregate of 716 shares of our restricted common stock in payment of $6,200 in accrued dividends on the Series B Preferred converted.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Creation of Series C Convertible Preferred Stock</w:t>
      </w:r>
    </w:p>
    <w:p>
      <w:pPr>
        <w:spacing w:after="0" w:line="205" w:lineRule="exact"/>
        <w:rPr>
          <w:sz w:val="20"/>
          <w:szCs w:val="20"/>
          <w:color w:val="auto"/>
        </w:rPr>
      </w:pPr>
    </w:p>
    <w:p>
      <w:pPr>
        <w:ind w:firstLine="511"/>
        <w:spacing w:after="0" w:line="259" w:lineRule="auto"/>
        <w:rPr>
          <w:sz w:val="20"/>
          <w:szCs w:val="20"/>
          <w:color w:val="auto"/>
        </w:rPr>
      </w:pPr>
      <w:r>
        <w:rPr>
          <w:rFonts w:ascii="Arial" w:cs="Arial" w:eastAsia="Arial" w:hAnsi="Arial"/>
          <w:sz w:val="14"/>
          <w:szCs w:val="14"/>
          <w:color w:val="auto"/>
        </w:rPr>
        <w:t>On January 13, 2016, our Board authorized the creation of, and effective January 25, 2016, we filed a Certificate of Designation of the Relative Rights and Preferences of the Series C Convertible Preferred Stock of VistaGen Therapeutics, Inc. the (</w:t>
      </w:r>
      <w:r>
        <w:rPr>
          <w:rFonts w:ascii="Arial" w:cs="Arial" w:eastAsia="Arial" w:hAnsi="Arial"/>
          <w:sz w:val="14"/>
          <w:szCs w:val="14"/>
          <w:i w:val="1"/>
          <w:iCs w:val="1"/>
          <w:color w:val="auto"/>
        </w:rPr>
        <w:t>Certificate of Designation)</w:t>
      </w:r>
      <w:r>
        <w:rPr>
          <w:rFonts w:ascii="Arial" w:cs="Arial" w:eastAsia="Arial" w:hAnsi="Arial"/>
          <w:sz w:val="14"/>
          <w:szCs w:val="14"/>
          <w:color w:val="auto"/>
        </w:rPr>
        <w:t xml:space="preserve"> with the Nevada Secretary of State to designate, 3.0 million shares of our preferred stock, par value $0.001 per share, as Series C Convertible Preferred Stock (</w:t>
      </w:r>
      <w:r>
        <w:rPr>
          <w:rFonts w:ascii="Arial" w:cs="Arial" w:eastAsia="Arial" w:hAnsi="Arial"/>
          <w:sz w:val="14"/>
          <w:szCs w:val="14"/>
          <w:i w:val="1"/>
          <w:iCs w:val="1"/>
          <w:color w:val="auto"/>
        </w:rPr>
        <w:t>Series C Preferred)</w:t>
      </w:r>
      <w:r>
        <w:rPr>
          <w:rFonts w:ascii="Arial" w:cs="Arial" w:eastAsia="Arial" w:hAnsi="Arial"/>
          <w:sz w:val="14"/>
          <w:szCs w:val="14"/>
          <w:color w:val="auto"/>
        </w:rPr>
        <w:t>. Upon liquidation, each share of Series C Preferred ranks pari-passu with our Series B Preferred and our Series A Convertible Preferred Stock (</w:t>
      </w:r>
      <w:r>
        <w:rPr>
          <w:rFonts w:ascii="Arial" w:cs="Arial" w:eastAsia="Arial" w:hAnsi="Arial"/>
          <w:sz w:val="14"/>
          <w:szCs w:val="14"/>
          <w:i w:val="1"/>
          <w:iCs w:val="1"/>
          <w:color w:val="auto"/>
        </w:rPr>
        <w:t>Series A Preferred)</w:t>
      </w:r>
      <w:r>
        <w:rPr>
          <w:rFonts w:ascii="Arial" w:cs="Arial" w:eastAsia="Arial" w:hAnsi="Arial"/>
          <w:sz w:val="14"/>
          <w:szCs w:val="14"/>
          <w:color w:val="auto"/>
        </w:rPr>
        <w:t>, and is convertible, at the option of the holder into one share of our common stock, subject to certain beneficial ownership limitations as set forth in the Certificate of Designation. Shares of the Series C Preferred do not accrue dividends, and holders of the Series C Preferred have no voting rights. Each share of Series C Preferred is convertible into one (1) share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 Exchanges</w:t>
      </w:r>
    </w:p>
    <w:p>
      <w:pPr>
        <w:spacing w:after="0" w:line="205" w:lineRule="exact"/>
        <w:rPr>
          <w:sz w:val="20"/>
          <w:szCs w:val="20"/>
          <w:color w:val="auto"/>
        </w:rPr>
      </w:pPr>
    </w:p>
    <w:p>
      <w:pPr>
        <w:ind w:right="20" w:firstLine="511"/>
        <w:spacing w:after="0" w:line="258" w:lineRule="auto"/>
        <w:rPr>
          <w:sz w:val="20"/>
          <w:szCs w:val="20"/>
          <w:color w:val="auto"/>
        </w:rPr>
      </w:pPr>
      <w:r>
        <w:rPr>
          <w:rFonts w:ascii="Arial" w:cs="Arial" w:eastAsia="Arial" w:hAnsi="Arial"/>
          <w:sz w:val="14"/>
          <w:szCs w:val="14"/>
          <w:color w:val="auto"/>
        </w:rPr>
        <w:t>On January 25, 2016, we entered into an Exchange Agreement the (</w:t>
      </w:r>
      <w:r>
        <w:rPr>
          <w:rFonts w:ascii="Arial" w:cs="Arial" w:eastAsia="Arial" w:hAnsi="Arial"/>
          <w:sz w:val="14"/>
          <w:szCs w:val="14"/>
          <w:i w:val="1"/>
          <w:iCs w:val="1"/>
          <w:color w:val="auto"/>
        </w:rPr>
        <w:t>Exchange Agreement)</w:t>
      </w:r>
      <w:r>
        <w:rPr>
          <w:rFonts w:ascii="Arial" w:cs="Arial" w:eastAsia="Arial" w:hAnsi="Arial"/>
          <w:sz w:val="14"/>
          <w:szCs w:val="14"/>
          <w:color w:val="auto"/>
        </w:rPr>
        <w:t xml:space="preserve"> with Platinum and Montsant Partners, LLC, an organization affiliated with Platinum (</w:t>
      </w:r>
      <w:r>
        <w:rPr>
          <w:rFonts w:ascii="Arial" w:cs="Arial" w:eastAsia="Arial" w:hAnsi="Arial"/>
          <w:sz w:val="14"/>
          <w:szCs w:val="14"/>
          <w:i w:val="1"/>
          <w:iCs w:val="1"/>
          <w:color w:val="auto"/>
        </w:rPr>
        <w:t>Montsant)</w:t>
      </w:r>
      <w:r>
        <w:rPr>
          <w:rFonts w:ascii="Arial" w:cs="Arial" w:eastAsia="Arial" w:hAnsi="Arial"/>
          <w:sz w:val="14"/>
          <w:szCs w:val="14"/>
          <w:color w:val="auto"/>
        </w:rPr>
        <w:t xml:space="preserve"> and, together with Platinum, the (</w:t>
      </w:r>
      <w:r>
        <w:rPr>
          <w:rFonts w:ascii="Arial" w:cs="Arial" w:eastAsia="Arial" w:hAnsi="Arial"/>
          <w:sz w:val="14"/>
          <w:szCs w:val="14"/>
          <w:i w:val="1"/>
          <w:iCs w:val="1"/>
          <w:color w:val="auto"/>
        </w:rPr>
        <w:t>Holders)</w:t>
      </w:r>
      <w:r>
        <w:rPr>
          <w:rFonts w:ascii="Arial" w:cs="Arial" w:eastAsia="Arial" w:hAnsi="Arial"/>
          <w:sz w:val="14"/>
          <w:szCs w:val="14"/>
          <w:color w:val="auto"/>
        </w:rPr>
        <w:t>, pursuant to which (i) 200,000 shares of our common stock held by the Holders were exchanged for 200,000 shares of Series C Preferred; (ii) the Holders canceled 2,368,658 warrants previously issued to them by the Company the (</w:t>
      </w:r>
      <w:r>
        <w:rPr>
          <w:rFonts w:ascii="Arial" w:cs="Arial" w:eastAsia="Arial" w:hAnsi="Arial"/>
          <w:sz w:val="14"/>
          <w:szCs w:val="14"/>
          <w:i w:val="1"/>
          <w:iCs w:val="1"/>
          <w:color w:val="auto"/>
        </w:rPr>
        <w:t>Warrants)</w:t>
      </w:r>
      <w:r>
        <w:rPr>
          <w:rFonts w:ascii="Arial" w:cs="Arial" w:eastAsia="Arial" w:hAnsi="Arial"/>
          <w:sz w:val="14"/>
          <w:szCs w:val="14"/>
          <w:color w:val="auto"/>
        </w:rPr>
        <w:t xml:space="preserve"> in exchange for a total of 1,776,494 shares of Series C Preferred. In addition, Platinum terminated its right under the Note Exchange and Purchase Agreement, originally dated October 11, 2012 the (</w:t>
      </w:r>
      <w:r>
        <w:rPr>
          <w:rFonts w:ascii="Arial" w:cs="Arial" w:eastAsia="Arial" w:hAnsi="Arial"/>
          <w:sz w:val="14"/>
          <w:szCs w:val="14"/>
          <w:i w:val="1"/>
          <w:iCs w:val="1"/>
          <w:color w:val="auto"/>
        </w:rPr>
        <w:t>NEPA)</w:t>
      </w:r>
      <w:r>
        <w:rPr>
          <w:rFonts w:ascii="Arial" w:cs="Arial" w:eastAsia="Arial" w:hAnsi="Arial"/>
          <w:sz w:val="14"/>
          <w:szCs w:val="14"/>
          <w:color w:val="auto"/>
        </w:rPr>
        <w:t>, as amended, to receive warrants (</w:t>
      </w:r>
      <w:r>
        <w:rPr>
          <w:rFonts w:ascii="Arial" w:cs="Arial" w:eastAsia="Arial" w:hAnsi="Arial"/>
          <w:sz w:val="14"/>
          <w:szCs w:val="14"/>
          <w:i w:val="1"/>
          <w:iCs w:val="1"/>
          <w:color w:val="auto"/>
        </w:rPr>
        <w:t>Series A Warrants)</w:t>
      </w:r>
      <w:r>
        <w:rPr>
          <w:rFonts w:ascii="Arial" w:cs="Arial" w:eastAsia="Arial" w:hAnsi="Arial"/>
          <w:sz w:val="14"/>
          <w:szCs w:val="14"/>
          <w:color w:val="auto"/>
        </w:rPr>
        <w:t xml:space="preserve"> to purchase a total of 455,358 shares of our common stock upon conversion of all of its shares of our Series A Preferred, and, as consideration, we issued to Platinum 341,518 shares of Series C Preferred. Upon execution of the Exchange Agreement and the termination of Platinum’s right to receive Series A Warrants under the NEPA, we issued Series A Warrants to purchase a total of 80,357 shares of our common stock to the holder of shares of Series A Preferred previously held, but subsequently assigned, by Platinum.</w:t>
      </w:r>
    </w:p>
    <w:p>
      <w:pPr>
        <w:spacing w:after="0" w:line="173" w:lineRule="exact"/>
        <w:rPr>
          <w:sz w:val="20"/>
          <w:szCs w:val="20"/>
          <w:color w:val="auto"/>
        </w:rPr>
      </w:pPr>
    </w:p>
    <w:p>
      <w:pPr>
        <w:jc w:val="both"/>
        <w:ind w:right="100" w:firstLine="511"/>
        <w:spacing w:after="0" w:line="268" w:lineRule="auto"/>
        <w:rPr>
          <w:sz w:val="20"/>
          <w:szCs w:val="20"/>
          <w:color w:val="auto"/>
        </w:rPr>
      </w:pPr>
      <w:r>
        <w:rPr>
          <w:rFonts w:ascii="Arial" w:cs="Arial" w:eastAsia="Arial" w:hAnsi="Arial"/>
          <w:sz w:val="14"/>
          <w:szCs w:val="14"/>
          <w:color w:val="auto"/>
        </w:rPr>
        <w:t>Between January 29, 2016 and February 12, 2016, we entered into Warrant Exchange Agreements with certain holders of outstanding warrants to purchase an aggregate of 824,887 shares of our common stock pursuant to which the holders agreed to the cancellation of such warrants in exchange for our issuance to them of an aggregate of 618,685 shares of our unregistered common stock. At February 12, 2016, we had warrants outstanding to purchase 1,874,595 shares of our common stock.</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16" w:name="page217"/>
    <w:bookmarkEnd w:id="216"/>
    <w:p>
      <w:pPr>
        <w:spacing w:after="0"/>
        <w:rPr>
          <w:rFonts w:ascii="Arial" w:cs="Arial" w:eastAsia="Arial" w:hAnsi="Arial"/>
          <w:sz w:val="11"/>
          <w:szCs w:val="11"/>
          <w:i w:val="1"/>
          <w:iCs w:val="1"/>
          <w:u w:val="single" w:color="auto"/>
          <w:color w:val="0000EE"/>
        </w:rPr>
      </w:pPr>
      <w:hyperlink w:anchor="page5">
        <w:r>
          <w:rPr>
            <w:rFonts w:ascii="Arial" w:cs="Arial" w:eastAsia="Arial" w:hAnsi="Arial"/>
            <w:sz w:val="11"/>
            <w:szCs w:val="11"/>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292735</wp:posOffset>
            </wp:positionV>
            <wp:extent cx="7294880" cy="196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4880" cy="19685"/>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728345</wp:posOffset>
            </wp:positionV>
            <wp:extent cx="1237615" cy="817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37615" cy="817880"/>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[____________] Shares of Common Stock</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Joint Book-Running Managers</w:t>
      </w:r>
    </w:p>
    <w:p>
      <w:pPr>
        <w:spacing w:after="0" w:line="168" w:lineRule="exact"/>
        <w:rPr>
          <w:sz w:val="20"/>
          <w:szCs w:val="20"/>
          <w:color w:val="auto"/>
        </w:rPr>
      </w:pPr>
    </w:p>
    <w:p>
      <w:pPr>
        <w:ind w:left="1960"/>
        <w:spacing w:after="0"/>
        <w:tabs>
          <w:tab w:leader="none" w:pos="7280" w:val="left"/>
        </w:tabs>
        <w:rPr>
          <w:sz w:val="20"/>
          <w:szCs w:val="20"/>
          <w:color w:val="auto"/>
        </w:rPr>
      </w:pPr>
      <w:r>
        <w:rPr>
          <w:rFonts w:ascii="Arial" w:cs="Arial" w:eastAsia="Arial" w:hAnsi="Arial"/>
          <w:sz w:val="19"/>
          <w:szCs w:val="19"/>
          <w:b w:val="1"/>
          <w:bCs w:val="1"/>
          <w:color w:val="auto"/>
        </w:rPr>
        <w:t>Chardan</w:t>
      </w:r>
      <w:r>
        <w:rPr>
          <w:sz w:val="20"/>
          <w:szCs w:val="20"/>
          <w:color w:val="auto"/>
        </w:rPr>
        <w:tab/>
      </w:r>
      <w:r>
        <w:rPr>
          <w:rFonts w:ascii="Arial" w:cs="Arial" w:eastAsia="Arial" w:hAnsi="Arial"/>
          <w:sz w:val="19"/>
          <w:szCs w:val="19"/>
          <w:b w:val="1"/>
          <w:bCs w:val="1"/>
          <w:color w:val="auto"/>
        </w:rPr>
        <w:t>WallachBeth Capital,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[_____________], 2016</w:t>
      </w: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Through and including [___________], 2016 (the 25</w:t>
      </w:r>
      <w:r>
        <w:rPr>
          <w:rFonts w:ascii="Arial" w:cs="Arial" w:eastAsia="Arial" w:hAnsi="Arial"/>
          <w:sz w:val="20"/>
          <w:szCs w:val="20"/>
          <w:b w:val="1"/>
          <w:bCs w:val="1"/>
          <w:color w:val="auto"/>
          <w:vertAlign w:val="superscript"/>
        </w:rPr>
        <w:t>th</w:t>
      </w:r>
      <w:r>
        <w:rPr>
          <w:rFonts w:ascii="Arial" w:cs="Arial" w:eastAsia="Arial" w:hAnsi="Arial"/>
          <w:sz w:val="15"/>
          <w:szCs w:val="15"/>
          <w:b w:val="1"/>
          <w:bCs w:val="1"/>
          <w:color w:val="auto"/>
        </w:rPr>
        <w:t xml:space="preserve"> day after the date of this prospectus), all dealers that buy, sell or trade our common stock, whether or</w:t>
      </w:r>
    </w:p>
    <w:p>
      <w:pPr>
        <w:spacing w:after="0" w:line="243" w:lineRule="auto"/>
        <w:rPr>
          <w:sz w:val="20"/>
          <w:szCs w:val="20"/>
          <w:color w:val="auto"/>
        </w:rPr>
      </w:pPr>
      <w:r>
        <w:rPr>
          <w:rFonts w:ascii="Arial" w:cs="Arial" w:eastAsia="Arial" w:hAnsi="Arial"/>
          <w:sz w:val="17"/>
          <w:szCs w:val="17"/>
          <w:b w:val="1"/>
          <w:bCs w:val="1"/>
          <w:color w:val="auto"/>
        </w:rPr>
        <w:t>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227330</wp:posOffset>
            </wp:positionV>
            <wp:extent cx="7281545" cy="196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380"/>
          </w:cols>
          <w:pgMar w:left="220" w:top="133" w:right="299" w:bottom="1440" w:gutter="0" w:footer="0" w:header="0"/>
          <w:type w:val="continuous"/>
        </w:sectPr>
      </w:pPr>
    </w:p>
    <w:bookmarkStart w:id="217" w:name="page218"/>
    <w:bookmarkEnd w:id="217"/>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Other Expenses of Issuance and Distribution</w:t>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The following table presents the costs and expenses in connection with the issuance and distribution of the securities to be registered. No underwriting discounts and commissions shall be payable by us in connection with the resale of common stock being registered. Except as otherwise noted, we will pay all of these amounts. All amounts are estimates except the SEC registration fee and the FINRA filing fee.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SEC Registration Fee</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1,494</w:t>
            </w:r>
          </w:p>
        </w:tc>
      </w:tr>
      <w:tr>
        <w:trPr>
          <w:trHeight w:val="170"/>
        </w:trPr>
        <w:tc>
          <w:tcPr>
            <w:tcW w:w="10200" w:type="dxa"/>
            <w:vAlign w:val="bottom"/>
          </w:tcPr>
          <w:p>
            <w:pPr>
              <w:spacing w:after="0"/>
              <w:rPr>
                <w:sz w:val="20"/>
                <w:szCs w:val="20"/>
                <w:color w:val="auto"/>
              </w:rPr>
            </w:pPr>
            <w:r>
              <w:rPr>
                <w:rFonts w:ascii="Arial" w:cs="Arial" w:eastAsia="Arial" w:hAnsi="Arial"/>
                <w:sz w:val="14"/>
                <w:szCs w:val="14"/>
                <w:color w:val="auto"/>
              </w:rPr>
              <w:t>FINRA Filing Fee</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2,726</w:t>
            </w: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NASDAQ Capital Market Listing Fee</w:t>
            </w:r>
          </w:p>
        </w:tc>
        <w:tc>
          <w:tcPr>
            <w:tcW w:w="3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50,000</w:t>
            </w:r>
          </w:p>
        </w:tc>
      </w:tr>
      <w:tr>
        <w:trPr>
          <w:trHeight w:val="170"/>
        </w:trPr>
        <w:tc>
          <w:tcPr>
            <w:tcW w:w="10200" w:type="dxa"/>
            <w:vAlign w:val="bottom"/>
          </w:tcPr>
          <w:p>
            <w:pPr>
              <w:spacing w:after="0"/>
              <w:rPr>
                <w:sz w:val="20"/>
                <w:szCs w:val="20"/>
                <w:color w:val="auto"/>
              </w:rPr>
            </w:pPr>
            <w:r>
              <w:rPr>
                <w:rFonts w:ascii="Arial" w:cs="Arial" w:eastAsia="Arial" w:hAnsi="Arial"/>
                <w:sz w:val="14"/>
                <w:szCs w:val="14"/>
                <w:color w:val="auto"/>
              </w:rPr>
              <w:t>Legal Fees and Expenses</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165,000</w:t>
            </w: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Accounting Fees and Expenses</w:t>
            </w:r>
          </w:p>
        </w:tc>
        <w:tc>
          <w:tcPr>
            <w:tcW w:w="3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60,000</w:t>
            </w:r>
          </w:p>
        </w:tc>
      </w:tr>
      <w:tr>
        <w:trPr>
          <w:trHeight w:val="170"/>
        </w:trPr>
        <w:tc>
          <w:tcPr>
            <w:tcW w:w="10200" w:type="dxa"/>
            <w:vAlign w:val="bottom"/>
          </w:tcPr>
          <w:p>
            <w:pPr>
              <w:spacing w:after="0"/>
              <w:rPr>
                <w:sz w:val="20"/>
                <w:szCs w:val="20"/>
                <w:color w:val="auto"/>
              </w:rPr>
            </w:pPr>
            <w:r>
              <w:rPr>
                <w:rFonts w:ascii="Arial" w:cs="Arial" w:eastAsia="Arial" w:hAnsi="Arial"/>
                <w:sz w:val="14"/>
                <w:szCs w:val="14"/>
                <w:color w:val="auto"/>
              </w:rPr>
              <w:t>Transfer Agent and Registrar Fees and Expenses</w:t>
            </w:r>
          </w:p>
        </w:tc>
        <w:tc>
          <w:tcPr>
            <w:tcW w:w="3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5,000</w:t>
            </w:r>
          </w:p>
        </w:tc>
      </w:tr>
      <w:tr>
        <w:trPr>
          <w:trHeight w:val="170"/>
        </w:trPr>
        <w:tc>
          <w:tcPr>
            <w:tcW w:w="10200" w:type="dxa"/>
            <w:vAlign w:val="bottom"/>
            <w:shd w:val="clear" w:color="auto" w:fill="CCEEFF"/>
          </w:tcPr>
          <w:p>
            <w:pPr>
              <w:spacing w:after="0"/>
              <w:rPr>
                <w:sz w:val="20"/>
                <w:szCs w:val="20"/>
                <w:color w:val="auto"/>
              </w:rPr>
            </w:pPr>
            <w:r>
              <w:rPr>
                <w:rFonts w:ascii="Arial" w:cs="Arial" w:eastAsia="Arial" w:hAnsi="Arial"/>
                <w:sz w:val="14"/>
                <w:szCs w:val="14"/>
                <w:color w:val="auto"/>
              </w:rPr>
              <w:t>Printing Expenses</w:t>
            </w:r>
          </w:p>
        </w:tc>
        <w:tc>
          <w:tcPr>
            <w:tcW w:w="3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w:t>
            </w:r>
          </w:p>
        </w:tc>
      </w:tr>
      <w:tr>
        <w:trPr>
          <w:trHeight w:val="172"/>
        </w:trPr>
        <w:tc>
          <w:tcPr>
            <w:tcW w:w="10200" w:type="dxa"/>
            <w:vAlign w:val="bottom"/>
          </w:tcPr>
          <w:p>
            <w:pPr>
              <w:spacing w:after="0"/>
              <w:rPr>
                <w:sz w:val="20"/>
                <w:szCs w:val="20"/>
                <w:color w:val="auto"/>
              </w:rPr>
            </w:pPr>
            <w:r>
              <w:rPr>
                <w:rFonts w:ascii="Arial" w:cs="Arial" w:eastAsia="Arial" w:hAnsi="Arial"/>
                <w:sz w:val="14"/>
                <w:szCs w:val="14"/>
                <w:color w:val="auto"/>
              </w:rPr>
              <w:t>Miscellaneous expenses</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4"/>
                <w:szCs w:val="14"/>
                <w:color w:val="auto"/>
              </w:rPr>
            </w:pPr>
          </w:p>
        </w:tc>
      </w:tr>
      <w:tr>
        <w:trPr>
          <w:trHeight w:val="210"/>
        </w:trPr>
        <w:tc>
          <w:tcPr>
            <w:tcW w:w="10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299,220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Indemnification of Directors and Officers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Limitations of liability and indemnification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Our amended and restated bylaws provide that we will indemnify our directors, officers and employees to the fullest extent permitted by the Nevada Revised Statutes (</w:t>
      </w:r>
      <w:r>
        <w:rPr>
          <w:rFonts w:ascii="Arial" w:cs="Arial" w:eastAsia="Arial" w:hAnsi="Arial"/>
          <w:sz w:val="14"/>
          <w:szCs w:val="14"/>
          <w:i w:val="1"/>
          <w:iCs w:val="1"/>
          <w:color w:val="auto"/>
        </w:rPr>
        <w:t>NRS</w:t>
      </w:r>
      <w:r>
        <w:rPr>
          <w:rFonts w:ascii="Arial" w:cs="Arial" w:eastAsia="Arial" w:hAnsi="Arial"/>
          <w:sz w:val="14"/>
          <w:szCs w:val="14"/>
          <w:color w:val="auto"/>
        </w:rPr>
        <w:t>).</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47" w:lineRule="exact"/>
        <w:rPr>
          <w:sz w:val="20"/>
          <w:szCs w:val="20"/>
          <w:color w:val="auto"/>
        </w:rPr>
      </w:pPr>
    </w:p>
    <w:p>
      <w:pPr>
        <w:jc w:val="both"/>
        <w:ind w:right="80"/>
        <w:spacing w:after="0" w:line="268" w:lineRule="auto"/>
        <w:rPr>
          <w:sz w:val="20"/>
          <w:szCs w:val="20"/>
          <w:color w:val="auto"/>
        </w:rPr>
      </w:pPr>
      <w:r>
        <w:rPr>
          <w:rFonts w:ascii="Arial" w:cs="Arial" w:eastAsia="Arial" w:hAnsi="Arial"/>
          <w:sz w:val="14"/>
          <w:szCs w:val="14"/>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42" w:lineRule="exact"/>
        <w:rPr>
          <w:sz w:val="20"/>
          <w:szCs w:val="20"/>
          <w:color w:val="auto"/>
        </w:rPr>
      </w:pPr>
    </w:p>
    <w:p>
      <w:pPr>
        <w:jc w:val="both"/>
        <w:ind w:right="80"/>
        <w:spacing w:after="0" w:line="298" w:lineRule="auto"/>
        <w:rPr>
          <w:sz w:val="20"/>
          <w:szCs w:val="20"/>
          <w:color w:val="auto"/>
        </w:rPr>
      </w:pPr>
      <w:r>
        <w:rPr>
          <w:rFonts w:ascii="Arial" w:cs="Arial" w:eastAsia="Arial" w:hAnsi="Arial"/>
          <w:sz w:val="13"/>
          <w:szCs w:val="13"/>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46"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53" w:lineRule="exact"/>
        <w:rPr>
          <w:sz w:val="20"/>
          <w:szCs w:val="20"/>
          <w:color w:val="auto"/>
        </w:rPr>
      </w:pPr>
    </w:p>
    <w:p>
      <w:pPr>
        <w:ind w:right="80"/>
        <w:spacing w:after="0" w:line="283" w:lineRule="auto"/>
        <w:rPr>
          <w:sz w:val="20"/>
          <w:szCs w:val="20"/>
          <w:color w:val="auto"/>
        </w:rPr>
      </w:pPr>
      <w:r>
        <w:rPr>
          <w:rFonts w:ascii="Arial" w:cs="Arial" w:eastAsia="Arial" w:hAnsi="Arial"/>
          <w:sz w:val="14"/>
          <w:szCs w:val="14"/>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18" w:name="page219"/>
    <w:bookmarkEnd w:id="21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Recent Sales of Unregistered Securities.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Since February 2013, we have made the following sales of unregistered securities in self-placed private placement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 Exchanges for Series C Preferred, Exchange of Common Stock for Series C Preferred, Warrant Exchanges for Common Stock – January 2016– March 2016</w:t>
      </w:r>
    </w:p>
    <w:p>
      <w:pPr>
        <w:spacing w:after="0" w:line="205"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 xml:space="preserve">On January 25, 2016, we entered into an Exchange Agreement (the </w:t>
      </w:r>
      <w:r>
        <w:rPr>
          <w:rFonts w:ascii="Arial" w:cs="Arial" w:eastAsia="Arial" w:hAnsi="Arial"/>
          <w:sz w:val="13"/>
          <w:szCs w:val="13"/>
          <w:i w:val="1"/>
          <w:iCs w:val="1"/>
          <w:color w:val="auto"/>
        </w:rPr>
        <w:t>Exchange Agreement</w:t>
      </w:r>
      <w:r>
        <w:rPr>
          <w:rFonts w:ascii="Arial" w:cs="Arial" w:eastAsia="Arial" w:hAnsi="Arial"/>
          <w:sz w:val="13"/>
          <w:szCs w:val="13"/>
          <w:color w:val="auto"/>
        </w:rPr>
        <w:t>) with Platinum and Montsant Partners, LLC, an organization affiliated with Platinum (</w:t>
      </w:r>
      <w:r>
        <w:rPr>
          <w:rFonts w:ascii="Arial" w:cs="Arial" w:eastAsia="Arial" w:hAnsi="Arial"/>
          <w:sz w:val="13"/>
          <w:szCs w:val="13"/>
          <w:i w:val="1"/>
          <w:iCs w:val="1"/>
          <w:color w:val="auto"/>
        </w:rPr>
        <w:t>Montsant</w:t>
      </w:r>
      <w:r>
        <w:rPr>
          <w:rFonts w:ascii="Arial" w:cs="Arial" w:eastAsia="Arial" w:hAnsi="Arial"/>
          <w:sz w:val="13"/>
          <w:szCs w:val="13"/>
          <w:color w:val="auto"/>
        </w:rPr>
        <w:t xml:space="preserve"> and, together with Platinum, the </w:t>
      </w:r>
      <w:r>
        <w:rPr>
          <w:rFonts w:ascii="Arial" w:cs="Arial" w:eastAsia="Arial" w:hAnsi="Arial"/>
          <w:sz w:val="13"/>
          <w:szCs w:val="13"/>
          <w:i w:val="1"/>
          <w:iCs w:val="1"/>
          <w:color w:val="auto"/>
        </w:rPr>
        <w:t>Holders</w:t>
      </w:r>
      <w:r>
        <w:rPr>
          <w:rFonts w:ascii="Arial" w:cs="Arial" w:eastAsia="Arial" w:hAnsi="Arial"/>
          <w:sz w:val="13"/>
          <w:szCs w:val="13"/>
          <w:color w:val="auto"/>
        </w:rPr>
        <w:t>), pursuant to which (i) 200,000 shares of our common stock held by the Holders were exchanged for 200,000 shares of Series C Convertible Preferred Stock (</w:t>
      </w:r>
      <w:r>
        <w:rPr>
          <w:rFonts w:ascii="Arial" w:cs="Arial" w:eastAsia="Arial" w:hAnsi="Arial"/>
          <w:sz w:val="13"/>
          <w:szCs w:val="13"/>
          <w:i w:val="1"/>
          <w:iCs w:val="1"/>
          <w:color w:val="auto"/>
        </w:rPr>
        <w:t>Series C</w:t>
      </w:r>
      <w:r>
        <w:rPr>
          <w:rFonts w:ascii="Arial" w:cs="Arial" w:eastAsia="Arial" w:hAnsi="Arial"/>
          <w:sz w:val="13"/>
          <w:szCs w:val="13"/>
          <w:color w:val="auto"/>
        </w:rPr>
        <w:t xml:space="preserve"> </w:t>
      </w:r>
      <w:r>
        <w:rPr>
          <w:rFonts w:ascii="Arial" w:cs="Arial" w:eastAsia="Arial" w:hAnsi="Arial"/>
          <w:sz w:val="13"/>
          <w:szCs w:val="13"/>
          <w:i w:val="1"/>
          <w:iCs w:val="1"/>
          <w:color w:val="auto"/>
        </w:rPr>
        <w:t>Preferred</w:t>
      </w:r>
      <w:r>
        <w:rPr>
          <w:rFonts w:ascii="Arial" w:cs="Arial" w:eastAsia="Arial" w:hAnsi="Arial"/>
          <w:sz w:val="13"/>
          <w:szCs w:val="13"/>
          <w:color w:val="auto"/>
        </w:rPr>
        <w:t>); (ii) the Holders canceled 2,368,658 warrants previously issued to them by the Company (the</w:t>
      </w:r>
      <w:r>
        <w:rPr>
          <w:rFonts w:ascii="Arial" w:cs="Arial" w:eastAsia="Arial" w:hAnsi="Arial"/>
          <w:sz w:val="13"/>
          <w:szCs w:val="13"/>
          <w:i w:val="1"/>
          <w:iCs w:val="1"/>
          <w:color w:val="auto"/>
        </w:rPr>
        <w:t xml:space="preserve"> Warrants</w:t>
      </w:r>
      <w:r>
        <w:rPr>
          <w:rFonts w:ascii="Arial" w:cs="Arial" w:eastAsia="Arial" w:hAnsi="Arial"/>
          <w:sz w:val="13"/>
          <w:szCs w:val="13"/>
          <w:color w:val="auto"/>
        </w:rPr>
        <w:t>) in exchange for a total of 1,776,494 shares of Series C Preferred. In addition,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Platinum terminated its right under the Note Exchange and Purchase Agreement, originally dated October 11, 2012 (the </w:t>
      </w:r>
      <w:r>
        <w:rPr>
          <w:rFonts w:ascii="Arial" w:cs="Arial" w:eastAsia="Arial" w:hAnsi="Arial"/>
          <w:sz w:val="13"/>
          <w:szCs w:val="13"/>
          <w:i w:val="1"/>
          <w:iCs w:val="1"/>
          <w:color w:val="auto"/>
        </w:rPr>
        <w:t>NEPA</w:t>
      </w:r>
      <w:r>
        <w:rPr>
          <w:rFonts w:ascii="Arial" w:cs="Arial" w:eastAsia="Arial" w:hAnsi="Arial"/>
          <w:sz w:val="13"/>
          <w:szCs w:val="13"/>
          <w:color w:val="auto"/>
        </w:rPr>
        <w:t>), as amended, to receive warrants (</w:t>
      </w:r>
      <w:r>
        <w:rPr>
          <w:rFonts w:ascii="Arial" w:cs="Arial" w:eastAsia="Arial" w:hAnsi="Arial"/>
          <w:sz w:val="13"/>
          <w:szCs w:val="13"/>
          <w:i w:val="1"/>
          <w:iCs w:val="1"/>
          <w:color w:val="auto"/>
        </w:rPr>
        <w:t>Series A Warrants</w:t>
      </w:r>
      <w:r>
        <w:rPr>
          <w:rFonts w:ascii="Arial" w:cs="Arial" w:eastAsia="Arial" w:hAnsi="Arial"/>
          <w:sz w:val="13"/>
          <w:szCs w:val="13"/>
          <w:color w:val="auto"/>
        </w:rPr>
        <w:t>) to purchase a total of 455,358 shares of our common stock upon conversion of all of its shares of our Series A Preferred, and, as consideration, we issued to Platinum 341,518 shares of Series C Preferred. Upon execution of the Exchange Agreement and the termination of Platinum’s right to receive Series A Warrants under the NEPA, we issued Series A Warrants to purchase a total of 80,357 shares of our common stock to the holder of shares of Series A Preferred previously held, but subsequently assigned, by Platinum.</w:t>
      </w:r>
    </w:p>
    <w:p>
      <w:pPr>
        <w:spacing w:after="0" w:line="159" w:lineRule="exact"/>
        <w:rPr>
          <w:sz w:val="20"/>
          <w:szCs w:val="20"/>
          <w:color w:val="auto"/>
        </w:rPr>
      </w:pPr>
    </w:p>
    <w:p>
      <w:pPr>
        <w:ind w:right="20"/>
        <w:spacing w:after="0" w:line="323" w:lineRule="auto"/>
        <w:rPr>
          <w:sz w:val="20"/>
          <w:szCs w:val="20"/>
          <w:color w:val="auto"/>
        </w:rPr>
      </w:pPr>
      <w:r>
        <w:rPr>
          <w:rFonts w:ascii="Arial" w:cs="Arial" w:eastAsia="Arial" w:hAnsi="Arial"/>
          <w:sz w:val="13"/>
          <w:szCs w:val="13"/>
          <w:color w:val="auto"/>
        </w:rPr>
        <w:t>Between January 29, 2016 and March 4, 2016, we entered into Warrant Exchange Agreements with certain holders of outstanding warrants to purchase an aggregate of 1,013,753 shares of our common stock pursuant to which the holders agreed to the cancellation of such warrants in exchange for our issuance to them of an aggregate of 760,341 shares of our unregistered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Series B Preferred Unit Offering – May 2015 – March 2016</w:t>
      </w:r>
    </w:p>
    <w:p>
      <w:pPr>
        <w:spacing w:after="0" w:line="205" w:lineRule="exact"/>
        <w:rPr>
          <w:sz w:val="20"/>
          <w:szCs w:val="20"/>
          <w:color w:val="auto"/>
        </w:rPr>
      </w:pPr>
    </w:p>
    <w:p>
      <w:pPr>
        <w:ind w:right="220"/>
        <w:spacing w:after="0" w:line="320" w:lineRule="auto"/>
        <w:rPr>
          <w:sz w:val="20"/>
          <w:szCs w:val="20"/>
          <w:color w:val="auto"/>
        </w:rPr>
      </w:pPr>
      <w:r>
        <w:rPr>
          <w:rFonts w:ascii="Arial" w:cs="Arial" w:eastAsia="Arial" w:hAnsi="Arial"/>
          <w:sz w:val="12"/>
          <w:szCs w:val="12"/>
          <w:color w:val="auto"/>
        </w:rPr>
        <w:t>Between May 26, 2015 and March 4, 2016, we sold to accredited investors an aggregate of $4,725,781 of units in our Series B Preferred Unit offering, which units consist of shares of Series B 10%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and Series B Warrants (together Series B Preferred Units), including $2,650,000 to Platinum. We issued 675,121 shares of Series B Preferred and Series B Warrants to purchase 675,121 shares of our common stock and we have received an aggregate of $4,725,781 in cash proceeds from the sale of the Series B Preferred Units. Each share of Series B Preferred is convertible into one share of our common stock and the Series B Warrants are exercisable at a fixed price of $7.00 per share for a term of five years following issuance.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Grants of Warrants and Common Stock – November 2015 – March 2016</w:t>
      </w:r>
    </w:p>
    <w:p>
      <w:pPr>
        <w:spacing w:after="0" w:line="205"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color w:val="auto"/>
        </w:rPr>
        <w:t>On November 11, 2015, we granted 15,750 unregistered shares of our common stock and warrants to purchase 7,500 shares of our unregistered common stock at an exercise price of $7.00 per share to an accredited investor as compensation for investment banking services. On December 11, 2015 we granted warrants to purchase an aggregate of 37,500 unregistered shares of our common stock to three accredited investors pursuant to an investment banking arrangement. On January 15, 2016, we granted 10,000 shares of our unregistered common stock to an accredited investor as compensation for legal services. On February 24, 2016, we granted an aggregate of 6,250 unregistered shares of our common stock to two accredited investors as compensation for legal and investor relations services. On March 2, 2016, we granted 3,125 unregistered shares of our common stock to an accredited investor as partial compensation for legal services related to this Offering. On March 3, 2016, we granted 7,250 unregistered shares of our common stock to an accredited investor as compensation for investor relations services. We will receive all proceeds from the exercise of the warrants granted; however, there can be no assurance that we will receive any proceeds therefrom.</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219" w:name="page220"/>
    <w:bookmarkEnd w:id="21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Conversion of Senior Secured Promissory Notes, Convertible and Other Promissory Notes and Liabilities into Series B Preferred Stock and Warrants – May 2015 – August 2015</w:t>
      </w:r>
    </w:p>
    <w:p>
      <w:pPr>
        <w:spacing w:after="0" w:line="195" w:lineRule="exact"/>
        <w:rPr>
          <w:sz w:val="20"/>
          <w:szCs w:val="20"/>
          <w:color w:val="auto"/>
        </w:rPr>
      </w:pPr>
    </w:p>
    <w:p>
      <w:pPr>
        <w:spacing w:after="0" w:line="311" w:lineRule="auto"/>
        <w:rPr>
          <w:sz w:val="20"/>
          <w:szCs w:val="20"/>
          <w:color w:val="auto"/>
        </w:rPr>
      </w:pPr>
      <w:r>
        <w:rPr>
          <w:rFonts w:ascii="Arial" w:cs="Arial" w:eastAsia="Arial" w:hAnsi="Arial"/>
          <w:sz w:val="12"/>
          <w:szCs w:val="12"/>
          <w:color w:val="auto"/>
        </w:rPr>
        <w:t>Effective on May 12, 2015, we entered into an Agreement with Platinum (</w:t>
      </w:r>
      <w:r>
        <w:rPr>
          <w:rFonts w:ascii="Arial" w:cs="Arial" w:eastAsia="Arial" w:hAnsi="Arial"/>
          <w:sz w:val="12"/>
          <w:szCs w:val="12"/>
          <w:i w:val="1"/>
          <w:iCs w:val="1"/>
          <w:color w:val="auto"/>
        </w:rPr>
        <w:t>Platinum Agreement</w:t>
      </w:r>
      <w:r>
        <w:rPr>
          <w:rFonts w:ascii="Arial" w:cs="Arial" w:eastAsia="Arial" w:hAnsi="Arial"/>
          <w:sz w:val="12"/>
          <w:szCs w:val="12"/>
          <w:color w:val="auto"/>
        </w:rPr>
        <w:t>) pursuant to which, among other things, Platinum (i) converted the approximately $4.5 million outstanding balance (principal and accrued but unpaid interest) of the Senior Notes we issued to Platinum between August 2012 and July 2013 into 641,335 shares of Series B Preferred; (ii) converted the approximately $1.3 million outstanding balance (principal and accrued but unpaid interest) of the convertible promissory Notes we issued to Platinum in our 2014 Unit Private Placement (</w:t>
      </w:r>
      <w:r>
        <w:rPr>
          <w:rFonts w:ascii="Arial" w:cs="Arial" w:eastAsia="Arial" w:hAnsi="Arial"/>
          <w:sz w:val="12"/>
          <w:szCs w:val="12"/>
          <w:i w:val="1"/>
          <w:iCs w:val="1"/>
          <w:color w:val="auto"/>
        </w:rPr>
        <w:t>2014 Unit</w:t>
      </w:r>
      <w:r>
        <w:rPr>
          <w:rFonts w:ascii="Arial" w:cs="Arial" w:eastAsia="Arial" w:hAnsi="Arial"/>
          <w:sz w:val="12"/>
          <w:szCs w:val="12"/>
          <w:color w:val="auto"/>
        </w:rPr>
        <w:t xml:space="preserve"> </w:t>
      </w:r>
      <w:r>
        <w:rPr>
          <w:rFonts w:ascii="Arial" w:cs="Arial" w:eastAsia="Arial" w:hAnsi="Arial"/>
          <w:sz w:val="12"/>
          <w:szCs w:val="12"/>
          <w:i w:val="1"/>
          <w:iCs w:val="1"/>
          <w:color w:val="auto"/>
        </w:rPr>
        <w:t>Notes</w:t>
      </w:r>
      <w:r>
        <w:rPr>
          <w:rFonts w:ascii="Arial" w:cs="Arial" w:eastAsia="Arial" w:hAnsi="Arial"/>
          <w:sz w:val="12"/>
          <w:szCs w:val="12"/>
          <w:color w:val="auto"/>
        </w:rPr>
        <w:t>) into 240,305 shares of Series B Preferred and Series B Warrants to purchase 240,305 shares of our common stock at a fixed exercise price of $7.00 per share; and (iii) purchased approximately</w:t>
      </w:r>
      <w:r>
        <w:rPr>
          <w:rFonts w:ascii="Arial" w:cs="Arial" w:eastAsia="Arial" w:hAnsi="Arial"/>
          <w:sz w:val="12"/>
          <w:szCs w:val="12"/>
          <w:i w:val="1"/>
          <w:iCs w:val="1"/>
          <w:color w:val="auto"/>
        </w:rPr>
        <w:t xml:space="preserve"> </w:t>
      </w:r>
      <w:r>
        <w:rPr>
          <w:rFonts w:ascii="Arial" w:cs="Arial" w:eastAsia="Arial" w:hAnsi="Arial"/>
          <w:sz w:val="12"/>
          <w:szCs w:val="12"/>
          <w:color w:val="auto"/>
        </w:rPr>
        <w:t>$1.5 million (including accrued but unpaid interest thereon) of outstanding 2014 Unit Notes we had issued to various investors from the respective holders thereof (</w:t>
      </w:r>
      <w:r>
        <w:rPr>
          <w:rFonts w:ascii="Arial" w:cs="Arial" w:eastAsia="Arial" w:hAnsi="Arial"/>
          <w:sz w:val="12"/>
          <w:szCs w:val="12"/>
          <w:i w:val="1"/>
          <w:iCs w:val="1"/>
          <w:color w:val="auto"/>
        </w:rPr>
        <w:t>Investor 2014 Unit Notes</w:t>
      </w:r>
      <w:r>
        <w:rPr>
          <w:rFonts w:ascii="Arial" w:cs="Arial" w:eastAsia="Arial" w:hAnsi="Arial"/>
          <w:sz w:val="12"/>
          <w:szCs w:val="12"/>
          <w:color w:val="auto"/>
        </w:rPr>
        <w:t>) and converted the entire outstanding balance of the Investor 2014 Unit Notes into 265,699 shares of Series B Preferred and Series B Warrants to purchase 265,699 shares of our common stock.</w:t>
      </w:r>
    </w:p>
    <w:p>
      <w:pPr>
        <w:spacing w:after="0" w:line="141" w:lineRule="exact"/>
        <w:rPr>
          <w:sz w:val="20"/>
          <w:szCs w:val="20"/>
          <w:color w:val="auto"/>
        </w:rPr>
      </w:pPr>
    </w:p>
    <w:p>
      <w:pPr>
        <w:ind w:right="220"/>
        <w:spacing w:after="0" w:line="323" w:lineRule="auto"/>
        <w:rPr>
          <w:sz w:val="20"/>
          <w:szCs w:val="20"/>
          <w:color w:val="auto"/>
        </w:rPr>
      </w:pPr>
      <w:r>
        <w:rPr>
          <w:rFonts w:ascii="Arial" w:cs="Arial" w:eastAsia="Arial" w:hAnsi="Arial"/>
          <w:sz w:val="13"/>
          <w:szCs w:val="13"/>
          <w:color w:val="auto"/>
        </w:rPr>
        <w:t>As additional consideration for the agreements of Platinum under the Platinum Agreement, we issued to Platinum 400,000 shares of Series B Preferred and Series B Warrants to purchase 1.2 million shares of our common stock and exchanged 30,000 shares of our common stock currently beneficially owned or controlled by Platinum for 30,000 shares of Series B Preferred.</w:t>
      </w:r>
    </w:p>
    <w:p>
      <w:pPr>
        <w:spacing w:after="0" w:line="130"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Effective May 20, 2015, holders of the remaining approximately $1.8 million outstanding balance (principal and accrued but unpaid interest) of unsecured 2014 Unit Notes converted such notes into 327,016 shares of Series B Preferred and Series B Warrants to purchase 327,016 shares of our common stock.</w:t>
      </w:r>
    </w:p>
    <w:p>
      <w:pPr>
        <w:spacing w:after="0" w:line="131"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color w:val="auto"/>
        </w:rPr>
        <w:t>Additionally, between May 29, 2015 and August 17, 2015, holders of certain of our promissory notes outstanding at March 31, 2015 and thereafter, accounts payable from us and other liabilities, including Morrison &amp; Foerster, University Health Network, Cato Research Ltd. and Cato Holding Company, McCarthy Tetrault, Desjardins Securities, Burr Pilger &amp; Mayer, Icahn School of Medicine at Mount Sinai, National Jewish Health and MicroConstants and certain other service providers and individuals converted notes payable or accounts payable having an aggregate balance of approximately $8.01 million (principal and accrued but unpaid interest and certain strategic adjustments) into 1,144,562 shares of Series B Preferred.</w:t>
      </w:r>
    </w:p>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auto"/>
        </w:rPr>
        <w:t>In aggregate, between May 12, 2015 and August 17, 2015, we have eliminated approximately $17.2 million of secured and unsecured promissory notes, other debt and certain adjustments thereto that was either already due and payable or would have otherwise matured prior to March 31, 2016, through conversion into 3,018,917 shares of our Series B Preferred and Series B Warrants to purchase 2,033,020 shares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2014 Unit Private Placement: March 2014 – July 2014</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Between late-March 2014 and May 14, 2015, we entered into self-placed securities purchase agreements with accredited investors pursuant to which we sold to such accredited investors units (</w:t>
      </w:r>
      <w:r>
        <w:rPr>
          <w:rFonts w:ascii="Arial" w:cs="Arial" w:eastAsia="Arial" w:hAnsi="Arial"/>
          <w:sz w:val="13"/>
          <w:szCs w:val="13"/>
          <w:i w:val="1"/>
          <w:iCs w:val="1"/>
          <w:color w:val="auto"/>
        </w:rPr>
        <w:t>2014</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Units</w:t>
      </w:r>
      <w:r>
        <w:rPr>
          <w:rFonts w:ascii="Arial" w:cs="Arial" w:eastAsia="Arial" w:hAnsi="Arial"/>
          <w:sz w:val="13"/>
          <w:szCs w:val="13"/>
          <w:color w:val="auto"/>
        </w:rPr>
        <w:t>) consisting, in aggregate, of: (i) 10% subordinate convertible promissory notes maturing between March 31, 2015 and May 15, 2015 (</w:t>
      </w:r>
      <w:r>
        <w:rPr>
          <w:rFonts w:ascii="Arial" w:cs="Arial" w:eastAsia="Arial" w:hAnsi="Arial"/>
          <w:sz w:val="13"/>
          <w:szCs w:val="13"/>
          <w:i w:val="1"/>
          <w:iCs w:val="1"/>
          <w:color w:val="auto"/>
        </w:rPr>
        <w:t>2014 Unit Notes</w:t>
      </w:r>
      <w:r>
        <w:rPr>
          <w:rFonts w:ascii="Arial" w:cs="Arial" w:eastAsia="Arial" w:hAnsi="Arial"/>
          <w:sz w:val="13"/>
          <w:szCs w:val="13"/>
          <w:color w:val="auto"/>
        </w:rPr>
        <w:t>) in the aggregate face amount of</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$3,393,500; (ii) an aggregate of 315,850 shares of our restricted common stock; and (iii) warrants exercisable through December 31, 2016 to purchase an aggregate of 307,100 restricted shares of our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common stock at an exercise price of $10.00 per share. We received cash proceeds of $3,393,500 from the sale of the 2014 Units. As of the date of this prospectus, all of the 10% subordinate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convertible promissory notes issued in connection with the 2014 Unit Private Placement have been extinguished by conversion into shares of our Series B Preferred and Series B Warrants.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0" w:name="page221"/>
    <w:bookmarkEnd w:id="220"/>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to Professional Service Providers</w:t>
      </w:r>
    </w:p>
    <w:p>
      <w:pPr>
        <w:spacing w:after="0" w:line="205" w:lineRule="exact"/>
        <w:rPr>
          <w:sz w:val="20"/>
          <w:szCs w:val="20"/>
          <w:color w:val="auto"/>
        </w:rPr>
      </w:pPr>
    </w:p>
    <w:p>
      <w:pPr>
        <w:ind w:right="180"/>
        <w:spacing w:after="0" w:line="290" w:lineRule="auto"/>
        <w:rPr>
          <w:sz w:val="20"/>
          <w:szCs w:val="20"/>
          <w:color w:val="auto"/>
        </w:rPr>
      </w:pPr>
      <w:r>
        <w:rPr>
          <w:rFonts w:ascii="Arial" w:cs="Arial" w:eastAsia="Arial" w:hAnsi="Arial"/>
          <w:sz w:val="13"/>
          <w:szCs w:val="13"/>
          <w:color w:val="auto"/>
        </w:rPr>
        <w:t>In June 2015, we issued 25,000 shares of our Series B Preferred having a fair value of $250,000 as compensation for legal services related to our debt restructuring and other corporate finance matters. Effective on June 30, 2015, we issued an aggregate of 90,000 shares of our Series B Preferred having an aggregate value of $1,350,000 as compensation for financial advisory and corporate development service contracts with two independent contractors for services to be performed through June 30, 2016. During the quarter ended June 30, 2015, we also issued an aggregate of 50,000 shares of our common stock having an aggregate value of $500,000 as compensation under two corporate development service contracts.</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In March 2015, we issued 16,667 shares of our common stock valued at $166,700 to our legal counsel in settlement of direct legal fees related to services provided with respect to our prospective public offering of our equity securities in the fall of 2014 and the Autilion Financing. In March 2015, we entered into a consulting agreement with another consultant for additional advisory and business development services pursuant to which we issued 25,000 restricted shares of our common stock valued at $175,000 as compensation for such professional services.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In May 2014, we entered into a consulting agreement for strategic advisory and business development services pursuant to which we issued 10,000 restricted shares of our common stock valued at</w:t>
      </w:r>
    </w:p>
    <w:p>
      <w:pPr>
        <w:spacing w:after="0" w:line="31"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$134,000 as partial compensation for such professional services. Effective January 12, 2015, we entered into a new consulting agreement with this consultant for similar services through December 31, 2015 pursuant to which we have issued 20,000 restricted shares of our common stock valued at $160,000.</w:t>
      </w:r>
    </w:p>
    <w:p>
      <w:pPr>
        <w:spacing w:after="0" w:line="143"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color w:val="auto"/>
        </w:rPr>
        <w:t>In February 2013, we entered into a contract for various strategic consulting services pursuant to which we granted a five-year warrant to purchase 1,250 shares of our restricted common stock at an exercise price of $30.00 per share.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 License Settlement: April 2014</w:t>
      </w:r>
    </w:p>
    <w:p>
      <w:pPr>
        <w:spacing w:after="0" w:line="205" w:lineRule="exact"/>
        <w:rPr>
          <w:sz w:val="20"/>
          <w:szCs w:val="20"/>
          <w:color w:val="auto"/>
        </w:rPr>
      </w:pPr>
    </w:p>
    <w:p>
      <w:pPr>
        <w:jc w:val="both"/>
        <w:ind w:right="120"/>
        <w:spacing w:after="0" w:line="298" w:lineRule="auto"/>
        <w:rPr>
          <w:sz w:val="20"/>
          <w:szCs w:val="20"/>
          <w:color w:val="auto"/>
        </w:rPr>
      </w:pPr>
      <w:r>
        <w:rPr>
          <w:rFonts w:ascii="Arial" w:cs="Arial" w:eastAsia="Arial" w:hAnsi="Arial"/>
          <w:sz w:val="13"/>
          <w:szCs w:val="13"/>
          <w:color w:val="auto"/>
        </w:rPr>
        <w:t>In April 2014, in settlement of $288,400 of outstanding stem cell technology license fees and patent prosecution and maintenance expenses, we issued to the Icahn School of Medicine at Mount Sinai, the licensor of one of our stem cell technology licenses, (i) a 10% promissory note maturing on December 31, 2014 in the face amount of $300,000; (ii) 15,000 restricted shares of our common stock; and (iii) a warrant exercisable through March 31, 2019 to purchase an aggregate of 15,000 restricted shares of our common stock at an exercise price of $10.00 per share.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2013 Unit Private Placement: August 2013 – March 2014</w:t>
      </w:r>
    </w:p>
    <w:p>
      <w:pPr>
        <w:spacing w:after="0" w:line="205"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Between August 2013 and March 14, 2014, we entered into strategic securities purchase agreements with accredited investors pursuant to which we sold to such accredited investors Units consisting, in aggregate, of: (i) 10% convertible notes maturing on July 30, 2014 (</w:t>
      </w:r>
      <w:r>
        <w:rPr>
          <w:rFonts w:ascii="Arial" w:cs="Arial" w:eastAsia="Arial" w:hAnsi="Arial"/>
          <w:sz w:val="13"/>
          <w:szCs w:val="13"/>
          <w:i w:val="1"/>
          <w:iCs w:val="1"/>
          <w:color w:val="auto"/>
        </w:rPr>
        <w:t>2013 Unit Notes</w:t>
      </w:r>
      <w:r>
        <w:rPr>
          <w:rFonts w:ascii="Arial" w:cs="Arial" w:eastAsia="Arial" w:hAnsi="Arial"/>
          <w:sz w:val="13"/>
          <w:szCs w:val="13"/>
          <w:color w:val="auto"/>
        </w:rPr>
        <w:t>) in the aggregate face amount of $1,007,500; (ii) an aggregate of 100,750 restricted shares of our common stock; and (iii) warrants exercisable through July 30, 2016 to purchase an aggregate of 100,750 restricted shares of our common stock at an exercise price of $20.00 per share. We received cash proceeds of $1,007,500 from the sale of the Units, including $50,000 in lieu of repayment of previous advances made to us by one of our executive officers. Effective May 31, 2014, the terms of essentially all of the 2013 Unit Notes, including their maturity, were modified to conform to the terms of the 2014 Unit Notes and, as such, were extinguished in the conversion of the 2014 Unit Notes into shares of our Series B Preferred and Series B Warrants in May 2015. 2013 Unit Notes not modified were repaid during August 2014.</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Exercise of Warrants: June and October 2013</w:t>
      </w:r>
    </w:p>
    <w:p>
      <w:pPr>
        <w:spacing w:after="0" w:line="184"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In June 2013 and October 2013, our Chief Executive Officer partially exercised a previously outstanding warrant to purchase an aggregate of 3,000 shares of our restricted common stock at an exercise price of $12.80 per share and we received proceeds of $38,400 from his exercise.</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1" w:name="page222"/>
    <w:bookmarkEnd w:id="221"/>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and Exercise of Warrants: June – July 2013</w:t>
      </w:r>
    </w:p>
    <w:p>
      <w:pPr>
        <w:spacing w:after="0" w:line="184" w:lineRule="exact"/>
        <w:rPr>
          <w:sz w:val="20"/>
          <w:szCs w:val="20"/>
          <w:color w:val="auto"/>
        </w:rPr>
      </w:pPr>
    </w:p>
    <w:p>
      <w:pPr>
        <w:ind w:right="40"/>
        <w:spacing w:after="0" w:line="290" w:lineRule="auto"/>
        <w:rPr>
          <w:sz w:val="20"/>
          <w:szCs w:val="20"/>
          <w:color w:val="auto"/>
        </w:rPr>
      </w:pPr>
      <w:r>
        <w:rPr>
          <w:rFonts w:ascii="Arial" w:cs="Arial" w:eastAsia="Arial" w:hAnsi="Arial"/>
          <w:sz w:val="13"/>
          <w:szCs w:val="13"/>
          <w:color w:val="auto"/>
        </w:rPr>
        <w:t>During June 2013, we offered certain long term accredited investors holding warrants to purchase common stock the opportunity to exercise outstanding warrants having an exercise price of $30.00 per share to purchase shares of our restricted common stock at a reduced exercise price of $10.00 per share. Through the closing of the offering in mid-July 2013, warrant holders exercised modified warrants to purchase an aggregate of 26,419 restricted shares of our common stock and we received cash proceeds of $264,185. In addition, certain accredited long-term warrant holders exercised modified warrants to purchase 832 shares of our restricted common stock in lieu of payment by us in satisfaction of amounts due for professional services in the aggregate amount of $8,323.</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Autilion Financing: June 2013</w:t>
      </w:r>
    </w:p>
    <w:p>
      <w:pPr>
        <w:spacing w:after="0" w:line="205" w:lineRule="exact"/>
        <w:rPr>
          <w:sz w:val="20"/>
          <w:szCs w:val="20"/>
          <w:color w:val="auto"/>
        </w:rPr>
      </w:pPr>
    </w:p>
    <w:p>
      <w:pPr>
        <w:jc w:val="both"/>
        <w:ind w:right="20"/>
        <w:spacing w:after="0" w:line="333" w:lineRule="auto"/>
        <w:rPr>
          <w:sz w:val="20"/>
          <w:szCs w:val="20"/>
          <w:color w:val="auto"/>
        </w:rPr>
      </w:pPr>
      <w:r>
        <w:rPr>
          <w:rFonts w:ascii="Arial" w:cs="Arial" w:eastAsia="Arial" w:hAnsi="Arial"/>
          <w:sz w:val="12"/>
          <w:szCs w:val="12"/>
          <w:color w:val="auto"/>
        </w:rPr>
        <w:t>In April 2013, we entered into a Securities Purchase Agreement (</w:t>
      </w:r>
      <w:r>
        <w:rPr>
          <w:rFonts w:ascii="Arial" w:cs="Arial" w:eastAsia="Arial" w:hAnsi="Arial"/>
          <w:sz w:val="12"/>
          <w:szCs w:val="12"/>
          <w:i w:val="1"/>
          <w:iCs w:val="1"/>
          <w:color w:val="auto"/>
        </w:rPr>
        <w:t>Autilion Agreement</w:t>
      </w:r>
      <w:r>
        <w:rPr>
          <w:rFonts w:ascii="Arial" w:cs="Arial" w:eastAsia="Arial" w:hAnsi="Arial"/>
          <w:sz w:val="12"/>
          <w:szCs w:val="12"/>
          <w:color w:val="auto"/>
        </w:rPr>
        <w:t>) pursuant to which, as amended, we agreed to sell, and Autilion agreed to purchase, 3.6 million restricted shares of our common stock for $10.00 per share resulting in aggregate gross cash proceeds to us of $36.0 million. Autilion completed only a nominal initial closing of the Autilion Financing in which we issued 2,500 restricted shares of our common stock and received $25,000 in cash proceeds. The Autilion Agreement has been terminated as a result of Autilion’s default under the Autilion Agreement.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Secured Convertible Promissory Notes Issued to Platinum: July 2012 – July 2013</w:t>
      </w:r>
    </w:p>
    <w:p>
      <w:pPr>
        <w:spacing w:after="0" w:line="205" w:lineRule="exact"/>
        <w:rPr>
          <w:sz w:val="20"/>
          <w:szCs w:val="20"/>
          <w:color w:val="auto"/>
        </w:rPr>
      </w:pPr>
    </w:p>
    <w:p>
      <w:pPr>
        <w:ind w:right="60"/>
        <w:spacing w:after="0" w:line="323" w:lineRule="auto"/>
        <w:rPr>
          <w:sz w:val="20"/>
          <w:szCs w:val="20"/>
          <w:color w:val="auto"/>
        </w:rPr>
      </w:pPr>
      <w:r>
        <w:rPr>
          <w:rFonts w:ascii="Arial" w:cs="Arial" w:eastAsia="Arial" w:hAnsi="Arial"/>
          <w:sz w:val="13"/>
          <w:szCs w:val="13"/>
          <w:color w:val="auto"/>
        </w:rPr>
        <w:t>On July 2, 2012 and on August 31, 2012, we issued to Platinum senior secured convertible promissory notes in the principal amount of $500,000 (</w:t>
      </w:r>
      <w:r>
        <w:rPr>
          <w:rFonts w:ascii="Arial" w:cs="Arial" w:eastAsia="Arial" w:hAnsi="Arial"/>
          <w:sz w:val="13"/>
          <w:szCs w:val="13"/>
          <w:i w:val="1"/>
          <w:iCs w:val="1"/>
          <w:color w:val="auto"/>
        </w:rPr>
        <w:t>July 2012 Platinum Note</w:t>
      </w:r>
      <w:r>
        <w:rPr>
          <w:rFonts w:ascii="Arial" w:cs="Arial" w:eastAsia="Arial" w:hAnsi="Arial"/>
          <w:sz w:val="13"/>
          <w:szCs w:val="13"/>
          <w:color w:val="auto"/>
        </w:rPr>
        <w:t>) and $750,000 (</w:t>
      </w:r>
      <w:r>
        <w:rPr>
          <w:rFonts w:ascii="Arial" w:cs="Arial" w:eastAsia="Arial" w:hAnsi="Arial"/>
          <w:sz w:val="13"/>
          <w:szCs w:val="13"/>
          <w:i w:val="1"/>
          <w:iCs w:val="1"/>
          <w:color w:val="auto"/>
        </w:rPr>
        <w:t>August 2012</w:t>
      </w:r>
      <w:r>
        <w:rPr>
          <w:rFonts w:ascii="Arial" w:cs="Arial" w:eastAsia="Arial" w:hAnsi="Arial"/>
          <w:sz w:val="13"/>
          <w:szCs w:val="13"/>
          <w:color w:val="auto"/>
        </w:rPr>
        <w:t xml:space="preserve"> </w:t>
      </w:r>
      <w:r>
        <w:rPr>
          <w:rFonts w:ascii="Arial" w:cs="Arial" w:eastAsia="Arial" w:hAnsi="Arial"/>
          <w:sz w:val="13"/>
          <w:szCs w:val="13"/>
          <w:i w:val="1"/>
          <w:iCs w:val="1"/>
          <w:color w:val="auto"/>
        </w:rPr>
        <w:t>Platinum Note</w:t>
      </w:r>
      <w:r>
        <w:rPr>
          <w:rFonts w:ascii="Arial" w:cs="Arial" w:eastAsia="Arial" w:hAnsi="Arial"/>
          <w:sz w:val="13"/>
          <w:szCs w:val="13"/>
          <w:color w:val="auto"/>
        </w:rPr>
        <w:t>), respectively. The July 2012 Platinum Note and the August 2012 Platinum Note each accrued interest at the rate of 10% per annum and were due and payable on July 2, 2015.</w:t>
      </w:r>
    </w:p>
    <w:p>
      <w:pPr>
        <w:spacing w:after="0" w:line="109"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On October 11, 2012, we entered into a Note Exchange and Purchase Agreement with Platinum (</w:t>
      </w:r>
      <w:r>
        <w:rPr>
          <w:rFonts w:ascii="Arial" w:cs="Arial" w:eastAsia="Arial" w:hAnsi="Arial"/>
          <w:sz w:val="14"/>
          <w:szCs w:val="14"/>
          <w:i w:val="1"/>
          <w:iCs w:val="1"/>
          <w:color w:val="auto"/>
        </w:rPr>
        <w:t>October 2012 Agreement</w:t>
      </w:r>
      <w:r>
        <w:rPr>
          <w:rFonts w:ascii="Arial" w:cs="Arial" w:eastAsia="Arial" w:hAnsi="Arial"/>
          <w:sz w:val="14"/>
          <w:szCs w:val="14"/>
          <w:color w:val="auto"/>
        </w:rPr>
        <w:t xml:space="preserve">) in which the July 2012 Platinum Note and the August 2012 Platinum Note (together, the </w:t>
      </w:r>
      <w:r>
        <w:rPr>
          <w:rFonts w:ascii="Arial" w:cs="Arial" w:eastAsia="Arial" w:hAnsi="Arial"/>
          <w:sz w:val="14"/>
          <w:szCs w:val="14"/>
          <w:i w:val="1"/>
          <w:iCs w:val="1"/>
          <w:color w:val="auto"/>
        </w:rPr>
        <w:t>Existing Notes</w:t>
      </w:r>
      <w:r>
        <w:rPr>
          <w:rFonts w:ascii="Arial" w:cs="Arial" w:eastAsia="Arial" w:hAnsi="Arial"/>
          <w:sz w:val="14"/>
          <w:szCs w:val="14"/>
          <w:color w:val="auto"/>
        </w:rPr>
        <w:t>), as well as the related accrued interest, were consolidated into and exchanged for a single senior secured convertible note in the amount of $1,272,600 (</w:t>
      </w:r>
      <w:r>
        <w:rPr>
          <w:rFonts w:ascii="Arial" w:cs="Arial" w:eastAsia="Arial" w:hAnsi="Arial"/>
          <w:sz w:val="14"/>
          <w:szCs w:val="14"/>
          <w:i w:val="1"/>
          <w:iCs w:val="1"/>
          <w:color w:val="auto"/>
        </w:rPr>
        <w:t>Exchange Note</w:t>
      </w:r>
      <w:r>
        <w:rPr>
          <w:rFonts w:ascii="Arial" w:cs="Arial" w:eastAsia="Arial" w:hAnsi="Arial"/>
          <w:sz w:val="14"/>
          <w:szCs w:val="14"/>
          <w:color w:val="auto"/>
        </w:rPr>
        <w:t>) and Platinum agreed to purchase four additional 10% senior secured convertible promissory notes in the aggregate principal amount of $2.0 million (</w:t>
      </w:r>
      <w:r>
        <w:rPr>
          <w:rFonts w:ascii="Arial" w:cs="Arial" w:eastAsia="Arial" w:hAnsi="Arial"/>
          <w:sz w:val="14"/>
          <w:szCs w:val="14"/>
          <w:i w:val="1"/>
          <w:iCs w:val="1"/>
          <w:color w:val="auto"/>
        </w:rPr>
        <w:t>Investment Notes</w:t>
      </w:r>
      <w:r>
        <w:rPr>
          <w:rFonts w:ascii="Arial" w:cs="Arial" w:eastAsia="Arial" w:hAnsi="Arial"/>
          <w:sz w:val="14"/>
          <w:szCs w:val="14"/>
          <w:color w:val="auto"/>
        </w:rPr>
        <w:t>), issuable over four separate $500,000 tranches between October 2012 and December 2012. The first and second $500,000 Investment Notes, in the aggregate principal amount of $1.0 million, were purchased by Platinum on October 11, 2012 and October 19, 2012, respectively.</w:t>
      </w:r>
    </w:p>
    <w:p>
      <w:pPr>
        <w:spacing w:after="0" w:line="147"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 xml:space="preserve">On November 14, 2012 and January 31, 2013, we entered into amendments to the October 2012 Agreement (the </w:t>
      </w:r>
      <w:r>
        <w:rPr>
          <w:rFonts w:ascii="Arial" w:cs="Arial" w:eastAsia="Arial" w:hAnsi="Arial"/>
          <w:sz w:val="14"/>
          <w:szCs w:val="14"/>
          <w:i w:val="1"/>
          <w:iCs w:val="1"/>
          <w:color w:val="auto"/>
        </w:rPr>
        <w:t>NEPA Amendments</w:t>
      </w:r>
      <w:r>
        <w:rPr>
          <w:rFonts w:ascii="Arial" w:cs="Arial" w:eastAsia="Arial" w:hAnsi="Arial"/>
          <w:sz w:val="14"/>
          <w:szCs w:val="14"/>
          <w:color w:val="auto"/>
        </w:rPr>
        <w:t>) with Platinum, pursuant to which the final two $500,000 tranches contemplated by the October 2012 Agreement were combined into a single Investment Note in the aggregate principal amount of $1.0 million (</w:t>
      </w:r>
      <w:r>
        <w:rPr>
          <w:rFonts w:ascii="Arial" w:cs="Arial" w:eastAsia="Arial" w:hAnsi="Arial"/>
          <w:sz w:val="14"/>
          <w:szCs w:val="14"/>
          <w:i w:val="1"/>
          <w:iCs w:val="1"/>
          <w:color w:val="auto"/>
        </w:rPr>
        <w:t>$1.0 Million Note</w:t>
      </w:r>
      <w:r>
        <w:rPr>
          <w:rFonts w:ascii="Arial" w:cs="Arial" w:eastAsia="Arial" w:hAnsi="Arial"/>
          <w:sz w:val="14"/>
          <w:szCs w:val="14"/>
          <w:color w:val="auto"/>
        </w:rPr>
        <w:t>). Under the terms of the NEPA Amendment, Platinum agreed to purchase the $1.0 Million Note within five business days of our notice to Platinum of the consummation of a debt or equity financing, or combination of financings, prior to February 15, 2013, resulting in gross proceeds to us of at least $1.0 million (</w:t>
      </w:r>
      <w:r>
        <w:rPr>
          <w:rFonts w:ascii="Arial" w:cs="Arial" w:eastAsia="Arial" w:hAnsi="Arial"/>
          <w:sz w:val="14"/>
          <w:szCs w:val="14"/>
          <w:i w:val="1"/>
          <w:iCs w:val="1"/>
          <w:color w:val="auto"/>
        </w:rPr>
        <w:t>Additional Financing Requirement</w:t>
      </w:r>
      <w:r>
        <w:rPr>
          <w:rFonts w:ascii="Arial" w:cs="Arial" w:eastAsia="Arial" w:hAnsi="Arial"/>
          <w:sz w:val="14"/>
          <w:szCs w:val="14"/>
          <w:color w:val="auto"/>
        </w:rPr>
        <w:t>). We satisfied the Additional Financing Requirement on February 12, 2013 (see 2012 Private Placement of Units, below). Effective February 22, 2013, we entered into an additional amendment to the October 2012 Agreement with Platinum pursuant to which Platinum agreed to purchase an Investment Note in the face amount of $250,000 on February 22, 2013, and an additional Investment Note in the face amount of $750,000 on or before March 12, 2013, which Investment Note we issued and Platinum purchased on March 12, 2013.</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2" w:name="page223"/>
    <w:bookmarkEnd w:id="222"/>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spacing w:after="0" w:line="311" w:lineRule="auto"/>
        <w:rPr>
          <w:sz w:val="20"/>
          <w:szCs w:val="20"/>
          <w:color w:val="auto"/>
        </w:rPr>
      </w:pPr>
      <w:r>
        <w:rPr>
          <w:rFonts w:ascii="Arial" w:cs="Arial" w:eastAsia="Arial" w:hAnsi="Arial"/>
          <w:sz w:val="12"/>
          <w:szCs w:val="12"/>
          <w:color w:val="auto"/>
        </w:rPr>
        <w:t xml:space="preserve">The Exchange Note and each Investment Note (together, the </w:t>
      </w:r>
      <w:r>
        <w:rPr>
          <w:rFonts w:ascii="Arial" w:cs="Arial" w:eastAsia="Arial" w:hAnsi="Arial"/>
          <w:sz w:val="12"/>
          <w:szCs w:val="12"/>
          <w:i w:val="1"/>
          <w:iCs w:val="1"/>
          <w:color w:val="auto"/>
        </w:rPr>
        <w:t>Notes</w:t>
      </w:r>
      <w:r>
        <w:rPr>
          <w:rFonts w:ascii="Arial" w:cs="Arial" w:eastAsia="Arial" w:hAnsi="Arial"/>
          <w:sz w:val="12"/>
          <w:szCs w:val="12"/>
          <w:color w:val="auto"/>
        </w:rPr>
        <w:t>) accrued interest at a rate of 10% per annum and, subject to certain limitations and exceptions set forth in the Notes, unless converted earlier and voluntarily by Platinum, would have been due and payable in restricted shares of our common stock on October 11, 2015, or three years from the date of issuance, as determined by the terms of the respective Investment Notes. At maturity, all principal and accrued interest due under the Notes was to have been paid through the issuance of restricted shares of our common stock to Platinum. Subject to certain potential adjustments set forth in the Notes, the number of restricted shares of common stock issuable as payment in full for each of the Notes at maturity would have been calculated by dividing the outstanding Note balance plus accrued interest by $10.00 per share. Prior to maturity, the outstanding principal and any accrued interest on the Exchange Note and each of the Investment Notes was convertible, in whole or in part, at Platinum’s option into shares of our common stock at a conversion price of $10.00 per share, subject to certain adjustments.</w:t>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 xml:space="preserve">As additional consideration for the purchase of the Investment Notes, we issued to Platinum warrants to purchase an aggregate of 100,000 shares of our common stock, issuable in separate tranches together with each Investment Note, of which a warrant to purchase 25,000 shares was issued to Platinum on October 11, 2012 and on October 19, 2012, a warrant to purchase 12,500 shares was issued to Platinum on February 22, 2013 and a warrant to purchase 37,500 shares was issued to Platinum on March 12, 2013 (each an </w:t>
      </w:r>
      <w:r>
        <w:rPr>
          <w:rFonts w:ascii="Arial" w:cs="Arial" w:eastAsia="Arial" w:hAnsi="Arial"/>
          <w:sz w:val="14"/>
          <w:szCs w:val="14"/>
          <w:i w:val="1"/>
          <w:iCs w:val="1"/>
          <w:color w:val="auto"/>
        </w:rPr>
        <w:t>Investment Warrant</w:t>
      </w:r>
      <w:r>
        <w:rPr>
          <w:rFonts w:ascii="Arial" w:cs="Arial" w:eastAsia="Arial" w:hAnsi="Arial"/>
          <w:sz w:val="14"/>
          <w:szCs w:val="14"/>
          <w:color w:val="auto"/>
        </w:rPr>
        <w:t xml:space="preserve">). In addition, we issued Platinum a warrant to purchase 63,629 shares of our common stock in connection with the issuance of the Exchange Note (the </w:t>
      </w:r>
      <w:r>
        <w:rPr>
          <w:rFonts w:ascii="Arial" w:cs="Arial" w:eastAsia="Arial" w:hAnsi="Arial"/>
          <w:sz w:val="14"/>
          <w:szCs w:val="14"/>
          <w:i w:val="1"/>
          <w:iCs w:val="1"/>
          <w:color w:val="auto"/>
        </w:rPr>
        <w:t>Exchange Warrant</w:t>
      </w:r>
      <w:r>
        <w:rPr>
          <w:rFonts w:ascii="Arial" w:cs="Arial" w:eastAsia="Arial" w:hAnsi="Arial"/>
          <w:sz w:val="14"/>
          <w:szCs w:val="14"/>
          <w:color w:val="auto"/>
        </w:rPr>
        <w:t>). At issuance, the Platinum Exchange Warrant and each Investment Warrant had a term of five years and an exercise price of $30.00 per share, subject to certain adjustments. We have subsequently reduced the exercise price of the Exchange and Investment Warrants to $10.00 per share.</w:t>
      </w:r>
    </w:p>
    <w:p>
      <w:pPr>
        <w:spacing w:after="0" w:line="150"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 xml:space="preserve">On July 26, 2013, we issued an additional senior secured convertible promissory note in the principal amount of $250,000 to Platinum (the </w:t>
      </w:r>
      <w:r>
        <w:rPr>
          <w:rFonts w:ascii="Arial" w:cs="Arial" w:eastAsia="Arial" w:hAnsi="Arial"/>
          <w:sz w:val="13"/>
          <w:szCs w:val="13"/>
          <w:i w:val="1"/>
          <w:iCs w:val="1"/>
          <w:color w:val="auto"/>
        </w:rPr>
        <w:t>July 2013 Note</w:t>
      </w:r>
      <w:r>
        <w:rPr>
          <w:rFonts w:ascii="Arial" w:cs="Arial" w:eastAsia="Arial" w:hAnsi="Arial"/>
          <w:sz w:val="13"/>
          <w:szCs w:val="13"/>
          <w:color w:val="auto"/>
        </w:rPr>
        <w:t xml:space="preserve">). The July 2013 Note matured on July 26, 2016 and accrued interest at a rate of 10% per annum. Subject to certain terms and conditions, all principal and accrued interest under the July 2013 Note would have been payable by the Company through the issuance of restricted shares of common stock to Platinum. Subject to certain potential adjustments set forth in the July 2013 Note, the number of restricted shares of common stock issuable as payment in full for the July 2013 Note at maturity would have been calculated by dividing the outstanding balance plus accrued interest of the July 2013 Note by $10.00 per share. Prior to maturity, the outstanding principal and any accrued interest on the July 2013 Note was convertible, in whole or in part, at Platinum’s option into shares of the Company’s restricted common stock at a conversion price of $10.00 per share, subject to certain adjustments. As additional consideration for the purchase of the July 2013 Note, we issued to Platinum a five-year warrant to purchase 12,500 restricted shares of our common stock at an exercise price of $0.50 per share (the </w:t>
      </w:r>
      <w:r>
        <w:rPr>
          <w:rFonts w:ascii="Arial" w:cs="Arial" w:eastAsia="Arial" w:hAnsi="Arial"/>
          <w:sz w:val="13"/>
          <w:szCs w:val="13"/>
          <w:i w:val="1"/>
          <w:iCs w:val="1"/>
          <w:color w:val="auto"/>
        </w:rPr>
        <w:t>July 2013 Warrant</w:t>
      </w:r>
      <w:r>
        <w:rPr>
          <w:rFonts w:ascii="Arial" w:cs="Arial" w:eastAsia="Arial" w:hAnsi="Arial"/>
          <w:sz w:val="13"/>
          <w:szCs w:val="13"/>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As of the date of this registration statement, all of the Senior Secured Convertible Notes described above have been extinguished by conversion into shares of our Series B Preferred.</w:t>
      </w:r>
    </w:p>
    <w:p>
      <w:pPr>
        <w:spacing w:after="0" w:line="201"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Proceeds from each of the offerings were used for general corporate purposes. All of the above sales were made in reliance on Section 4(a)(2)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4(a)(2)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20"/>
          </w:cols>
          <w:pgMar w:left="220" w:top="133" w:right="259" w:bottom="1440" w:gutter="0" w:footer="0" w:header="0"/>
        </w:sectPr>
      </w:pPr>
    </w:p>
    <w:bookmarkStart w:id="223" w:name="page224"/>
    <w:bookmarkEnd w:id="223"/>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Exhibits and Financial Statement Schedules</w:t>
      </w:r>
    </w:p>
    <w:p>
      <w:pPr>
        <w:spacing w:after="0" w:line="205" w:lineRule="exact"/>
        <w:rPr>
          <w:sz w:val="20"/>
          <w:szCs w:val="20"/>
          <w:color w:val="auto"/>
        </w:rPr>
      </w:pPr>
    </w:p>
    <w:p>
      <w:pPr>
        <w:ind w:left="360" w:hanging="199"/>
        <w:spacing w:after="0"/>
        <w:tabs>
          <w:tab w:leader="none" w:pos="360" w:val="left"/>
        </w:tabs>
        <w:numPr>
          <w:ilvl w:val="0"/>
          <w:numId w:val="96"/>
        </w:numPr>
        <w:rPr>
          <w:rFonts w:ascii="Arial" w:cs="Arial" w:eastAsia="Arial" w:hAnsi="Arial"/>
          <w:sz w:val="14"/>
          <w:szCs w:val="14"/>
          <w:color w:val="auto"/>
        </w:rPr>
      </w:pPr>
      <w:r>
        <w:rPr>
          <w:rFonts w:ascii="Arial" w:cs="Arial" w:eastAsia="Arial" w:hAnsi="Arial"/>
          <w:sz w:val="14"/>
          <w:szCs w:val="14"/>
          <w:i w:val="1"/>
          <w:iCs w:val="1"/>
          <w:color w:val="auto"/>
        </w:rPr>
        <w:t>Exhibits</w:t>
      </w:r>
      <w:r>
        <w:rPr>
          <w:rFonts w:ascii="Arial" w:cs="Arial" w:eastAsia="Arial" w:hAnsi="Arial"/>
          <w:sz w:val="14"/>
          <w:szCs w:val="14"/>
          <w:color w:val="auto"/>
        </w:rPr>
        <w:t>. The exhibits are incorporated by reference to the Exhibit Index attached hereto and a part hereof by reference.</w:t>
      </w:r>
    </w:p>
    <w:p>
      <w:pPr>
        <w:spacing w:after="0" w:line="201" w:lineRule="exact"/>
        <w:rPr>
          <w:rFonts w:ascii="Arial" w:cs="Arial" w:eastAsia="Arial" w:hAnsi="Arial"/>
          <w:sz w:val="14"/>
          <w:szCs w:val="14"/>
          <w:color w:val="auto"/>
        </w:rPr>
      </w:pPr>
    </w:p>
    <w:p>
      <w:pPr>
        <w:ind w:left="360" w:hanging="199"/>
        <w:spacing w:after="0"/>
        <w:tabs>
          <w:tab w:leader="none" w:pos="360" w:val="left"/>
        </w:tabs>
        <w:numPr>
          <w:ilvl w:val="0"/>
          <w:numId w:val="96"/>
        </w:numPr>
        <w:rPr>
          <w:rFonts w:ascii="Arial" w:cs="Arial" w:eastAsia="Arial" w:hAnsi="Arial"/>
          <w:sz w:val="14"/>
          <w:szCs w:val="14"/>
          <w:color w:val="auto"/>
        </w:rPr>
      </w:pPr>
      <w:r>
        <w:rPr>
          <w:rFonts w:ascii="Arial" w:cs="Arial" w:eastAsia="Arial" w:hAnsi="Arial"/>
          <w:sz w:val="14"/>
          <w:szCs w:val="14"/>
          <w:i w:val="1"/>
          <w:iCs w:val="1"/>
          <w:color w:val="auto"/>
        </w:rPr>
        <w:t xml:space="preserve">Financial Statements. </w:t>
      </w:r>
      <w:r>
        <w:rPr>
          <w:rFonts w:ascii="Arial" w:cs="Arial" w:eastAsia="Arial" w:hAnsi="Arial"/>
          <w:sz w:val="14"/>
          <w:szCs w:val="14"/>
          <w:color w:val="auto"/>
        </w:rPr>
        <w:t>See page F-1 for an index of the financial statements and financial statement schedules included in the Registration Statement.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17. Undertakings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registrant hereby undertakes:</w:t>
      </w:r>
    </w:p>
    <w:p>
      <w:pPr>
        <w:spacing w:after="0" w:line="201" w:lineRule="exact"/>
        <w:rPr>
          <w:sz w:val="20"/>
          <w:szCs w:val="20"/>
          <w:color w:val="auto"/>
        </w:rPr>
      </w:pPr>
    </w:p>
    <w:p>
      <w:pPr>
        <w:ind w:left="380" w:hanging="219"/>
        <w:spacing w:after="0"/>
        <w:tabs>
          <w:tab w:leader="none" w:pos="3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undersigned registrant hereby undertakes:</w:t>
      </w:r>
    </w:p>
    <w:p>
      <w:pPr>
        <w:spacing w:after="0" w:line="179" w:lineRule="exact"/>
        <w:rPr>
          <w:rFonts w:ascii="Arial" w:cs="Arial" w:eastAsia="Arial" w:hAnsi="Arial"/>
          <w:sz w:val="14"/>
          <w:szCs w:val="14"/>
          <w:color w:val="auto"/>
        </w:rPr>
      </w:pPr>
    </w:p>
    <w:p>
      <w:pPr>
        <w:ind w:left="700" w:hanging="226"/>
        <w:spacing w:after="0"/>
        <w:tabs>
          <w:tab w:leader="none" w:pos="700"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file, during any period in which offers or sales are being made, a post-effective amendment to this registration statement:</w:t>
      </w:r>
    </w:p>
    <w:p>
      <w:pPr>
        <w:spacing w:after="0" w:line="201" w:lineRule="exact"/>
        <w:rPr>
          <w:rFonts w:ascii="Arial" w:cs="Arial" w:eastAsia="Arial" w:hAnsi="Arial"/>
          <w:sz w:val="14"/>
          <w:szCs w:val="14"/>
          <w:color w:val="auto"/>
        </w:rPr>
      </w:pPr>
    </w:p>
    <w:p>
      <w:pPr>
        <w:ind w:left="980" w:hanging="194"/>
        <w:spacing w:after="0"/>
        <w:tabs>
          <w:tab w:leader="none" w:pos="980" w:val="left"/>
        </w:tabs>
        <w:numPr>
          <w:ilvl w:val="2"/>
          <w:numId w:val="97"/>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 of 1933;</w:t>
      </w:r>
    </w:p>
    <w:p>
      <w:pPr>
        <w:spacing w:after="0" w:line="201" w:lineRule="exact"/>
        <w:rPr>
          <w:rFonts w:ascii="Arial" w:cs="Arial" w:eastAsia="Arial" w:hAnsi="Arial"/>
          <w:sz w:val="14"/>
          <w:szCs w:val="14"/>
          <w:color w:val="auto"/>
        </w:rPr>
      </w:pPr>
    </w:p>
    <w:p>
      <w:pPr>
        <w:ind w:right="60" w:firstLine="786"/>
        <w:spacing w:after="0" w:line="261" w:lineRule="auto"/>
        <w:tabs>
          <w:tab w:leader="none" w:pos="1023" w:val="left"/>
        </w:tabs>
        <w:numPr>
          <w:ilvl w:val="2"/>
          <w:numId w:val="97"/>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68" w:lineRule="exact"/>
        <w:rPr>
          <w:rFonts w:ascii="Arial" w:cs="Arial" w:eastAsia="Arial" w:hAnsi="Arial"/>
          <w:sz w:val="14"/>
          <w:szCs w:val="14"/>
          <w:color w:val="auto"/>
        </w:rPr>
      </w:pPr>
    </w:p>
    <w:p>
      <w:pPr>
        <w:ind w:right="280" w:firstLine="786"/>
        <w:spacing w:after="0" w:line="283" w:lineRule="auto"/>
        <w:tabs>
          <w:tab w:leader="none" w:pos="1062" w:val="left"/>
        </w:tabs>
        <w:numPr>
          <w:ilvl w:val="2"/>
          <w:numId w:val="97"/>
        </w:numPr>
        <w:rPr>
          <w:rFonts w:ascii="Arial" w:cs="Arial" w:eastAsia="Arial" w:hAnsi="Arial"/>
          <w:sz w:val="14"/>
          <w:szCs w:val="14"/>
          <w:color w:val="auto"/>
        </w:rPr>
      </w:pPr>
      <w:r>
        <w:rPr>
          <w:rFonts w:ascii="Arial" w:cs="Arial" w:eastAsia="Arial" w:hAnsi="Arial"/>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1" w:lineRule="exact"/>
        <w:rPr>
          <w:rFonts w:ascii="Arial" w:cs="Arial" w:eastAsia="Arial" w:hAnsi="Arial"/>
          <w:sz w:val="14"/>
          <w:szCs w:val="14"/>
          <w:color w:val="auto"/>
        </w:rPr>
      </w:pPr>
    </w:p>
    <w:p>
      <w:pPr>
        <w:ind w:right="240" w:firstLine="474"/>
        <w:spacing w:after="0" w:line="283" w:lineRule="auto"/>
        <w:tabs>
          <w:tab w:leader="none" w:pos="702" w:val="left"/>
        </w:tabs>
        <w:numPr>
          <w:ilvl w:val="1"/>
          <w:numId w:val="97"/>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1" w:lineRule="exact"/>
        <w:rPr>
          <w:rFonts w:ascii="Arial" w:cs="Arial" w:eastAsia="Arial" w:hAnsi="Arial"/>
          <w:sz w:val="14"/>
          <w:szCs w:val="14"/>
          <w:color w:val="auto"/>
        </w:rPr>
      </w:pPr>
    </w:p>
    <w:p>
      <w:pPr>
        <w:ind w:left="700" w:hanging="226"/>
        <w:spacing w:after="0"/>
        <w:tabs>
          <w:tab w:leader="none" w:pos="700"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179" w:lineRule="exact"/>
        <w:rPr>
          <w:rFonts w:ascii="Arial" w:cs="Arial" w:eastAsia="Arial" w:hAnsi="Arial"/>
          <w:sz w:val="14"/>
          <w:szCs w:val="14"/>
          <w:color w:val="auto"/>
        </w:rPr>
      </w:pPr>
    </w:p>
    <w:p>
      <w:pPr>
        <w:ind w:firstLine="474"/>
        <w:spacing w:after="0" w:line="259" w:lineRule="auto"/>
        <w:tabs>
          <w:tab w:leader="none" w:pos="702" w:val="left"/>
        </w:tabs>
        <w:numPr>
          <w:ilvl w:val="1"/>
          <w:numId w:val="97"/>
        </w:numPr>
        <w:rPr>
          <w:rFonts w:ascii="Arial" w:cs="Arial" w:eastAsia="Arial" w:hAnsi="Arial"/>
          <w:sz w:val="14"/>
          <w:szCs w:val="14"/>
          <w:color w:val="auto"/>
        </w:rPr>
      </w:pPr>
      <w:r>
        <w:rPr>
          <w:rFonts w:ascii="Arial" w:cs="Arial" w:eastAsia="Arial" w:hAnsi="Arial"/>
          <w:sz w:val="14"/>
          <w:szCs w:val="14"/>
          <w:color w:val="auto"/>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4"/>
          <w:szCs w:val="14"/>
          <w:i w:val="1"/>
          <w:iCs w:val="1"/>
          <w:color w:val="auto"/>
        </w:rPr>
        <w:t>Provided, however</w:t>
      </w:r>
      <w:r>
        <w:rPr>
          <w:rFonts w:ascii="Arial" w:cs="Arial" w:eastAsia="Arial" w:hAnsi="Arial"/>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24" w:name="page225"/>
    <w:bookmarkEnd w:id="224"/>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8" w:lineRule="exact"/>
        <w:rPr>
          <w:sz w:val="20"/>
          <w:szCs w:val="20"/>
          <w:color w:val="auto"/>
        </w:rPr>
      </w:pPr>
    </w:p>
    <w:p>
      <w:pPr>
        <w:ind w:left="480"/>
        <w:spacing w:after="0"/>
        <w:rPr>
          <w:sz w:val="20"/>
          <w:szCs w:val="20"/>
          <w:color w:val="auto"/>
        </w:rPr>
      </w:pPr>
      <w:r>
        <w:rPr>
          <w:rFonts w:ascii="Arial" w:cs="Arial" w:eastAsia="Arial" w:hAnsi="Arial"/>
          <w:sz w:val="14"/>
          <w:szCs w:val="14"/>
          <w:color w:val="auto"/>
        </w:rPr>
        <w:t>(6) That, for the purpose of determining liability of the registrant under the Securities Act of 1933 to any purchaser in the initial distribution of the securities:</w:t>
      </w:r>
    </w:p>
    <w:p>
      <w:pPr>
        <w:spacing w:after="0" w:line="201" w:lineRule="exact"/>
        <w:rPr>
          <w:sz w:val="20"/>
          <w:szCs w:val="20"/>
          <w:color w:val="auto"/>
        </w:rPr>
      </w:pPr>
    </w:p>
    <w:p>
      <w:pPr>
        <w:ind w:firstLine="469"/>
        <w:spacing w:after="0" w:line="268" w:lineRule="auto"/>
        <w:rPr>
          <w:sz w:val="20"/>
          <w:szCs w:val="20"/>
          <w:color w:val="auto"/>
        </w:rPr>
      </w:pPr>
      <w:r>
        <w:rPr>
          <w:rFonts w:ascii="Arial" w:cs="Arial" w:eastAsia="Arial" w:hAnsi="Arial"/>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3" w:lineRule="exact"/>
        <w:rPr>
          <w:sz w:val="20"/>
          <w:szCs w:val="20"/>
          <w:color w:val="auto"/>
        </w:rPr>
      </w:pPr>
    </w:p>
    <w:p>
      <w:pPr>
        <w:ind w:left="960" w:hanging="174"/>
        <w:spacing w:after="0"/>
        <w:tabs>
          <w:tab w:leader="none" w:pos="9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Any preliminary prospectus or prospectus of the undersigned registrant relating to the offering required to be filed pursuant to Rule 424;</w:t>
      </w:r>
    </w:p>
    <w:p>
      <w:pPr>
        <w:spacing w:after="0" w:line="201" w:lineRule="exact"/>
        <w:rPr>
          <w:rFonts w:ascii="Arial" w:cs="Arial" w:eastAsia="Arial" w:hAnsi="Arial"/>
          <w:sz w:val="14"/>
          <w:szCs w:val="14"/>
          <w:color w:val="auto"/>
        </w:rPr>
      </w:pPr>
    </w:p>
    <w:p>
      <w:pPr>
        <w:ind w:left="1000" w:hanging="214"/>
        <w:spacing w:after="0"/>
        <w:tabs>
          <w:tab w:leader="none" w:pos="10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Any free writing prospectus relating to the offering prepared by or on behalf of the undersigned registrant or used or referred to by the undersigned registrant;</w:t>
      </w:r>
    </w:p>
    <w:p>
      <w:pPr>
        <w:spacing w:after="0" w:line="201" w:lineRule="exact"/>
        <w:rPr>
          <w:rFonts w:ascii="Arial" w:cs="Arial" w:eastAsia="Arial" w:hAnsi="Arial"/>
          <w:sz w:val="14"/>
          <w:szCs w:val="14"/>
          <w:color w:val="auto"/>
        </w:rPr>
      </w:pPr>
    </w:p>
    <w:p>
      <w:pPr>
        <w:ind w:right="180" w:firstLine="786"/>
        <w:spacing w:after="0" w:line="283" w:lineRule="auto"/>
        <w:tabs>
          <w:tab w:leader="none" w:pos="1029"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2" w:lineRule="exact"/>
        <w:rPr>
          <w:rFonts w:ascii="Arial" w:cs="Arial" w:eastAsia="Arial" w:hAnsi="Arial"/>
          <w:sz w:val="14"/>
          <w:szCs w:val="14"/>
          <w:color w:val="auto"/>
        </w:rPr>
      </w:pPr>
    </w:p>
    <w:p>
      <w:pPr>
        <w:ind w:left="1020" w:hanging="234"/>
        <w:spacing w:after="0"/>
        <w:tabs>
          <w:tab w:leader="none" w:pos="10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the undersigned registrant to the purchaser.</w:t>
      </w:r>
    </w:p>
    <w:p>
      <w:pPr>
        <w:spacing w:after="0" w:line="201" w:lineRule="exact"/>
        <w:rPr>
          <w:sz w:val="20"/>
          <w:szCs w:val="20"/>
          <w:color w:val="auto"/>
        </w:rPr>
      </w:pPr>
    </w:p>
    <w:p>
      <w:pPr>
        <w:ind w:right="180" w:firstLine="469"/>
        <w:spacing w:after="0" w:line="283" w:lineRule="auto"/>
        <w:rPr>
          <w:sz w:val="20"/>
          <w:szCs w:val="20"/>
          <w:color w:val="auto"/>
        </w:rPr>
      </w:pPr>
      <w:r>
        <w:rPr>
          <w:rFonts w:ascii="Arial" w:cs="Arial" w:eastAsia="Arial" w:hAnsi="Arial"/>
          <w:sz w:val="13"/>
          <w:szCs w:val="13"/>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undersigned registrant hereby undertakes that:</w:t>
      </w:r>
    </w:p>
    <w:p>
      <w:pPr>
        <w:spacing w:after="0" w:line="201" w:lineRule="exact"/>
        <w:rPr>
          <w:sz w:val="20"/>
          <w:szCs w:val="20"/>
          <w:color w:val="auto"/>
        </w:rPr>
      </w:pPr>
    </w:p>
    <w:p>
      <w:pPr>
        <w:ind w:firstLine="474"/>
        <w:spacing w:after="0" w:line="268" w:lineRule="auto"/>
        <w:tabs>
          <w:tab w:leader="none" w:pos="1024"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3" w:lineRule="exact"/>
        <w:rPr>
          <w:rFonts w:ascii="Arial" w:cs="Arial" w:eastAsia="Arial" w:hAnsi="Arial"/>
          <w:sz w:val="14"/>
          <w:szCs w:val="14"/>
          <w:color w:val="auto"/>
        </w:rPr>
      </w:pPr>
    </w:p>
    <w:p>
      <w:pPr>
        <w:ind w:right="280" w:firstLine="474"/>
        <w:spacing w:after="0" w:line="283" w:lineRule="auto"/>
        <w:tabs>
          <w:tab w:leader="none" w:pos="683" w:val="left"/>
        </w:tabs>
        <w:numPr>
          <w:ilvl w:val="0"/>
          <w:numId w:val="99"/>
        </w:numPr>
        <w:rPr>
          <w:rFonts w:ascii="Arial" w:cs="Arial" w:eastAsia="Arial" w:hAnsi="Arial"/>
          <w:sz w:val="14"/>
          <w:szCs w:val="14"/>
          <w:color w:val="auto"/>
        </w:rPr>
      </w:pPr>
      <w:r>
        <w:rPr>
          <w:rFonts w:ascii="Arial" w:cs="Arial" w:eastAsia="Arial" w:hAnsi="Arial"/>
          <w:sz w:val="14"/>
          <w:szCs w:val="14"/>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these securities at that time shall be deemed to be the initial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offering.</w:t>
      </w:r>
    </w:p>
    <w:p>
      <w:pPr>
        <w:spacing w:after="0" w:line="152" w:lineRule="exact"/>
        <w:rPr>
          <w:rFonts w:ascii="Arial" w:cs="Arial" w:eastAsia="Arial" w:hAnsi="Arial"/>
          <w:sz w:val="14"/>
          <w:szCs w:val="14"/>
          <w:color w:val="auto"/>
        </w:rPr>
      </w:pPr>
    </w:p>
    <w:p>
      <w:pPr>
        <w:ind w:right="60" w:firstLine="474"/>
        <w:spacing w:after="0" w:line="259" w:lineRule="auto"/>
        <w:tabs>
          <w:tab w:leader="none" w:pos="1024" w:val="left"/>
        </w:tabs>
        <w:numPr>
          <w:ilvl w:val="0"/>
          <w:numId w:val="99"/>
        </w:numPr>
        <w:rPr>
          <w:rFonts w:ascii="Arial" w:cs="Arial" w:eastAsia="Arial" w:hAnsi="Arial"/>
          <w:sz w:val="14"/>
          <w:szCs w:val="14"/>
          <w:color w:val="auto"/>
        </w:rPr>
      </w:pPr>
      <w:r>
        <w:rPr>
          <w:rFonts w:ascii="Arial" w:cs="Arial" w:eastAsia="Arial" w:hAnsi="Arial"/>
          <w:sz w:val="14"/>
          <w:szCs w:val="14"/>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40"/>
          </w:cols>
          <w:pgMar w:left="220" w:top="133" w:right="239" w:bottom="1440" w:gutter="0" w:footer="0" w:header="0"/>
        </w:sectPr>
      </w:pPr>
    </w:p>
    <w:bookmarkStart w:id="225" w:name="page226"/>
    <w:bookmarkEnd w:id="225"/>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SIGNATURES</w:t>
      </w:r>
    </w:p>
    <w:p>
      <w:pPr>
        <w:spacing w:after="0" w:line="205" w:lineRule="exact"/>
        <w:rPr>
          <w:sz w:val="20"/>
          <w:szCs w:val="20"/>
          <w:color w:val="auto"/>
        </w:rPr>
      </w:pPr>
    </w:p>
    <w:p>
      <w:pPr>
        <w:ind w:right="40" w:firstLine="625"/>
        <w:spacing w:after="0" w:line="283" w:lineRule="auto"/>
        <w:rPr>
          <w:sz w:val="20"/>
          <w:szCs w:val="20"/>
          <w:color w:val="auto"/>
        </w:rPr>
      </w:pPr>
      <w:r>
        <w:rPr>
          <w:rFonts w:ascii="Arial" w:cs="Arial" w:eastAsia="Arial" w:hAnsi="Arial"/>
          <w:sz w:val="14"/>
          <w:szCs w:val="14"/>
          <w:color w:val="auto"/>
        </w:rPr>
        <w:t>Pursuant to the requirements of the Securities Act of l933, the registrant has duly caused this Registration Statement to be signed on its behalf by the undersigned, thereunto duly authorized, in the City of South San Francisco, California on the 14th day of March, 2016.</w:t>
      </w:r>
    </w:p>
    <w:p>
      <w:pPr>
        <w:spacing w:after="0" w:line="127"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VistaGen Therapeutics, Inc.</w:t>
      </w:r>
    </w:p>
    <w:p>
      <w:pPr>
        <w:spacing w:after="0" w:line="184"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By: /s/ Shawn K. Singh,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-6985</wp:posOffset>
            </wp:positionV>
            <wp:extent cx="1089025"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89025" cy="698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4"/>
          <w:szCs w:val="14"/>
          <w:color w:val="auto"/>
        </w:rPr>
        <w:t>Shawn K. Singh, JD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Chief Executive Officer</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POWER OF ATTORNEY</w:t>
      </w:r>
    </w:p>
    <w:p>
      <w:pPr>
        <w:spacing w:after="0" w:line="201" w:lineRule="exact"/>
        <w:rPr>
          <w:sz w:val="20"/>
          <w:szCs w:val="20"/>
          <w:color w:val="auto"/>
        </w:rPr>
      </w:pPr>
    </w:p>
    <w:p>
      <w:pPr>
        <w:spacing w:after="0" w:line="284" w:lineRule="auto"/>
        <w:rPr>
          <w:sz w:val="20"/>
          <w:szCs w:val="20"/>
          <w:color w:val="auto"/>
        </w:rPr>
      </w:pPr>
      <w:r>
        <w:rPr>
          <w:rFonts w:ascii="Arial" w:cs="Arial" w:eastAsia="Arial" w:hAnsi="Arial"/>
          <w:sz w:val="13"/>
          <w:szCs w:val="13"/>
          <w:b w:val="1"/>
          <w:bCs w:val="1"/>
          <w:color w:val="auto"/>
        </w:rPr>
        <w:t>KNOW ALL MEN BY THESE PRESENTS</w:t>
      </w:r>
      <w:r>
        <w:rPr>
          <w:rFonts w:ascii="Arial" w:cs="Arial" w:eastAsia="Arial" w:hAnsi="Arial"/>
          <w:sz w:val="13"/>
          <w:szCs w:val="13"/>
          <w:color w:val="auto"/>
        </w:rPr>
        <w:t>, that each person whose signature appears below hereby constitutes and appoints Shawn K. Singh his true and lawful attorney-in-fact and agent, with full</w:t>
      </w:r>
      <w:r>
        <w:rPr>
          <w:rFonts w:ascii="Arial" w:cs="Arial" w:eastAsia="Arial" w:hAnsi="Arial"/>
          <w:sz w:val="13"/>
          <w:szCs w:val="13"/>
          <w:b w:val="1"/>
          <w:bCs w:val="1"/>
          <w:color w:val="auto"/>
        </w:rPr>
        <w:t xml:space="preserve"> </w:t>
      </w:r>
      <w:r>
        <w:rPr>
          <w:rFonts w:ascii="Arial" w:cs="Arial" w:eastAsia="Arial" w:hAnsi="Arial"/>
          <w:sz w:val="13"/>
          <w:szCs w:val="13"/>
          <w:color w:val="auto"/>
        </w:rPr>
        <w:t>power of substitution and re-substitution, for him and in his name, place and stead, in any and all capacities, to sign any and all amendments to this Registration Statement, and any additional related registration statement filed pursuant to Rule 462(b) under the Securities Act of 1933, as amended (including post-effective amendments to the registration statement and any such related registration statements), and to file the same, with all exhibits thereto, and any other documents in connection therewith,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Act of l933, this Registration Statement has been signed by the following persons in the capacities and on the dates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00" w:type="dxa"/>
            <w:vAlign w:val="bottom"/>
            <w:gridSpan w:val="5"/>
          </w:tcPr>
          <w:p>
            <w:pPr>
              <w:spacing w:after="0"/>
              <w:rPr>
                <w:sz w:val="20"/>
                <w:szCs w:val="20"/>
                <w:color w:val="auto"/>
              </w:rPr>
            </w:pPr>
            <w:r>
              <w:rPr>
                <w:rFonts w:ascii="Arial" w:cs="Arial" w:eastAsia="Arial" w:hAnsi="Arial"/>
                <w:sz w:val="14"/>
                <w:szCs w:val="14"/>
                <w:color w:val="auto"/>
              </w:rPr>
              <w:t>Signature</w:t>
            </w:r>
          </w:p>
        </w:tc>
        <w:tc>
          <w:tcPr>
            <w:tcW w:w="5400" w:type="dxa"/>
            <w:vAlign w:val="bottom"/>
          </w:tcPr>
          <w:p>
            <w:pPr>
              <w:ind w:left="3340"/>
              <w:spacing w:after="0"/>
              <w:rPr>
                <w:sz w:val="20"/>
                <w:szCs w:val="20"/>
                <w:color w:val="auto"/>
              </w:rPr>
            </w:pPr>
            <w:r>
              <w:rPr>
                <w:rFonts w:ascii="Arial" w:cs="Arial" w:eastAsia="Arial" w:hAnsi="Arial"/>
                <w:sz w:val="14"/>
                <w:szCs w:val="14"/>
                <w:color w:val="auto"/>
              </w:rPr>
              <w:t>Title</w:t>
            </w:r>
          </w:p>
        </w:tc>
        <w:tc>
          <w:tcPr>
            <w:tcW w:w="2640" w:type="dxa"/>
            <w:vAlign w:val="bottom"/>
          </w:tcPr>
          <w:p>
            <w:pPr>
              <w:jc w:val="center"/>
              <w:ind w:left="1649"/>
              <w:spacing w:after="0"/>
              <w:rPr>
                <w:sz w:val="20"/>
                <w:szCs w:val="20"/>
                <w:color w:val="auto"/>
              </w:rPr>
            </w:pPr>
            <w:r>
              <w:rPr>
                <w:rFonts w:ascii="Arial" w:cs="Arial" w:eastAsia="Arial" w:hAnsi="Arial"/>
                <w:sz w:val="14"/>
                <w:szCs w:val="14"/>
                <w:color w:val="auto"/>
                <w:w w:val="94"/>
              </w:rPr>
              <w:t>Date</w:t>
            </w:r>
          </w:p>
        </w:tc>
      </w:tr>
      <w:tr>
        <w:trPr>
          <w:trHeight w:val="309"/>
        </w:trPr>
        <w:tc>
          <w:tcPr>
            <w:tcW w:w="4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/s/ Shawn K. Singh</w:t>
            </w:r>
          </w:p>
        </w:tc>
        <w:tc>
          <w:tcPr>
            <w:tcW w:w="1520" w:type="dxa"/>
            <w:vAlign w:val="bottom"/>
            <w:gridSpan w:val="3"/>
          </w:tcPr>
          <w:p>
            <w:pPr>
              <w:spacing w:after="0"/>
              <w:rPr>
                <w:sz w:val="24"/>
                <w:szCs w:val="24"/>
                <w:color w:val="auto"/>
              </w:rPr>
            </w:pPr>
          </w:p>
        </w:tc>
        <w:tc>
          <w:tcPr>
            <w:tcW w:w="5400" w:type="dxa"/>
            <w:vAlign w:val="bottom"/>
          </w:tcPr>
          <w:p>
            <w:pPr>
              <w:ind w:left="960"/>
              <w:spacing w:after="0"/>
              <w:rPr>
                <w:sz w:val="20"/>
                <w:szCs w:val="20"/>
                <w:color w:val="auto"/>
              </w:rPr>
            </w:pPr>
            <w:r>
              <w:rPr>
                <w:rFonts w:ascii="Arial" w:cs="Arial" w:eastAsia="Arial" w:hAnsi="Arial"/>
                <w:sz w:val="14"/>
                <w:szCs w:val="14"/>
                <w:color w:val="auto"/>
              </w:rPr>
              <w:t>Chief Executive Officer, and Director</w:t>
            </w:r>
          </w:p>
        </w:tc>
        <w:tc>
          <w:tcPr>
            <w:tcW w:w="2640" w:type="dxa"/>
            <w:vAlign w:val="bottom"/>
          </w:tcPr>
          <w:p>
            <w:pPr>
              <w:jc w:val="center"/>
              <w:ind w:left="1649"/>
              <w:spacing w:after="0"/>
              <w:rPr>
                <w:sz w:val="20"/>
                <w:szCs w:val="20"/>
                <w:color w:val="auto"/>
              </w:rPr>
            </w:pPr>
            <w:r>
              <w:rPr>
                <w:rFonts w:ascii="Arial" w:cs="Arial" w:eastAsia="Arial" w:hAnsi="Arial"/>
                <w:sz w:val="14"/>
                <w:szCs w:val="14"/>
                <w:color w:val="auto"/>
                <w:w w:val="94"/>
              </w:rPr>
              <w:t>March 14, 2016</w:t>
            </w:r>
          </w:p>
        </w:tc>
      </w:tr>
      <w:tr>
        <w:trPr>
          <w:trHeight w:val="182"/>
        </w:trPr>
        <w:tc>
          <w:tcPr>
            <w:tcW w:w="2700" w:type="dxa"/>
            <w:vAlign w:val="bottom"/>
            <w:gridSpan w:val="5"/>
          </w:tcPr>
          <w:p>
            <w:pPr>
              <w:spacing w:after="0"/>
              <w:rPr>
                <w:sz w:val="20"/>
                <w:szCs w:val="20"/>
                <w:color w:val="auto"/>
              </w:rPr>
            </w:pPr>
            <w:r>
              <w:rPr>
                <w:rFonts w:ascii="Arial" w:cs="Arial" w:eastAsia="Arial" w:hAnsi="Arial"/>
                <w:sz w:val="14"/>
                <w:szCs w:val="14"/>
                <w:color w:val="auto"/>
              </w:rPr>
              <w:t>Shawn K. Singh</w:t>
            </w:r>
          </w:p>
        </w:tc>
        <w:tc>
          <w:tcPr>
            <w:tcW w:w="5400" w:type="dxa"/>
            <w:vAlign w:val="bottom"/>
          </w:tcPr>
          <w:p>
            <w:pPr>
              <w:ind w:left="960"/>
              <w:spacing w:after="0"/>
              <w:rPr>
                <w:sz w:val="20"/>
                <w:szCs w:val="20"/>
                <w:color w:val="auto"/>
              </w:rPr>
            </w:pPr>
            <w:r>
              <w:rPr>
                <w:rFonts w:ascii="Arial" w:cs="Arial" w:eastAsia="Arial" w:hAnsi="Arial"/>
                <w:sz w:val="14"/>
                <w:szCs w:val="14"/>
                <w:i w:val="1"/>
                <w:iCs w:val="1"/>
                <w:color w:val="auto"/>
              </w:rPr>
              <w:t>(Principal Executive Officer)</w:t>
            </w:r>
          </w:p>
        </w:tc>
        <w:tc>
          <w:tcPr>
            <w:tcW w:w="2640" w:type="dxa"/>
            <w:vAlign w:val="bottom"/>
          </w:tcPr>
          <w:p>
            <w:pPr>
              <w:spacing w:after="0"/>
              <w:rPr>
                <w:sz w:val="15"/>
                <w:szCs w:val="15"/>
                <w:color w:val="auto"/>
              </w:rPr>
            </w:pPr>
          </w:p>
        </w:tc>
      </w:tr>
      <w:tr>
        <w:trPr>
          <w:trHeight w:val="309"/>
        </w:trPr>
        <w:tc>
          <w:tcPr>
            <w:tcW w:w="2700" w:type="dxa"/>
            <w:vAlign w:val="bottom"/>
            <w:gridSpan w:val="5"/>
          </w:tcPr>
          <w:p>
            <w:pPr>
              <w:spacing w:after="0"/>
              <w:rPr>
                <w:sz w:val="20"/>
                <w:szCs w:val="20"/>
                <w:color w:val="auto"/>
              </w:rPr>
            </w:pPr>
            <w:r>
              <w:rPr>
                <w:rFonts w:ascii="Arial" w:cs="Arial" w:eastAsia="Arial" w:hAnsi="Arial"/>
                <w:sz w:val="14"/>
                <w:szCs w:val="14"/>
                <w:color w:val="auto"/>
              </w:rPr>
              <w:t>/s/ Jerrold D. Dotson</w:t>
            </w:r>
          </w:p>
        </w:tc>
        <w:tc>
          <w:tcPr>
            <w:tcW w:w="5400" w:type="dxa"/>
            <w:vAlign w:val="bottom"/>
          </w:tcPr>
          <w:p>
            <w:pPr>
              <w:ind w:left="960"/>
              <w:spacing w:after="0"/>
              <w:rPr>
                <w:sz w:val="20"/>
                <w:szCs w:val="20"/>
                <w:color w:val="auto"/>
              </w:rPr>
            </w:pPr>
            <w:r>
              <w:rPr>
                <w:rFonts w:ascii="Arial" w:cs="Arial" w:eastAsia="Arial" w:hAnsi="Arial"/>
                <w:sz w:val="14"/>
                <w:szCs w:val="14"/>
                <w:color w:val="auto"/>
              </w:rPr>
              <w:t>Vice President and Chief Financial Officer</w:t>
            </w:r>
          </w:p>
        </w:tc>
        <w:tc>
          <w:tcPr>
            <w:tcW w:w="2640" w:type="dxa"/>
            <w:vAlign w:val="bottom"/>
          </w:tcPr>
          <w:p>
            <w:pPr>
              <w:jc w:val="center"/>
              <w:ind w:left="1649"/>
              <w:spacing w:after="0"/>
              <w:rPr>
                <w:sz w:val="20"/>
                <w:szCs w:val="20"/>
                <w:color w:val="auto"/>
              </w:rPr>
            </w:pPr>
            <w:r>
              <w:rPr>
                <w:rFonts w:ascii="Arial" w:cs="Arial" w:eastAsia="Arial" w:hAnsi="Arial"/>
                <w:sz w:val="14"/>
                <w:szCs w:val="14"/>
                <w:color w:val="auto"/>
                <w:w w:val="94"/>
              </w:rPr>
              <w:t>March 14, 2016</w:t>
            </w:r>
          </w:p>
        </w:tc>
      </w:tr>
      <w:tr>
        <w:trPr>
          <w:trHeight w:val="182"/>
        </w:trPr>
        <w:tc>
          <w:tcPr>
            <w:tcW w:w="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Jerrold D. Dotson</w:t>
            </w:r>
          </w:p>
        </w:tc>
        <w:tc>
          <w:tcPr>
            <w:tcW w:w="1520" w:type="dxa"/>
            <w:vAlign w:val="bottom"/>
            <w:gridSpan w:val="3"/>
          </w:tcPr>
          <w:p>
            <w:pPr>
              <w:spacing w:after="0"/>
              <w:rPr>
                <w:sz w:val="15"/>
                <w:szCs w:val="15"/>
                <w:color w:val="auto"/>
              </w:rPr>
            </w:pPr>
          </w:p>
        </w:tc>
        <w:tc>
          <w:tcPr>
            <w:tcW w:w="5400" w:type="dxa"/>
            <w:vAlign w:val="bottom"/>
          </w:tcPr>
          <w:p>
            <w:pPr>
              <w:ind w:left="960"/>
              <w:spacing w:after="0"/>
              <w:rPr>
                <w:sz w:val="20"/>
                <w:szCs w:val="20"/>
                <w:color w:val="auto"/>
              </w:rPr>
            </w:pPr>
            <w:r>
              <w:rPr>
                <w:rFonts w:ascii="Arial" w:cs="Arial" w:eastAsia="Arial" w:hAnsi="Arial"/>
                <w:sz w:val="14"/>
                <w:szCs w:val="14"/>
                <w:i w:val="1"/>
                <w:iCs w:val="1"/>
                <w:color w:val="auto"/>
              </w:rPr>
              <w:t>(Principal Financial and Accounting Officer)</w:t>
            </w:r>
          </w:p>
        </w:tc>
        <w:tc>
          <w:tcPr>
            <w:tcW w:w="2640" w:type="dxa"/>
            <w:vAlign w:val="bottom"/>
          </w:tcPr>
          <w:p>
            <w:pPr>
              <w:spacing w:after="0"/>
              <w:rPr>
                <w:sz w:val="15"/>
                <w:szCs w:val="15"/>
                <w:color w:val="auto"/>
              </w:rPr>
            </w:pPr>
          </w:p>
        </w:tc>
      </w:tr>
      <w:tr>
        <w:trPr>
          <w:trHeight w:val="501"/>
        </w:trPr>
        <w:tc>
          <w:tcPr>
            <w:tcW w:w="1700" w:type="dxa"/>
            <w:vAlign w:val="bottom"/>
            <w:gridSpan w:val="3"/>
          </w:tcPr>
          <w:p>
            <w:pPr>
              <w:spacing w:after="0"/>
              <w:rPr>
                <w:sz w:val="20"/>
                <w:szCs w:val="20"/>
                <w:color w:val="auto"/>
              </w:rPr>
            </w:pPr>
            <w:r>
              <w:rPr>
                <w:rFonts w:ascii="Arial" w:cs="Arial" w:eastAsia="Arial" w:hAnsi="Arial"/>
                <w:sz w:val="14"/>
                <w:szCs w:val="14"/>
                <w:color w:val="auto"/>
              </w:rPr>
              <w:t>___________________</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80"/>
        </w:trPr>
        <w:tc>
          <w:tcPr>
            <w:tcW w:w="2700" w:type="dxa"/>
            <w:vAlign w:val="bottom"/>
            <w:gridSpan w:val="5"/>
          </w:tcPr>
          <w:p>
            <w:pPr>
              <w:spacing w:after="0"/>
              <w:rPr>
                <w:sz w:val="20"/>
                <w:szCs w:val="20"/>
                <w:color w:val="auto"/>
              </w:rPr>
            </w:pPr>
            <w:r>
              <w:rPr>
                <w:rFonts w:ascii="Arial" w:cs="Arial" w:eastAsia="Arial" w:hAnsi="Arial"/>
                <w:sz w:val="14"/>
                <w:szCs w:val="14"/>
                <w:color w:val="auto"/>
              </w:rPr>
              <w:t>Jon S. Saxe</w:t>
            </w:r>
          </w:p>
        </w:tc>
        <w:tc>
          <w:tcPr>
            <w:tcW w:w="5400" w:type="dxa"/>
            <w:vAlign w:val="bottom"/>
          </w:tcPr>
          <w:p>
            <w:pPr>
              <w:ind w:left="960"/>
              <w:spacing w:after="0"/>
              <w:rPr>
                <w:sz w:val="20"/>
                <w:szCs w:val="20"/>
                <w:color w:val="auto"/>
              </w:rPr>
            </w:pPr>
            <w:r>
              <w:rPr>
                <w:rFonts w:ascii="Arial" w:cs="Arial" w:eastAsia="Arial" w:hAnsi="Arial"/>
                <w:sz w:val="14"/>
                <w:szCs w:val="14"/>
                <w:color w:val="auto"/>
              </w:rPr>
              <w:t>Chairman of the Board of Directors</w:t>
            </w:r>
          </w:p>
        </w:tc>
        <w:tc>
          <w:tcPr>
            <w:tcW w:w="2640" w:type="dxa"/>
            <w:vAlign w:val="bottom"/>
          </w:tcPr>
          <w:p>
            <w:pPr>
              <w:spacing w:after="0"/>
              <w:rPr>
                <w:sz w:val="15"/>
                <w:szCs w:val="15"/>
                <w:color w:val="auto"/>
              </w:rPr>
            </w:pPr>
          </w:p>
        </w:tc>
      </w:tr>
      <w:tr>
        <w:trPr>
          <w:trHeight w:val="480"/>
        </w:trPr>
        <w:tc>
          <w:tcPr>
            <w:tcW w:w="4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4"/>
                <w:szCs w:val="14"/>
                <w:color w:val="auto"/>
              </w:rPr>
              <w:t>/s/ H. Ralph Snodgrass, Ph.D</w:t>
            </w:r>
          </w:p>
        </w:tc>
        <w:tc>
          <w:tcPr>
            <w:tcW w:w="5400" w:type="dxa"/>
            <w:vAlign w:val="bottom"/>
          </w:tcPr>
          <w:p>
            <w:pPr>
              <w:ind w:left="960"/>
              <w:spacing w:after="0"/>
              <w:rPr>
                <w:sz w:val="20"/>
                <w:szCs w:val="20"/>
                <w:color w:val="auto"/>
              </w:rPr>
            </w:pPr>
            <w:r>
              <w:rPr>
                <w:rFonts w:ascii="Arial" w:cs="Arial" w:eastAsia="Arial" w:hAnsi="Arial"/>
                <w:sz w:val="14"/>
                <w:szCs w:val="14"/>
                <w:color w:val="auto"/>
              </w:rPr>
              <w:t>President, Chief Scientific Officer and Director</w:t>
            </w:r>
          </w:p>
        </w:tc>
        <w:tc>
          <w:tcPr>
            <w:tcW w:w="2640" w:type="dxa"/>
            <w:vAlign w:val="bottom"/>
          </w:tcPr>
          <w:p>
            <w:pPr>
              <w:jc w:val="center"/>
              <w:ind w:left="1649"/>
              <w:spacing w:after="0"/>
              <w:rPr>
                <w:sz w:val="20"/>
                <w:szCs w:val="20"/>
                <w:color w:val="auto"/>
              </w:rPr>
            </w:pPr>
            <w:r>
              <w:rPr>
                <w:rFonts w:ascii="Arial" w:cs="Arial" w:eastAsia="Arial" w:hAnsi="Arial"/>
                <w:sz w:val="14"/>
                <w:szCs w:val="14"/>
                <w:color w:val="auto"/>
                <w:w w:val="94"/>
              </w:rPr>
              <w:t>March 14, 2016</w:t>
            </w:r>
          </w:p>
        </w:tc>
      </w:tr>
      <w:tr>
        <w:trPr>
          <w:trHeight w:val="182"/>
        </w:trPr>
        <w:tc>
          <w:tcPr>
            <w:tcW w:w="40" w:type="dxa"/>
            <w:vAlign w:val="bottom"/>
          </w:tcPr>
          <w:p>
            <w:pPr>
              <w:spacing w:after="0"/>
              <w:rPr>
                <w:sz w:val="15"/>
                <w:szCs w:val="15"/>
                <w:color w:val="auto"/>
              </w:rPr>
            </w:pPr>
          </w:p>
        </w:tc>
        <w:tc>
          <w:tcPr>
            <w:tcW w:w="16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w w:val="99"/>
              </w:rPr>
              <w:t>H. Ralph Snodgrass, Ph.D</w:t>
            </w:r>
          </w:p>
        </w:tc>
        <w:tc>
          <w:tcPr>
            <w:tcW w:w="1000" w:type="dxa"/>
            <w:vAlign w:val="bottom"/>
            <w:gridSpan w:val="2"/>
          </w:tcPr>
          <w:p>
            <w:pPr>
              <w:spacing w:after="0"/>
              <w:rPr>
                <w:sz w:val="15"/>
                <w:szCs w:val="15"/>
                <w:color w:val="auto"/>
              </w:rPr>
            </w:pPr>
          </w:p>
        </w:tc>
        <w:tc>
          <w:tcPr>
            <w:tcW w:w="5400" w:type="dxa"/>
            <w:vAlign w:val="bottom"/>
          </w:tcPr>
          <w:p>
            <w:pPr>
              <w:spacing w:after="0"/>
              <w:rPr>
                <w:sz w:val="15"/>
                <w:szCs w:val="15"/>
                <w:color w:val="auto"/>
              </w:rPr>
            </w:pPr>
          </w:p>
        </w:tc>
        <w:tc>
          <w:tcPr>
            <w:tcW w:w="2640" w:type="dxa"/>
            <w:vAlign w:val="bottom"/>
          </w:tcPr>
          <w:p>
            <w:pPr>
              <w:spacing w:after="0"/>
              <w:rPr>
                <w:sz w:val="15"/>
                <w:szCs w:val="15"/>
                <w:color w:val="auto"/>
              </w:rPr>
            </w:pPr>
          </w:p>
        </w:tc>
      </w:tr>
      <w:tr>
        <w:trPr>
          <w:trHeight w:val="309"/>
        </w:trPr>
        <w:tc>
          <w:tcPr>
            <w:tcW w:w="40" w:type="dxa"/>
            <w:vAlign w:val="bottom"/>
          </w:tcPr>
          <w:p>
            <w:pPr>
              <w:spacing w:after="0"/>
              <w:rPr>
                <w:sz w:val="24"/>
                <w:szCs w:val="24"/>
                <w:color w:val="auto"/>
              </w:rPr>
            </w:pPr>
          </w:p>
        </w:tc>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2"/>
              </w:rPr>
              <w:t>/s/ Brian J. Underdown, Ph. D</w:t>
            </w:r>
          </w:p>
        </w:tc>
        <w:tc>
          <w:tcPr>
            <w:tcW w:w="940" w:type="dxa"/>
            <w:vAlign w:val="bottom"/>
          </w:tcPr>
          <w:p>
            <w:pPr>
              <w:spacing w:after="0"/>
              <w:rPr>
                <w:sz w:val="24"/>
                <w:szCs w:val="24"/>
                <w:color w:val="auto"/>
              </w:rPr>
            </w:pPr>
          </w:p>
        </w:tc>
        <w:tc>
          <w:tcPr>
            <w:tcW w:w="5400" w:type="dxa"/>
            <w:vAlign w:val="bottom"/>
          </w:tcPr>
          <w:p>
            <w:pPr>
              <w:ind w:left="960"/>
              <w:spacing w:after="0"/>
              <w:rPr>
                <w:sz w:val="20"/>
                <w:szCs w:val="20"/>
                <w:color w:val="auto"/>
              </w:rPr>
            </w:pPr>
            <w:r>
              <w:rPr>
                <w:rFonts w:ascii="Arial" w:cs="Arial" w:eastAsia="Arial" w:hAnsi="Arial"/>
                <w:sz w:val="14"/>
                <w:szCs w:val="14"/>
                <w:color w:val="auto"/>
              </w:rPr>
              <w:t>Director</w:t>
            </w:r>
          </w:p>
        </w:tc>
        <w:tc>
          <w:tcPr>
            <w:tcW w:w="2640" w:type="dxa"/>
            <w:vAlign w:val="bottom"/>
          </w:tcPr>
          <w:p>
            <w:pPr>
              <w:jc w:val="center"/>
              <w:ind w:left="1649"/>
              <w:spacing w:after="0"/>
              <w:rPr>
                <w:sz w:val="20"/>
                <w:szCs w:val="20"/>
                <w:color w:val="auto"/>
              </w:rPr>
            </w:pPr>
            <w:r>
              <w:rPr>
                <w:rFonts w:ascii="Arial" w:cs="Arial" w:eastAsia="Arial" w:hAnsi="Arial"/>
                <w:sz w:val="14"/>
                <w:szCs w:val="14"/>
                <w:color w:val="auto"/>
                <w:w w:val="94"/>
              </w:rPr>
              <w:t>March 14, 2016</w:t>
            </w:r>
          </w:p>
        </w:tc>
      </w:tr>
      <w:tr>
        <w:trPr>
          <w:trHeight w:val="182"/>
        </w:trPr>
        <w:tc>
          <w:tcPr>
            <w:tcW w:w="40" w:type="dxa"/>
            <w:vAlign w:val="bottom"/>
          </w:tcPr>
          <w:p>
            <w:pPr>
              <w:spacing w:after="0"/>
              <w:rPr>
                <w:sz w:val="15"/>
                <w:szCs w:val="15"/>
                <w:color w:val="auto"/>
              </w:rPr>
            </w:pPr>
          </w:p>
        </w:tc>
        <w:tc>
          <w:tcPr>
            <w:tcW w:w="2660" w:type="dxa"/>
            <w:vAlign w:val="bottom"/>
            <w:gridSpan w:val="4"/>
          </w:tcPr>
          <w:p>
            <w:pPr>
              <w:spacing w:after="0"/>
              <w:rPr>
                <w:sz w:val="20"/>
                <w:szCs w:val="20"/>
                <w:color w:val="auto"/>
              </w:rPr>
            </w:pPr>
            <w:r>
              <w:rPr>
                <w:rFonts w:ascii="Arial" w:cs="Arial" w:eastAsia="Arial" w:hAnsi="Arial"/>
                <w:sz w:val="14"/>
                <w:szCs w:val="14"/>
                <w:color w:val="auto"/>
              </w:rPr>
              <w:t>Brian J. Underdown, Ph. D</w:t>
            </w:r>
          </w:p>
        </w:tc>
        <w:tc>
          <w:tcPr>
            <w:tcW w:w="5400" w:type="dxa"/>
            <w:vAlign w:val="bottom"/>
          </w:tcPr>
          <w:p>
            <w:pPr>
              <w:spacing w:after="0"/>
              <w:rPr>
                <w:sz w:val="15"/>
                <w:szCs w:val="15"/>
                <w:color w:val="auto"/>
              </w:rPr>
            </w:pPr>
          </w:p>
        </w:tc>
        <w:tc>
          <w:tcPr>
            <w:tcW w:w="26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81545" cy="196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00"/>
          </w:cols>
          <w:pgMar w:left="220" w:top="133" w:right="27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149"/>
        </w:trPr>
        <w:tc>
          <w:tcPr>
            <w:tcW w:w="920" w:type="dxa"/>
            <w:vAlign w:val="bottom"/>
            <w:gridSpan w:val="2"/>
          </w:tcPr>
          <w:p>
            <w:pPr>
              <w:spacing w:after="0"/>
              <w:rPr>
                <w:rFonts w:ascii="Arial" w:cs="Arial" w:eastAsia="Arial" w:hAnsi="Arial"/>
                <w:sz w:val="13"/>
                <w:szCs w:val="13"/>
                <w:i w:val="1"/>
                <w:iCs w:val="1"/>
                <w:color w:val="0000EE"/>
                <w:w w:val="87"/>
              </w:rPr>
            </w:pPr>
            <w:hyperlink w:anchor="page5">
              <w:r>
                <w:rPr>
                  <w:rFonts w:ascii="Arial" w:cs="Arial" w:eastAsia="Arial" w:hAnsi="Arial"/>
                  <w:sz w:val="13"/>
                  <w:szCs w:val="13"/>
                  <w:i w:val="1"/>
                  <w:iCs w:val="1"/>
                  <w:color w:val="0000EE"/>
                  <w:w w:val="87"/>
                </w:rPr>
                <w:t>Table of Contents</w:t>
              </w:r>
            </w:hyperlink>
          </w:p>
        </w:tc>
        <w:tc>
          <w:tcPr>
            <w:tcW w:w="120" w:type="dxa"/>
            <w:vAlign w:val="bottom"/>
          </w:tcPr>
          <w:p>
            <w:pPr>
              <w:spacing w:after="0"/>
              <w:rPr>
                <w:sz w:val="13"/>
                <w:szCs w:val="13"/>
                <w:color w:val="auto"/>
              </w:rPr>
            </w:pPr>
          </w:p>
        </w:tc>
        <w:tc>
          <w:tcPr>
            <w:tcW w:w="10420" w:type="dxa"/>
            <w:vAlign w:val="bottom"/>
          </w:tcPr>
          <w:p>
            <w:pPr>
              <w:spacing w:after="0"/>
              <w:rPr>
                <w:sz w:val="13"/>
                <w:szCs w:val="13"/>
                <w:color w:val="auto"/>
              </w:rPr>
            </w:pPr>
          </w:p>
        </w:tc>
      </w:tr>
      <w:tr>
        <w:trPr>
          <w:trHeight w:val="373"/>
        </w:trPr>
        <w:tc>
          <w:tcPr>
            <w:tcW w:w="9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20" w:type="dxa"/>
            <w:vAlign w:val="bottom"/>
          </w:tcPr>
          <w:p>
            <w:pPr>
              <w:ind w:left="4300"/>
              <w:spacing w:after="0"/>
              <w:rPr>
                <w:sz w:val="20"/>
                <w:szCs w:val="20"/>
                <w:color w:val="auto"/>
              </w:rPr>
            </w:pPr>
            <w:r>
              <w:rPr>
                <w:rFonts w:ascii="Arial" w:cs="Arial" w:eastAsia="Arial" w:hAnsi="Arial"/>
                <w:sz w:val="14"/>
                <w:szCs w:val="14"/>
                <w:b w:val="1"/>
                <w:bCs w:val="1"/>
                <w:color w:val="auto"/>
              </w:rPr>
              <w:t>Exhibit Index</w:t>
            </w:r>
          </w:p>
        </w:tc>
      </w:tr>
      <w:tr>
        <w:trPr>
          <w:trHeight w:val="364"/>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Exhibit No.</w:t>
            </w:r>
          </w:p>
        </w:tc>
        <w:tc>
          <w:tcPr>
            <w:tcW w:w="120" w:type="dxa"/>
            <w:vAlign w:val="bottom"/>
          </w:tcPr>
          <w:p>
            <w:pPr>
              <w:spacing w:after="0"/>
              <w:rPr>
                <w:sz w:val="24"/>
                <w:szCs w:val="24"/>
                <w:color w:val="auto"/>
              </w:rPr>
            </w:pPr>
          </w:p>
        </w:tc>
        <w:tc>
          <w:tcPr>
            <w:tcW w:w="10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170"/>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Form of Underwriting Agreement</w:t>
            </w:r>
          </w:p>
        </w:tc>
      </w:tr>
      <w:tr>
        <w:trPr>
          <w:trHeight w:val="170"/>
        </w:trPr>
        <w:tc>
          <w:tcPr>
            <w:tcW w:w="900" w:type="dxa"/>
            <w:vAlign w:val="bottom"/>
          </w:tcPr>
          <w:p>
            <w:pPr>
              <w:spacing w:after="0"/>
              <w:rPr>
                <w:sz w:val="20"/>
                <w:szCs w:val="20"/>
                <w:color w:val="auto"/>
              </w:rPr>
            </w:pPr>
            <w:r>
              <w:rPr>
                <w:rFonts w:ascii="Arial" w:cs="Arial" w:eastAsia="Arial" w:hAnsi="Arial"/>
                <w:sz w:val="14"/>
                <w:szCs w:val="14"/>
                <w:color w:val="auto"/>
              </w:rPr>
              <w:t>2.1 *</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Agreement and Plan of Merger by and among Excaliber Enterprises, Ltd., VistaGen Therapeutics, Inc. and Excaliber Merger Subsidiary, Inc.</w:t>
            </w:r>
          </w:p>
        </w:tc>
      </w:tr>
      <w:tr>
        <w:trPr>
          <w:trHeight w:val="170"/>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3.1 *</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Articles of Incorporation, dated October 6, 2005.</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3"/>
              </w:rPr>
              <w:t>Certificate of Amendment filed with the Nevada Secretary of State on December 6, 2011, incorporated by reference from Exhibit 3.3 to the Company's Annual Report on Form 10-K,</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filed July 2, 2012.</w:t>
            </w:r>
          </w:p>
        </w:tc>
      </w:tr>
      <w:tr>
        <w:trPr>
          <w:trHeight w:val="171"/>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3.3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Amended and Restated Bylaws as of February 5, 2014, incorporated by reference from the Company’s Report on Form 8-K filed on February 7, 2014.</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4"/>
              </w:rPr>
              <w:t>Articles of Merger filed with the Nevada Secretary of State on May 24, 2011, incorporated by reference from Exhibit 3.1 to the Company's Current Report on Form 8-K filed on May</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40" w:type="dxa"/>
            <w:vAlign w:val="bottom"/>
            <w:gridSpan w:val="2"/>
          </w:tcPr>
          <w:p>
            <w:pPr>
              <w:ind w:left="120"/>
              <w:spacing w:after="0"/>
              <w:rPr>
                <w:sz w:val="20"/>
                <w:szCs w:val="20"/>
                <w:color w:val="auto"/>
              </w:rPr>
            </w:pPr>
            <w:r>
              <w:rPr>
                <w:rFonts w:ascii="Arial" w:cs="Arial" w:eastAsia="Arial" w:hAnsi="Arial"/>
                <w:sz w:val="14"/>
                <w:szCs w:val="14"/>
                <w:color w:val="auto"/>
              </w:rPr>
              <w:t>31, 2011.</w:t>
            </w:r>
          </w:p>
        </w:tc>
      </w:tr>
      <w:tr>
        <w:trPr>
          <w:trHeight w:val="171"/>
        </w:trPr>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Certificate of Designations Series A Preferred, incorporated by reference from Exhibit 3.1 to the Company’s Current Report on Form 8-K filed on December 23, 2011.</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3.6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3"/>
              </w:rPr>
              <w:t>Certificate of Change filed with the Nevada Secretary of State on August 11, 2014 incorporated by reference from Exhibit 3.1 to the Company’s Current Report on Form 8-K filed on</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August 14, 2014.</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3.7</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3"/>
              </w:rPr>
              <w:t>Certificate of Designation of the Relative Rights and Preferences of the Series B 10% Convertible Preferred Stock of VistaGen Therapeutics, Inc., filed with the Nevada Secretary of</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State on May 7, 2015, incorporated by reference from Exhibit 3.1 to the Company’s Current Report on Form 8-K filed on May 13, 2015.</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3.8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5"/>
              </w:rPr>
              <w:t>Certificate of Amendment to the Articles of Incorporation of VistaGen Therapeutics, Inc., dated August 24, 2015 and incorporated by reference from Exhibit 3.1 to the Company's</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Current Report on Form 8-K filed on August 25, 2015.</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3.9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2"/>
              </w:rPr>
              <w:t>Certificate of Designation of the Relative Rights and Preferences of the Series C Convertible Preferred Stock of VistaGen Therapeutics. Inc., dated January 25, 2016, incorporated by</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reference from Exhibit 3.1 to the Company’s Current Report on Form 8-K filed on January 29, 2016.</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5"/>
              </w:rPr>
              <w:t>Form of Warrant to Purchase Common Stock, dated as of February 28, 2012, incorporated by reference from Exhibit 10.3 to the Company’s Current Report on Form 8-K filed on</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March 2, 2012.</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4.2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3"/>
              </w:rPr>
              <w:t>Stock Purchase Warrant issued to Morrison &amp; Foerster LLP on August 31, 2012 to purchase 1,379,376 shares of the Company’s common stock (New Morrison &amp; Foerster Warrant),</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incorporated by reference from Exhibit 10.5 to the Company’s Current Report on Form 8-K filed on September 6, 2012.</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5"/>
              </w:rPr>
              <w:t>Warrant to Purchase Common Stock issued to Morrison &amp; Foerster LLP on August 31, 2012 to purchase 425,000 shares of the Company’s common stock (Amended Morrison &amp;</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Foerster Warrant), incorporated by reference from Exhibit 10.6 to the Company’s Current Report on Form 8-K filed on September 6, 2012.</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4.4</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2"/>
              </w:rPr>
              <w:t>Form of Warrant to Purchase Shares of Common Stock issued to Platinum Long Term Growth VII, LLP under the Note Exchange and Purchase Agreement, incorporated by reference</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from Exhibit 10.3 to the Company’s Current Report on Form 8-K filed on October 16, 2012.</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5"/>
              </w:rPr>
              <w:t>Form of Warrant to Purchase Common Stock issued to independent members of the Company’s Board of Directors and its executive officers on March 3, 2013, incorporated by</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reference from Exhibit 10.1 to the Company’s Current Report on Form 8-K filed on March 6, 2013.</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3"/>
              </w:rPr>
              <w:t>Common Stock Warrant, dated July 26, 2013 issued to Platinum Long Term Growth VII, LLP, incorporated by reference from Exhibit 10.2 to the Company’s Current Report on Form</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8-K filed on August 2, 2013.</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7"/>
              </w:rPr>
              <w:t>Common Stock Purchase Warrant between the Company and Platinum Long Term Growth Fund VII dated May 14, 2014, incorporated by reference from Exhibit 10.1 to the</w:t>
            </w:r>
          </w:p>
        </w:tc>
      </w:tr>
      <w:tr>
        <w:trPr>
          <w:trHeight w:val="181"/>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Company’s Current Report on Form 8-K filed on May 19, 2014.</w:t>
            </w:r>
          </w:p>
        </w:tc>
      </w:tr>
      <w:tr>
        <w:trPr>
          <w:trHeight w:val="160"/>
        </w:trPr>
        <w:tc>
          <w:tcPr>
            <w:tcW w:w="90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4.8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w w:val="97"/>
              </w:rPr>
              <w:t>Form of Common Stock Purchase Warrant between the Company and investors in the Fall 2013 Unit Private Placement, incorporated by reference from Exhibit 10.95 to the</w:t>
            </w:r>
          </w:p>
        </w:tc>
      </w:tr>
      <w:tr>
        <w:trPr>
          <w:trHeight w:val="181"/>
        </w:trPr>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20" w:type="dxa"/>
            <w:vAlign w:val="bottom"/>
            <w:shd w:val="clear" w:color="auto" w:fill="CCEEFF"/>
          </w:tcPr>
          <w:p>
            <w:pPr>
              <w:spacing w:after="0"/>
              <w:rPr>
                <w:sz w:val="20"/>
                <w:szCs w:val="20"/>
                <w:color w:val="auto"/>
              </w:rPr>
            </w:pPr>
            <w:r>
              <w:rPr>
                <w:rFonts w:ascii="Arial" w:cs="Arial" w:eastAsia="Arial" w:hAnsi="Arial"/>
                <w:sz w:val="14"/>
                <w:szCs w:val="14"/>
                <w:color w:val="auto"/>
              </w:rPr>
              <w:t>Company’s Annual Report on Form 10-K filed on June 24, 2014.</w:t>
            </w:r>
          </w:p>
        </w:tc>
      </w:tr>
      <w:tr>
        <w:trPr>
          <w:trHeight w:val="160"/>
        </w:trPr>
        <w:tc>
          <w:tcPr>
            <w:tcW w:w="900" w:type="dxa"/>
            <w:vAlign w:val="bottom"/>
          </w:tcPr>
          <w:p>
            <w:pPr>
              <w:spacing w:after="0" w:line="160"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20" w:type="dxa"/>
            <w:vAlign w:val="bottom"/>
          </w:tcPr>
          <w:p>
            <w:pPr>
              <w:spacing w:after="0" w:line="160" w:lineRule="exact"/>
              <w:rPr>
                <w:sz w:val="20"/>
                <w:szCs w:val="20"/>
                <w:color w:val="auto"/>
              </w:rPr>
            </w:pPr>
            <w:r>
              <w:rPr>
                <w:rFonts w:ascii="Arial" w:cs="Arial" w:eastAsia="Arial" w:hAnsi="Arial"/>
                <w:sz w:val="14"/>
                <w:szCs w:val="14"/>
                <w:color w:val="auto"/>
                <w:w w:val="92"/>
              </w:rPr>
              <w:t>Form of Common Stock Purchase Warrant between the Company and investors in the Spring 2014 Unit Private Placement dated April 1, 2014, incorporated by reference from Exhibit</w:t>
            </w:r>
          </w:p>
        </w:tc>
      </w:tr>
      <w:tr>
        <w:trPr>
          <w:trHeight w:val="180"/>
        </w:trPr>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10.3 to the Company’s Current Report on Form 8-K filed on April 8, 2014.</w:t>
            </w:r>
          </w:p>
        </w:tc>
      </w:tr>
      <w:tr>
        <w:trPr>
          <w:trHeight w:val="479"/>
        </w:trPr>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20" w:type="dxa"/>
            <w:vAlign w:val="bottom"/>
          </w:tcPr>
          <w:p>
            <w:pPr>
              <w:ind w:left="4560"/>
              <w:spacing w:after="0"/>
              <w:rPr>
                <w:sz w:val="20"/>
                <w:szCs w:val="20"/>
                <w:color w:val="auto"/>
              </w:rPr>
            </w:pPr>
            <w:r>
              <w:rPr>
                <w:rFonts w:ascii="Arial" w:cs="Arial" w:eastAsia="Arial" w:hAnsi="Arial"/>
                <w:sz w:val="14"/>
                <w:szCs w:val="14"/>
                <w:color w:val="auto"/>
              </w:rPr>
              <w:t>II-10</w:t>
            </w:r>
          </w:p>
        </w:tc>
      </w:tr>
      <w:tr>
        <w:trPr>
          <w:trHeight w:val="92"/>
        </w:trPr>
        <w:tc>
          <w:tcPr>
            <w:tcW w:w="9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4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149"/>
        </w:trPr>
        <w:tc>
          <w:tcPr>
            <w:tcW w:w="960" w:type="dxa"/>
            <w:vAlign w:val="bottom"/>
            <w:gridSpan w:val="3"/>
          </w:tcPr>
          <w:p>
            <w:pPr>
              <w:spacing w:after="0"/>
              <w:rPr>
                <w:rFonts w:ascii="Arial" w:cs="Arial" w:eastAsia="Arial" w:hAnsi="Arial"/>
                <w:sz w:val="13"/>
                <w:szCs w:val="13"/>
                <w:i w:val="1"/>
                <w:iCs w:val="1"/>
                <w:color w:val="0000EE"/>
                <w:w w:val="91"/>
              </w:rPr>
            </w:pPr>
            <w:hyperlink w:anchor="page5">
              <w:r>
                <w:rPr>
                  <w:rFonts w:ascii="Arial" w:cs="Arial" w:eastAsia="Arial" w:hAnsi="Arial"/>
                  <w:sz w:val="13"/>
                  <w:szCs w:val="13"/>
                  <w:i w:val="1"/>
                  <w:iCs w:val="1"/>
                  <w:color w:val="0000EE"/>
                  <w:w w:val="91"/>
                </w:rPr>
                <w:t>Table of Contents</w:t>
              </w:r>
            </w:hyperlink>
          </w:p>
        </w:tc>
        <w:tc>
          <w:tcPr>
            <w:tcW w:w="10500" w:type="dxa"/>
            <w:vAlign w:val="bottom"/>
          </w:tcPr>
          <w:p>
            <w:pPr>
              <w:spacing w:after="0"/>
              <w:rPr>
                <w:sz w:val="13"/>
                <w:szCs w:val="13"/>
                <w:color w:val="auto"/>
              </w:rPr>
            </w:pPr>
          </w:p>
        </w:tc>
      </w:tr>
      <w:tr>
        <w:trPr>
          <w:trHeight w:val="204"/>
        </w:trPr>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500" w:type="dxa"/>
            <w:vAlign w:val="bottom"/>
          </w:tcPr>
          <w:p>
            <w:pPr>
              <w:spacing w:after="0"/>
              <w:rPr>
                <w:sz w:val="17"/>
                <w:szCs w:val="17"/>
                <w:color w:val="auto"/>
              </w:rPr>
            </w:pPr>
          </w:p>
        </w:tc>
      </w:tr>
      <w:tr>
        <w:trPr>
          <w:trHeight w:val="170"/>
        </w:trPr>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4.10</w:t>
            </w:r>
          </w:p>
        </w:tc>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Form of Representatives’ Warrant.</w:t>
            </w:r>
          </w:p>
        </w:tc>
      </w:tr>
      <w:tr>
        <w:trPr>
          <w:trHeight w:val="170"/>
        </w:trPr>
        <w:tc>
          <w:tcPr>
            <w:tcW w:w="280" w:type="dxa"/>
            <w:vAlign w:val="bottom"/>
          </w:tcPr>
          <w:p>
            <w:pPr>
              <w:spacing w:after="0"/>
              <w:rPr>
                <w:sz w:val="20"/>
                <w:szCs w:val="20"/>
                <w:color w:val="auto"/>
              </w:rPr>
            </w:pPr>
            <w:r>
              <w:rPr>
                <w:rFonts w:ascii="Arial" w:cs="Arial" w:eastAsia="Arial" w:hAnsi="Arial"/>
                <w:sz w:val="14"/>
                <w:szCs w:val="14"/>
                <w:color w:val="auto"/>
                <w:w w:val="93"/>
              </w:rPr>
              <w:t>5.1+</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Opinion of Disclosure Law Group.</w:t>
            </w:r>
          </w:p>
        </w:tc>
      </w:tr>
      <w:tr>
        <w:trPr>
          <w:trHeight w:val="170"/>
        </w:trPr>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10.1</w:t>
            </w:r>
          </w:p>
        </w:tc>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1999 Stock Incentive Plan.</w:t>
            </w:r>
          </w:p>
        </w:tc>
      </w:tr>
      <w:tr>
        <w:trPr>
          <w:trHeight w:val="170"/>
        </w:trPr>
        <w:tc>
          <w:tcPr>
            <w:tcW w:w="280" w:type="dxa"/>
            <w:vAlign w:val="bottom"/>
          </w:tcPr>
          <w:p>
            <w:pPr>
              <w:spacing w:after="0"/>
              <w:rPr>
                <w:sz w:val="20"/>
                <w:szCs w:val="20"/>
                <w:color w:val="auto"/>
              </w:rPr>
            </w:pPr>
            <w:r>
              <w:rPr>
                <w:rFonts w:ascii="Arial" w:cs="Arial" w:eastAsia="Arial" w:hAnsi="Arial"/>
                <w:sz w:val="14"/>
                <w:szCs w:val="14"/>
                <w:color w:val="auto"/>
                <w:w w:val="95"/>
              </w:rPr>
              <w:t>10.2</w:t>
            </w:r>
          </w:p>
        </w:tc>
        <w:tc>
          <w:tcPr>
            <w:tcW w:w="620" w:type="dxa"/>
            <w:vAlign w:val="bottom"/>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Form of Option Agreement under VistaGen’s 1999 Stock Incentive Plan.</w:t>
            </w:r>
          </w:p>
        </w:tc>
      </w:tr>
      <w:tr>
        <w:trPr>
          <w:trHeight w:val="170"/>
        </w:trPr>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10.3</w:t>
            </w:r>
          </w:p>
        </w:tc>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2008 Stock Incentive Plan.</w:t>
            </w:r>
          </w:p>
        </w:tc>
      </w:tr>
      <w:tr>
        <w:trPr>
          <w:trHeight w:val="170"/>
        </w:trPr>
        <w:tc>
          <w:tcPr>
            <w:tcW w:w="280" w:type="dxa"/>
            <w:vAlign w:val="bottom"/>
          </w:tcPr>
          <w:p>
            <w:pPr>
              <w:spacing w:after="0"/>
              <w:rPr>
                <w:sz w:val="20"/>
                <w:szCs w:val="20"/>
                <w:color w:val="auto"/>
              </w:rPr>
            </w:pPr>
            <w:r>
              <w:rPr>
                <w:rFonts w:ascii="Arial" w:cs="Arial" w:eastAsia="Arial" w:hAnsi="Arial"/>
                <w:sz w:val="14"/>
                <w:szCs w:val="14"/>
                <w:color w:val="auto"/>
                <w:w w:val="95"/>
              </w:rPr>
              <w:t>10.4</w:t>
            </w:r>
          </w:p>
        </w:tc>
        <w:tc>
          <w:tcPr>
            <w:tcW w:w="620" w:type="dxa"/>
            <w:vAlign w:val="bottom"/>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Form of Option Agreement under VistaGen’s 2008 Stock Incentive Plan.</w:t>
            </w:r>
          </w:p>
        </w:tc>
      </w:tr>
      <w:tr>
        <w:trPr>
          <w:trHeight w:val="170"/>
        </w:trPr>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10.5</w:t>
            </w:r>
          </w:p>
        </w:tc>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Strategic Development Services Agreement, dated February 26, 2007, by and between VistaGen and Cato Research Ltd.</w:t>
            </w:r>
          </w:p>
        </w:tc>
      </w:tr>
      <w:tr>
        <w:trPr>
          <w:trHeight w:val="160"/>
        </w:trPr>
        <w:tc>
          <w:tcPr>
            <w:tcW w:w="280" w:type="dxa"/>
            <w:vAlign w:val="bottom"/>
          </w:tcPr>
          <w:p>
            <w:pPr>
              <w:spacing w:after="0" w:line="160" w:lineRule="exact"/>
              <w:rPr>
                <w:sz w:val="20"/>
                <w:szCs w:val="20"/>
                <w:color w:val="auto"/>
              </w:rPr>
            </w:pPr>
            <w:r>
              <w:rPr>
                <w:rFonts w:ascii="Arial" w:cs="Arial" w:eastAsia="Arial" w:hAnsi="Arial"/>
                <w:sz w:val="14"/>
                <w:szCs w:val="14"/>
                <w:color w:val="auto"/>
                <w:w w:val="95"/>
              </w:rPr>
              <w:t>10.6</w:t>
            </w:r>
          </w:p>
        </w:tc>
        <w:tc>
          <w:tcPr>
            <w:tcW w:w="620" w:type="dxa"/>
            <w:vAlign w:val="bottom"/>
          </w:tcPr>
          <w:p>
            <w:pPr>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500" w:type="dxa"/>
            <w:vAlign w:val="bottom"/>
          </w:tcPr>
          <w:p>
            <w:pPr>
              <w:ind w:left="80"/>
              <w:spacing w:after="0" w:line="160" w:lineRule="exact"/>
              <w:rPr>
                <w:sz w:val="20"/>
                <w:szCs w:val="20"/>
                <w:color w:val="auto"/>
              </w:rPr>
            </w:pPr>
            <w:r>
              <w:rPr>
                <w:rFonts w:ascii="Arial" w:cs="Arial" w:eastAsia="Arial" w:hAnsi="Arial"/>
                <w:sz w:val="14"/>
                <w:szCs w:val="14"/>
                <w:color w:val="auto"/>
                <w:w w:val="92"/>
              </w:rPr>
              <w:t>License Agreement by and between National Jewish Medical and Research Center and VistaGen, dated July 12, 1999, as amended by that certain Amendment to License Agreement</w:t>
            </w:r>
          </w:p>
        </w:tc>
      </w:tr>
      <w:tr>
        <w:trPr>
          <w:trHeight w:val="170"/>
        </w:trPr>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w w:val="93"/>
              </w:rPr>
              <w:t>dated January 25, 2001, as amended by that certain Second Amendment to License Agreement dated November 6, 2002, as amended by that certain Third Amendment to License</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Agreement dated March 1, 2003, and as amended by that certain Fourth Amendment to License Agreement dated April 15, 2010.</w:t>
            </w:r>
          </w:p>
        </w:tc>
      </w:tr>
      <w:tr>
        <w:trPr>
          <w:trHeight w:val="171"/>
        </w:trPr>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10.7</w:t>
            </w:r>
          </w:p>
        </w:tc>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License Agreement by and between Mount Sinai School of Medicine of New York University and the Company, dated October 1, 2004.</w:t>
            </w:r>
          </w:p>
        </w:tc>
      </w:tr>
      <w:tr>
        <w:trPr>
          <w:trHeight w:val="160"/>
        </w:trPr>
        <w:tc>
          <w:tcPr>
            <w:tcW w:w="280" w:type="dxa"/>
            <w:vAlign w:val="bottom"/>
          </w:tcPr>
          <w:p>
            <w:pPr>
              <w:spacing w:after="0" w:line="160" w:lineRule="exact"/>
              <w:rPr>
                <w:sz w:val="20"/>
                <w:szCs w:val="20"/>
                <w:color w:val="auto"/>
              </w:rPr>
            </w:pPr>
            <w:r>
              <w:rPr>
                <w:rFonts w:ascii="Arial" w:cs="Arial" w:eastAsia="Arial" w:hAnsi="Arial"/>
                <w:sz w:val="14"/>
                <w:szCs w:val="14"/>
                <w:color w:val="auto"/>
                <w:w w:val="95"/>
              </w:rPr>
              <w:t>10.8</w:t>
            </w:r>
          </w:p>
        </w:tc>
        <w:tc>
          <w:tcPr>
            <w:tcW w:w="620" w:type="dxa"/>
            <w:vAlign w:val="bottom"/>
          </w:tcPr>
          <w:p>
            <w:pPr>
              <w:spacing w:after="0" w:line="16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500" w:type="dxa"/>
            <w:vAlign w:val="bottom"/>
          </w:tcPr>
          <w:p>
            <w:pPr>
              <w:ind w:left="80"/>
              <w:spacing w:after="0" w:line="160" w:lineRule="exact"/>
              <w:rPr>
                <w:sz w:val="20"/>
                <w:szCs w:val="20"/>
                <w:color w:val="auto"/>
              </w:rPr>
            </w:pPr>
            <w:r>
              <w:rPr>
                <w:rFonts w:ascii="Arial" w:cs="Arial" w:eastAsia="Arial" w:hAnsi="Arial"/>
                <w:sz w:val="14"/>
                <w:szCs w:val="14"/>
                <w:color w:val="auto"/>
                <w:w w:val="94"/>
              </w:rPr>
              <w:t>Sponsored Research Collaboration Agreement, dated September 18, 2007, between VistaGen and University Health Network, as amended by that certain Amendment No. 1 and</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Amendment No. 2, dated April 19, 2010 and December 15, 2010, respectively.</w:t>
            </w:r>
          </w:p>
        </w:tc>
      </w:tr>
      <w:tr>
        <w:trPr>
          <w:trHeight w:val="171"/>
        </w:trPr>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95"/>
              </w:rPr>
              <w:t>10.9</w:t>
            </w:r>
          </w:p>
        </w:tc>
        <w:tc>
          <w:tcPr>
            <w:tcW w:w="6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License Agreement, dated October 24, 2001, by and between the University of Maryland, Baltimore, Cornell Research Foundation and Artemis Neuroscience, Inc.</w:t>
            </w:r>
          </w:p>
        </w:tc>
      </w:tr>
      <w:tr>
        <w:trPr>
          <w:trHeight w:val="170"/>
        </w:trPr>
        <w:tc>
          <w:tcPr>
            <w:tcW w:w="900" w:type="dxa"/>
            <w:vAlign w:val="bottom"/>
            <w:gridSpan w:val="2"/>
          </w:tcPr>
          <w:p>
            <w:pPr>
              <w:spacing w:after="0"/>
              <w:rPr>
                <w:sz w:val="20"/>
                <w:szCs w:val="20"/>
                <w:color w:val="auto"/>
              </w:rPr>
            </w:pPr>
            <w:r>
              <w:rPr>
                <w:rFonts w:ascii="Arial" w:cs="Arial" w:eastAsia="Arial" w:hAnsi="Arial"/>
                <w:sz w:val="14"/>
                <w:szCs w:val="14"/>
                <w:color w:val="auto"/>
              </w:rPr>
              <w:t>10.10 *</w:t>
            </w:r>
          </w:p>
        </w:tc>
        <w:tc>
          <w:tcPr>
            <w:tcW w:w="60" w:type="dxa"/>
            <w:vAlign w:val="bottom"/>
          </w:tcPr>
          <w:p>
            <w:pPr>
              <w:spacing w:after="0"/>
              <w:rPr>
                <w:sz w:val="14"/>
                <w:szCs w:val="14"/>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Employment Agreement, by and between, VistaGen and Shawn K. Singh, dated April 28, 2010, as amended May 9, 2011.</w:t>
            </w:r>
          </w:p>
        </w:tc>
      </w:tr>
      <w:tr>
        <w:trPr>
          <w:trHeight w:val="170"/>
        </w:trPr>
        <w:tc>
          <w:tcPr>
            <w:tcW w:w="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10.11 *</w:t>
            </w:r>
          </w:p>
        </w:tc>
        <w:tc>
          <w:tcPr>
            <w:tcW w:w="60" w:type="dxa"/>
            <w:vAlign w:val="bottom"/>
            <w:shd w:val="clear" w:color="auto" w:fill="CCEEFF"/>
          </w:tcPr>
          <w:p>
            <w:pPr>
              <w:spacing w:after="0"/>
              <w:rPr>
                <w:sz w:val="14"/>
                <w:szCs w:val="14"/>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Employment Agreement, by and between, VistaGen and H. Ralph Snodgrass, PhD, dated April 28, 2010, as amended May 9, 2011.</w:t>
            </w:r>
          </w:p>
        </w:tc>
      </w:tr>
      <w:tr>
        <w:trPr>
          <w:trHeight w:val="160"/>
        </w:trPr>
        <w:tc>
          <w:tcPr>
            <w:tcW w:w="900" w:type="dxa"/>
            <w:vAlign w:val="bottom"/>
            <w:gridSpan w:val="2"/>
          </w:tcPr>
          <w:p>
            <w:pPr>
              <w:spacing w:after="0" w:line="160" w:lineRule="exact"/>
              <w:rPr>
                <w:sz w:val="20"/>
                <w:szCs w:val="20"/>
                <w:color w:val="auto"/>
              </w:rPr>
            </w:pPr>
            <w:r>
              <w:rPr>
                <w:rFonts w:ascii="Arial" w:cs="Arial" w:eastAsia="Arial" w:hAnsi="Arial"/>
                <w:sz w:val="14"/>
                <w:szCs w:val="14"/>
                <w:color w:val="auto"/>
              </w:rPr>
              <w:t>10.12</w:t>
            </w:r>
          </w:p>
        </w:tc>
        <w:tc>
          <w:tcPr>
            <w:tcW w:w="60" w:type="dxa"/>
            <w:vAlign w:val="bottom"/>
          </w:tcPr>
          <w:p>
            <w:pPr>
              <w:spacing w:after="0"/>
              <w:rPr>
                <w:sz w:val="13"/>
                <w:szCs w:val="13"/>
                <w:color w:val="auto"/>
              </w:rPr>
            </w:pPr>
          </w:p>
        </w:tc>
        <w:tc>
          <w:tcPr>
            <w:tcW w:w="10500" w:type="dxa"/>
            <w:vAlign w:val="bottom"/>
          </w:tcPr>
          <w:p>
            <w:pPr>
              <w:ind w:left="80"/>
              <w:spacing w:after="0" w:line="160" w:lineRule="exact"/>
              <w:rPr>
                <w:sz w:val="20"/>
                <w:szCs w:val="20"/>
                <w:color w:val="auto"/>
              </w:rPr>
            </w:pPr>
            <w:r>
              <w:rPr>
                <w:rFonts w:ascii="Arial" w:cs="Arial" w:eastAsia="Arial" w:hAnsi="Arial"/>
                <w:sz w:val="14"/>
                <w:szCs w:val="14"/>
                <w:color w:val="auto"/>
                <w:w w:val="93"/>
              </w:rPr>
              <w:t>Strategic Medicinal Chemistry Services Agreement, dated as of December 6, 2011, between Synterys, Inc. and VistaGen Therapeutics, Inc., incorporated by reference from Exhibit</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10.1 to the Company’s Current Report on Form 8-K filed on December 7, 2011.</w:t>
            </w:r>
          </w:p>
        </w:tc>
      </w:tr>
      <w:tr>
        <w:trPr>
          <w:trHeight w:val="160"/>
        </w:trPr>
        <w:tc>
          <w:tcPr>
            <w:tcW w:w="9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10.13</w:t>
            </w:r>
          </w:p>
        </w:tc>
        <w:tc>
          <w:tcPr>
            <w:tcW w:w="60" w:type="dxa"/>
            <w:vAlign w:val="bottom"/>
            <w:shd w:val="clear" w:color="auto" w:fill="CCEEFF"/>
          </w:tcPr>
          <w:p>
            <w:pPr>
              <w:spacing w:after="0"/>
              <w:rPr>
                <w:sz w:val="13"/>
                <w:szCs w:val="13"/>
                <w:color w:val="auto"/>
              </w:rPr>
            </w:pPr>
          </w:p>
        </w:tc>
        <w:tc>
          <w:tcPr>
            <w:tcW w:w="10500" w:type="dxa"/>
            <w:vAlign w:val="bottom"/>
            <w:shd w:val="clear" w:color="auto" w:fill="CCEEFF"/>
          </w:tcPr>
          <w:p>
            <w:pPr>
              <w:ind w:left="80"/>
              <w:spacing w:after="0" w:line="160" w:lineRule="exact"/>
              <w:rPr>
                <w:sz w:val="20"/>
                <w:szCs w:val="20"/>
                <w:color w:val="auto"/>
              </w:rPr>
            </w:pPr>
            <w:r>
              <w:rPr>
                <w:rFonts w:ascii="Arial" w:cs="Arial" w:eastAsia="Arial" w:hAnsi="Arial"/>
                <w:sz w:val="14"/>
                <w:szCs w:val="14"/>
                <w:color w:val="auto"/>
                <w:w w:val="94"/>
              </w:rPr>
              <w:t>Common Stock Exchange Agreement, dated as of December 22, 2011 between Platinum Long Term Growth VII, LLC and VistaGen Therapeutics, Inc., incorporated by reference</w:t>
            </w:r>
          </w:p>
        </w:tc>
      </w:tr>
      <w:tr>
        <w:trPr>
          <w:trHeight w:val="181"/>
        </w:trPr>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from Exhibit 10.1 to the Company’s Current Report on Form 8-K filed on December 23, 2011.</w:t>
            </w:r>
          </w:p>
        </w:tc>
      </w:tr>
      <w:tr>
        <w:trPr>
          <w:trHeight w:val="160"/>
        </w:trPr>
        <w:tc>
          <w:tcPr>
            <w:tcW w:w="900" w:type="dxa"/>
            <w:vAlign w:val="bottom"/>
            <w:gridSpan w:val="2"/>
          </w:tcPr>
          <w:p>
            <w:pPr>
              <w:spacing w:after="0" w:line="160" w:lineRule="exact"/>
              <w:rPr>
                <w:sz w:val="20"/>
                <w:szCs w:val="20"/>
                <w:color w:val="auto"/>
              </w:rPr>
            </w:pPr>
            <w:r>
              <w:rPr>
                <w:rFonts w:ascii="Arial" w:cs="Arial" w:eastAsia="Arial" w:hAnsi="Arial"/>
                <w:sz w:val="14"/>
                <w:szCs w:val="14"/>
                <w:color w:val="auto"/>
              </w:rPr>
              <w:t>10.14</w:t>
            </w:r>
          </w:p>
        </w:tc>
        <w:tc>
          <w:tcPr>
            <w:tcW w:w="60" w:type="dxa"/>
            <w:vAlign w:val="bottom"/>
          </w:tcPr>
          <w:p>
            <w:pPr>
              <w:spacing w:after="0"/>
              <w:rPr>
                <w:sz w:val="13"/>
                <w:szCs w:val="13"/>
                <w:color w:val="auto"/>
              </w:rPr>
            </w:pPr>
          </w:p>
        </w:tc>
        <w:tc>
          <w:tcPr>
            <w:tcW w:w="10500" w:type="dxa"/>
            <w:vAlign w:val="bottom"/>
          </w:tcPr>
          <w:p>
            <w:pPr>
              <w:ind w:left="80"/>
              <w:spacing w:after="0" w:line="160" w:lineRule="exact"/>
              <w:rPr>
                <w:sz w:val="20"/>
                <w:szCs w:val="20"/>
                <w:color w:val="auto"/>
              </w:rPr>
            </w:pPr>
            <w:r>
              <w:rPr>
                <w:rFonts w:ascii="Arial" w:cs="Arial" w:eastAsia="Arial" w:hAnsi="Arial"/>
                <w:sz w:val="14"/>
                <w:szCs w:val="14"/>
                <w:color w:val="auto"/>
                <w:w w:val="93"/>
              </w:rPr>
              <w:t>Note and Warrant Exchange Agreement, dated as of December 28, 2011 between Platinum Long Term Growth VII, LLC and VistaGen Therapeutics, Inc., incorporated by reference</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from Exhibit 10.1 to the Current Report on Form 8-K filed on January 4, 2012.</w:t>
            </w:r>
          </w:p>
        </w:tc>
      </w:tr>
      <w:tr>
        <w:trPr>
          <w:trHeight w:val="160"/>
        </w:trPr>
        <w:tc>
          <w:tcPr>
            <w:tcW w:w="9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10.15</w:t>
            </w:r>
          </w:p>
        </w:tc>
        <w:tc>
          <w:tcPr>
            <w:tcW w:w="60" w:type="dxa"/>
            <w:vAlign w:val="bottom"/>
            <w:shd w:val="clear" w:color="auto" w:fill="CCEEFF"/>
          </w:tcPr>
          <w:p>
            <w:pPr>
              <w:spacing w:after="0"/>
              <w:rPr>
                <w:sz w:val="13"/>
                <w:szCs w:val="13"/>
                <w:color w:val="auto"/>
              </w:rPr>
            </w:pPr>
          </w:p>
        </w:tc>
        <w:tc>
          <w:tcPr>
            <w:tcW w:w="10500" w:type="dxa"/>
            <w:vAlign w:val="bottom"/>
            <w:shd w:val="clear" w:color="auto" w:fill="CCEEFF"/>
          </w:tcPr>
          <w:p>
            <w:pPr>
              <w:ind w:left="80"/>
              <w:spacing w:after="0" w:line="160" w:lineRule="exact"/>
              <w:rPr>
                <w:sz w:val="20"/>
                <w:szCs w:val="20"/>
                <w:color w:val="auto"/>
              </w:rPr>
            </w:pPr>
            <w:r>
              <w:rPr>
                <w:rFonts w:ascii="Arial" w:cs="Arial" w:eastAsia="Arial" w:hAnsi="Arial"/>
                <w:sz w:val="14"/>
                <w:szCs w:val="14"/>
                <w:color w:val="auto"/>
                <w:w w:val="95"/>
              </w:rPr>
              <w:t>License Agreement No. 1, dated as of October 24, 2011 between University Health Network and VistaGen Therapeutics, Inc., incorporated by reference from Exhibit 10.1 to the</w:t>
            </w:r>
          </w:p>
        </w:tc>
      </w:tr>
      <w:tr>
        <w:trPr>
          <w:trHeight w:val="181"/>
        </w:trPr>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Company’s Current Report on Form 8-K filed on November 30, 2011.</w:t>
            </w:r>
          </w:p>
        </w:tc>
      </w:tr>
      <w:tr>
        <w:trPr>
          <w:trHeight w:val="160"/>
        </w:trPr>
        <w:tc>
          <w:tcPr>
            <w:tcW w:w="900" w:type="dxa"/>
            <w:vAlign w:val="bottom"/>
            <w:gridSpan w:val="2"/>
          </w:tcPr>
          <w:p>
            <w:pPr>
              <w:spacing w:after="0" w:line="160" w:lineRule="exact"/>
              <w:rPr>
                <w:sz w:val="20"/>
                <w:szCs w:val="20"/>
                <w:color w:val="auto"/>
              </w:rPr>
            </w:pPr>
            <w:r>
              <w:rPr>
                <w:rFonts w:ascii="Arial" w:cs="Arial" w:eastAsia="Arial" w:hAnsi="Arial"/>
                <w:sz w:val="14"/>
                <w:szCs w:val="14"/>
                <w:color w:val="auto"/>
              </w:rPr>
              <w:t>10.16</w:t>
            </w:r>
          </w:p>
        </w:tc>
        <w:tc>
          <w:tcPr>
            <w:tcW w:w="60" w:type="dxa"/>
            <w:vAlign w:val="bottom"/>
          </w:tcPr>
          <w:p>
            <w:pPr>
              <w:spacing w:after="0"/>
              <w:rPr>
                <w:sz w:val="13"/>
                <w:szCs w:val="13"/>
                <w:color w:val="auto"/>
              </w:rPr>
            </w:pPr>
          </w:p>
        </w:tc>
        <w:tc>
          <w:tcPr>
            <w:tcW w:w="10500" w:type="dxa"/>
            <w:vAlign w:val="bottom"/>
          </w:tcPr>
          <w:p>
            <w:pPr>
              <w:ind w:left="80"/>
              <w:spacing w:after="0" w:line="160" w:lineRule="exact"/>
              <w:rPr>
                <w:sz w:val="20"/>
                <w:szCs w:val="20"/>
                <w:color w:val="auto"/>
              </w:rPr>
            </w:pPr>
            <w:r>
              <w:rPr>
                <w:rFonts w:ascii="Arial" w:cs="Arial" w:eastAsia="Arial" w:hAnsi="Arial"/>
                <w:sz w:val="14"/>
                <w:szCs w:val="14"/>
                <w:color w:val="auto"/>
                <w:w w:val="95"/>
              </w:rPr>
              <w:t>License Agreement No. 2, dated as of March 19, 2012 between University Health Network and VistaGen Therapeutics, Inc., incorporated by reference from Exhibit 10.57 to the</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Company’s Annual Report on Form 10-K filed on July 2, 2012.</w:t>
            </w:r>
          </w:p>
        </w:tc>
      </w:tr>
      <w:tr>
        <w:trPr>
          <w:trHeight w:val="160"/>
        </w:trPr>
        <w:tc>
          <w:tcPr>
            <w:tcW w:w="9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10.17</w:t>
            </w:r>
          </w:p>
        </w:tc>
        <w:tc>
          <w:tcPr>
            <w:tcW w:w="60" w:type="dxa"/>
            <w:vAlign w:val="bottom"/>
            <w:shd w:val="clear" w:color="auto" w:fill="CCEEFF"/>
          </w:tcPr>
          <w:p>
            <w:pPr>
              <w:spacing w:after="0"/>
              <w:rPr>
                <w:sz w:val="13"/>
                <w:szCs w:val="13"/>
                <w:color w:val="auto"/>
              </w:rPr>
            </w:pPr>
          </w:p>
        </w:tc>
        <w:tc>
          <w:tcPr>
            <w:tcW w:w="10500" w:type="dxa"/>
            <w:vAlign w:val="bottom"/>
            <w:shd w:val="clear" w:color="auto" w:fill="CCEEFF"/>
          </w:tcPr>
          <w:p>
            <w:pPr>
              <w:ind w:left="80"/>
              <w:spacing w:after="0" w:line="160" w:lineRule="exact"/>
              <w:rPr>
                <w:sz w:val="20"/>
                <w:szCs w:val="20"/>
                <w:color w:val="auto"/>
              </w:rPr>
            </w:pPr>
            <w:r>
              <w:rPr>
                <w:rFonts w:ascii="Arial" w:cs="Arial" w:eastAsia="Arial" w:hAnsi="Arial"/>
                <w:sz w:val="14"/>
                <w:szCs w:val="14"/>
                <w:color w:val="auto"/>
                <w:w w:val="93"/>
              </w:rPr>
              <w:t>Exchange Agreement dated as of June 29, 2012 between Platinum Long Term Growth VII, LLC and VistaGen Therapeutics. Inc., incorporated by reference from Exhibit 10.58 to the</w:t>
            </w:r>
          </w:p>
        </w:tc>
      </w:tr>
      <w:tr>
        <w:trPr>
          <w:trHeight w:val="181"/>
        </w:trPr>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Company’s Annual Report on Form 10-K filed on July 2, 2012.</w:t>
            </w:r>
          </w:p>
        </w:tc>
      </w:tr>
      <w:tr>
        <w:trPr>
          <w:trHeight w:val="160"/>
        </w:trPr>
        <w:tc>
          <w:tcPr>
            <w:tcW w:w="900" w:type="dxa"/>
            <w:vAlign w:val="bottom"/>
            <w:gridSpan w:val="2"/>
          </w:tcPr>
          <w:p>
            <w:pPr>
              <w:spacing w:after="0" w:line="160" w:lineRule="exact"/>
              <w:rPr>
                <w:sz w:val="20"/>
                <w:szCs w:val="20"/>
                <w:color w:val="auto"/>
              </w:rPr>
            </w:pPr>
            <w:r>
              <w:rPr>
                <w:rFonts w:ascii="Arial" w:cs="Arial" w:eastAsia="Arial" w:hAnsi="Arial"/>
                <w:sz w:val="14"/>
                <w:szCs w:val="14"/>
                <w:color w:val="auto"/>
              </w:rPr>
              <w:t>10.18</w:t>
            </w:r>
          </w:p>
        </w:tc>
        <w:tc>
          <w:tcPr>
            <w:tcW w:w="60" w:type="dxa"/>
            <w:vAlign w:val="bottom"/>
          </w:tcPr>
          <w:p>
            <w:pPr>
              <w:spacing w:after="0"/>
              <w:rPr>
                <w:sz w:val="13"/>
                <w:szCs w:val="13"/>
                <w:color w:val="auto"/>
              </w:rPr>
            </w:pPr>
          </w:p>
        </w:tc>
        <w:tc>
          <w:tcPr>
            <w:tcW w:w="10500" w:type="dxa"/>
            <w:vAlign w:val="bottom"/>
          </w:tcPr>
          <w:p>
            <w:pPr>
              <w:ind w:left="80"/>
              <w:spacing w:after="0" w:line="160" w:lineRule="exact"/>
              <w:rPr>
                <w:sz w:val="20"/>
                <w:szCs w:val="20"/>
                <w:color w:val="auto"/>
              </w:rPr>
            </w:pPr>
            <w:r>
              <w:rPr>
                <w:rFonts w:ascii="Arial" w:cs="Arial" w:eastAsia="Arial" w:hAnsi="Arial"/>
                <w:sz w:val="14"/>
                <w:szCs w:val="14"/>
                <w:color w:val="auto"/>
                <w:w w:val="93"/>
              </w:rPr>
              <w:t>Unsecured Promissory Note in the face amount of $1,000,000 issued to Morrison &amp; Foerster LLP on August 31, 2012 (Replacement Note A), incorporated by reference from Exhibit</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10.3 to the Company’s Current Report on Form 8-K filed on September 6, 2012.</w:t>
            </w:r>
          </w:p>
        </w:tc>
      </w:tr>
      <w:tr>
        <w:trPr>
          <w:trHeight w:val="160"/>
        </w:trPr>
        <w:tc>
          <w:tcPr>
            <w:tcW w:w="9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10.19</w:t>
            </w:r>
          </w:p>
        </w:tc>
        <w:tc>
          <w:tcPr>
            <w:tcW w:w="60" w:type="dxa"/>
            <w:vAlign w:val="bottom"/>
            <w:shd w:val="clear" w:color="auto" w:fill="CCEEFF"/>
          </w:tcPr>
          <w:p>
            <w:pPr>
              <w:spacing w:after="0"/>
              <w:rPr>
                <w:sz w:val="13"/>
                <w:szCs w:val="13"/>
                <w:color w:val="auto"/>
              </w:rPr>
            </w:pPr>
          </w:p>
        </w:tc>
        <w:tc>
          <w:tcPr>
            <w:tcW w:w="10500" w:type="dxa"/>
            <w:vAlign w:val="bottom"/>
            <w:shd w:val="clear" w:color="auto" w:fill="CCEEFF"/>
          </w:tcPr>
          <w:p>
            <w:pPr>
              <w:ind w:left="80"/>
              <w:spacing w:after="0" w:line="160" w:lineRule="exact"/>
              <w:rPr>
                <w:sz w:val="20"/>
                <w:szCs w:val="20"/>
                <w:color w:val="auto"/>
              </w:rPr>
            </w:pPr>
            <w:r>
              <w:rPr>
                <w:rFonts w:ascii="Arial" w:cs="Arial" w:eastAsia="Arial" w:hAnsi="Arial"/>
                <w:sz w:val="14"/>
                <w:szCs w:val="14"/>
                <w:color w:val="auto"/>
                <w:w w:val="93"/>
              </w:rPr>
              <w:t>Unsecured Promissory Note in the face amount of $1,379,376 issued to Morrison &amp; Foerster LLP on August 31, 2012 (Replacement Note B), incorporated by reference from Exhibit</w:t>
            </w:r>
          </w:p>
        </w:tc>
      </w:tr>
      <w:tr>
        <w:trPr>
          <w:trHeight w:val="181"/>
        </w:trPr>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10.4 to the Company’s Current Report on Form 8-K filed on September 6, 2012.</w:t>
            </w:r>
          </w:p>
        </w:tc>
      </w:tr>
      <w:tr>
        <w:trPr>
          <w:trHeight w:val="160"/>
        </w:trPr>
        <w:tc>
          <w:tcPr>
            <w:tcW w:w="900" w:type="dxa"/>
            <w:vAlign w:val="bottom"/>
            <w:gridSpan w:val="2"/>
          </w:tcPr>
          <w:p>
            <w:pPr>
              <w:spacing w:after="0" w:line="160" w:lineRule="exact"/>
              <w:rPr>
                <w:sz w:val="20"/>
                <w:szCs w:val="20"/>
                <w:color w:val="auto"/>
              </w:rPr>
            </w:pPr>
            <w:r>
              <w:rPr>
                <w:rFonts w:ascii="Arial" w:cs="Arial" w:eastAsia="Arial" w:hAnsi="Arial"/>
                <w:sz w:val="14"/>
                <w:szCs w:val="14"/>
                <w:color w:val="auto"/>
              </w:rPr>
              <w:t>10.20</w:t>
            </w:r>
          </w:p>
        </w:tc>
        <w:tc>
          <w:tcPr>
            <w:tcW w:w="60" w:type="dxa"/>
            <w:vAlign w:val="bottom"/>
          </w:tcPr>
          <w:p>
            <w:pPr>
              <w:spacing w:after="0"/>
              <w:rPr>
                <w:sz w:val="13"/>
                <w:szCs w:val="13"/>
                <w:color w:val="auto"/>
              </w:rPr>
            </w:pPr>
          </w:p>
        </w:tc>
        <w:tc>
          <w:tcPr>
            <w:tcW w:w="10500" w:type="dxa"/>
            <w:vAlign w:val="bottom"/>
          </w:tcPr>
          <w:p>
            <w:pPr>
              <w:ind w:left="80"/>
              <w:spacing w:after="0" w:line="160" w:lineRule="exact"/>
              <w:rPr>
                <w:sz w:val="20"/>
                <w:szCs w:val="20"/>
                <w:color w:val="auto"/>
              </w:rPr>
            </w:pPr>
            <w:r>
              <w:rPr>
                <w:rFonts w:ascii="Arial" w:cs="Arial" w:eastAsia="Arial" w:hAnsi="Arial"/>
                <w:sz w:val="14"/>
                <w:szCs w:val="14"/>
                <w:color w:val="auto"/>
                <w:w w:val="95"/>
              </w:rPr>
              <w:t>Note Exchange and Purchase Agreement dated as of October 11, 2012 by and between VistaGen Therapeutics, Inc. and Platinum Long Term Growth VII, LLP, incorporated by</w:t>
            </w:r>
          </w:p>
        </w:tc>
      </w:tr>
      <w:tr>
        <w:trPr>
          <w:trHeight w:val="181"/>
        </w:trPr>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500" w:type="dxa"/>
            <w:vAlign w:val="bottom"/>
          </w:tcPr>
          <w:p>
            <w:pPr>
              <w:ind w:left="80"/>
              <w:spacing w:after="0"/>
              <w:rPr>
                <w:sz w:val="20"/>
                <w:szCs w:val="20"/>
                <w:color w:val="auto"/>
              </w:rPr>
            </w:pPr>
            <w:r>
              <w:rPr>
                <w:rFonts w:ascii="Arial" w:cs="Arial" w:eastAsia="Arial" w:hAnsi="Arial"/>
                <w:sz w:val="14"/>
                <w:szCs w:val="14"/>
                <w:color w:val="auto"/>
              </w:rPr>
              <w:t>reference from Exhibit 10.1 to the Company’s Current Report on Form 8-K filed on October 16, 2012.</w:t>
            </w:r>
          </w:p>
        </w:tc>
      </w:tr>
      <w:tr>
        <w:trPr>
          <w:trHeight w:val="160"/>
        </w:trPr>
        <w:tc>
          <w:tcPr>
            <w:tcW w:w="90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color w:val="auto"/>
              </w:rPr>
              <w:t>10.21</w:t>
            </w:r>
          </w:p>
        </w:tc>
        <w:tc>
          <w:tcPr>
            <w:tcW w:w="60" w:type="dxa"/>
            <w:vAlign w:val="bottom"/>
            <w:shd w:val="clear" w:color="auto" w:fill="CCEEFF"/>
          </w:tcPr>
          <w:p>
            <w:pPr>
              <w:spacing w:after="0"/>
              <w:rPr>
                <w:sz w:val="13"/>
                <w:szCs w:val="13"/>
                <w:color w:val="auto"/>
              </w:rPr>
            </w:pPr>
          </w:p>
        </w:tc>
        <w:tc>
          <w:tcPr>
            <w:tcW w:w="10500" w:type="dxa"/>
            <w:vAlign w:val="bottom"/>
            <w:shd w:val="clear" w:color="auto" w:fill="CCEEFF"/>
          </w:tcPr>
          <w:p>
            <w:pPr>
              <w:ind w:left="60"/>
              <w:spacing w:after="0" w:line="160" w:lineRule="exact"/>
              <w:rPr>
                <w:sz w:val="20"/>
                <w:szCs w:val="20"/>
                <w:color w:val="auto"/>
              </w:rPr>
            </w:pPr>
            <w:r>
              <w:rPr>
                <w:rFonts w:ascii="Arial" w:cs="Arial" w:eastAsia="Arial" w:hAnsi="Arial"/>
                <w:sz w:val="14"/>
                <w:szCs w:val="14"/>
                <w:color w:val="auto"/>
                <w:w w:val="94"/>
              </w:rPr>
              <w:t>Amendment to Note Exchange and Purchase Agreement as of November 14, 2012 between VistaGen Therapeutics Inc. and Platinum Long Term Growth VII, LLP, incorporated by</w:t>
            </w:r>
          </w:p>
        </w:tc>
      </w:tr>
      <w:tr>
        <w:trPr>
          <w:trHeight w:val="181"/>
        </w:trPr>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50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reference from Exhibit 10.1 to the Company’s Current Report on Form 8-K filed on November 20, 2012.</w:t>
            </w:r>
          </w:p>
        </w:tc>
      </w:tr>
      <w:tr>
        <w:trPr>
          <w:trHeight w:val="479"/>
        </w:trPr>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500" w:type="dxa"/>
            <w:vAlign w:val="bottom"/>
          </w:tcPr>
          <w:p>
            <w:pPr>
              <w:ind w:left="4640"/>
              <w:spacing w:after="0"/>
              <w:rPr>
                <w:sz w:val="20"/>
                <w:szCs w:val="20"/>
                <w:color w:val="auto"/>
              </w:rPr>
            </w:pPr>
            <w:r>
              <w:rPr>
                <w:rFonts w:ascii="Arial" w:cs="Arial" w:eastAsia="Arial" w:hAnsi="Arial"/>
                <w:sz w:val="14"/>
                <w:szCs w:val="14"/>
                <w:color w:val="auto"/>
              </w:rPr>
              <w:t>II-11</w:t>
            </w:r>
          </w:p>
        </w:tc>
      </w:tr>
      <w:tr>
        <w:trPr>
          <w:trHeight w:val="92"/>
        </w:trPr>
        <w:tc>
          <w:tcPr>
            <w:tcW w:w="28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05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228" w:name="page229"/>
    <w:bookmarkEnd w:id="228"/>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85"/>
              </w:rPr>
              <w:t>10.22</w:t>
            </w: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2"/>
              </w:rPr>
              <w:t>Amendment No. 2 to Note Exchange and Purchase Agreement as of January 31, 2013 between VistaGen Therapeutics Inc. and Platinum Long Term Growth VII, LLP, incorporated by</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reference from Exhibit 10.1 to the Company’s Quarterly Report on Form 10-Q filed on February 14,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10.23</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3"/>
              </w:rPr>
              <w:t>Amendment No. 3 to Note Exchange and Purchase Agreement as of February 22, 2013 between VistaGen Therapeutics Inc. and Platinum Long Term Growth VII, LLP, incorporated</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by reference from Exhibit 10.1 to the Company’s Current Report on Form 8-K filed on February 28,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10.24</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4"/>
              </w:rPr>
              <w:t>Note Conversion Agreement as of April 4, 2013 between VistaGen Therapeutics Inc. and Platinum Long Term Growth VII, LLP, incorporated by reference from Exhibit 10.3 to the</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Company’s Current Report on Form 8-K filed on April 10,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10.25</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5"/>
              </w:rPr>
              <w:t>Assignment and Assumption Agreement between Autilion AG and Bergamo Acquisition Corp. PTE LTD dated April 12, 2013, incorporated by reference from Exhibit 10.81 to the</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Company’s Annual Report on Form 10-K filed July 18,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10.26</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3"/>
              </w:rPr>
              <w:t>Amendment No. 1 to Securities Purchase Agreement dated April 30, 2013 between VistaGen Therapeutics, Inc. and Bergamo Acquisition Corp. PTE LTD, incorporated by reference</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from Exhibit 10.1 to the Company’s Current Report on Form 8-K filed on May 1,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10.27</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4"/>
              </w:rPr>
              <w:t>Lease between Bayside Area Development, LLC and VistaGen Therapeutics, Inc. (California) dated April 24, 2013, incorporated by reference from Exhibit 10.83 to the Company’s</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Annual Report on Form 10-K filed July 18,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10.28</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4"/>
              </w:rPr>
              <w:t>Indemnification Agreement effective May 20, 2013 between the Company and Jon S. Saxe, incorporated by reference from Exhibit 10.84 to the Company's Annual Report on Form</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10-K filed on July 18,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10.29</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5"/>
              </w:rPr>
              <w:t>Indemnification Agreement effective May 20, 2013 between the Company and Shawn K. Singh, incorporated by reference from Exhibit 10.85 to the Company’s Annual Report on</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Form 10-K filed on July 18,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10.30</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2"/>
              </w:rPr>
              <w:t>Indemnification Agreement effective May 20, 2013 between the Company and H. Ralph Snodgrass, incorporated by reference from Exhibit 10.86 to the Company’s Annual Report on</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Form 10-K filed on July 18,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10.31</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3"/>
              </w:rPr>
              <w:t>Indemnification Agreement effective May 20, 2013 between the Company and Brian J. Underdown, incorporated by reference from Exhibit 10.87 to the Company’s Annual Report on</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Form 10-K filed on July 18,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10.32</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4"/>
              </w:rPr>
              <w:t>Indemnification Agreement effective May 20, 2013 between the Company and Jerrold D. Dotson, incorporated by reference from Exhibit 10.88 to the Company’s Annual Report on</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Form 10-K filed on July 18, 2013.</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10.33</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5"/>
              </w:rPr>
              <w:t>Amendment and Waiver effective May 24, 2013 between the Company and Platinum Long Term Growth VII, LLC, incorporated by reference from Exhibit 10.1 to the Company’s</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Current Report on Form 8-K filed on June 3, 2013.</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10.34</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2"/>
              </w:rPr>
              <w:t>Form of Subscription Agreement between the Company and investors in the Fall 2013 Unit Private Placement, incorporated by reference from Exhibit 10.93 to the Company’s Annual</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Report on Form 10-K filed on June 24, 2014.</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10.35</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4"/>
              </w:rPr>
              <w:t>Form of Convertible Promissory Note between the Company and investors in the Fall 2013 Unit Private Placement, incorporated by reference from Exhibit 10.94 to the Company’s</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Annual Report on Form 10-K filed on June 24, 2014.</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10.36</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3"/>
              </w:rPr>
              <w:t>Form of Amendment to Convertible Promissory Note and Warrant between the Company and investors in the Fall 2013 Unit Private Placement, effective May 31, 2014, incorporated</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by reference from Exhibit 10.96 to the Company’s Annual Report on Form 10-K filed on June 24, 2014.</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10.37</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2"/>
              </w:rPr>
              <w:t>Form of Unit Subscription Agreement between the Company and investors in the Spring 2014 Unit Private Placement dated April 1, 2014, incorporated by reference from Exhibit 10.1</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to the Company’s Current Report on Form 8-K filed on April 8, 2014.</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10.38</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2"/>
              </w:rPr>
              <w:t>Form of Subordinate Convertible Promissory Note between the Company and investors in the Spring 2014 Unit Private Placement dated April 1, 2014, incorporated by reference from</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Exhibit 10.2 to the Company’s Current Report on Form 8-K filed on April 8, 2014.</w:t>
            </w:r>
          </w:p>
        </w:tc>
      </w:tr>
      <w:tr>
        <w:trPr>
          <w:trHeight w:val="160"/>
        </w:trPr>
        <w:tc>
          <w:tcPr>
            <w:tcW w:w="680" w:type="dxa"/>
            <w:vAlign w:val="bottom"/>
          </w:tcPr>
          <w:p>
            <w:pPr>
              <w:jc w:val="right"/>
              <w:ind w:right="289"/>
              <w:spacing w:after="0" w:line="160" w:lineRule="exact"/>
              <w:rPr>
                <w:sz w:val="20"/>
                <w:szCs w:val="20"/>
                <w:color w:val="auto"/>
              </w:rPr>
            </w:pPr>
            <w:r>
              <w:rPr>
                <w:rFonts w:ascii="Arial" w:cs="Arial" w:eastAsia="Arial" w:hAnsi="Arial"/>
                <w:sz w:val="14"/>
                <w:szCs w:val="14"/>
                <w:color w:val="auto"/>
                <w:w w:val="85"/>
              </w:rPr>
              <w:t>10.39</w:t>
            </w:r>
          </w:p>
        </w:tc>
        <w:tc>
          <w:tcPr>
            <w:tcW w:w="10780" w:type="dxa"/>
            <w:vAlign w:val="bottom"/>
          </w:tcPr>
          <w:p>
            <w:pPr>
              <w:ind w:left="340"/>
              <w:spacing w:after="0" w:line="160" w:lineRule="exact"/>
              <w:rPr>
                <w:sz w:val="20"/>
                <w:szCs w:val="20"/>
                <w:color w:val="auto"/>
              </w:rPr>
            </w:pPr>
            <w:r>
              <w:rPr>
                <w:rFonts w:ascii="Arial" w:cs="Arial" w:eastAsia="Arial" w:hAnsi="Arial"/>
                <w:sz w:val="14"/>
                <w:szCs w:val="14"/>
                <w:color w:val="auto"/>
                <w:w w:val="93"/>
              </w:rPr>
              <w:t>Amendment No. 3 to Sponsored Research Collaboration Agreement, dated April 25, 2011, by and between VistaGen and University Health Network, incorporated by reference from</w:t>
            </w:r>
          </w:p>
        </w:tc>
      </w:tr>
      <w:tr>
        <w:trPr>
          <w:trHeight w:val="181"/>
        </w:trPr>
        <w:tc>
          <w:tcPr>
            <w:tcW w:w="680" w:type="dxa"/>
            <w:vAlign w:val="bottom"/>
          </w:tcPr>
          <w:p>
            <w:pPr>
              <w:spacing w:after="0"/>
              <w:rPr>
                <w:sz w:val="15"/>
                <w:szCs w:val="15"/>
                <w:color w:val="auto"/>
              </w:rPr>
            </w:pPr>
          </w:p>
        </w:tc>
        <w:tc>
          <w:tcPr>
            <w:tcW w:w="10780" w:type="dxa"/>
            <w:vAlign w:val="bottom"/>
          </w:tcPr>
          <w:p>
            <w:pPr>
              <w:ind w:left="340"/>
              <w:spacing w:after="0"/>
              <w:rPr>
                <w:sz w:val="20"/>
                <w:szCs w:val="20"/>
                <w:color w:val="auto"/>
              </w:rPr>
            </w:pPr>
            <w:r>
              <w:rPr>
                <w:rFonts w:ascii="Arial" w:cs="Arial" w:eastAsia="Arial" w:hAnsi="Arial"/>
                <w:sz w:val="14"/>
                <w:szCs w:val="14"/>
                <w:color w:val="auto"/>
              </w:rPr>
              <w:t>Exhibit 10.103 to the Company’s Annual Report on Form 10-K filed on June 24, 2014.</w:t>
            </w:r>
          </w:p>
        </w:tc>
      </w:tr>
      <w:tr>
        <w:trPr>
          <w:trHeight w:val="160"/>
        </w:trPr>
        <w:tc>
          <w:tcPr>
            <w:tcW w:w="680" w:type="dxa"/>
            <w:vAlign w:val="bottom"/>
            <w:shd w:val="clear" w:color="auto" w:fill="CCEEFF"/>
          </w:tcPr>
          <w:p>
            <w:pPr>
              <w:jc w:val="right"/>
              <w:ind w:right="289"/>
              <w:spacing w:after="0" w:line="160" w:lineRule="exact"/>
              <w:rPr>
                <w:sz w:val="20"/>
                <w:szCs w:val="20"/>
                <w:color w:val="auto"/>
              </w:rPr>
            </w:pPr>
            <w:r>
              <w:rPr>
                <w:rFonts w:ascii="Arial" w:cs="Arial" w:eastAsia="Arial" w:hAnsi="Arial"/>
                <w:sz w:val="14"/>
                <w:szCs w:val="14"/>
                <w:color w:val="auto"/>
                <w:w w:val="85"/>
              </w:rPr>
              <w:t>10.40</w:t>
            </w:r>
          </w:p>
        </w:tc>
        <w:tc>
          <w:tcPr>
            <w:tcW w:w="10780" w:type="dxa"/>
            <w:vAlign w:val="bottom"/>
            <w:shd w:val="clear" w:color="auto" w:fill="CCEEFF"/>
          </w:tcPr>
          <w:p>
            <w:pPr>
              <w:ind w:left="340"/>
              <w:spacing w:after="0" w:line="160" w:lineRule="exact"/>
              <w:rPr>
                <w:sz w:val="20"/>
                <w:szCs w:val="20"/>
                <w:color w:val="auto"/>
              </w:rPr>
            </w:pPr>
            <w:r>
              <w:rPr>
                <w:rFonts w:ascii="Arial" w:cs="Arial" w:eastAsia="Arial" w:hAnsi="Arial"/>
                <w:sz w:val="14"/>
                <w:szCs w:val="14"/>
                <w:color w:val="auto"/>
                <w:w w:val="94"/>
              </w:rPr>
              <w:t>Amendment No. 5 to Sponsored Research Collaboration Agreement, dated October 10, 2012, by and between VistaGen and University Health Network, incorporated by reference</w:t>
            </w:r>
          </w:p>
        </w:tc>
      </w:tr>
      <w:tr>
        <w:trPr>
          <w:trHeight w:val="181"/>
        </w:trPr>
        <w:tc>
          <w:tcPr>
            <w:tcW w:w="680" w:type="dxa"/>
            <w:vAlign w:val="bottom"/>
            <w:shd w:val="clear" w:color="auto" w:fill="CCEEFF"/>
          </w:tcPr>
          <w:p>
            <w:pPr>
              <w:spacing w:after="0"/>
              <w:rPr>
                <w:sz w:val="15"/>
                <w:szCs w:val="15"/>
                <w:color w:val="auto"/>
              </w:rPr>
            </w:pPr>
          </w:p>
        </w:tc>
        <w:tc>
          <w:tcPr>
            <w:tcW w:w="10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from Exhibit 10.104 to the Company’s Annual Report on Form 10-K filed on June 24, 2014.</w:t>
            </w:r>
          </w:p>
        </w:tc>
      </w:tr>
      <w:tr>
        <w:trPr>
          <w:trHeight w:val="479"/>
        </w:trPr>
        <w:tc>
          <w:tcPr>
            <w:tcW w:w="680" w:type="dxa"/>
            <w:vAlign w:val="bottom"/>
          </w:tcPr>
          <w:p>
            <w:pPr>
              <w:spacing w:after="0"/>
              <w:rPr>
                <w:sz w:val="24"/>
                <w:szCs w:val="24"/>
                <w:color w:val="auto"/>
              </w:rPr>
            </w:pPr>
          </w:p>
        </w:tc>
        <w:tc>
          <w:tcPr>
            <w:tcW w:w="10780" w:type="dxa"/>
            <w:vAlign w:val="bottom"/>
          </w:tcPr>
          <w:p>
            <w:pPr>
              <w:ind w:left="4920"/>
              <w:spacing w:after="0"/>
              <w:rPr>
                <w:sz w:val="20"/>
                <w:szCs w:val="20"/>
                <w:color w:val="auto"/>
              </w:rPr>
            </w:pPr>
            <w:r>
              <w:rPr>
                <w:rFonts w:ascii="Arial" w:cs="Arial" w:eastAsia="Arial" w:hAnsi="Arial"/>
                <w:sz w:val="14"/>
                <w:szCs w:val="14"/>
                <w:color w:val="auto"/>
              </w:rPr>
              <w:t>II-12</w:t>
            </w:r>
          </w:p>
        </w:tc>
      </w:tr>
      <w:tr>
        <w:trPr>
          <w:trHeight w:val="92"/>
        </w:trPr>
        <w:tc>
          <w:tcPr>
            <w:tcW w:w="680" w:type="dxa"/>
            <w:vAlign w:val="bottom"/>
            <w:tcBorders>
              <w:bottom w:val="single" w:sz="8" w:color="808080"/>
            </w:tcBorders>
          </w:tcPr>
          <w:p>
            <w:pPr>
              <w:spacing w:after="0"/>
              <w:rPr>
                <w:sz w:val="7"/>
                <w:szCs w:val="7"/>
                <w:color w:val="auto"/>
              </w:rPr>
            </w:pPr>
          </w:p>
        </w:tc>
        <w:tc>
          <w:tcPr>
            <w:tcW w:w="107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29" w:name="page230"/>
    <w:bookmarkEnd w:id="229"/>
    <w:p>
      <w:pPr>
        <w:spacing w:after="0"/>
        <w:rPr>
          <w:rFonts w:ascii="Arial" w:cs="Arial" w:eastAsia="Arial" w:hAnsi="Arial"/>
          <w:sz w:val="13"/>
          <w:szCs w:val="13"/>
          <w:i w:val="1"/>
          <w:iCs w:val="1"/>
          <w:u w:val="single" w:color="auto"/>
          <w:color w:val="0000EE"/>
        </w:rPr>
      </w:pPr>
      <w:hyperlink w:anchor="page5">
        <w:r>
          <w:rPr>
            <w:rFonts w:ascii="Arial" w:cs="Arial" w:eastAsia="Arial" w:hAnsi="Arial"/>
            <w:sz w:val="13"/>
            <w:szCs w:val="13"/>
            <w:i w:val="1"/>
            <w:iCs w:val="1"/>
            <w:u w:val="single" w:color="auto"/>
            <w:color w:val="0000EE"/>
          </w:rPr>
          <w:t>Table of Contents</w:t>
        </w:r>
      </w:hyperlink>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shd w:val="clear" w:color="auto" w:fill="CCEEFF"/>
          </w:tcPr>
          <w:p>
            <w:pPr>
              <w:spacing w:after="0"/>
              <w:rPr>
                <w:sz w:val="20"/>
                <w:szCs w:val="20"/>
                <w:color w:val="auto"/>
              </w:rPr>
            </w:pPr>
            <w:r>
              <w:rPr>
                <w:rFonts w:ascii="Arial" w:cs="Arial" w:eastAsia="Arial" w:hAnsi="Arial"/>
                <w:sz w:val="14"/>
                <w:szCs w:val="14"/>
                <w:color w:val="auto"/>
              </w:rPr>
              <w:t>10.41</w:t>
            </w:r>
          </w:p>
        </w:tc>
        <w:tc>
          <w:tcPr>
            <w:tcW w:w="1068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2"/>
              </w:rPr>
              <w:t>Amended and Restated Note Conversion Agreement and Warrant Amendment, by and between VistaGen Therapeutics, Inc. and Platinum Long Term Growth VII, LLC, dated July 18,</w:t>
            </w:r>
          </w:p>
        </w:tc>
      </w:tr>
      <w:tr>
        <w:trPr>
          <w:trHeight w:val="181"/>
        </w:trPr>
        <w:tc>
          <w:tcPr>
            <w:tcW w:w="780" w:type="dxa"/>
            <w:vAlign w:val="bottom"/>
            <w:shd w:val="clear" w:color="auto" w:fill="CCEEFF"/>
          </w:tcPr>
          <w:p>
            <w:pPr>
              <w:spacing w:after="0"/>
              <w:rPr>
                <w:sz w:val="15"/>
                <w:szCs w:val="15"/>
                <w:color w:val="auto"/>
              </w:rPr>
            </w:pPr>
          </w:p>
        </w:tc>
        <w:tc>
          <w:tcPr>
            <w:tcW w:w="10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2014, incorporated by reference from Exhibit 10.1 to the Company’s Current Report on Form 8-K filed on July 22, 2014.</w:t>
            </w:r>
          </w:p>
        </w:tc>
      </w:tr>
      <w:tr>
        <w:trPr>
          <w:trHeight w:val="160"/>
        </w:trPr>
        <w:tc>
          <w:tcPr>
            <w:tcW w:w="780" w:type="dxa"/>
            <w:vAlign w:val="bottom"/>
          </w:tcPr>
          <w:p>
            <w:pPr>
              <w:spacing w:after="0" w:line="160" w:lineRule="exact"/>
              <w:rPr>
                <w:sz w:val="20"/>
                <w:szCs w:val="20"/>
                <w:color w:val="auto"/>
              </w:rPr>
            </w:pPr>
            <w:r>
              <w:rPr>
                <w:rFonts w:ascii="Arial" w:cs="Arial" w:eastAsia="Arial" w:hAnsi="Arial"/>
                <w:sz w:val="14"/>
                <w:szCs w:val="14"/>
                <w:color w:val="auto"/>
              </w:rPr>
              <w:t>10.42</w:t>
            </w:r>
          </w:p>
        </w:tc>
        <w:tc>
          <w:tcPr>
            <w:tcW w:w="10680" w:type="dxa"/>
            <w:vAlign w:val="bottom"/>
          </w:tcPr>
          <w:p>
            <w:pPr>
              <w:ind w:left="240"/>
              <w:spacing w:after="0" w:line="160" w:lineRule="exact"/>
              <w:rPr>
                <w:sz w:val="20"/>
                <w:szCs w:val="20"/>
                <w:color w:val="auto"/>
              </w:rPr>
            </w:pPr>
            <w:r>
              <w:rPr>
                <w:rFonts w:ascii="Arial" w:cs="Arial" w:eastAsia="Arial" w:hAnsi="Arial"/>
                <w:sz w:val="14"/>
                <w:szCs w:val="14"/>
                <w:color w:val="auto"/>
                <w:w w:val="93"/>
              </w:rPr>
              <w:t>Amendment No. 1 to Amended and Restated Note Conversion Agreement and Warrant Amendment, by and between VistaGen Therapeutics, Inc. and Platinum Long Term Growth</w:t>
            </w:r>
          </w:p>
        </w:tc>
      </w:tr>
      <w:tr>
        <w:trPr>
          <w:trHeight w:val="181"/>
        </w:trPr>
        <w:tc>
          <w:tcPr>
            <w:tcW w:w="780" w:type="dxa"/>
            <w:vAlign w:val="bottom"/>
          </w:tcPr>
          <w:p>
            <w:pPr>
              <w:spacing w:after="0"/>
              <w:rPr>
                <w:sz w:val="15"/>
                <w:szCs w:val="15"/>
                <w:color w:val="auto"/>
              </w:rPr>
            </w:pPr>
          </w:p>
        </w:tc>
        <w:tc>
          <w:tcPr>
            <w:tcW w:w="10680" w:type="dxa"/>
            <w:vAlign w:val="bottom"/>
          </w:tcPr>
          <w:p>
            <w:pPr>
              <w:ind w:left="240"/>
              <w:spacing w:after="0"/>
              <w:rPr>
                <w:sz w:val="20"/>
                <w:szCs w:val="20"/>
                <w:color w:val="auto"/>
              </w:rPr>
            </w:pPr>
            <w:r>
              <w:rPr>
                <w:rFonts w:ascii="Arial" w:cs="Arial" w:eastAsia="Arial" w:hAnsi="Arial"/>
                <w:sz w:val="14"/>
                <w:szCs w:val="14"/>
                <w:color w:val="auto"/>
              </w:rPr>
              <w:t>VII, LLC, dated September 2, 2014, incorporated by reference from Exhibit 10.1 to the Company’s Current Report on Form 8-K filed on September 4, 2014.</w:t>
            </w:r>
          </w:p>
        </w:tc>
      </w:tr>
      <w:tr>
        <w:trPr>
          <w:trHeight w:val="160"/>
        </w:trPr>
        <w:tc>
          <w:tcPr>
            <w:tcW w:w="7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10.43</w:t>
            </w:r>
          </w:p>
        </w:tc>
        <w:tc>
          <w:tcPr>
            <w:tcW w:w="106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w w:val="93"/>
              </w:rPr>
              <w:t>Amendment No. 2 to Amended and Restated Note Conversion Agreement and Warrant Amendment, by and between VistaGen Therapeutics, Inc. and Platinum Long Term Growth</w:t>
            </w:r>
          </w:p>
        </w:tc>
      </w:tr>
      <w:tr>
        <w:trPr>
          <w:trHeight w:val="181"/>
        </w:trPr>
        <w:tc>
          <w:tcPr>
            <w:tcW w:w="780" w:type="dxa"/>
            <w:vAlign w:val="bottom"/>
            <w:shd w:val="clear" w:color="auto" w:fill="CCEEFF"/>
          </w:tcPr>
          <w:p>
            <w:pPr>
              <w:spacing w:after="0"/>
              <w:rPr>
                <w:sz w:val="15"/>
                <w:szCs w:val="15"/>
                <w:color w:val="auto"/>
              </w:rPr>
            </w:pPr>
          </w:p>
        </w:tc>
        <w:tc>
          <w:tcPr>
            <w:tcW w:w="10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VII, LLC, dated September 30, 2014, incorporated by reference from Exhibit 10.1 to the Company’s Current Report on Form 8-K filed on October 3, 2014.</w:t>
            </w:r>
          </w:p>
        </w:tc>
      </w:tr>
      <w:tr>
        <w:trPr>
          <w:trHeight w:val="160"/>
        </w:trPr>
        <w:tc>
          <w:tcPr>
            <w:tcW w:w="780" w:type="dxa"/>
            <w:vAlign w:val="bottom"/>
          </w:tcPr>
          <w:p>
            <w:pPr>
              <w:spacing w:after="0" w:line="160" w:lineRule="exact"/>
              <w:rPr>
                <w:sz w:val="20"/>
                <w:szCs w:val="20"/>
                <w:color w:val="auto"/>
              </w:rPr>
            </w:pPr>
            <w:r>
              <w:rPr>
                <w:rFonts w:ascii="Arial" w:cs="Arial" w:eastAsia="Arial" w:hAnsi="Arial"/>
                <w:sz w:val="14"/>
                <w:szCs w:val="14"/>
                <w:color w:val="auto"/>
              </w:rPr>
              <w:t>10.44</w:t>
            </w:r>
          </w:p>
        </w:tc>
        <w:tc>
          <w:tcPr>
            <w:tcW w:w="10680" w:type="dxa"/>
            <w:vAlign w:val="bottom"/>
          </w:tcPr>
          <w:p>
            <w:pPr>
              <w:ind w:left="240"/>
              <w:spacing w:after="0" w:line="160" w:lineRule="exact"/>
              <w:rPr>
                <w:sz w:val="20"/>
                <w:szCs w:val="20"/>
                <w:color w:val="auto"/>
              </w:rPr>
            </w:pPr>
            <w:r>
              <w:rPr>
                <w:rFonts w:ascii="Arial" w:cs="Arial" w:eastAsia="Arial" w:hAnsi="Arial"/>
                <w:sz w:val="14"/>
                <w:szCs w:val="14"/>
                <w:color w:val="auto"/>
                <w:w w:val="99"/>
              </w:rPr>
              <w:t>Agreement, by and between VistaGen Therapeutics, Inc. and Platinum Long Term Growth VII, LLC, dated May 5, 2015, incorporated by reference from Exhibit 10.1 to the</w:t>
            </w:r>
          </w:p>
        </w:tc>
      </w:tr>
      <w:tr>
        <w:trPr>
          <w:trHeight w:val="181"/>
        </w:trPr>
        <w:tc>
          <w:tcPr>
            <w:tcW w:w="780" w:type="dxa"/>
            <w:vAlign w:val="bottom"/>
          </w:tcPr>
          <w:p>
            <w:pPr>
              <w:spacing w:after="0"/>
              <w:rPr>
                <w:sz w:val="15"/>
                <w:szCs w:val="15"/>
                <w:color w:val="auto"/>
              </w:rPr>
            </w:pPr>
          </w:p>
        </w:tc>
        <w:tc>
          <w:tcPr>
            <w:tcW w:w="10680" w:type="dxa"/>
            <w:vAlign w:val="bottom"/>
          </w:tcPr>
          <w:p>
            <w:pPr>
              <w:ind w:left="240"/>
              <w:spacing w:after="0"/>
              <w:rPr>
                <w:sz w:val="20"/>
                <w:szCs w:val="20"/>
                <w:color w:val="auto"/>
              </w:rPr>
            </w:pPr>
            <w:r>
              <w:rPr>
                <w:rFonts w:ascii="Arial" w:cs="Arial" w:eastAsia="Arial" w:hAnsi="Arial"/>
                <w:sz w:val="14"/>
                <w:szCs w:val="14"/>
                <w:color w:val="auto"/>
              </w:rPr>
              <w:t>Company’s Current Report on Form 8-K filed on May 13, 2015.</w:t>
            </w:r>
          </w:p>
        </w:tc>
      </w:tr>
      <w:tr>
        <w:trPr>
          <w:trHeight w:val="160"/>
        </w:trPr>
        <w:tc>
          <w:tcPr>
            <w:tcW w:w="78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10.45</w:t>
            </w:r>
          </w:p>
        </w:tc>
        <w:tc>
          <w:tcPr>
            <w:tcW w:w="10680" w:type="dxa"/>
            <w:vAlign w:val="bottom"/>
            <w:shd w:val="clear" w:color="auto" w:fill="CCEEFF"/>
          </w:tcPr>
          <w:p>
            <w:pPr>
              <w:ind w:left="240"/>
              <w:spacing w:after="0" w:line="160" w:lineRule="exact"/>
              <w:rPr>
                <w:sz w:val="20"/>
                <w:szCs w:val="20"/>
                <w:color w:val="auto"/>
              </w:rPr>
            </w:pPr>
            <w:r>
              <w:rPr>
                <w:rFonts w:ascii="Arial" w:cs="Arial" w:eastAsia="Arial" w:hAnsi="Arial"/>
                <w:sz w:val="14"/>
                <w:szCs w:val="14"/>
                <w:color w:val="auto"/>
                <w:w w:val="95"/>
              </w:rPr>
              <w:t>Acknowledgement and Agreement, by and between VistaGen Therapeutics, Inc. and Platinum Long Term Growth VII, LLC, dated May 12, 2015, incorporated by reference from</w:t>
            </w:r>
          </w:p>
        </w:tc>
      </w:tr>
      <w:tr>
        <w:trPr>
          <w:trHeight w:val="181"/>
        </w:trPr>
        <w:tc>
          <w:tcPr>
            <w:tcW w:w="780" w:type="dxa"/>
            <w:vAlign w:val="bottom"/>
            <w:shd w:val="clear" w:color="auto" w:fill="CCEEFF"/>
          </w:tcPr>
          <w:p>
            <w:pPr>
              <w:spacing w:after="0"/>
              <w:rPr>
                <w:sz w:val="15"/>
                <w:szCs w:val="15"/>
                <w:color w:val="auto"/>
              </w:rPr>
            </w:pPr>
          </w:p>
        </w:tc>
        <w:tc>
          <w:tcPr>
            <w:tcW w:w="10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Exhibit 10.2 to the Company’s Current Report on Form 8-K filed on May 13, 2015.</w:t>
            </w:r>
          </w:p>
        </w:tc>
      </w:tr>
      <w:tr>
        <w:trPr>
          <w:trHeight w:val="160"/>
        </w:trPr>
        <w:tc>
          <w:tcPr>
            <w:tcW w:w="780" w:type="dxa"/>
            <w:vAlign w:val="bottom"/>
          </w:tcPr>
          <w:p>
            <w:pPr>
              <w:spacing w:after="0" w:line="160" w:lineRule="exact"/>
              <w:rPr>
                <w:sz w:val="20"/>
                <w:szCs w:val="20"/>
                <w:color w:val="auto"/>
              </w:rPr>
            </w:pPr>
            <w:r>
              <w:rPr>
                <w:rFonts w:ascii="Arial" w:cs="Arial" w:eastAsia="Arial" w:hAnsi="Arial"/>
                <w:sz w:val="14"/>
                <w:szCs w:val="14"/>
                <w:color w:val="auto"/>
              </w:rPr>
              <w:t>10.46</w:t>
            </w:r>
          </w:p>
        </w:tc>
        <w:tc>
          <w:tcPr>
            <w:tcW w:w="10680" w:type="dxa"/>
            <w:vAlign w:val="bottom"/>
          </w:tcPr>
          <w:p>
            <w:pPr>
              <w:ind w:left="240"/>
              <w:spacing w:after="0" w:line="160" w:lineRule="exact"/>
              <w:rPr>
                <w:sz w:val="20"/>
                <w:szCs w:val="20"/>
                <w:color w:val="auto"/>
              </w:rPr>
            </w:pPr>
            <w:r>
              <w:rPr>
                <w:rFonts w:ascii="Arial" w:cs="Arial" w:eastAsia="Arial" w:hAnsi="Arial"/>
                <w:sz w:val="14"/>
                <w:szCs w:val="14"/>
                <w:color w:val="auto"/>
                <w:w w:val="93"/>
              </w:rPr>
              <w:t>Form of Securities Purchase Agreement by and between VistaGen Therapeutics, Inc. and Platinum Long Term Growth VII, LLC, dated May 12, 2015, incorporated by reference from</w:t>
            </w:r>
          </w:p>
        </w:tc>
      </w:tr>
      <w:tr>
        <w:trPr>
          <w:trHeight w:val="181"/>
        </w:trPr>
        <w:tc>
          <w:tcPr>
            <w:tcW w:w="780" w:type="dxa"/>
            <w:vAlign w:val="bottom"/>
          </w:tcPr>
          <w:p>
            <w:pPr>
              <w:spacing w:after="0"/>
              <w:rPr>
                <w:sz w:val="15"/>
                <w:szCs w:val="15"/>
                <w:color w:val="auto"/>
              </w:rPr>
            </w:pPr>
          </w:p>
        </w:tc>
        <w:tc>
          <w:tcPr>
            <w:tcW w:w="10680" w:type="dxa"/>
            <w:vAlign w:val="bottom"/>
          </w:tcPr>
          <w:p>
            <w:pPr>
              <w:ind w:left="240"/>
              <w:spacing w:after="0"/>
              <w:rPr>
                <w:sz w:val="20"/>
                <w:szCs w:val="20"/>
                <w:color w:val="auto"/>
              </w:rPr>
            </w:pPr>
            <w:r>
              <w:rPr>
                <w:rFonts w:ascii="Arial" w:cs="Arial" w:eastAsia="Arial" w:hAnsi="Arial"/>
                <w:sz w:val="14"/>
                <w:szCs w:val="14"/>
                <w:color w:val="auto"/>
              </w:rPr>
              <w:t>Exhibit 10.3 to the Company’s Current Report on Form 8-K filed on May 13, 2015.</w:t>
            </w:r>
          </w:p>
        </w:tc>
      </w:tr>
      <w:tr>
        <w:trPr>
          <w:trHeight w:val="171"/>
        </w:trPr>
        <w:tc>
          <w:tcPr>
            <w:tcW w:w="780" w:type="dxa"/>
            <w:vAlign w:val="bottom"/>
            <w:shd w:val="clear" w:color="auto" w:fill="CCEEFF"/>
          </w:tcPr>
          <w:p>
            <w:pPr>
              <w:spacing w:after="0"/>
              <w:rPr>
                <w:sz w:val="20"/>
                <w:szCs w:val="20"/>
                <w:color w:val="auto"/>
              </w:rPr>
            </w:pPr>
            <w:r>
              <w:rPr>
                <w:rFonts w:ascii="Arial" w:cs="Arial" w:eastAsia="Arial" w:hAnsi="Arial"/>
                <w:sz w:val="14"/>
                <w:szCs w:val="14"/>
                <w:color w:val="auto"/>
              </w:rPr>
              <w:t>10.47</w:t>
            </w:r>
          </w:p>
        </w:tc>
        <w:tc>
          <w:tcPr>
            <w:tcW w:w="10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Form of Warrant Exchange Agreement, incorporated by reference from Exhibit 10.2 to the Company’s Quarterly Report on Form 10-Q filed February 16, 2016.</w:t>
            </w:r>
          </w:p>
        </w:tc>
      </w:tr>
      <w:tr>
        <w:trPr>
          <w:trHeight w:val="160"/>
        </w:trPr>
        <w:tc>
          <w:tcPr>
            <w:tcW w:w="780" w:type="dxa"/>
            <w:vAlign w:val="bottom"/>
          </w:tcPr>
          <w:p>
            <w:pPr>
              <w:spacing w:after="0" w:line="160" w:lineRule="exact"/>
              <w:rPr>
                <w:sz w:val="20"/>
                <w:szCs w:val="20"/>
                <w:color w:val="auto"/>
              </w:rPr>
            </w:pPr>
            <w:r>
              <w:rPr>
                <w:rFonts w:ascii="Arial" w:cs="Arial" w:eastAsia="Arial" w:hAnsi="Arial"/>
                <w:sz w:val="14"/>
                <w:szCs w:val="14"/>
                <w:color w:val="auto"/>
              </w:rPr>
              <w:t>10.48</w:t>
            </w:r>
          </w:p>
        </w:tc>
        <w:tc>
          <w:tcPr>
            <w:tcW w:w="10680" w:type="dxa"/>
            <w:vAlign w:val="bottom"/>
          </w:tcPr>
          <w:p>
            <w:pPr>
              <w:ind w:left="240"/>
              <w:spacing w:after="0" w:line="160" w:lineRule="exact"/>
              <w:rPr>
                <w:sz w:val="20"/>
                <w:szCs w:val="20"/>
                <w:color w:val="auto"/>
              </w:rPr>
            </w:pPr>
            <w:r>
              <w:rPr>
                <w:rFonts w:ascii="Arial" w:cs="Arial" w:eastAsia="Arial" w:hAnsi="Arial"/>
                <w:sz w:val="14"/>
                <w:szCs w:val="14"/>
                <w:color w:val="auto"/>
                <w:w w:val="93"/>
              </w:rPr>
              <w:t>Exchange Agreement, by and between VistaGen Therapeutics, Inc. and Platinum Long Term Growth VII, LLC and Montsant Partners, LLC, dated January 25, 2016, incorporated by</w:t>
            </w:r>
          </w:p>
        </w:tc>
      </w:tr>
      <w:tr>
        <w:trPr>
          <w:trHeight w:val="181"/>
        </w:trPr>
        <w:tc>
          <w:tcPr>
            <w:tcW w:w="780" w:type="dxa"/>
            <w:vAlign w:val="bottom"/>
          </w:tcPr>
          <w:p>
            <w:pPr>
              <w:spacing w:after="0"/>
              <w:rPr>
                <w:sz w:val="15"/>
                <w:szCs w:val="15"/>
                <w:color w:val="auto"/>
              </w:rPr>
            </w:pPr>
          </w:p>
        </w:tc>
        <w:tc>
          <w:tcPr>
            <w:tcW w:w="10680" w:type="dxa"/>
            <w:vAlign w:val="bottom"/>
          </w:tcPr>
          <w:p>
            <w:pPr>
              <w:ind w:left="240"/>
              <w:spacing w:after="0"/>
              <w:rPr>
                <w:sz w:val="20"/>
                <w:szCs w:val="20"/>
                <w:color w:val="auto"/>
              </w:rPr>
            </w:pPr>
            <w:r>
              <w:rPr>
                <w:rFonts w:ascii="Arial" w:cs="Arial" w:eastAsia="Arial" w:hAnsi="Arial"/>
                <w:sz w:val="14"/>
                <w:szCs w:val="14"/>
                <w:color w:val="auto"/>
              </w:rPr>
              <w:t>reference from Exhibit 10.1 to the Company’s Current Report on Form 8-K filed on January 29, 2016.</w:t>
            </w:r>
          </w:p>
        </w:tc>
      </w:tr>
      <w:tr>
        <w:trPr>
          <w:trHeight w:val="171"/>
        </w:trPr>
        <w:tc>
          <w:tcPr>
            <w:tcW w:w="780" w:type="dxa"/>
            <w:vAlign w:val="bottom"/>
            <w:shd w:val="clear" w:color="auto" w:fill="CCEEFF"/>
          </w:tcPr>
          <w:p>
            <w:pPr>
              <w:spacing w:after="0"/>
              <w:rPr>
                <w:sz w:val="20"/>
                <w:szCs w:val="20"/>
                <w:color w:val="auto"/>
              </w:rPr>
            </w:pPr>
            <w:r>
              <w:rPr>
                <w:rFonts w:ascii="Arial" w:cs="Arial" w:eastAsia="Arial" w:hAnsi="Arial"/>
                <w:sz w:val="14"/>
                <w:szCs w:val="14"/>
                <w:color w:val="auto"/>
              </w:rPr>
              <w:t>21.1*</w:t>
            </w:r>
          </w:p>
        </w:tc>
        <w:tc>
          <w:tcPr>
            <w:tcW w:w="10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List of Subsidiaries.</w:t>
            </w:r>
          </w:p>
        </w:tc>
      </w:tr>
      <w:tr>
        <w:trPr>
          <w:trHeight w:val="170"/>
        </w:trPr>
        <w:tc>
          <w:tcPr>
            <w:tcW w:w="780" w:type="dxa"/>
            <w:vAlign w:val="bottom"/>
          </w:tcPr>
          <w:p>
            <w:pPr>
              <w:spacing w:after="0"/>
              <w:rPr>
                <w:sz w:val="20"/>
                <w:szCs w:val="20"/>
                <w:color w:val="auto"/>
              </w:rPr>
            </w:pPr>
            <w:r>
              <w:rPr>
                <w:rFonts w:ascii="Arial" w:cs="Arial" w:eastAsia="Arial" w:hAnsi="Arial"/>
                <w:sz w:val="14"/>
                <w:szCs w:val="14"/>
                <w:color w:val="auto"/>
              </w:rPr>
              <w:t>23.1+</w:t>
            </w:r>
          </w:p>
        </w:tc>
        <w:tc>
          <w:tcPr>
            <w:tcW w:w="10680" w:type="dxa"/>
            <w:vAlign w:val="bottom"/>
          </w:tcPr>
          <w:p>
            <w:pPr>
              <w:ind w:left="240"/>
              <w:spacing w:after="0"/>
              <w:rPr>
                <w:sz w:val="20"/>
                <w:szCs w:val="20"/>
                <w:color w:val="auto"/>
              </w:rPr>
            </w:pPr>
            <w:r>
              <w:rPr>
                <w:rFonts w:ascii="Arial" w:cs="Arial" w:eastAsia="Arial" w:hAnsi="Arial"/>
                <w:sz w:val="14"/>
                <w:szCs w:val="14"/>
                <w:color w:val="auto"/>
              </w:rPr>
              <w:t>Consent of Disclosure Law Group (included in Exhibit 5.1).</w:t>
            </w:r>
          </w:p>
        </w:tc>
      </w:tr>
      <w:tr>
        <w:trPr>
          <w:trHeight w:val="170"/>
        </w:trPr>
        <w:tc>
          <w:tcPr>
            <w:tcW w:w="780" w:type="dxa"/>
            <w:vAlign w:val="bottom"/>
            <w:shd w:val="clear" w:color="auto" w:fill="CCEEFF"/>
          </w:tcPr>
          <w:p>
            <w:pPr>
              <w:spacing w:after="0"/>
              <w:rPr>
                <w:sz w:val="20"/>
                <w:szCs w:val="20"/>
                <w:color w:val="auto"/>
              </w:rPr>
            </w:pPr>
            <w:r>
              <w:rPr>
                <w:rFonts w:ascii="Arial" w:cs="Arial" w:eastAsia="Arial" w:hAnsi="Arial"/>
                <w:sz w:val="14"/>
                <w:szCs w:val="14"/>
                <w:color w:val="auto"/>
              </w:rPr>
              <w:t>23.2</w:t>
            </w:r>
          </w:p>
        </w:tc>
        <w:tc>
          <w:tcPr>
            <w:tcW w:w="10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Consent of OUM &amp; Co., LLP, independent registered public accounting firm (filed herewith).</w:t>
            </w:r>
          </w:p>
        </w:tc>
      </w:tr>
      <w:tr>
        <w:trPr>
          <w:trHeight w:val="170"/>
        </w:trPr>
        <w:tc>
          <w:tcPr>
            <w:tcW w:w="780" w:type="dxa"/>
            <w:vAlign w:val="bottom"/>
          </w:tcPr>
          <w:p>
            <w:pPr>
              <w:spacing w:after="0"/>
              <w:rPr>
                <w:sz w:val="20"/>
                <w:szCs w:val="20"/>
                <w:color w:val="auto"/>
              </w:rPr>
            </w:pPr>
            <w:r>
              <w:rPr>
                <w:rFonts w:ascii="Arial" w:cs="Arial" w:eastAsia="Arial" w:hAnsi="Arial"/>
                <w:sz w:val="14"/>
                <w:szCs w:val="14"/>
                <w:color w:val="auto"/>
              </w:rPr>
              <w:t>24.1</w:t>
            </w:r>
          </w:p>
        </w:tc>
        <w:tc>
          <w:tcPr>
            <w:tcW w:w="10680" w:type="dxa"/>
            <w:vAlign w:val="bottom"/>
          </w:tcPr>
          <w:p>
            <w:pPr>
              <w:ind w:left="240"/>
              <w:spacing w:after="0"/>
              <w:rPr>
                <w:sz w:val="20"/>
                <w:szCs w:val="20"/>
                <w:color w:val="auto"/>
              </w:rPr>
            </w:pPr>
            <w:r>
              <w:rPr>
                <w:rFonts w:ascii="Arial" w:cs="Arial" w:eastAsia="Arial" w:hAnsi="Arial"/>
                <w:sz w:val="14"/>
                <w:szCs w:val="14"/>
                <w:color w:val="auto"/>
              </w:rPr>
              <w:t>Power of Attorney (included on signature page to this registration statement).</w:t>
            </w:r>
          </w:p>
        </w:tc>
      </w:tr>
      <w:tr>
        <w:trPr>
          <w:trHeight w:val="170"/>
        </w:trPr>
        <w:tc>
          <w:tcPr>
            <w:tcW w:w="780" w:type="dxa"/>
            <w:vAlign w:val="bottom"/>
            <w:shd w:val="clear" w:color="auto" w:fill="CCEEFF"/>
          </w:tcPr>
          <w:p>
            <w:pPr>
              <w:spacing w:after="0"/>
              <w:rPr>
                <w:sz w:val="14"/>
                <w:szCs w:val="14"/>
                <w:color w:val="auto"/>
              </w:rPr>
            </w:pPr>
          </w:p>
        </w:tc>
        <w:tc>
          <w:tcPr>
            <w:tcW w:w="10680" w:type="dxa"/>
            <w:vAlign w:val="bottom"/>
            <w:shd w:val="clear" w:color="auto" w:fill="CCEEFF"/>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Arial" w:cs="Arial" w:eastAsia="Arial" w:hAnsi="Arial"/>
                <w:sz w:val="14"/>
                <w:szCs w:val="14"/>
                <w:color w:val="auto"/>
              </w:rPr>
              <w:t>101.INS</w:t>
            </w:r>
          </w:p>
        </w:tc>
        <w:tc>
          <w:tcPr>
            <w:tcW w:w="10680" w:type="dxa"/>
            <w:vAlign w:val="bottom"/>
          </w:tcPr>
          <w:p>
            <w:pPr>
              <w:ind w:left="240"/>
              <w:spacing w:after="0"/>
              <w:rPr>
                <w:sz w:val="20"/>
                <w:szCs w:val="20"/>
                <w:color w:val="auto"/>
              </w:rPr>
            </w:pPr>
            <w:r>
              <w:rPr>
                <w:rFonts w:ascii="Arial" w:cs="Arial" w:eastAsia="Arial" w:hAnsi="Arial"/>
                <w:sz w:val="14"/>
                <w:szCs w:val="14"/>
                <w:color w:val="auto"/>
              </w:rPr>
              <w:t>XBRL Instance Document</w:t>
            </w:r>
          </w:p>
        </w:tc>
      </w:tr>
      <w:tr>
        <w:trPr>
          <w:trHeight w:val="170"/>
        </w:trPr>
        <w:tc>
          <w:tcPr>
            <w:tcW w:w="780" w:type="dxa"/>
            <w:vAlign w:val="bottom"/>
            <w:shd w:val="clear" w:color="auto" w:fill="CCEEFF"/>
          </w:tcPr>
          <w:p>
            <w:pPr>
              <w:spacing w:after="0"/>
              <w:rPr>
                <w:sz w:val="20"/>
                <w:szCs w:val="20"/>
                <w:color w:val="auto"/>
              </w:rPr>
            </w:pPr>
            <w:r>
              <w:rPr>
                <w:rFonts w:ascii="Arial" w:cs="Arial" w:eastAsia="Arial" w:hAnsi="Arial"/>
                <w:sz w:val="14"/>
                <w:szCs w:val="14"/>
                <w:color w:val="auto"/>
              </w:rPr>
              <w:t>101.SCH</w:t>
            </w:r>
          </w:p>
        </w:tc>
        <w:tc>
          <w:tcPr>
            <w:tcW w:w="10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XBRL Taxonomy Extension Schema</w:t>
            </w:r>
          </w:p>
        </w:tc>
      </w:tr>
      <w:tr>
        <w:trPr>
          <w:trHeight w:val="170"/>
        </w:trPr>
        <w:tc>
          <w:tcPr>
            <w:tcW w:w="780" w:type="dxa"/>
            <w:vAlign w:val="bottom"/>
          </w:tcPr>
          <w:p>
            <w:pPr>
              <w:spacing w:after="0"/>
              <w:rPr>
                <w:sz w:val="20"/>
                <w:szCs w:val="20"/>
                <w:color w:val="auto"/>
              </w:rPr>
            </w:pPr>
            <w:r>
              <w:rPr>
                <w:rFonts w:ascii="Arial" w:cs="Arial" w:eastAsia="Arial" w:hAnsi="Arial"/>
                <w:sz w:val="14"/>
                <w:szCs w:val="14"/>
                <w:color w:val="auto"/>
              </w:rPr>
              <w:t>101.CAL</w:t>
            </w:r>
          </w:p>
        </w:tc>
        <w:tc>
          <w:tcPr>
            <w:tcW w:w="10680" w:type="dxa"/>
            <w:vAlign w:val="bottom"/>
          </w:tcPr>
          <w:p>
            <w:pPr>
              <w:ind w:left="240"/>
              <w:spacing w:after="0"/>
              <w:rPr>
                <w:sz w:val="20"/>
                <w:szCs w:val="20"/>
                <w:color w:val="auto"/>
              </w:rPr>
            </w:pPr>
            <w:r>
              <w:rPr>
                <w:rFonts w:ascii="Arial" w:cs="Arial" w:eastAsia="Arial" w:hAnsi="Arial"/>
                <w:sz w:val="14"/>
                <w:szCs w:val="14"/>
                <w:color w:val="auto"/>
              </w:rPr>
              <w:t>XBRL Taxonomy Extension Calculation Linkbase</w:t>
            </w:r>
          </w:p>
        </w:tc>
      </w:tr>
      <w:tr>
        <w:trPr>
          <w:trHeight w:val="170"/>
        </w:trPr>
        <w:tc>
          <w:tcPr>
            <w:tcW w:w="780" w:type="dxa"/>
            <w:vAlign w:val="bottom"/>
            <w:shd w:val="clear" w:color="auto" w:fill="CCEEFF"/>
          </w:tcPr>
          <w:p>
            <w:pPr>
              <w:spacing w:after="0"/>
              <w:rPr>
                <w:sz w:val="20"/>
                <w:szCs w:val="20"/>
                <w:color w:val="auto"/>
              </w:rPr>
            </w:pPr>
            <w:r>
              <w:rPr>
                <w:rFonts w:ascii="Arial" w:cs="Arial" w:eastAsia="Arial" w:hAnsi="Arial"/>
                <w:sz w:val="14"/>
                <w:szCs w:val="14"/>
                <w:color w:val="auto"/>
              </w:rPr>
              <w:t>101.DEF</w:t>
            </w:r>
          </w:p>
        </w:tc>
        <w:tc>
          <w:tcPr>
            <w:tcW w:w="10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XBRL Taxonomy Extension Definition Linkbase</w:t>
            </w:r>
          </w:p>
        </w:tc>
      </w:tr>
      <w:tr>
        <w:trPr>
          <w:trHeight w:val="170"/>
        </w:trPr>
        <w:tc>
          <w:tcPr>
            <w:tcW w:w="780" w:type="dxa"/>
            <w:vAlign w:val="bottom"/>
          </w:tcPr>
          <w:p>
            <w:pPr>
              <w:spacing w:after="0"/>
              <w:rPr>
                <w:sz w:val="20"/>
                <w:szCs w:val="20"/>
                <w:color w:val="auto"/>
              </w:rPr>
            </w:pPr>
            <w:r>
              <w:rPr>
                <w:rFonts w:ascii="Arial" w:cs="Arial" w:eastAsia="Arial" w:hAnsi="Arial"/>
                <w:sz w:val="14"/>
                <w:szCs w:val="14"/>
                <w:color w:val="auto"/>
              </w:rPr>
              <w:t>101.LAB</w:t>
            </w:r>
          </w:p>
        </w:tc>
        <w:tc>
          <w:tcPr>
            <w:tcW w:w="10680" w:type="dxa"/>
            <w:vAlign w:val="bottom"/>
          </w:tcPr>
          <w:p>
            <w:pPr>
              <w:ind w:left="240"/>
              <w:spacing w:after="0"/>
              <w:rPr>
                <w:sz w:val="20"/>
                <w:szCs w:val="20"/>
                <w:color w:val="auto"/>
              </w:rPr>
            </w:pPr>
            <w:r>
              <w:rPr>
                <w:rFonts w:ascii="Arial" w:cs="Arial" w:eastAsia="Arial" w:hAnsi="Arial"/>
                <w:sz w:val="14"/>
                <w:szCs w:val="14"/>
                <w:color w:val="auto"/>
              </w:rPr>
              <w:t>XBRL Taxonomy Extension Label Linkbase</w:t>
            </w:r>
          </w:p>
        </w:tc>
      </w:tr>
      <w:tr>
        <w:trPr>
          <w:trHeight w:val="170"/>
        </w:trPr>
        <w:tc>
          <w:tcPr>
            <w:tcW w:w="780" w:type="dxa"/>
            <w:vAlign w:val="bottom"/>
            <w:shd w:val="clear" w:color="auto" w:fill="CCEEFF"/>
          </w:tcPr>
          <w:p>
            <w:pPr>
              <w:spacing w:after="0"/>
              <w:rPr>
                <w:sz w:val="20"/>
                <w:szCs w:val="20"/>
                <w:color w:val="auto"/>
              </w:rPr>
            </w:pPr>
            <w:r>
              <w:rPr>
                <w:rFonts w:ascii="Arial" w:cs="Arial" w:eastAsia="Arial" w:hAnsi="Arial"/>
                <w:sz w:val="14"/>
                <w:szCs w:val="14"/>
                <w:color w:val="auto"/>
              </w:rPr>
              <w:t>101.PRE</w:t>
            </w:r>
          </w:p>
        </w:tc>
        <w:tc>
          <w:tcPr>
            <w:tcW w:w="10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XBRL Taxonomy Extension Presentation Linkbase</w:t>
            </w:r>
          </w:p>
        </w:tc>
      </w:tr>
    </w:tbl>
    <w:p>
      <w:pPr>
        <w:spacing w:after="0" w:line="181" w:lineRule="exact"/>
        <w:rPr>
          <w:sz w:val="20"/>
          <w:szCs w:val="20"/>
          <w:color w:val="auto"/>
        </w:rPr>
      </w:pPr>
    </w:p>
    <w:p>
      <w:pPr>
        <w:ind w:right="6600" w:firstLine="5"/>
        <w:spacing w:after="0" w:line="568" w:lineRule="auto"/>
        <w:tabs>
          <w:tab w:leader="none" w:pos="142"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Incorporated by reference from our Current Report on Form 8-K on May 16, 2011. + To be filed by amendment.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59055</wp:posOffset>
            </wp:positionV>
            <wp:extent cx="7281545" cy="196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1545" cy="19685"/>
                    </a:xfrm>
                    <a:prstGeom prst="rect">
                      <a:avLst/>
                    </a:prstGeom>
                    <a:noFill/>
                  </pic:spPr>
                </pic:pic>
              </a:graphicData>
            </a:graphic>
          </wp:anchor>
        </w:drawing>
      </w:r>
    </w:p>
    <w:p>
      <w:pPr>
        <w:sectPr>
          <w:pgSz w:w="11900" w:h="16838" w:orient="portrait"/>
          <w:cols w:equalWidth="0" w:num="1">
            <w:col w:w="11460"/>
          </w:cols>
          <w:pgMar w:left="220" w:top="133" w:right="219" w:bottom="1440" w:gutter="0" w:footer="0" w:header="0"/>
        </w:sectPr>
      </w:pPr>
    </w:p>
    <w:bookmarkStart w:id="230" w:name="page231"/>
    <w:bookmarkEnd w:id="230"/>
    <w:p>
      <w:pPr>
        <w:jc w:val="right"/>
        <w:spacing w:after="0"/>
        <w:rPr>
          <w:sz w:val="20"/>
          <w:szCs w:val="20"/>
          <w:color w:val="auto"/>
        </w:rPr>
      </w:pPr>
      <w:r>
        <w:rPr>
          <w:rFonts w:ascii="Arial" w:cs="Arial" w:eastAsia="Arial" w:hAnsi="Arial"/>
          <w:sz w:val="14"/>
          <w:szCs w:val="14"/>
          <w:b w:val="1"/>
          <w:bCs w:val="1"/>
          <w:color w:val="auto"/>
        </w:rPr>
        <w:t>Exhibit 23.1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0" w:lineRule="exact"/>
        <w:rPr>
          <w:sz w:val="20"/>
          <w:szCs w:val="20"/>
          <w:color w:val="auto"/>
        </w:rPr>
      </w:pPr>
    </w:p>
    <w:p>
      <w:pPr>
        <w:spacing w:after="0" w:line="38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We hereby consent to the use, in the Prospectus constituting a part of this Registration Statement on Form S-1, of our report dated June 29, 2015 (which report expresses an unqualified opinion and includes an emphasis of matter paragraph concerning the ability of VistaGen Therapeutics, Inc. to continue as a going concern) relating to the consolidated financial statements of VistaGen Therapeutics, Inc., which is contained in that Prospectus.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We also consent to the reference to us under the caption “Experts” in the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 OUM &amp; CO. LLP</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11, 2016</w:t>
      </w:r>
    </w:p>
    <w:sectPr>
      <w:pgSz w:w="11900" w:h="16838" w:orient="portrait"/>
      <w:cols w:equalWidth="0" w:num="1">
        <w:col w:w="11460"/>
      </w:cols>
      <w:pgMar w:left="220" w:top="31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1)"/>
      <w:numFmt w:val="decimal"/>
      <w:start w:val="1"/>
    </w:lvl>
  </w:abstractNum>
  <w:abstractNum w:abstractNumId="1">
    <w:nsid w:val="1BA026FA"/>
    <w:multiLevelType w:val="hybridMultilevel"/>
    <w:lvl w:ilvl="0">
      <w:lvlJc w:val="left"/>
      <w:lvlText w:val="(%1)"/>
      <w:numFmt w:val="decimal"/>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1)"/>
      <w:numFmt w:val="decimal"/>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1)"/>
      <w:numFmt w:val="lowerRoman"/>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1."/>
      <w:numFmt w:val="decimal"/>
      <w:start w:val="1"/>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1)"/>
      <w:numFmt w:val="lowerRoman"/>
      <w:start w:val="2"/>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1)"/>
      <w:numFmt w:val="decimal"/>
      <w:start w:val="5"/>
    </w:lvl>
  </w:abstractNum>
  <w:abstractNum w:abstractNumId="54">
    <w:nsid w:val="42963E5A"/>
    <w:multiLevelType w:val="hybridMultilevel"/>
    <w:lvl w:ilvl="0">
      <w:lvlJc w:val="left"/>
      <w:lvlText w:val="(%1)"/>
      <w:numFmt w:val="decimal"/>
      <w:start w:val="12"/>
    </w:lvl>
  </w:abstractNum>
  <w:abstractNum w:abstractNumId="55">
    <w:nsid w:val="A0382C5"/>
    <w:multiLevelType w:val="hybridMultilevel"/>
    <w:lvl w:ilvl="0">
      <w:lvlJc w:val="left"/>
      <w:lvlText w:val="(%1)"/>
      <w:numFmt w:val="lowerLetter"/>
      <w:start w:val="1"/>
    </w:lvl>
  </w:abstractNum>
  <w:abstractNum w:abstractNumId="56">
    <w:nsid w:val="8F2B15E"/>
    <w:multiLevelType w:val="hybridMultilevel"/>
    <w:lvl w:ilvl="0">
      <w:lvlJc w:val="left"/>
      <w:lvlText w:val="(%1)"/>
      <w:numFmt w:val="decimal"/>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1)"/>
      <w:numFmt w:val="lowerRoman"/>
      <w:start w:val="3"/>
    </w:lvl>
  </w:abstractNum>
  <w:abstractNum w:abstractNumId="61">
    <w:nsid w:val="60B6DF70"/>
    <w:multiLevelType w:val="hybridMultilevel"/>
    <w:lvl w:ilvl="0">
      <w:lvlJc w:val="left"/>
      <w:lvlText w:val="(%1)"/>
      <w:numFmt w:val="decimal"/>
      <w:start w:val="1"/>
    </w:lvl>
  </w:abstractNum>
  <w:abstractNum w:abstractNumId="62">
    <w:nsid w:val="6A5EE64"/>
    <w:multiLevelType w:val="hybridMultilevel"/>
    <w:lvl w:ilvl="0">
      <w:lvlJc w:val="left"/>
      <w:lvlText w:val="(%1)"/>
      <w:numFmt w:val="decimal"/>
      <w:start w:val="4"/>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1)"/>
      <w:numFmt w:val="decimal"/>
      <w:start w:val="1"/>
    </w:lvl>
  </w:abstractNum>
  <w:abstractNum w:abstractNumId="65">
    <w:nsid w:val="1A27709E"/>
    <w:multiLevelType w:val="hybridMultilevel"/>
    <w:lvl w:ilvl="0">
      <w:lvlJc w:val="left"/>
      <w:lvlText w:val="(%1)"/>
      <w:numFmt w:val="decimal"/>
      <w:start w:val="5"/>
    </w:lvl>
  </w:abstractNum>
  <w:abstractNum w:abstractNumId="66">
    <w:nsid w:val="71EA1109"/>
    <w:multiLevelType w:val="hybridMultilevel"/>
    <w:lvl w:ilvl="0">
      <w:lvlJc w:val="left"/>
      <w:lvlText w:val="(%1)"/>
      <w:numFmt w:val="decimal"/>
      <w:start w:val="8"/>
    </w:lvl>
  </w:abstractNum>
  <w:abstractNum w:abstractNumId="67">
    <w:nsid w:val="100F59DC"/>
    <w:multiLevelType w:val="hybridMultilevel"/>
    <w:lvl w:ilvl="0">
      <w:lvlJc w:val="left"/>
      <w:lvlText w:val="(%1)"/>
      <w:numFmt w:val="decimal"/>
      <w:start w:val="1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
      <w:numFmt w:val="bullet"/>
      <w:start w:val="1"/>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1)"/>
      <w:numFmt w:val="decimal"/>
      <w:start w:val="1"/>
    </w:lvl>
  </w:abstractNum>
  <w:abstractNum w:abstractNumId="80">
    <w:nsid w:val="2DF6D648"/>
    <w:multiLevelType w:val="hybridMultilevel"/>
    <w:lvl w:ilvl="0">
      <w:lvlJc w:val="left"/>
      <w:lvlText w:val="•"/>
      <w:numFmt w:val="bullet"/>
      <w:start w:val="1"/>
    </w:lvl>
  </w:abstractNum>
  <w:abstractNum w:abstractNumId="81">
    <w:nsid w:val="46B7D447"/>
    <w:multiLevelType w:val="hybridMultilevel"/>
    <w:lvl w:ilvl="0">
      <w:lvlJc w:val="left"/>
      <w:lvlText w:val="(%1)"/>
      <w:numFmt w:val="decimal"/>
      <w:start w:val="1"/>
    </w:lvl>
  </w:abstractNum>
  <w:abstractNum w:abstractNumId="82">
    <w:nsid w:val="4A2AC315"/>
    <w:multiLevelType w:val="hybridMultilevel"/>
    <w:lvl w:ilvl="0">
      <w:lvlJc w:val="left"/>
      <w:lvlText w:val="(%1)"/>
      <w:numFmt w:val="lowerRoman"/>
      <w:start w:val="2"/>
    </w:lvl>
  </w:abstractNum>
  <w:abstractNum w:abstractNumId="83">
    <w:nsid w:val="39EE015C"/>
    <w:multiLevelType w:val="hybridMultilevel"/>
    <w:lvl w:ilvl="0">
      <w:lvlJc w:val="left"/>
      <w:lvlText w:val="(%1)"/>
      <w:numFmt w:val="lowerRoman"/>
      <w:start w:val="3"/>
    </w:lvl>
  </w:abstractNum>
  <w:abstractNum w:abstractNumId="84">
    <w:nsid w:val="57FC4FBB"/>
    <w:multiLevelType w:val="hybridMultilevel"/>
    <w:lvl w:ilvl="0">
      <w:lvlJc w:val="left"/>
      <w:lvlText w:val="·"/>
      <w:numFmt w:val="bullet"/>
      <w:start w:val="1"/>
    </w:lvl>
  </w:abstractNum>
  <w:abstractNum w:abstractNumId="85">
    <w:nsid w:val="CC1016F"/>
    <w:multiLevelType w:val="hybridMultilevel"/>
    <w:lvl w:ilvl="0">
      <w:lvlJc w:val="left"/>
      <w:lvlText w:val="·"/>
      <w:numFmt w:val="bullet"/>
      <w:start w:val="1"/>
    </w:lvl>
  </w:abstractNum>
  <w:abstractNum w:abstractNumId="86">
    <w:nsid w:val="43F18422"/>
    <w:multiLevelType w:val="hybridMultilevel"/>
    <w:lvl w:ilvl="0">
      <w:lvlJc w:val="left"/>
      <w:lvlText w:val="(%1)"/>
      <w:numFmt w:val="lowerLetter"/>
      <w:start w:val="2"/>
    </w:lvl>
  </w:abstractNum>
  <w:abstractNum w:abstractNumId="87">
    <w:nsid w:val="60EF0119"/>
    <w:multiLevelType w:val="hybridMultilevel"/>
    <w:lvl w:ilvl="0">
      <w:lvlJc w:val="left"/>
      <w:lvlText w:val="(%1)"/>
      <w:numFmt w:val="lowerRoman"/>
      <w:start w:val="3"/>
    </w:lvl>
  </w:abstractNum>
  <w:abstractNum w:abstractNumId="88">
    <w:nsid w:val="26F324BA"/>
    <w:multiLevelType w:val="hybridMultilevel"/>
    <w:lvl w:ilvl="0">
      <w:lvlJc w:val="left"/>
      <w:lvlText w:val="(%1)"/>
      <w:numFmt w:val="decimal"/>
      <w:start w:val="1"/>
    </w:lvl>
  </w:abstractNum>
  <w:abstractNum w:abstractNumId="89">
    <w:nsid w:val="7F01579B"/>
    <w:multiLevelType w:val="hybridMultilevel"/>
    <w:lvl w:ilvl="0">
      <w:lvlJc w:val="left"/>
      <w:lvlText w:val="(%1)"/>
      <w:numFmt w:val="lowerRoman"/>
      <w:start w:val="1"/>
    </w:lvl>
  </w:abstractNum>
  <w:abstractNum w:abstractNumId="90">
    <w:nsid w:val="49DA307D"/>
    <w:multiLevelType w:val="hybridMultilevel"/>
    <w:lvl w:ilvl="0">
      <w:lvlJc w:val="left"/>
      <w:lvlText w:val="●"/>
      <w:numFmt w:val="bullet"/>
      <w:start w:val="1"/>
    </w:lvl>
  </w:abstractNum>
  <w:abstractNum w:abstractNumId="91">
    <w:nsid w:val="7055A5F5"/>
    <w:multiLevelType w:val="hybridMultilevel"/>
    <w:lvl w:ilvl="0">
      <w:lvlJc w:val="left"/>
      <w:lvlText w:val="●"/>
      <w:numFmt w:val="bullet"/>
      <w:start w:val="1"/>
    </w:lvl>
    <w:lvl w:ilvl="1">
      <w:lvlJc w:val="left"/>
      <w:lvlText w:val="o"/>
      <w:numFmt w:val="bullet"/>
      <w:start w:val="1"/>
    </w:lvl>
  </w:abstractNum>
  <w:abstractNum w:abstractNumId="92">
    <w:nsid w:val="5FB8370B"/>
    <w:multiLevelType w:val="hybridMultilevel"/>
    <w:lvl w:ilvl="0">
      <w:lvlJc w:val="left"/>
      <w:lvlText w:val="(%1)"/>
      <w:numFmt w:val="decimal"/>
      <w:start w:val="1"/>
    </w:lvl>
  </w:abstractNum>
  <w:abstractNum w:abstractNumId="93">
    <w:nsid w:val="50801EE1"/>
    <w:multiLevelType w:val="hybridMultilevel"/>
    <w:lvl w:ilvl="0">
      <w:lvlJc w:val="left"/>
      <w:lvlText w:val="•"/>
      <w:numFmt w:val="bullet"/>
      <w:start w:val="1"/>
    </w:lvl>
  </w:abstractNum>
  <w:abstractNum w:abstractNumId="94">
    <w:nsid w:val="488AC1A"/>
    <w:multiLevelType w:val="hybridMultilevel"/>
    <w:lvl w:ilvl="0">
      <w:lvlJc w:val="left"/>
      <w:lvlText w:val="·"/>
      <w:numFmt w:val="bullet"/>
      <w:start w:val="1"/>
    </w:lvl>
  </w:abstractNum>
  <w:abstractNum w:abstractNumId="95">
    <w:nsid w:val="5FB8011C"/>
    <w:multiLevelType w:val="hybridMultilevel"/>
    <w:lvl w:ilvl="0">
      <w:lvlJc w:val="left"/>
      <w:lvlText w:val="(%1)"/>
      <w:numFmt w:val="lowerLetter"/>
      <w:start w:val="1"/>
    </w:lvl>
  </w:abstractNum>
  <w:abstractNum w:abstractNumId="96">
    <w:nsid w:val="6AA78F7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7">
    <w:nsid w:val="7672BD23"/>
    <w:multiLevelType w:val="hybridMultilevel"/>
    <w:lvl w:ilvl="0">
      <w:lvlJc w:val="left"/>
      <w:lvlText w:val="(%1)"/>
      <w:numFmt w:val="lowerRoman"/>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2020-01-19T21:24:28Z</dcterms:created>
  <dcterms:modified xsi:type="dcterms:W3CDTF">2020-01-19T21:24:28Z</dcterms:modified>
</cp:coreProperties>
</file>