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277495</wp:posOffset>
            </wp:positionV>
            <wp:extent cx="714375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311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371475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As filed with the Securities and Exchange Commission on March 15, 2021</w:t>
      </w:r>
    </w:p>
    <w:p>
      <w:pPr>
        <w:spacing w:after="0" w:line="212"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36" w:lineRule="exact"/>
        <w:rPr>
          <w:sz w:val="24"/>
          <w:szCs w:val="24"/>
          <w:color w:val="auto"/>
        </w:rPr>
      </w:pPr>
    </w:p>
    <w:tbl>
      <w:tblPr>
        <w:tblLayout w:type="fixed"/>
        <w:tblInd w:w="520" w:type="dxa"/>
        <w:tblCellMar>
          <w:top w:w="0" w:type="dxa"/>
          <w:left w:w="0" w:type="dxa"/>
          <w:bottom w:w="0" w:type="dxa"/>
          <w:right w:w="0" w:type="dxa"/>
        </w:tblCellMar>
      </w:tblPr>
      <w:tr>
        <w:trPr>
          <w:trHeight w:val="198"/>
        </w:trPr>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720" w:type="dxa"/>
            <w:vAlign w:val="bottom"/>
            <w:gridSpan w:val="3"/>
          </w:tcPr>
          <w:p>
            <w:pPr>
              <w:jc w:val="center"/>
              <w:ind w:right="3540"/>
              <w:spacing w:after="0"/>
              <w:rPr>
                <w:sz w:val="20"/>
                <w:szCs w:val="20"/>
                <w:color w:val="auto"/>
              </w:rPr>
            </w:pPr>
            <w:r>
              <w:rPr>
                <w:rFonts w:ascii="Arial" w:cs="Arial" w:eastAsia="Arial" w:hAnsi="Arial"/>
                <w:sz w:val="16"/>
                <w:szCs w:val="16"/>
                <w:b w:val="1"/>
                <w:bCs w:val="1"/>
                <w:color w:val="auto"/>
                <w:w w:val="99"/>
              </w:rPr>
              <w:t>UNITED STATES</w:t>
            </w:r>
          </w:p>
        </w:tc>
      </w:tr>
      <w:tr>
        <w:trPr>
          <w:trHeight w:val="198"/>
        </w:trPr>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80" w:type="dxa"/>
            <w:vAlign w:val="bottom"/>
            <w:gridSpan w:val="4"/>
          </w:tcPr>
          <w:p>
            <w:pPr>
              <w:jc w:val="center"/>
              <w:ind w:right="1820"/>
              <w:spacing w:after="0"/>
              <w:rPr>
                <w:sz w:val="20"/>
                <w:szCs w:val="20"/>
                <w:color w:val="auto"/>
              </w:rPr>
            </w:pPr>
            <w:r>
              <w:rPr>
                <w:rFonts w:ascii="Arial" w:cs="Arial" w:eastAsia="Arial" w:hAnsi="Arial"/>
                <w:sz w:val="16"/>
                <w:szCs w:val="16"/>
                <w:b w:val="1"/>
                <w:bCs w:val="1"/>
                <w:color w:val="auto"/>
              </w:rPr>
              <w:t>SECURITIES AND EXCHANGE COMMISSION</w:t>
            </w:r>
          </w:p>
        </w:tc>
      </w:tr>
      <w:tr>
        <w:trPr>
          <w:trHeight w:val="209"/>
        </w:trPr>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720" w:type="dxa"/>
            <w:vAlign w:val="bottom"/>
            <w:gridSpan w:val="3"/>
          </w:tcPr>
          <w:p>
            <w:pPr>
              <w:jc w:val="center"/>
              <w:ind w:right="3580"/>
              <w:spacing w:after="0"/>
              <w:rPr>
                <w:sz w:val="20"/>
                <w:szCs w:val="20"/>
                <w:color w:val="auto"/>
              </w:rPr>
            </w:pPr>
            <w:r>
              <w:rPr>
                <w:rFonts w:ascii="Arial" w:cs="Arial" w:eastAsia="Arial" w:hAnsi="Arial"/>
                <w:sz w:val="16"/>
                <w:szCs w:val="16"/>
                <w:b w:val="1"/>
                <w:bCs w:val="1"/>
                <w:color w:val="auto"/>
                <w:w w:val="91"/>
              </w:rPr>
              <w:t>Washington, D.C. 20549</w:t>
            </w:r>
          </w:p>
        </w:tc>
      </w:tr>
      <w:tr>
        <w:trPr>
          <w:trHeight w:val="396"/>
        </w:trPr>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2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9"/>
              </w:rPr>
              <w:t>FORM S-3</w:t>
            </w:r>
          </w:p>
        </w:tc>
      </w:tr>
      <w:tr>
        <w:trPr>
          <w:trHeight w:val="388"/>
        </w:trPr>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20" w:type="dxa"/>
            <w:vAlign w:val="bottom"/>
            <w:gridSpan w:val="3"/>
          </w:tcPr>
          <w:p>
            <w:pPr>
              <w:jc w:val="center"/>
              <w:ind w:right="3600"/>
              <w:spacing w:after="0"/>
              <w:rPr>
                <w:sz w:val="20"/>
                <w:szCs w:val="20"/>
                <w:color w:val="auto"/>
              </w:rPr>
            </w:pPr>
            <w:r>
              <w:rPr>
                <w:rFonts w:ascii="Arial" w:cs="Arial" w:eastAsia="Arial" w:hAnsi="Arial"/>
                <w:sz w:val="16"/>
                <w:szCs w:val="16"/>
                <w:color w:val="auto"/>
                <w:w w:val="95"/>
              </w:rPr>
              <w:t>REGISTRATION STATEMENT</w:t>
            </w:r>
          </w:p>
        </w:tc>
      </w:tr>
      <w:tr>
        <w:trPr>
          <w:trHeight w:val="205"/>
        </w:trPr>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80" w:type="dxa"/>
            <w:vAlign w:val="bottom"/>
            <w:gridSpan w:val="4"/>
          </w:tcPr>
          <w:p>
            <w:pPr>
              <w:jc w:val="center"/>
              <w:ind w:right="1820"/>
              <w:spacing w:after="0"/>
              <w:rPr>
                <w:sz w:val="20"/>
                <w:szCs w:val="20"/>
                <w:color w:val="auto"/>
              </w:rPr>
            </w:pPr>
            <w:r>
              <w:rPr>
                <w:rFonts w:ascii="Arial" w:cs="Arial" w:eastAsia="Arial" w:hAnsi="Arial"/>
                <w:sz w:val="16"/>
                <w:szCs w:val="16"/>
                <w:color w:val="auto"/>
                <w:w w:val="94"/>
              </w:rPr>
              <w:t>UNDER THE SECURITIES ACT OF 1933</w:t>
            </w:r>
          </w:p>
        </w:tc>
      </w:tr>
      <w:tr>
        <w:trPr>
          <w:trHeight w:val="388"/>
        </w:trPr>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20" w:type="dxa"/>
            <w:vAlign w:val="bottom"/>
            <w:gridSpan w:val="3"/>
          </w:tcPr>
          <w:p>
            <w:pPr>
              <w:jc w:val="center"/>
              <w:ind w:right="3600"/>
              <w:spacing w:after="0"/>
              <w:rPr>
                <w:sz w:val="20"/>
                <w:szCs w:val="20"/>
                <w:color w:val="auto"/>
              </w:rPr>
            </w:pPr>
            <w:r>
              <w:rPr>
                <w:rFonts w:ascii="Arial" w:cs="Arial" w:eastAsia="Arial" w:hAnsi="Arial"/>
                <w:sz w:val="16"/>
                <w:szCs w:val="16"/>
                <w:b w:val="1"/>
                <w:bCs w:val="1"/>
                <w:color w:val="auto"/>
                <w:w w:val="91"/>
              </w:rPr>
              <w:t>VistaGen Therapeutics, Inc.</w:t>
            </w:r>
          </w:p>
        </w:tc>
      </w:tr>
      <w:tr>
        <w:trPr>
          <w:trHeight w:val="205"/>
        </w:trPr>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80" w:type="dxa"/>
            <w:vAlign w:val="bottom"/>
            <w:gridSpan w:val="4"/>
          </w:tcPr>
          <w:p>
            <w:pPr>
              <w:jc w:val="center"/>
              <w:ind w:right="1840"/>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360"/>
        </w:trPr>
        <w:tc>
          <w:tcPr>
            <w:tcW w:w="17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1"/>
              </w:rPr>
              <w:t>Nevada</w:t>
            </w:r>
          </w:p>
        </w:tc>
        <w:tc>
          <w:tcPr>
            <w:tcW w:w="1760" w:type="dxa"/>
            <w:vAlign w:val="bottom"/>
          </w:tcPr>
          <w:p>
            <w:pPr>
              <w:spacing w:after="0"/>
              <w:rPr>
                <w:sz w:val="24"/>
                <w:szCs w:val="24"/>
                <w:color w:val="auto"/>
              </w:rPr>
            </w:pPr>
          </w:p>
        </w:tc>
        <w:tc>
          <w:tcPr>
            <w:tcW w:w="5720" w:type="dxa"/>
            <w:vAlign w:val="bottom"/>
            <w:gridSpan w:val="3"/>
          </w:tcPr>
          <w:p>
            <w:pPr>
              <w:jc w:val="right"/>
              <w:ind w:right="1520"/>
              <w:spacing w:after="0"/>
              <w:rPr>
                <w:sz w:val="20"/>
                <w:szCs w:val="20"/>
                <w:color w:val="auto"/>
              </w:rPr>
            </w:pPr>
            <w:r>
              <w:rPr>
                <w:rFonts w:ascii="Arial" w:cs="Arial" w:eastAsia="Arial" w:hAnsi="Arial"/>
                <w:sz w:val="16"/>
                <w:szCs w:val="16"/>
                <w:b w:val="1"/>
                <w:bCs w:val="1"/>
                <w:color w:val="auto"/>
              </w:rPr>
              <w:t>20-5093315</w:t>
            </w:r>
          </w:p>
        </w:tc>
      </w:tr>
      <w:tr>
        <w:trPr>
          <w:trHeight w:val="20"/>
        </w:trPr>
        <w:tc>
          <w:tcPr>
            <w:tcW w:w="1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6"/>
        </w:trPr>
        <w:tc>
          <w:tcPr>
            <w:tcW w:w="4040" w:type="dxa"/>
            <w:vAlign w:val="bottom"/>
            <w:gridSpan w:val="3"/>
          </w:tcPr>
          <w:p>
            <w:pPr>
              <w:jc w:val="center"/>
              <w:spacing w:after="0"/>
              <w:rPr>
                <w:sz w:val="20"/>
                <w:szCs w:val="20"/>
                <w:color w:val="auto"/>
              </w:rPr>
            </w:pPr>
            <w:r>
              <w:rPr>
                <w:rFonts w:ascii="Arial" w:cs="Arial" w:eastAsia="Arial" w:hAnsi="Arial"/>
                <w:sz w:val="16"/>
                <w:szCs w:val="16"/>
                <w:color w:val="auto"/>
                <w:w w:val="92"/>
              </w:rPr>
              <w:t>(State or other jurisdiction of</w:t>
            </w:r>
          </w:p>
        </w:tc>
        <w:tc>
          <w:tcPr>
            <w:tcW w:w="5720" w:type="dxa"/>
            <w:vAlign w:val="bottom"/>
            <w:gridSpan w:val="3"/>
          </w:tcPr>
          <w:p>
            <w:pPr>
              <w:jc w:val="center"/>
              <w:ind w:left="1860"/>
              <w:spacing w:after="0"/>
              <w:rPr>
                <w:sz w:val="20"/>
                <w:szCs w:val="20"/>
                <w:color w:val="auto"/>
              </w:rPr>
            </w:pPr>
            <w:r>
              <w:rPr>
                <w:rFonts w:ascii="Arial" w:cs="Arial" w:eastAsia="Arial" w:hAnsi="Arial"/>
                <w:sz w:val="16"/>
                <w:szCs w:val="16"/>
                <w:color w:val="auto"/>
                <w:w w:val="93"/>
              </w:rPr>
              <w:t>(I.R.S. Employer</w:t>
            </w:r>
          </w:p>
        </w:tc>
      </w:tr>
      <w:tr>
        <w:trPr>
          <w:trHeight w:val="205"/>
        </w:trPr>
        <w:tc>
          <w:tcPr>
            <w:tcW w:w="4040" w:type="dxa"/>
            <w:vAlign w:val="bottom"/>
            <w:gridSpan w:val="3"/>
          </w:tcPr>
          <w:p>
            <w:pPr>
              <w:jc w:val="center"/>
              <w:spacing w:after="0"/>
              <w:rPr>
                <w:sz w:val="20"/>
                <w:szCs w:val="20"/>
                <w:color w:val="auto"/>
              </w:rPr>
            </w:pPr>
            <w:r>
              <w:rPr>
                <w:rFonts w:ascii="Arial" w:cs="Arial" w:eastAsia="Arial" w:hAnsi="Arial"/>
                <w:sz w:val="16"/>
                <w:szCs w:val="16"/>
                <w:color w:val="auto"/>
                <w:w w:val="93"/>
              </w:rPr>
              <w:t>incorporation or organization)</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color w:val="auto"/>
                <w:w w:val="94"/>
              </w:rPr>
              <w:t>Identification Number)</w:t>
            </w:r>
          </w:p>
        </w:tc>
      </w:tr>
      <w:tr>
        <w:trPr>
          <w:trHeight w:val="384"/>
        </w:trPr>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20" w:type="dxa"/>
            <w:vAlign w:val="bottom"/>
            <w:gridSpan w:val="3"/>
          </w:tcPr>
          <w:p>
            <w:pPr>
              <w:jc w:val="center"/>
              <w:ind w:left="1860"/>
              <w:spacing w:after="0"/>
              <w:rPr>
                <w:sz w:val="20"/>
                <w:szCs w:val="20"/>
                <w:color w:val="auto"/>
              </w:rPr>
            </w:pPr>
            <w:r>
              <w:rPr>
                <w:rFonts w:ascii="Arial" w:cs="Arial" w:eastAsia="Arial" w:hAnsi="Arial"/>
                <w:sz w:val="16"/>
                <w:szCs w:val="16"/>
                <w:b w:val="1"/>
                <w:bCs w:val="1"/>
                <w:color w:val="auto"/>
                <w:w w:val="91"/>
              </w:rPr>
              <w:t>Shawn K. Singh, J.D.</w:t>
            </w:r>
          </w:p>
        </w:tc>
      </w:tr>
      <w:tr>
        <w:trPr>
          <w:trHeight w:val="198"/>
        </w:trPr>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b w:val="1"/>
                <w:bCs w:val="1"/>
                <w:color w:val="auto"/>
                <w:w w:val="91"/>
              </w:rPr>
              <w:t>Chief Executive Officer</w:t>
            </w:r>
          </w:p>
        </w:tc>
      </w:tr>
      <w:tr>
        <w:trPr>
          <w:trHeight w:val="198"/>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VistaGen Therapeutics, Inc.</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b w:val="1"/>
                <w:bCs w:val="1"/>
                <w:color w:val="auto"/>
                <w:w w:val="91"/>
              </w:rPr>
              <w:t>VistaGen Therapeutics, Inc.</w:t>
            </w:r>
          </w:p>
        </w:tc>
      </w:tr>
      <w:tr>
        <w:trPr>
          <w:trHeight w:val="198"/>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343 Allerton Avenue</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b w:val="1"/>
                <w:bCs w:val="1"/>
                <w:color w:val="auto"/>
                <w:w w:val="90"/>
              </w:rPr>
              <w:t>343 Allerton Avenue</w:t>
            </w:r>
          </w:p>
        </w:tc>
      </w:tr>
      <w:tr>
        <w:trPr>
          <w:trHeight w:val="198"/>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South San Francisco, California 94080</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b w:val="1"/>
                <w:bCs w:val="1"/>
                <w:color w:val="auto"/>
                <w:w w:val="90"/>
              </w:rPr>
              <w:t>South San Francisco, California 94080</w:t>
            </w:r>
          </w:p>
        </w:tc>
      </w:tr>
      <w:tr>
        <w:trPr>
          <w:trHeight w:val="202"/>
        </w:trPr>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(650) 577-3600</w:t>
            </w:r>
          </w:p>
        </w:tc>
        <w:tc>
          <w:tcPr>
            <w:tcW w:w="5720" w:type="dxa"/>
            <w:vAlign w:val="bottom"/>
            <w:gridSpan w:val="3"/>
          </w:tcPr>
          <w:p>
            <w:pPr>
              <w:jc w:val="right"/>
              <w:ind w:right="1400"/>
              <w:spacing w:after="0"/>
              <w:rPr>
                <w:sz w:val="20"/>
                <w:szCs w:val="20"/>
                <w:color w:val="auto"/>
              </w:rPr>
            </w:pPr>
            <w:r>
              <w:rPr>
                <w:rFonts w:ascii="Arial" w:cs="Arial" w:eastAsia="Arial" w:hAnsi="Arial"/>
                <w:sz w:val="16"/>
                <w:szCs w:val="16"/>
                <w:b w:val="1"/>
                <w:bCs w:val="1"/>
                <w:color w:val="auto"/>
              </w:rPr>
              <w:t>(650) 577-3600</w:t>
            </w:r>
          </w:p>
        </w:tc>
      </w:tr>
      <w:tr>
        <w:trPr>
          <w:trHeight w:val="198"/>
        </w:trPr>
        <w:tc>
          <w:tcPr>
            <w:tcW w:w="4040" w:type="dxa"/>
            <w:vAlign w:val="bottom"/>
            <w:gridSpan w:val="3"/>
          </w:tcPr>
          <w:p>
            <w:pPr>
              <w:jc w:val="center"/>
              <w:spacing w:after="0"/>
              <w:rPr>
                <w:sz w:val="20"/>
                <w:szCs w:val="20"/>
                <w:color w:val="auto"/>
              </w:rPr>
            </w:pPr>
            <w:r>
              <w:rPr>
                <w:rFonts w:ascii="Arial" w:cs="Arial" w:eastAsia="Arial" w:hAnsi="Arial"/>
                <w:sz w:val="16"/>
                <w:szCs w:val="16"/>
                <w:color w:val="auto"/>
                <w:w w:val="90"/>
              </w:rPr>
              <w:t>(Address, including zip code, and telephone number,</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color w:val="auto"/>
                <w:w w:val="89"/>
              </w:rPr>
              <w:t>(Name, address, including zip code, and telephone number,</w:t>
            </w:r>
          </w:p>
        </w:tc>
      </w:tr>
      <w:tr>
        <w:trPr>
          <w:trHeight w:val="205"/>
        </w:trPr>
        <w:tc>
          <w:tcPr>
            <w:tcW w:w="4040" w:type="dxa"/>
            <w:vAlign w:val="bottom"/>
            <w:gridSpan w:val="3"/>
          </w:tcPr>
          <w:p>
            <w:pPr>
              <w:jc w:val="center"/>
              <w:spacing w:after="0"/>
              <w:rPr>
                <w:sz w:val="20"/>
                <w:szCs w:val="20"/>
                <w:color w:val="auto"/>
              </w:rPr>
            </w:pPr>
            <w:r>
              <w:rPr>
                <w:rFonts w:ascii="Arial" w:cs="Arial" w:eastAsia="Arial" w:hAnsi="Arial"/>
                <w:sz w:val="16"/>
                <w:szCs w:val="16"/>
                <w:color w:val="auto"/>
                <w:w w:val="92"/>
              </w:rPr>
              <w:t>including area code of Registrant’s principal executive offices)</w:t>
            </w:r>
          </w:p>
        </w:tc>
        <w:tc>
          <w:tcPr>
            <w:tcW w:w="5720" w:type="dxa"/>
            <w:vAlign w:val="bottom"/>
            <w:gridSpan w:val="3"/>
          </w:tcPr>
          <w:p>
            <w:pPr>
              <w:jc w:val="center"/>
              <w:ind w:left="1840"/>
              <w:spacing w:after="0"/>
              <w:rPr>
                <w:sz w:val="20"/>
                <w:szCs w:val="20"/>
                <w:color w:val="auto"/>
              </w:rPr>
            </w:pPr>
            <w:r>
              <w:rPr>
                <w:rFonts w:ascii="Arial" w:cs="Arial" w:eastAsia="Arial" w:hAnsi="Arial"/>
                <w:sz w:val="16"/>
                <w:szCs w:val="16"/>
                <w:color w:val="auto"/>
                <w:w w:val="91"/>
              </w:rPr>
              <w:t>including area code, of agent for service)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From time to time after the effective date of this Registration Statement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(Approximate date of commencement of proposed sale to public)</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all communications, including all communications sent to the agent for service, should be sent to:</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Shawn K. Singh, J.D.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Chief Executive Officer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Daniel W. Rumsey,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Jessica R. Sudweeks, Esq.</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Disclosure Law Group,</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 Professional Corporation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655 West Broadway, Suite 870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San Diego, California 92101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 (619) 272-7050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Fax: (619) 330-2101</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12"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of the Securities Act of 1933, other than securities offered only in connection with dividend or interest reinvestment plans, check the following box. [X]</w:t>
      </w:r>
    </w:p>
    <w:p>
      <w:pPr>
        <w:spacing w:after="0" w:line="156"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56"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56"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If this Form is a registration statement pursuant to General Instruction I.D. or a post-effective amendment thereto that shall become effective upon filing with the Commission pursuant to Rule 462(e) under the Securities Act, please check the following box. [ ]</w:t>
      </w:r>
    </w:p>
    <w:p>
      <w:pPr>
        <w:spacing w:after="0" w:line="156"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If this Form is a post-effective amendment to a registration statement filed pursuant to General Instruction I.D. filed to register additional securities or additional classes of securities pursuant to Rule 413(b) under the Securities Act, please check the following box. [ ]</w:t>
      </w:r>
    </w:p>
    <w:p>
      <w:pPr>
        <w:spacing w:after="0" w:line="156" w:lineRule="exact"/>
        <w:rPr>
          <w:sz w:val="24"/>
          <w:szCs w:val="24"/>
          <w:color w:val="auto"/>
        </w:rPr>
      </w:pPr>
    </w:p>
    <w:p>
      <w:pPr>
        <w:jc w:val="both"/>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56" w:right="339" w:bottom="116" w:gutter="0" w:footer="0" w:header="0"/>
        </w:sectPr>
      </w:pPr>
    </w:p>
    <w:p>
      <w:pPr>
        <w:spacing w:after="0" w:line="168" w:lineRule="exact"/>
        <w:rPr>
          <w:sz w:val="24"/>
          <w:szCs w:val="24"/>
          <w:color w:val="auto"/>
        </w:rPr>
      </w:pPr>
    </w:p>
    <w:p>
      <w:pPr>
        <w:spacing w:after="0" w:line="360"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 ]</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tabs>
          <w:tab w:leader="none" w:pos="1220" w:val="left"/>
        </w:tabs>
        <w:rPr>
          <w:sz w:val="20"/>
          <w:szCs w:val="20"/>
          <w:color w:val="auto"/>
        </w:rPr>
      </w:pPr>
      <w:r>
        <w:rPr>
          <w:rFonts w:ascii="Arial" w:cs="Arial" w:eastAsia="Arial" w:hAnsi="Arial"/>
          <w:sz w:val="16"/>
          <w:szCs w:val="16"/>
          <w:color w:val="auto"/>
        </w:rPr>
        <w:t>Accelerated filer</w:t>
        <w:tab/>
        <w:t>[ ]</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4"/>
          <w:szCs w:val="24"/>
          <w:color w:val="auto"/>
        </w:rPr>
      </w:pPr>
    </w:p>
    <w:p>
      <w:pPr>
        <w:sectPr>
          <w:pgSz w:w="11900" w:h="16838" w:orient="portrait"/>
          <w:cols w:equalWidth="0" w:num="4">
            <w:col w:w="1440" w:space="80"/>
            <w:col w:w="3160" w:space="720"/>
            <w:col w:w="1760" w:space="80"/>
            <w:col w:w="4000"/>
          </w:cols>
          <w:pgMar w:left="320" w:top="856" w:right="339" w:bottom="116" w:gutter="0" w:footer="0" w:header="0"/>
          <w:type w:val="continuous"/>
        </w:sectPr>
      </w:pPr>
    </w:p>
    <w:p>
      <w:pPr>
        <w:spacing w:after="0" w:line="4" w:lineRule="exact"/>
        <w:rPr>
          <w:sz w:val="24"/>
          <w:szCs w:val="24"/>
          <w:color w:val="auto"/>
        </w:rPr>
      </w:pPr>
    </w:p>
    <w:p>
      <w:pPr>
        <w:spacing w:after="0" w:line="28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Section 7(a)(2)(B) of the Securities Act. [ ]</w:t>
      </w:r>
    </w:p>
    <w:p>
      <w:pPr>
        <w:sectPr>
          <w:pgSz w:w="11900" w:h="16838" w:orient="portrait"/>
          <w:cols w:equalWidth="0" w:num="1">
            <w:col w:w="11240"/>
          </w:cols>
          <w:pgMar w:left="320" w:top="856" w:right="339" w:bottom="116" w:gutter="0" w:footer="0" w:header="0"/>
          <w:type w:val="continuous"/>
        </w:sectPr>
      </w:pPr>
    </w:p>
    <w:bookmarkStart w:id="1" w:name="page2"/>
    <w:bookmarkEnd w:id="1"/>
    <w:p>
      <w:pPr>
        <w:spacing w:after="0" w:line="28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214630</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285115</wp:posOffset>
            </wp:positionV>
            <wp:extent cx="714375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311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489585</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3760" w:type="dxa"/>
            <w:vAlign w:val="bottom"/>
            <w:gridSpan w:val="5"/>
          </w:tcPr>
          <w:p>
            <w:pPr>
              <w:ind w:left="640"/>
              <w:spacing w:after="0"/>
              <w:rPr>
                <w:sz w:val="20"/>
                <w:szCs w:val="20"/>
                <w:color w:val="auto"/>
              </w:rPr>
            </w:pPr>
            <w:r>
              <w:rPr>
                <w:rFonts w:ascii="Arial" w:cs="Arial" w:eastAsia="Arial" w:hAnsi="Arial"/>
                <w:sz w:val="16"/>
                <w:szCs w:val="16"/>
                <w:b w:val="1"/>
                <w:bCs w:val="1"/>
                <w:color w:val="auto"/>
              </w:rPr>
              <w:t>CALCULATION OF REGISTRATION FEE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Proposed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rPr>
              <w:t>Proposed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4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62"/>
              <w:spacing w:after="0"/>
              <w:rPr>
                <w:sz w:val="20"/>
                <w:szCs w:val="20"/>
                <w:color w:val="auto"/>
              </w:rPr>
            </w:pPr>
            <w:r>
              <w:rPr>
                <w:rFonts w:ascii="Arial" w:cs="Arial" w:eastAsia="Arial" w:hAnsi="Arial"/>
                <w:sz w:val="16"/>
                <w:szCs w:val="16"/>
                <w:b w:val="1"/>
                <w:bCs w:val="1"/>
                <w:color w:val="auto"/>
                <w:w w:val="97"/>
              </w:rPr>
              <w:t>Maximum</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74"/>
        </w:trPr>
        <w:tc>
          <w:tcPr>
            <w:tcW w:w="3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jc w:val="center"/>
              <w:spacing w:after="0" w:line="173" w:lineRule="exact"/>
              <w:rPr>
                <w:sz w:val="20"/>
                <w:szCs w:val="20"/>
                <w:color w:val="auto"/>
              </w:rPr>
            </w:pPr>
            <w:r>
              <w:rPr>
                <w:rFonts w:ascii="Arial" w:cs="Arial" w:eastAsia="Arial" w:hAnsi="Arial"/>
                <w:sz w:val="16"/>
                <w:szCs w:val="16"/>
                <w:b w:val="1"/>
                <w:bCs w:val="1"/>
                <w:color w:val="auto"/>
                <w:w w:val="97"/>
              </w:rPr>
              <w:t>Maximum</w:t>
            </w: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4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8"/>
              </w:rPr>
              <w:t>Aggregate</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40" w:type="dxa"/>
            <w:vAlign w:val="bottom"/>
            <w:vMerge w:val="restart"/>
          </w:tcPr>
          <w:p>
            <w:pPr>
              <w:spacing w:after="0"/>
              <w:rPr>
                <w:sz w:val="20"/>
                <w:szCs w:val="20"/>
                <w:color w:val="auto"/>
              </w:rPr>
            </w:pPr>
            <w:r>
              <w:rPr>
                <w:rFonts w:ascii="Arial" w:cs="Arial" w:eastAsia="Arial" w:hAnsi="Arial"/>
                <w:sz w:val="16"/>
                <w:szCs w:val="16"/>
                <w:b w:val="1"/>
                <w:bCs w:val="1"/>
                <w:color w:val="auto"/>
              </w:rPr>
              <w:t>Title of each class of securities to</w:t>
            </w: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3"/>
            <w:vMerge w:val="restart"/>
          </w:tcPr>
          <w:p>
            <w:pPr>
              <w:jc w:val="right"/>
              <w:ind w:right="400"/>
              <w:spacing w:after="0"/>
              <w:rPr>
                <w:sz w:val="20"/>
                <w:szCs w:val="20"/>
                <w:color w:val="auto"/>
              </w:rPr>
            </w:pPr>
            <w:r>
              <w:rPr>
                <w:rFonts w:ascii="Arial" w:cs="Arial" w:eastAsia="Arial" w:hAnsi="Arial"/>
                <w:sz w:val="16"/>
                <w:szCs w:val="16"/>
                <w:b w:val="1"/>
                <w:bCs w:val="1"/>
                <w:color w:val="auto"/>
                <w:w w:val="91"/>
              </w:rPr>
              <w:t>Amount to be</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Offering Price</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89"/>
              </w:rPr>
              <w:t>Registration</w:t>
            </w:r>
          </w:p>
        </w:tc>
        <w:tc>
          <w:tcPr>
            <w:tcW w:w="0" w:type="dxa"/>
            <w:vAlign w:val="bottom"/>
          </w:tcPr>
          <w:p>
            <w:pPr>
              <w:spacing w:after="0"/>
              <w:rPr>
                <w:sz w:val="1"/>
                <w:szCs w:val="1"/>
                <w:color w:val="auto"/>
              </w:rPr>
            </w:pPr>
          </w:p>
        </w:tc>
      </w:tr>
      <w:tr>
        <w:trPr>
          <w:trHeight w:val="162"/>
        </w:trPr>
        <w:tc>
          <w:tcPr>
            <w:tcW w:w="34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18"/>
                <w:szCs w:val="18"/>
                <w:b w:val="1"/>
                <w:bCs w:val="1"/>
                <w:color w:val="auto"/>
                <w:vertAlign w:val="superscript"/>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40" w:type="dxa"/>
            <w:vAlign w:val="bottom"/>
          </w:tcPr>
          <w:p>
            <w:pPr>
              <w:spacing w:after="0" w:line="173" w:lineRule="exact"/>
              <w:rPr>
                <w:sz w:val="20"/>
                <w:szCs w:val="20"/>
                <w:color w:val="auto"/>
              </w:rPr>
            </w:pPr>
            <w:r>
              <w:rPr>
                <w:rFonts w:ascii="Arial" w:cs="Arial" w:eastAsia="Arial" w:hAnsi="Arial"/>
                <w:sz w:val="16"/>
                <w:szCs w:val="16"/>
                <w:b w:val="1"/>
                <w:bCs w:val="1"/>
                <w:color w:val="auto"/>
              </w:rPr>
              <w:t>be registered</w:t>
            </w:r>
          </w:p>
        </w:tc>
        <w:tc>
          <w:tcPr>
            <w:tcW w:w="2320" w:type="dxa"/>
            <w:vAlign w:val="bottom"/>
          </w:tcPr>
          <w:p>
            <w:pPr>
              <w:spacing w:after="0"/>
              <w:rPr>
                <w:sz w:val="15"/>
                <w:szCs w:val="15"/>
                <w:color w:val="auto"/>
              </w:rPr>
            </w:pPr>
          </w:p>
        </w:tc>
        <w:tc>
          <w:tcPr>
            <w:tcW w:w="1120" w:type="dxa"/>
            <w:vAlign w:val="bottom"/>
            <w:tcBorders>
              <w:bottom w:val="single" w:sz="8" w:color="auto"/>
            </w:tcBorders>
            <w:gridSpan w:val="2"/>
          </w:tcPr>
          <w:p>
            <w:pPr>
              <w:jc w:val="right"/>
              <w:spacing w:after="0" w:line="173" w:lineRule="exact"/>
              <w:rPr>
                <w:sz w:val="20"/>
                <w:szCs w:val="20"/>
                <w:color w:val="auto"/>
              </w:rPr>
            </w:pPr>
            <w:r>
              <w:rPr>
                <w:rFonts w:ascii="Arial" w:cs="Arial" w:eastAsia="Arial" w:hAnsi="Arial"/>
                <w:sz w:val="15"/>
                <w:szCs w:val="15"/>
                <w:b w:val="1"/>
                <w:bCs w:val="1"/>
                <w:color w:val="auto"/>
                <w:w w:val="92"/>
              </w:rPr>
              <w:t>Registered</w:t>
            </w:r>
            <w:r>
              <w:rPr>
                <w:rFonts w:ascii="Arial" w:cs="Arial" w:eastAsia="Arial" w:hAnsi="Arial"/>
                <w:sz w:val="20"/>
                <w:szCs w:val="20"/>
                <w:b w:val="1"/>
                <w:bCs w:val="1"/>
                <w:color w:val="auto"/>
                <w:w w:val="92"/>
                <w:vertAlign w:val="superscript"/>
              </w:rPr>
              <w:t>(1)(2)</w:t>
            </w: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5"/>
                <w:szCs w:val="15"/>
                <w:b w:val="1"/>
                <w:bCs w:val="1"/>
                <w:color w:val="auto"/>
                <w:w w:val="93"/>
              </w:rPr>
              <w:t>Per Unit</w:t>
            </w:r>
            <w:r>
              <w:rPr>
                <w:rFonts w:ascii="Arial" w:cs="Arial" w:eastAsia="Arial" w:hAnsi="Arial"/>
                <w:sz w:val="20"/>
                <w:szCs w:val="20"/>
                <w:b w:val="1"/>
                <w:bCs w:val="1"/>
                <w:color w:val="auto"/>
                <w:w w:val="93"/>
                <w:vertAlign w:val="superscript"/>
              </w:rPr>
              <w:t>(1)(3)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4"/>
              <w:spacing w:after="0" w:line="173" w:lineRule="exact"/>
              <w:rPr>
                <w:sz w:val="20"/>
                <w:szCs w:val="20"/>
                <w:color w:val="auto"/>
              </w:rPr>
            </w:pPr>
            <w:r>
              <w:rPr>
                <w:rFonts w:ascii="Arial" w:cs="Arial" w:eastAsia="Arial" w:hAnsi="Arial"/>
                <w:sz w:val="20"/>
                <w:szCs w:val="20"/>
                <w:b w:val="1"/>
                <w:bCs w:val="1"/>
                <w:color w:val="auto"/>
                <w:vertAlign w:val="subscript"/>
              </w:rPr>
              <w:t>Fee</w:t>
            </w:r>
            <w:r>
              <w:rPr>
                <w:rFonts w:ascii="Arial" w:cs="Arial" w:eastAsia="Arial" w:hAnsi="Arial"/>
                <w:sz w:val="9"/>
                <w:szCs w:val="9"/>
                <w:b w:val="1"/>
                <w:bCs w:val="1"/>
                <w:color w:val="auto"/>
              </w:rPr>
              <w:t>(4)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Common Stock, par value $0.001 per share</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6"/>
                <w:szCs w:val="16"/>
                <w:color w:val="auto"/>
              </w:rPr>
              <w:t>Preferred Stock, par value $0.001 per share</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440" w:type="dxa"/>
            <w:vAlign w:val="bottom"/>
          </w:tcPr>
          <w:p>
            <w:pPr>
              <w:spacing w:after="0"/>
              <w:rPr>
                <w:sz w:val="20"/>
                <w:szCs w:val="20"/>
                <w:color w:val="auto"/>
              </w:rPr>
            </w:pPr>
            <w:r>
              <w:rPr>
                <w:rFonts w:ascii="Arial" w:cs="Arial" w:eastAsia="Arial" w:hAnsi="Arial"/>
                <w:sz w:val="16"/>
                <w:szCs w:val="16"/>
                <w:color w:val="auto"/>
              </w:rPr>
              <w:t>Units</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tcPr>
          <w:p>
            <w:pPr>
              <w:ind w:left="9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250,000,000</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250,000,000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27,275.00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left="461" w:hanging="461"/>
        <w:spacing w:after="0" w:line="301" w:lineRule="auto"/>
        <w:tabs>
          <w:tab w:leader="none" w:pos="461"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This registration statement covers the registration of such indeterminate number of shares of common stock, such indeterminate number of shares of preferred stock; such indeterminate number of warrants to purchase shares of common stock, shares of preferred stock and /or units; and such indeterminate number of units as may be sold by the registrant from time to time, which together shall have an aggregate initial offering price not to exceed $250,000,000. Any securities registered hereunder may be sold separately, together or as units with any other securities registered. Any unit sold hereunder will represent an interest in two or more other securities, which may or may not be separable from one another. The securities registered hereunder also include such indeterminate number of shares of common stock and preferred stock, and such indeterminate number of warrants as may be issued upon the conversion of, or exchange for, preferred stock; upon the exercise of warrants; or pursuant to the customary anti-dilution provisions of any such securities (e.g., stock-splits, stock dividends and the like). Separate consideration may or may not be received for securities that are issuable upon conversion of, or in exchange for, or upon exercise of, convertible or exchangeable securities. In addition, pursuant to Rule 416 under the Securities Act of 1933, as amended (the </w:t>
      </w:r>
      <w:r>
        <w:rPr>
          <w:rFonts w:ascii="Arial" w:cs="Arial" w:eastAsia="Arial" w:hAnsi="Arial"/>
          <w:sz w:val="14"/>
          <w:szCs w:val="14"/>
          <w:i w:val="1"/>
          <w:iCs w:val="1"/>
          <w:color w:val="auto"/>
        </w:rPr>
        <w:t>Securities Act</w:t>
      </w:r>
      <w:r>
        <w:rPr>
          <w:rFonts w:ascii="Arial" w:cs="Arial" w:eastAsia="Arial" w:hAnsi="Arial"/>
          <w:sz w:val="14"/>
          <w:szCs w:val="14"/>
          <w:color w:val="auto"/>
        </w:rPr>
        <w:t>), the securities being registered hereunder include such indeterminate number of shares of common stock or preferred stock as may be issuable with respect to the shares being registered hereunder as a result of stock splits, stock dividends, or similar transactions effected without the receipt of consideration which result in an increase in the number of our outstanding shares of common stock or preferred stock.</w:t>
      </w:r>
    </w:p>
    <w:p>
      <w:pPr>
        <w:spacing w:after="0" w:line="152" w:lineRule="exact"/>
        <w:rPr>
          <w:rFonts w:ascii="Arial" w:cs="Arial" w:eastAsia="Arial" w:hAnsi="Arial"/>
          <w:sz w:val="14"/>
          <w:szCs w:val="14"/>
          <w:color w:val="auto"/>
        </w:rPr>
      </w:pPr>
    </w:p>
    <w:p>
      <w:pPr>
        <w:jc w:val="both"/>
        <w:ind w:left="461" w:hanging="461"/>
        <w:spacing w:after="0" w:line="296" w:lineRule="auto"/>
        <w:tabs>
          <w:tab w:leader="none" w:pos="461"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common stock to be issued pursuant to this registration statement may include the issuance of (i) up to 1,388,931 shares of common stock (the </w:t>
      </w:r>
      <w:r>
        <w:rPr>
          <w:rFonts w:ascii="Arial" w:cs="Arial" w:eastAsia="Arial" w:hAnsi="Arial"/>
          <w:sz w:val="14"/>
          <w:szCs w:val="14"/>
          <w:i w:val="1"/>
          <w:iCs w:val="1"/>
          <w:color w:val="auto"/>
        </w:rPr>
        <w:t>Series A1 Warrant</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issuable pursuant to the potential future exercise of currently outstanding Series A1 warrants (the</w:t>
      </w:r>
      <w:r>
        <w:rPr>
          <w:rFonts w:ascii="Arial" w:cs="Arial" w:eastAsia="Arial" w:hAnsi="Arial"/>
          <w:sz w:val="14"/>
          <w:szCs w:val="14"/>
          <w:i w:val="1"/>
          <w:iCs w:val="1"/>
          <w:color w:val="auto"/>
        </w:rPr>
        <w:t xml:space="preserve"> Series A1 Warrants</w:t>
      </w:r>
      <w:r>
        <w:rPr>
          <w:rFonts w:ascii="Arial" w:cs="Arial" w:eastAsia="Arial" w:hAnsi="Arial"/>
          <w:sz w:val="14"/>
          <w:szCs w:val="14"/>
          <w:color w:val="auto"/>
        </w:rPr>
        <w:t>) with an exercise price of $1.82 per share</w:t>
      </w:r>
      <w:r>
        <w:rPr>
          <w:rFonts w:ascii="Arial" w:cs="Arial" w:eastAsia="Arial" w:hAnsi="Arial"/>
          <w:sz w:val="14"/>
          <w:szCs w:val="14"/>
          <w:i w:val="1"/>
          <w:iCs w:val="1"/>
          <w:color w:val="auto"/>
        </w:rPr>
        <w:t xml:space="preserve"> </w:t>
      </w:r>
      <w:r>
        <w:rPr>
          <w:rFonts w:ascii="Arial" w:cs="Arial" w:eastAsia="Arial" w:hAnsi="Arial"/>
          <w:sz w:val="14"/>
          <w:szCs w:val="14"/>
          <w:color w:val="auto"/>
        </w:rPr>
        <w:t>and a term expiring on or about March 7, 2023, the date which is five years from the date of their issuance and (ii) up to 46,000,000 shares of common stock issuable upon conversion of 2,000,000 shares of the registrant’s Series D Convertible Preferred Stock (</w:t>
      </w:r>
      <w:r>
        <w:rPr>
          <w:rFonts w:ascii="Arial" w:cs="Arial" w:eastAsia="Arial" w:hAnsi="Arial"/>
          <w:sz w:val="14"/>
          <w:szCs w:val="14"/>
          <w:i w:val="1"/>
          <w:iCs w:val="1"/>
          <w:color w:val="auto"/>
        </w:rPr>
        <w:t>Series D Preferred</w:t>
      </w:r>
      <w:r>
        <w:rPr>
          <w:rFonts w:ascii="Arial" w:cs="Arial" w:eastAsia="Arial" w:hAnsi="Arial"/>
          <w:sz w:val="14"/>
          <w:szCs w:val="14"/>
          <w:color w:val="auto"/>
        </w:rPr>
        <w:t xml:space="preserve">) issued and outstanding as of March 10, 2021 (the </w:t>
      </w:r>
      <w:r>
        <w:rPr>
          <w:rFonts w:ascii="Arial" w:cs="Arial" w:eastAsia="Arial" w:hAnsi="Arial"/>
          <w:sz w:val="14"/>
          <w:szCs w:val="14"/>
          <w:i w:val="1"/>
          <w:iCs w:val="1"/>
          <w:color w:val="auto"/>
        </w:rPr>
        <w:t>Series D Conversion Shares</w:t>
      </w:r>
      <w:r>
        <w:rPr>
          <w:rFonts w:ascii="Arial" w:cs="Arial" w:eastAsia="Arial" w:hAnsi="Arial"/>
          <w:sz w:val="14"/>
          <w:szCs w:val="14"/>
          <w:color w:val="auto"/>
        </w:rPr>
        <w:t>). The Series A1 Warrants and the Series A1 Warrant Shares were previously registered on the registrant’s registration statements 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Form S-3 (File Nos. 333-215671 and 333-234025), and the Series D Conversion Shares were previously registered on the registrant’s registration statement on Form S-3 (File No. 333-234025) (collectively, the </w:t>
      </w:r>
      <w:r>
        <w:rPr>
          <w:rFonts w:ascii="Arial" w:cs="Arial" w:eastAsia="Arial" w:hAnsi="Arial"/>
          <w:sz w:val="14"/>
          <w:szCs w:val="14"/>
          <w:i w:val="1"/>
          <w:iCs w:val="1"/>
          <w:color w:val="auto"/>
        </w:rPr>
        <w:t>Prior Registration Statements</w:t>
      </w:r>
      <w:r>
        <w:rPr>
          <w:rFonts w:ascii="Arial" w:cs="Arial" w:eastAsia="Arial" w:hAnsi="Arial"/>
          <w:sz w:val="14"/>
          <w:szCs w:val="14"/>
          <w:color w:val="auto"/>
        </w:rPr>
        <w:t xml:space="preserve">), which were originally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on January 23, 2017 and September 30, 2019, respectively, and declared effective by the SEC on July 27, 2017 and October 8, 2019, respectively. Pursuant to Rule 415(a)</w:t>
      </w:r>
    </w:p>
    <w:p>
      <w:pPr>
        <w:spacing w:after="0" w:line="1" w:lineRule="exact"/>
        <w:rPr>
          <w:rFonts w:ascii="Arial" w:cs="Arial" w:eastAsia="Arial" w:hAnsi="Arial"/>
          <w:sz w:val="14"/>
          <w:szCs w:val="14"/>
          <w:color w:val="auto"/>
        </w:rPr>
      </w:pPr>
    </w:p>
    <w:p>
      <w:pPr>
        <w:ind w:left="461"/>
        <w:spacing w:after="0" w:line="276" w:lineRule="auto"/>
        <w:rPr>
          <w:rFonts w:ascii="Arial" w:cs="Arial" w:eastAsia="Arial" w:hAnsi="Arial"/>
          <w:sz w:val="14"/>
          <w:szCs w:val="14"/>
          <w:color w:val="auto"/>
        </w:rPr>
      </w:pPr>
      <w:r>
        <w:rPr>
          <w:rFonts w:ascii="Arial" w:cs="Arial" w:eastAsia="Arial" w:hAnsi="Arial"/>
          <w:sz w:val="16"/>
          <w:szCs w:val="16"/>
          <w:color w:val="auto"/>
        </w:rPr>
        <w:t>(6) and Rule 429 under the Securities Act, the offering of the Series A1 Warrant Shares and Series D Conversion Shares will be registered pursuant to this registration statement.</w:t>
      </w:r>
    </w:p>
    <w:p>
      <w:pPr>
        <w:spacing w:after="0" w:line="162" w:lineRule="exact"/>
        <w:rPr>
          <w:rFonts w:ascii="Arial" w:cs="Arial" w:eastAsia="Arial" w:hAnsi="Arial"/>
          <w:sz w:val="14"/>
          <w:szCs w:val="14"/>
          <w:color w:val="auto"/>
        </w:rPr>
      </w:pPr>
    </w:p>
    <w:p>
      <w:pPr>
        <w:jc w:val="both"/>
        <w:ind w:left="461" w:hanging="461"/>
        <w:spacing w:after="0" w:line="267" w:lineRule="auto"/>
        <w:tabs>
          <w:tab w:leader="none" w:pos="461"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aggregate offering price per class of security will be determined, from time to time, by the registrant in connection with, and at the time of, the issuance of the securities registered pursuant to this registration statement and is not specified as to each class of security pursuant to General Instruction II.D. of Form S-3. The proposed maximum initial offering prices per unit will be determined, from time to time, by the registrant in connection with, and at the time of, the issuance of the securities.</w:t>
      </w:r>
    </w:p>
    <w:p>
      <w:pPr>
        <w:spacing w:after="0" w:line="195" w:lineRule="exact"/>
        <w:rPr>
          <w:rFonts w:ascii="Arial" w:cs="Arial" w:eastAsia="Arial" w:hAnsi="Arial"/>
          <w:sz w:val="16"/>
          <w:szCs w:val="16"/>
          <w:color w:val="auto"/>
        </w:rPr>
      </w:pPr>
    </w:p>
    <w:p>
      <w:pPr>
        <w:jc w:val="both"/>
        <w:ind w:left="461" w:hanging="461"/>
        <w:spacing w:after="0" w:line="280" w:lineRule="auto"/>
        <w:tabs>
          <w:tab w:leader="none" w:pos="461"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Pursuant to Rule 457(o) under the Securities Act, the registration fee is calculated based on the proposed maximum offering price of the securities being registered. Pursuant to Rule 415(a)(6) under the Securities Act, this registration statement covers a total of $32,675,400 of securities that were previously registered pursuant to the Prior Registration Statements, but which remain unsold as of the date hereof (the </w:t>
      </w:r>
      <w:r>
        <w:rPr>
          <w:rFonts w:ascii="Arial" w:cs="Arial" w:eastAsia="Arial" w:hAnsi="Arial"/>
          <w:sz w:val="15"/>
          <w:szCs w:val="15"/>
          <w:i w:val="1"/>
          <w:iCs w:val="1"/>
          <w:color w:val="auto"/>
        </w:rPr>
        <w:t>Unsold Securities</w:t>
      </w:r>
      <w:r>
        <w:rPr>
          <w:rFonts w:ascii="Arial" w:cs="Arial" w:eastAsia="Arial" w:hAnsi="Arial"/>
          <w:sz w:val="15"/>
          <w:szCs w:val="15"/>
          <w:color w:val="auto"/>
        </w:rPr>
        <w:t>). The Unsold Securities are being carried forward to and registered on this registration statement. In connection with the registration of the Unsold Securities on the Prior Registration Statements, the registrant previously paid a registration fee of $3,960.26.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Statements will be deemed terminated as of the date of effectiveness of this registration statement. Accordingly, the Registrant is paying a registration fee of $23,314.74 with the filing of this registration statement. If the registrant sells any of the Unsold Securities pursuant to the Prior Registration Statements after the date of the initial filing, and prior to the date of effectiveness, of this registration statement, the registrant will file a pre-effective amendment to this registration statement, which will reduce the number of Unsold Securities included on this registration statement.</w:t>
      </w:r>
    </w:p>
    <w:p>
      <w:pPr>
        <w:spacing w:after="0" w:line="160"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71437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2" w:right="339" w:bottom="1440" w:gutter="0" w:footer="0" w:header="0"/>
        </w:sectPr>
      </w:pPr>
    </w:p>
    <w:bookmarkStart w:id="3" w:name="page4"/>
    <w:bookmarkEnd w:id="3"/>
    <w:p>
      <w:pPr>
        <w:jc w:val="both"/>
        <w:ind w:left="120" w:right="100"/>
        <w:spacing w:after="0" w:line="274" w:lineRule="auto"/>
        <w:rPr>
          <w:sz w:val="20"/>
          <w:szCs w:val="20"/>
          <w:color w:val="auto"/>
        </w:rPr>
      </w:pPr>
      <w:r>
        <w:rPr>
          <w:rFonts w:ascii="Arial" w:cs="Arial" w:eastAsia="Arial" w:hAnsi="Arial"/>
          <w:sz w:val="16"/>
          <w:szCs w:val="16"/>
          <w:b w:val="1"/>
          <w:bCs w:val="1"/>
          <w:color w:val="FF0000"/>
        </w:rPr>
        <w:drawing>
          <wp:anchor simplePos="0" relativeHeight="251657728" behindDoc="1" locked="0" layoutInCell="0" allowOverlap="1">
            <wp:simplePos x="0" y="0"/>
            <wp:positionH relativeFrom="page">
              <wp:posOffset>202565</wp:posOffset>
            </wp:positionH>
            <wp:positionV relativeFrom="page">
              <wp:posOffset>340360</wp:posOffset>
            </wp:positionV>
            <wp:extent cx="7143750" cy="643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64389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71" w:lineRule="exact"/>
        <w:rPr>
          <w:sz w:val="20"/>
          <w:szCs w:val="20"/>
          <w:color w:val="auto"/>
        </w:rPr>
      </w:pPr>
    </w:p>
    <w:p>
      <w:pPr>
        <w:ind w:left="40"/>
        <w:spacing w:after="0"/>
        <w:tabs>
          <w:tab w:leader="none" w:pos="4320" w:val="left"/>
          <w:tab w:leader="none" w:pos="9420" w:val="left"/>
        </w:tabs>
        <w:rPr>
          <w:sz w:val="20"/>
          <w:szCs w:val="20"/>
          <w:color w:val="auto"/>
        </w:rPr>
      </w:pPr>
      <w:r>
        <w:rPr>
          <w:rFonts w:ascii="Arial" w:cs="Arial" w:eastAsia="Arial" w:hAnsi="Arial"/>
          <w:sz w:val="16"/>
          <w:szCs w:val="16"/>
          <w:b w:val="1"/>
          <w:bCs w:val="1"/>
          <w:color w:val="FF0000"/>
        </w:rPr>
        <w:t>PRELIMINARY PROSPECTUS</w:t>
      </w:r>
      <w:r>
        <w:rPr>
          <w:sz w:val="20"/>
          <w:szCs w:val="20"/>
          <w:color w:val="auto"/>
        </w:rPr>
        <w:tab/>
      </w:r>
      <w:r>
        <w:rPr>
          <w:rFonts w:ascii="Arial" w:cs="Arial" w:eastAsia="Arial" w:hAnsi="Arial"/>
          <w:sz w:val="16"/>
          <w:szCs w:val="16"/>
          <w:b w:val="1"/>
          <w:bCs w:val="1"/>
          <w:color w:val="FF0000"/>
        </w:rPr>
        <w:t>SUBJECT TO COMPLETION</w:t>
      </w:r>
      <w:r>
        <w:rPr>
          <w:sz w:val="20"/>
          <w:szCs w:val="20"/>
          <w:color w:val="auto"/>
        </w:rPr>
        <w:tab/>
      </w:r>
      <w:r>
        <w:rPr>
          <w:rFonts w:ascii="Arial" w:cs="Arial" w:eastAsia="Arial" w:hAnsi="Arial"/>
          <w:sz w:val="15"/>
          <w:szCs w:val="15"/>
          <w:b w:val="1"/>
          <w:bCs w:val="1"/>
          <w:color w:val="FF0000"/>
        </w:rPr>
        <w:t>DATED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267970</wp:posOffset>
            </wp:positionV>
            <wp:extent cx="973455" cy="620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3455" cy="62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From time to time, we may offer and sell, in one or more offerings, up to approximately $250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and upon conversion of shares of Series D Preferred (each as defined herein) are also being offered pursuant to this prospectus.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On March 12, 2021, the closing price of our common stock on the Nasdaq Capital Market was $2.35 per share.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March 10, 2021, the aggregate market value of our outstanding common stock held by non-affiliates was approximately $308,181,800, which was calculated in accordance with General Instruction I.B.1 of Form S-3, based on 143,340,410 shares of outstanding common stock held by non-affiliates, at a price per share of $2.15, the closing sale price of our common stock reported on the Nasdaq Capital Market on March 10, 2021.</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7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ind w:left="4280"/>
              <w:spacing w:after="0"/>
              <w:rPr>
                <w:sz w:val="20"/>
                <w:szCs w:val="20"/>
                <w:color w:val="auto"/>
              </w:rPr>
            </w:pPr>
            <w:r>
              <w:rPr>
                <w:rFonts w:ascii="Arial" w:cs="Arial" w:eastAsia="Arial" w:hAnsi="Arial"/>
                <w:sz w:val="16"/>
                <w:szCs w:val="16"/>
                <w:b w:val="1"/>
                <w:bCs w:val="1"/>
                <w:color w:val="auto"/>
                <w:w w:val="93"/>
              </w:rPr>
              <w:t>The date of this prospectus is</w:t>
            </w:r>
          </w:p>
        </w:tc>
        <w:tc>
          <w:tcPr>
            <w:tcW w:w="4820" w:type="dxa"/>
            <w:vAlign w:val="bottom"/>
          </w:tcPr>
          <w:p>
            <w:pPr>
              <w:jc w:val="right"/>
              <w:ind w:right="4200"/>
              <w:spacing w:after="0"/>
              <w:rPr>
                <w:sz w:val="20"/>
                <w:szCs w:val="20"/>
                <w:color w:val="auto"/>
              </w:rPr>
            </w:pPr>
            <w:r>
              <w:rPr>
                <w:rFonts w:ascii="Arial" w:cs="Arial" w:eastAsia="Arial" w:hAnsi="Arial"/>
                <w:sz w:val="16"/>
                <w:szCs w:val="16"/>
                <w:b w:val="1"/>
                <w:bCs w:val="1"/>
                <w:color w:val="auto"/>
              </w:rPr>
              <w:t>, 2021</w:t>
            </w:r>
          </w:p>
        </w:tc>
      </w:tr>
      <w:tr>
        <w:trPr>
          <w:trHeight w:val="797"/>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2"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40" w:type="dxa"/>
            <w:vAlign w:val="bottom"/>
          </w:tcPr>
          <w:p>
            <w:pPr>
              <w:spacing w:after="0"/>
              <w:rPr>
                <w:sz w:val="18"/>
                <w:szCs w:val="18"/>
                <w:color w:val="auto"/>
              </w:rPr>
            </w:pPr>
          </w:p>
        </w:tc>
      </w:tr>
      <w:tr>
        <w:trPr>
          <w:trHeight w:val="396"/>
        </w:trPr>
        <w:tc>
          <w:tcPr>
            <w:tcW w:w="87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24"/>
                <w:szCs w:val="24"/>
                <w:color w:val="auto"/>
              </w:rPr>
            </w:pPr>
          </w:p>
        </w:tc>
      </w:tr>
      <w:tr>
        <w:trPr>
          <w:trHeight w:val="396"/>
        </w:trPr>
        <w:tc>
          <w:tcPr>
            <w:tcW w:w="8700" w:type="dxa"/>
            <w:vAlign w:val="bottom"/>
          </w:tcPr>
          <w:p>
            <w:pPr>
              <w:spacing w:after="0"/>
              <w:rPr>
                <w:sz w:val="24"/>
                <w:szCs w:val="24"/>
                <w:color w:val="auto"/>
              </w:rPr>
            </w:pPr>
          </w:p>
        </w:tc>
        <w:tc>
          <w:tcPr>
            <w:tcW w:w="2540" w:type="dxa"/>
            <w:vAlign w:val="bottom"/>
          </w:tcPr>
          <w:p>
            <w:pPr>
              <w:ind w:left="1780"/>
              <w:spacing w:after="0"/>
              <w:rPr>
                <w:sz w:val="20"/>
                <w:szCs w:val="20"/>
                <w:color w:val="auto"/>
              </w:rPr>
            </w:pPr>
            <w:r>
              <w:rPr>
                <w:rFonts w:ascii="Arial" w:cs="Arial" w:eastAsia="Arial" w:hAnsi="Arial"/>
                <w:sz w:val="16"/>
                <w:szCs w:val="16"/>
                <w:color w:val="auto"/>
              </w:rPr>
              <w:t>PAGE</w:t>
            </w:r>
          </w:p>
        </w:tc>
      </w:tr>
      <w:tr>
        <w:trPr>
          <w:trHeight w:val="199"/>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0000FF"/>
              </w:rPr>
              <w:t>About This Prospectus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Company Overview</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Risk Factors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Cautionary Notes Regarding Forward-Looking Statements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Use of Proceeds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10</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Description of our Capital Stock</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Description of our Warrants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Description of our Units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Description of Certain Provisions of Nevada Law and our Articles of Incorporation and Bylaws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23</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Plan of Distribution</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26</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Legal Matters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Experts</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Where You Can Find More Information</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Incorporation of Certain Information by Reference</w:t>
              </w:r>
            </w:hyperlink>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28</w:t>
            </w: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27" w:lineRule="exact"/>
        <w:rPr>
          <w:sz w:val="20"/>
          <w:szCs w:val="20"/>
          <w:color w:val="auto"/>
        </w:rPr>
      </w:pPr>
    </w:p>
    <w:p>
      <w:pPr>
        <w:jc w:val="both"/>
        <w:ind w:right="100"/>
        <w:spacing w:after="0" w:line="30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5"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131"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OVERVIEW</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and any accompanying prospectus supplement, including the section titled “Risk Factors” on page 7, before deciding whether to purchase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are a clinical-stage biopharmaceutical company committed to developing and commercializing differentiated new generation medications that go beyond the current standard of care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disorders. Our pipeline includes three CNS product candidates, each with a differentiated potential mechanism of action, favorable safety results observed in all clinical studies to date, and therapeutic potential in multiple CNS markets. We are currently preparing PH94B for a pivotal Phase 3 clinical study as a potential acute treatment of anxiety in adults with social anxiety disorder (</w:t>
      </w:r>
      <w:r>
        <w:rPr>
          <w:rFonts w:ascii="Arial" w:cs="Arial" w:eastAsia="Arial" w:hAnsi="Arial"/>
          <w:sz w:val="15"/>
          <w:szCs w:val="15"/>
          <w:i w:val="1"/>
          <w:iCs w:val="1"/>
          <w:color w:val="auto"/>
        </w:rPr>
        <w:t>SAD</w:t>
      </w:r>
      <w:r>
        <w:rPr>
          <w:rFonts w:ascii="Arial" w:cs="Arial" w:eastAsia="Arial" w:hAnsi="Arial"/>
          <w:sz w:val="15"/>
          <w:szCs w:val="15"/>
          <w:color w:val="auto"/>
        </w:rPr>
        <w:t>), as well as additional nonclinical and clinical studies required to support our U.S. New Drug Application (</w:t>
      </w:r>
      <w:r>
        <w:rPr>
          <w:rFonts w:ascii="Arial" w:cs="Arial" w:eastAsia="Arial" w:hAnsi="Arial"/>
          <w:sz w:val="15"/>
          <w:szCs w:val="15"/>
          <w:i w:val="1"/>
          <w:iCs w:val="1"/>
          <w:color w:val="auto"/>
        </w:rPr>
        <w:t>NDA</w:t>
      </w:r>
      <w:r>
        <w:rPr>
          <w:rFonts w:ascii="Arial" w:cs="Arial" w:eastAsia="Arial" w:hAnsi="Arial"/>
          <w:sz w:val="15"/>
          <w:szCs w:val="15"/>
          <w:color w:val="auto"/>
        </w:rPr>
        <w:t>) for that indication should our Phase 3 clinical program be successful. In addition, we are planning for several small exploratory Phase 2A studies of PH94B in adult patients, including in adjustment disorder, pre-procedural anxiety, postpartum anxiety and post-traumatic stress disorder. PH10 has completed a successful exploratory Phase 2A study for the treatment of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We are currently preparing for planned Phase 2B clinical development of PH10 as a potential stand-alone treatment for MDD. In several clinical studies, AV-101 was shown to be orally bioavailable and was well-tolerated. Based on successful preclinical studies involving AV-101 alone and in combination with probenecid, we are currently planning to pursue Phase 1B, and, if successful, subsequent Phase 2A clinical development of AV-101, in combination with probenecid, for treatment of CNS indications involving the N-methyl-D-aspartate receptor (</w:t>
      </w:r>
      <w:r>
        <w:rPr>
          <w:rFonts w:ascii="Arial" w:cs="Arial" w:eastAsia="Arial" w:hAnsi="Arial"/>
          <w:sz w:val="15"/>
          <w:szCs w:val="15"/>
          <w:i w:val="1"/>
          <w:iCs w:val="1"/>
          <w:color w:val="auto"/>
        </w:rPr>
        <w:t>NMDAR</w:t>
      </w:r>
      <w:r>
        <w:rPr>
          <w:rFonts w:ascii="Arial" w:cs="Arial" w:eastAsia="Arial" w:hAnsi="Arial"/>
          <w:sz w:val="15"/>
          <w:szCs w:val="15"/>
          <w:color w:val="auto"/>
        </w:rPr>
        <w:t>). Additionally, our wholly owned subsidiary, VistaGen Therapeutics, Inc., d/b/a VistaStem, a California corporation (</w:t>
      </w:r>
      <w:r>
        <w:rPr>
          <w:rFonts w:ascii="Arial" w:cs="Arial" w:eastAsia="Arial" w:hAnsi="Arial"/>
          <w:sz w:val="15"/>
          <w:szCs w:val="15"/>
          <w:i w:val="1"/>
          <w:iCs w:val="1"/>
          <w:color w:val="auto"/>
        </w:rPr>
        <w:t>VistaStem</w:t>
      </w:r>
      <w:r>
        <w:rPr>
          <w:rFonts w:ascii="Arial" w:cs="Arial" w:eastAsia="Arial" w:hAnsi="Arial"/>
          <w:sz w:val="15"/>
          <w:szCs w:val="15"/>
          <w:color w:val="auto"/>
        </w:rPr>
        <w:t>), has pluripotent stem cell technology focused on assessing and developing small molecule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xml:space="preserve">) for our CNS pipeline, or for out-licensing, by utilizing </w:t>
      </w:r>
      <w:r>
        <w:rPr>
          <w:rFonts w:ascii="Arial" w:cs="Arial" w:eastAsia="Arial" w:hAnsi="Arial"/>
          <w:sz w:val="15"/>
          <w:szCs w:val="15"/>
          <w:i w:val="1"/>
          <w:iCs w:val="1"/>
          <w:color w:val="auto"/>
        </w:rPr>
        <w:t>CardioSafe 3D</w:t>
      </w:r>
      <w:r>
        <w:rPr>
          <w:rFonts w:ascii="Arial" w:cs="Arial" w:eastAsia="Arial" w:hAnsi="Arial"/>
          <w:sz w:val="15"/>
          <w:szCs w:val="15"/>
          <w:color w:val="auto"/>
        </w:rPr>
        <w:t>, VistaStem’s customized human heart cell-based cardiac bioassay system. Our goal is to become a biopharmaceutical company that develops and commercializes innovative CNS therapies for multiple large and growing neuropsychiatry and neurology markets worldwide where we believe current treatments are inadequate to meet the needs of millions of patients.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PH94B Nasal Spray for Anxiety Disorders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PH94B is an odorless synthetic rapid-onset pherine nasal spray with therapeutic potential in a wide range of neuropsychiatric indications involving anxiety or phobia. Conveniently self-administered in microgram-level doses without requiring systemic uptake and distribution to achieve its anti-anxiety effects, we are initially developing PH94B as a potential as a fast-acting, non-sedating, non-addictive new generation acute treatment of anxiety in adults with SAD. SAD affects approximately 20 million Americans and, according to the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is the third most common psychiatric condition after depression and substance abuse. A person with SAD feels symptoms of anxiety or fear in certain social situations, such as meeting new people, dating, being on a job interview, answering a question in a classroom or conference room, or having to talk to a cashier in a store. Doing everyday things in front of other people - such as eating, drinking or using a public restroom – may also cause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or rejected. The fear and anxiety that people with SAD have in social and performance situations is so strong that they feel they are beyond their ability to control. As a result, SAD gets in the way of going to work, attending school, meeting with others socially or doing everyday things in situations with potential for interpersonal interaction. People with SAD may worry about these and other things for weeks before they happen. Sometimes, they end up avoiding places or events where they think they might have to do something that will embarrass or humiliate them or cause them to be judged. Without treatment, SAD can last for many years or a lifetime and prevent a person from reaching his or her full potential.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Three oral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These FDA-approved antidepressants have slow onset of therapeutic effect (often taking many weeks to months), require chronic administration and often cause significant side effects that begin soon after administration. We believe their slow onset of effect, required chronic administration and significant potential side effects and safety concerns may make these FDA-approved oral antidepressants inadequate or inappropriate treatment alternatives for many individuals affected by SAD. Our PH94B is fundamentally different from the oral antidepressants approved by the FDA for treatment of SAD, as well as all current anti-anxiety drugs, such as benzodiazepines prescribed off-label for treatment of SAD.</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We believe PH94B-induced anxiolytic effects appear consistent with the modulation of neural circuits involved in the pathogenesis of SAD. Neurons in the limbic amygdala regulate fear and anxiety by modulating inhibitory neurotransmission in other brain regions. A microgram level intranasal dose of PH94B (3.2 micrograms) engages specific nasal chemosensory neurons which activate olfactory bulb neurons (</w:t>
      </w:r>
      <w:r>
        <w:rPr>
          <w:rFonts w:ascii="Arial" w:cs="Arial" w:eastAsia="Arial" w:hAnsi="Arial"/>
          <w:sz w:val="15"/>
          <w:szCs w:val="15"/>
          <w:i w:val="1"/>
          <w:iCs w:val="1"/>
          <w:color w:val="auto"/>
        </w:rPr>
        <w:t>OBNs</w:t>
      </w:r>
      <w:r>
        <w:rPr>
          <w:rFonts w:ascii="Arial" w:cs="Arial" w:eastAsia="Arial" w:hAnsi="Arial"/>
          <w:sz w:val="15"/>
          <w:szCs w:val="15"/>
          <w:color w:val="auto"/>
        </w:rPr>
        <w:t>) on the base of the brain. OBNs send neural connections to neurons in the central limbic amygdala, the brain center where fear and anxiety are regulated, resulting in downstream signaling and rapid-onset anti-anxiety effects. Importantly, PH94B does not require systemic uptake and distribution to produce its rapid-onset anti-anxiety effects. In all clinical studies to date, PH94B has not shown psychological side effects (such as dissociation, euphoria or hallucinations), sedation or other side effects and safety concerns that may be caused by the current oral antidepressants approved by the FDA for treatment of SAD, or by benzodiazepines and beta blockers, which, although not FDA-approved to treat SAD, are often prescribed by psychiatrists and physicians for treatment of SAD on an off-label basis. While oral antidepressants, benzodiazepines and beta blockers require systemic administration to achieve anxiolytic effects, due to its unique pharmacology, PH94B does not require systemic uptake and distribution to achieve its rapid-onset anti-anxiety effects.</w:t>
      </w:r>
    </w:p>
    <w:p>
      <w:pPr>
        <w:spacing w:after="0" w:line="167"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 xml:space="preserve">In a peer-reviewed, published double-blind, placebo-controlled Phase 2 clinical trial, PH94B was statistically significantly more effective than placebo in reducing both public-speaking anxiety (p=0.002) and social interaction anxiety (p=0.009) in laboratory-simulated challenges of SAD patients, within 15 minutes of their self-administration of a non-systemic 1.6 microgram dose of PH94B. Based on the results of this </w:t>
      </w:r>
      <w:r>
        <w:rPr>
          <w:rFonts w:ascii="Arial" w:cs="Arial" w:eastAsia="Arial" w:hAnsi="Arial"/>
          <w:sz w:val="14"/>
          <w:szCs w:val="14"/>
          <w:color w:val="333333"/>
        </w:rPr>
        <w:t>Phase 2</w:t>
      </w:r>
      <w:r>
        <w:rPr>
          <w:rFonts w:ascii="Arial" w:cs="Arial" w:eastAsia="Arial" w:hAnsi="Arial"/>
          <w:sz w:val="14"/>
          <w:szCs w:val="14"/>
          <w:color w:val="auto"/>
        </w:rPr>
        <w:t xml:space="preserve"> study and our recent consensus with the FDA that </w:t>
      </w:r>
      <w:r>
        <w:rPr>
          <w:rFonts w:ascii="Arial" w:cs="Arial" w:eastAsia="Arial" w:hAnsi="Arial"/>
          <w:sz w:val="14"/>
          <w:szCs w:val="14"/>
          <w:color w:val="333333"/>
        </w:rPr>
        <w:t>our initial pivotal Phase 3 study of</w:t>
      </w:r>
      <w:r>
        <w:rPr>
          <w:rFonts w:ascii="Arial" w:cs="Arial" w:eastAsia="Arial" w:hAnsi="Arial"/>
          <w:sz w:val="14"/>
          <w:szCs w:val="14"/>
          <w:color w:val="auto"/>
        </w:rPr>
        <w:t xml:space="preserve"> </w:t>
      </w:r>
      <w:r>
        <w:rPr>
          <w:rFonts w:ascii="Arial" w:cs="Arial" w:eastAsia="Arial" w:hAnsi="Arial"/>
          <w:sz w:val="14"/>
          <w:szCs w:val="14"/>
          <w:color w:val="333333"/>
        </w:rPr>
        <w:t xml:space="preserve">PH94B may be conducted in a manner substantially similar to the public speaking anxiety component of such Phase 2 study, </w:t>
      </w:r>
      <w:r>
        <w:rPr>
          <w:rFonts w:ascii="Arial" w:cs="Arial" w:eastAsia="Arial" w:hAnsi="Arial"/>
          <w:sz w:val="14"/>
          <w:szCs w:val="14"/>
          <w:color w:val="000000"/>
        </w:rPr>
        <w:t>we are preparing for Phase 3 clinical</w:t>
      </w:r>
      <w:r>
        <w:rPr>
          <w:rFonts w:ascii="Arial" w:cs="Arial" w:eastAsia="Arial" w:hAnsi="Arial"/>
          <w:sz w:val="14"/>
          <w:szCs w:val="14"/>
          <w:color w:val="333333"/>
        </w:rPr>
        <w:t xml:space="preserve"> </w:t>
      </w:r>
      <w:r>
        <w:rPr>
          <w:rFonts w:ascii="Arial" w:cs="Arial" w:eastAsia="Arial" w:hAnsi="Arial"/>
          <w:sz w:val="14"/>
          <w:szCs w:val="14"/>
          <w:color w:val="000000"/>
        </w:rPr>
        <w:t xml:space="preserve">development of PH94B as an acute treatment of anxiety in adults with SAD. Our goal is to develop and commercialize PH94B as the first FDA-approved, rapid-onset, non-sedating, non-systemic, non-additive acute treatment of anxiety in adults with SAD. We believe PH94B has potential for use on demand to treat symptoms of anxiety which result from often predictable anxiety-provoking stressors, much like a rescue inhaler is used on demand, before an asthma attack or a migraine drug is used before onset of a migraine episode. We also believe PH94B has potential to treat other anxiety-related neuropsychiatric indications, such as adjustment disorder, postpartum anxiety, preprocedural anxiety (e.g., pre-MRI), panic disorder, post-traumatic stress disorder and specific social phobias. In addition to preparing for Phase 3 development of PH94B as a potential acute treatment of anxiety for adults with SAD, we are planning for a series of small exploratory Phase 2A clinical studies of PH94B for treatment of adjustment disorder, postpartum anxiety, post-traumatic stress disorder, and pre-procedural anxiety. </w:t>
      </w:r>
      <w:r>
        <w:rPr>
          <w:rFonts w:ascii="Arial" w:cs="Arial" w:eastAsia="Arial" w:hAnsi="Arial"/>
          <w:sz w:val="14"/>
          <w:szCs w:val="14"/>
          <w:color w:val="333333"/>
        </w:rPr>
        <w:t>The FDA has granted Fast Track designation for development of PH94B for acute</w:t>
      </w:r>
      <w:r>
        <w:rPr>
          <w:rFonts w:ascii="Arial" w:cs="Arial" w:eastAsia="Arial" w:hAnsi="Arial"/>
          <w:sz w:val="14"/>
          <w:szCs w:val="14"/>
          <w:color w:val="000000"/>
        </w:rPr>
        <w:t xml:space="preserve"> </w:t>
      </w:r>
      <w:r>
        <w:rPr>
          <w:rFonts w:ascii="Arial" w:cs="Arial" w:eastAsia="Arial" w:hAnsi="Arial"/>
          <w:sz w:val="14"/>
          <w:szCs w:val="14"/>
          <w:color w:val="333333"/>
        </w:rPr>
        <w:t>treatment of anxiety in adults with SAD, which we believe is the FDA’s first such designation for a drug candidate for SAD.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PH10 Nasal Spray for Depression Disorders and Suicidal Ideation</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 xml:space="preserve">PH10 is an odorless synthetic pherine nasal spray with potential to be a fast-acting treatment for multiple neuropsychiatric indications involving depression and suicidal ideation. Conveniently self-administered in microgram-level doses without systemic exposure, we are develop PH10 as a potential rapid-onset, stand-alone treatment of </w:t>
      </w:r>
      <w:r>
        <w:rPr>
          <w:rFonts w:ascii="Arial" w:cs="Arial" w:eastAsia="Arial" w:hAnsi="Arial"/>
          <w:sz w:val="14"/>
          <w:szCs w:val="14"/>
          <w:i w:val="1"/>
          <w:iCs w:val="1"/>
          <w:color w:val="auto"/>
        </w:rPr>
        <w:t>MDD</w:t>
      </w:r>
      <w:r>
        <w:rPr>
          <w:rFonts w:ascii="Arial" w:cs="Arial" w:eastAsia="Arial" w:hAnsi="Arial"/>
          <w:sz w:val="14"/>
          <w:szCs w:val="14"/>
          <w:color w:val="auto"/>
        </w:rPr>
        <w:t>.</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The most commonly-prescribed current oral antidepressants are known as selective serotonin reuptake inhibitors (</w:t>
      </w:r>
      <w:r>
        <w:rPr>
          <w:rFonts w:ascii="Arial" w:cs="Arial" w:eastAsia="Arial" w:hAnsi="Arial"/>
          <w:sz w:val="14"/>
          <w:szCs w:val="14"/>
          <w:i w:val="1"/>
          <w:iCs w:val="1"/>
          <w:color w:val="auto"/>
        </w:rPr>
        <w:t>SSRIs</w:t>
      </w:r>
      <w:r>
        <w:rPr>
          <w:rFonts w:ascii="Arial" w:cs="Arial" w:eastAsia="Arial" w:hAnsi="Arial"/>
          <w:sz w:val="14"/>
          <w:szCs w:val="14"/>
          <w:color w:val="auto"/>
        </w:rPr>
        <w:t>), and serotonin-norepinephrine reuptake inhibitors (</w:t>
      </w:r>
      <w:r>
        <w:rPr>
          <w:rFonts w:ascii="Arial" w:cs="Arial" w:eastAsia="Arial" w:hAnsi="Arial"/>
          <w:sz w:val="14"/>
          <w:szCs w:val="14"/>
          <w:i w:val="1"/>
          <w:iCs w:val="1"/>
          <w:color w:val="auto"/>
        </w:rPr>
        <w:t>SNRIs</w:t>
      </w:r>
      <w:r>
        <w:rPr>
          <w:rFonts w:ascii="Arial" w:cs="Arial" w:eastAsia="Arial" w:hAnsi="Arial"/>
          <w:sz w:val="14"/>
          <w:szCs w:val="14"/>
          <w:color w:val="auto"/>
        </w:rPr>
        <w:t>). SSRIs are intended to increase the amount of available serotonin, a neurotransmitter closely linked to mood and anxiety disorders, by inhibiting the reuptake of serotonin in the brain, preventing nerve cells from reabsorbing serotonin and reducing the levels in the brain. This means more serotonin remains available, which can sometimes improve symptoms and make patients more responsive to psychotherapy and other treatments. SNRIs similarly are intended to inhibit the reuptake of serotonin and another neurotransmitter, norepinephrine, and increase the available amounts of each in the brain. Like serotonin, norepinephrine is a neurotransmitter linked to mood.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While these medications can certainly be effective in the right context, it can be a challenge to find the right drug or combination of drugs for a particular patient. About two-thirds of patients with MDD do not respond to their initial treatment with such medications. In addition, it can take many weeks or even months to identify whether an antidepressant is working, all the while leaving a patient to cope with their depression symptoms and the potentially debilitating side effects of the antidepressants they are prescribed.</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Due to their long-onset pharmacology, limited efficacy and many side effects and safety concerns, current FDA-approved oral antidepressants available in the multi-billion-dollar global depression market are often inadequate to satisfy the underserved medical needs of millions suffering from the debilitating effects of depression. Inadequate response to current medications is among the key reasons MDD is one of the leading public health concerns in the United States, creating a significant unmet medical need for new agents with fundamentally different mechanisms of action and side effect and safety profiles.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PH10 is a new generation antidepressant with a mechanism of action that is fundamentally different from all current FDA-approved antidepressants.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rapid-onset ketamine-based therapy, including both intravenous ketamine and esketamine nasal spray, or the side effects and safety concerns of current long-onset oral antidepressants. In a small exploratory Phase 2A clinical trial (n=30), PH10, self-administered at a dose of 6.4 micrograms, was well-tolerated and demonstrated statistically significant (p=0.022) rapid-onset antidepressant effects, which were sustained over an 8-week period, as measured by the Hamilton Depression Rating Scale (</w:t>
      </w:r>
      <w:r>
        <w:rPr>
          <w:rFonts w:ascii="Arial" w:cs="Arial" w:eastAsia="Arial" w:hAnsi="Arial"/>
          <w:sz w:val="14"/>
          <w:szCs w:val="14"/>
          <w:i w:val="1"/>
          <w:iCs w:val="1"/>
          <w:color w:val="auto"/>
        </w:rPr>
        <w:t>HAM-D</w:t>
      </w:r>
      <w:r>
        <w:rPr>
          <w:rFonts w:ascii="Arial" w:cs="Arial" w:eastAsia="Arial" w:hAnsi="Arial"/>
          <w:sz w:val="14"/>
          <w:szCs w:val="14"/>
          <w:color w:val="auto"/>
        </w:rPr>
        <w:t>), without side effects or safety concerns that may be caused by ketamine-based therapy and oral antidepressants. Based on positive results from this exploratory Phase 2A study, we are preparing for Phase 2B clinical development of PH10 in MDD, which preparation includes completing two additional preclinical toxicology studies required by the FDA to support our new Investigational New Drug (</w:t>
      </w:r>
      <w:r>
        <w:rPr>
          <w:rFonts w:ascii="Arial" w:cs="Arial" w:eastAsia="Arial" w:hAnsi="Arial"/>
          <w:sz w:val="14"/>
          <w:szCs w:val="14"/>
          <w:i w:val="1"/>
          <w:iCs w:val="1"/>
          <w:color w:val="auto"/>
        </w:rPr>
        <w:t>IND</w:t>
      </w:r>
      <w:r>
        <w:rPr>
          <w:rFonts w:ascii="Arial" w:cs="Arial" w:eastAsia="Arial" w:hAnsi="Arial"/>
          <w:sz w:val="14"/>
          <w:szCs w:val="14"/>
          <w:color w:val="auto"/>
        </w:rPr>
        <w:t>) application for proposed Phase 2B clinical development of PH10 in the U.S. With its favorable safety profile observed during clinical development to date, we believe PH10 has potential for multiple applications in global depression markets, including first as a differentiated stand-alone therapy for MDD.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AV-101, an Oral NMDA Receptor Antagonist for Depression and Neurological Disorders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to date, AV-101 has exhibited no dissociative or hallucinogenic psychological side effects or safety concerns. With its exceptionally few side effects and favorable safety profile observed in all studies to date, AV-101, in combination with the FDA-approved drug, probenecid, has potential to be a new, differentiated oral treatment for multiple large-market CNS indications where we believe current treatments are inadequate to meet high underserved patient needs. The FDA has granted Fast Track designation for development of AV-101 as both a potential adjunctive treatment for MDD and as a non-opioid treatment for neuropathic pain.</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In late-2019, we completed a Phase 2 clinical trial of AV-101 as a potential adjunctive treatment, together with a standard FDA-approved oral SSRI or SNRI, in MDD patients who had an inadequate response to a stable dose of their oral antidepressant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did not differentiate from placebo on the primary endpoint (change in the Montgomery-Åsberg Depression Rating Scale (</w:t>
      </w:r>
      <w:r>
        <w:rPr>
          <w:rFonts w:ascii="Arial" w:cs="Arial" w:eastAsia="Arial" w:hAnsi="Arial"/>
          <w:sz w:val="16"/>
          <w:szCs w:val="16"/>
          <w:i w:val="1"/>
          <w:iCs w:val="1"/>
          <w:color w:val="auto"/>
        </w:rPr>
        <w:t>MADRS-10</w:t>
      </w:r>
      <w:r>
        <w:rPr>
          <w:rFonts w:ascii="Arial" w:cs="Arial" w:eastAsia="Arial" w:hAnsi="Arial"/>
          <w:sz w:val="16"/>
          <w:szCs w:val="16"/>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Our recent discoveries from successful preclinical studies of AV-101 in combination with probenecid, a safe and well-known oral anion transport inhibitor approved by the FDA for treatment of gout, suggest that there is a substantially increased brain concentration of AV-101 and its active metabolite, 7-Cl-KYNA, when AV-101 is given together with probenecid. These surprising effects were first revealed as to AV-101 and 7-Cl-KYNA in our recent preclinical studies, although the effects are consistent with well-documented clinical studies of probenecid’s ability to increase the therapeutic benefits of several classes of FDA-approved drugs that are unrelated to AV-101 and 7-Cl-KYNA, including certain antibacterial, anticancer and antiviral drugs. When probenecid was administered in combination with AV-101 in animal models, substantially increased brain concentrations of AV-101 and 7-Cl-KYNA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our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addition, a Phase 1B target engagement study completed after the Elevate Study by the Baylor College of Medicine (</w:t>
      </w:r>
      <w:r>
        <w:rPr>
          <w:rFonts w:ascii="Arial" w:cs="Arial" w:eastAsia="Arial" w:hAnsi="Arial"/>
          <w:sz w:val="15"/>
          <w:szCs w:val="15"/>
          <w:i w:val="1"/>
          <w:iCs w:val="1"/>
          <w:color w:val="auto"/>
        </w:rPr>
        <w:t>Baylor</w:t>
      </w:r>
      <w:r>
        <w:rPr>
          <w:rFonts w:ascii="Arial" w:cs="Arial" w:eastAsia="Arial" w:hAnsi="Arial"/>
          <w:sz w:val="15"/>
          <w:szCs w:val="15"/>
          <w:color w:val="auto"/>
        </w:rPr>
        <w:t>) with financial support from the U.S. Department of Veterans Affairs (</w:t>
      </w:r>
      <w:r>
        <w:rPr>
          <w:rFonts w:ascii="Arial" w:cs="Arial" w:eastAsia="Arial" w:hAnsi="Arial"/>
          <w:sz w:val="15"/>
          <w:szCs w:val="15"/>
          <w:i w:val="1"/>
          <w:iCs w:val="1"/>
          <w:color w:val="auto"/>
        </w:rPr>
        <w:t>VA</w:t>
      </w:r>
      <w:r>
        <w:rPr>
          <w:rFonts w:ascii="Arial" w:cs="Arial" w:eastAsia="Arial" w:hAnsi="Arial"/>
          <w:sz w:val="15"/>
          <w:szCs w:val="15"/>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5"/>
          <w:szCs w:val="15"/>
          <w:i w:val="1"/>
          <w:iCs w:val="1"/>
          <w:color w:val="auto"/>
        </w:rPr>
        <w:t>EEG</w:t>
      </w:r>
      <w:r>
        <w:rPr>
          <w:rFonts w:ascii="Arial" w:cs="Arial" w:eastAsia="Arial" w:hAnsi="Arial"/>
          <w:sz w:val="15"/>
          <w:szCs w:val="15"/>
          <w:color w:val="auto"/>
        </w:rPr>
        <w:t xml:space="preserve">) biomarkers related to NMDAR function, as well as blood biomarkers associated with suicidality (the </w:t>
      </w:r>
      <w:r>
        <w:rPr>
          <w:rFonts w:ascii="Arial" w:cs="Arial" w:eastAsia="Arial" w:hAnsi="Arial"/>
          <w:sz w:val="15"/>
          <w:szCs w:val="15"/>
          <w:i w:val="1"/>
          <w:iCs w:val="1"/>
          <w:color w:val="auto"/>
        </w:rPr>
        <w:t>Baylor Study</w:t>
      </w:r>
      <w:r>
        <w:rPr>
          <w:rFonts w:ascii="Arial" w:cs="Arial" w:eastAsia="Arial" w:hAnsi="Arial"/>
          <w:sz w:val="15"/>
          <w:szCs w:val="15"/>
          <w:color w:val="auto"/>
        </w:rPr>
        <w:t>). We believe the findings from the Baylor Study suggest that, in healthy Veterans, the higher dose of AV-101 (1440 mg) was associated with dose-related increase in the 40 Hz Auditory Steady State Response (</w:t>
      </w:r>
      <w:r>
        <w:rPr>
          <w:rFonts w:ascii="Arial" w:cs="Arial" w:eastAsia="Arial" w:hAnsi="Arial"/>
          <w:sz w:val="15"/>
          <w:szCs w:val="15"/>
          <w:i w:val="1"/>
          <w:iCs w:val="1"/>
          <w:color w:val="auto"/>
        </w:rPr>
        <w:t>ASSR</w:t>
      </w:r>
      <w:r>
        <w:rPr>
          <w:rFonts w:ascii="Arial" w:cs="Arial" w:eastAsia="Arial" w:hAnsi="Arial"/>
          <w:sz w:val="15"/>
          <w:szCs w:val="15"/>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Arial" w:cs="Arial" w:eastAsia="Arial" w:hAnsi="Arial"/>
          <w:sz w:val="15"/>
          <w:szCs w:val="15"/>
          <w:i w:val="1"/>
          <w:iCs w:val="1"/>
          <w:color w:val="auto"/>
        </w:rPr>
        <w:t>ACNP</w:t>
      </w:r>
      <w:r>
        <w:rPr>
          <w:rFonts w:ascii="Arial" w:cs="Arial" w:eastAsia="Arial" w:hAnsi="Arial"/>
          <w:sz w:val="15"/>
          <w:szCs w:val="15"/>
          <w:color w:val="auto"/>
        </w:rPr>
        <w:t>) in Orlando, Florida in December 2019.</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Baylor Study and the results of our recent preclinical studies involving AV-101 in combination with probenecid suggest that it may be possible to increase therapeutic concentrations and duration of 7-Cl-KYNA in the brain, and thus increase NMDAR antagonism in MDD patients and individuals suffering from other CNS indications involving abnormal function of the NMDAR, when AV-101 and probenecid are combined. We are currently preparing for Phase 1B clinical development of AV-101 in combination with probenecid.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VistaStem Therapeutics – Stem Cell Technology for Drug Rescue, Cell Therapy and Regenerative Medicine</w:t>
      </w:r>
    </w:p>
    <w:p>
      <w:pPr>
        <w:spacing w:after="0" w:line="212"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In addition to our current CNS drug candidates, our wholly-owned subsidiary, VistaStem Therapeutics (</w:t>
      </w:r>
      <w:r>
        <w:rPr>
          <w:rFonts w:ascii="Arial" w:cs="Arial" w:eastAsia="Arial" w:hAnsi="Arial"/>
          <w:sz w:val="14"/>
          <w:szCs w:val="14"/>
          <w:i w:val="1"/>
          <w:iCs w:val="1"/>
          <w:color w:val="auto"/>
        </w:rPr>
        <w:t>VistaStem</w:t>
      </w:r>
      <w:r>
        <w:rPr>
          <w:rFonts w:ascii="Arial" w:cs="Arial" w:eastAsia="Arial" w:hAnsi="Arial"/>
          <w:sz w:val="14"/>
          <w:szCs w:val="14"/>
          <w:color w:val="auto"/>
        </w:rPr>
        <w:t>) has developed stem cell technology-based, pipeline-enabling capabilities involving application of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 technologies. VistaStem’s customized cardiac bioassay system,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has been developed to discover and develop small molecule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4"/>
          <w:szCs w:val="14"/>
          <w:i w:val="1"/>
          <w:iCs w:val="1"/>
          <w:color w:val="auto"/>
        </w:rPr>
        <w:t>CT</w:t>
      </w:r>
      <w:r>
        <w:rPr>
          <w:rFonts w:ascii="Arial" w:cs="Arial" w:eastAsia="Arial" w:hAnsi="Arial"/>
          <w:sz w:val="14"/>
          <w:szCs w:val="14"/>
          <w:color w:val="auto"/>
        </w:rPr>
        <w:t>) and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fields.</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and acquired by Bayer AG in 2019, rights to develop and commercialize certain proprietary technologies relating to the production of cardiac stem cells for the treatment of heart disease. As a result of its acquisition of BlueRock Therapeutics in 2019, Bayer AG now holds such rights (the </w:t>
      </w:r>
      <w:r>
        <w:rPr>
          <w:rFonts w:ascii="Arial" w:cs="Arial" w:eastAsia="Arial" w:hAnsi="Arial"/>
          <w:sz w:val="16"/>
          <w:szCs w:val="16"/>
          <w:i w:val="1"/>
          <w:iCs w:val="1"/>
          <w:color w:val="auto"/>
        </w:rPr>
        <w:t>Bayer Agreement</w:t>
      </w:r>
      <w:r>
        <w:rPr>
          <w:rFonts w:ascii="Arial" w:cs="Arial" w:eastAsia="Arial" w:hAnsi="Arial"/>
          <w:sz w:val="16"/>
          <w:szCs w:val="16"/>
          <w:color w:val="auto"/>
        </w:rPr>
        <w:t>). VistaStem retains all rights to such technologies to discover and develop small molecule NCEs and certain other applications not licensed pursuant to the Bayer Agreement. In a manner similar to the Bayer Agreement, we may pursue additional VistaStem collaborations involving rights to develop and commercialize its hPSC technologies for production of blood, cartilage, and/or liver cells for CT and RM applications, including, among other indications, treatment of arthritis, cancer and liver disease.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5"/>
          <w:szCs w:val="15"/>
          <w:i w:val="1"/>
          <w:iCs w:val="1"/>
          <w:u w:val="single" w:color="auto"/>
          <w:color w:val="auto"/>
        </w:rPr>
        <w:t>www.vistagen.com</w:t>
      </w:r>
      <w:r>
        <w:rPr>
          <w:rFonts w:ascii="Arial" w:cs="Arial" w:eastAsia="Arial" w:hAnsi="Arial"/>
          <w:sz w:val="15"/>
          <w:szCs w:val="15"/>
          <w:color w:val="auto"/>
          <w:highlight w:val="white"/>
        </w:rPr>
        <w:t>. The information contained on our website is not part of this prospectus supplement or the accompanying prospectus. We have</w:t>
      </w:r>
      <w:r>
        <w:rPr>
          <w:rFonts w:ascii="Arial" w:cs="Arial" w:eastAsia="Arial" w:hAnsi="Arial"/>
          <w:sz w:val="15"/>
          <w:szCs w:val="15"/>
          <w:color w:val="auto"/>
        </w:rPr>
        <w:t xml:space="preserve"> included our website address as a factual reference and do not intend it to be an active link to our website.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of 1,371,430 shares of our common stock and warrants to purchase an aggregate total of 1,892,572 shares of our common stock, consisting of Series A1 Warrants to purchase up to 1,388,931 shares of common stock and Series A2 Warrants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following the date of issuance, while the Series A2 Warrants were immediately exercisable. The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D Convertible Preferred Stock</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 xml:space="preserve">On December 17, 2020, in connection with the December 2020 Public Offering, as defined below, our Board of Directors (our </w:t>
      </w:r>
      <w:r>
        <w:rPr>
          <w:rFonts w:ascii="Arial" w:cs="Arial" w:eastAsia="Arial" w:hAnsi="Arial"/>
          <w:sz w:val="14"/>
          <w:szCs w:val="14"/>
          <w:i w:val="1"/>
          <w:iCs w:val="1"/>
          <w:color w:val="auto"/>
        </w:rPr>
        <w:t>Board</w:t>
      </w:r>
      <w:r>
        <w:rPr>
          <w:rFonts w:ascii="Arial" w:cs="Arial" w:eastAsia="Arial" w:hAnsi="Arial"/>
          <w:sz w:val="14"/>
          <w:szCs w:val="14"/>
          <w:color w:val="auto"/>
        </w:rPr>
        <w:t>) authorized the creation of a series of up to 2.0 million shares of Series D Convertible Preferred Stock, par value $0.001 (</w:t>
      </w:r>
      <w:r>
        <w:rPr>
          <w:rFonts w:ascii="Arial" w:cs="Arial" w:eastAsia="Arial" w:hAnsi="Arial"/>
          <w:sz w:val="14"/>
          <w:szCs w:val="14"/>
          <w:i w:val="1"/>
          <w:iCs w:val="1"/>
          <w:color w:val="auto"/>
        </w:rPr>
        <w:t>Series D Preferred</w:t>
      </w:r>
      <w:r>
        <w:rPr>
          <w:rFonts w:ascii="Arial" w:cs="Arial" w:eastAsia="Arial" w:hAnsi="Arial"/>
          <w:sz w:val="14"/>
          <w:szCs w:val="14"/>
          <w:color w:val="auto"/>
        </w:rPr>
        <w:t>), which became effective with the filing of a Certificate of Designation of the Relative Rights and Preferences of the Series D Convertible Preferred Stock with the Secretary of State of the State of Nevada on December 21, 2020.</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On December 18, 2020, we entered into an underwriting agreement (the </w:t>
      </w:r>
      <w:r>
        <w:rPr>
          <w:rFonts w:ascii="Arial" w:cs="Arial" w:eastAsia="Arial" w:hAnsi="Arial"/>
          <w:sz w:val="15"/>
          <w:szCs w:val="15"/>
          <w:i w:val="1"/>
          <w:iCs w:val="1"/>
          <w:color w:val="auto"/>
        </w:rPr>
        <w:t>December 2020 Underwriting Agreement</w:t>
      </w:r>
      <w:r>
        <w:rPr>
          <w:rFonts w:ascii="Arial" w:cs="Arial" w:eastAsia="Arial" w:hAnsi="Arial"/>
          <w:sz w:val="15"/>
          <w:szCs w:val="15"/>
          <w:color w:val="auto"/>
        </w:rPr>
        <w:t xml:space="preserve">) pursuant to which we sold, in an underwritten public offering (the </w:t>
      </w:r>
      <w:r>
        <w:rPr>
          <w:rFonts w:ascii="Arial" w:cs="Arial" w:eastAsia="Arial" w:hAnsi="Arial"/>
          <w:sz w:val="15"/>
          <w:szCs w:val="15"/>
          <w:i w:val="1"/>
          <w:iCs w:val="1"/>
          <w:color w:val="auto"/>
        </w:rPr>
        <w:t>December 2020 Public Offering</w:t>
      </w:r>
      <w:r>
        <w:rPr>
          <w:rFonts w:ascii="Arial" w:cs="Arial" w:eastAsia="Arial" w:hAnsi="Arial"/>
          <w:sz w:val="15"/>
          <w:szCs w:val="15"/>
          <w:color w:val="auto"/>
        </w:rPr>
        <w:t>), 63.0 million shares of our common stock at a public offering price of $0.92 per share and 2.0 million shares of Series D Preferred at a public offering price of $21.16 per share, resulting in gross proceeds to us of $100 million. Net proceeds to us from the securities sold in the December 2020 Public Offering, after deducting underwriting discounts and commissions and offering expenses payable by us, were approximately $93.6 million.</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our common stock, or an aggregate of 46.0 million shares of our common stock (the </w:t>
      </w:r>
      <w:r>
        <w:rPr>
          <w:rFonts w:ascii="Arial" w:cs="Arial" w:eastAsia="Arial" w:hAnsi="Arial"/>
          <w:sz w:val="16"/>
          <w:szCs w:val="16"/>
          <w:i w:val="1"/>
          <w:iCs w:val="1"/>
          <w:color w:val="auto"/>
        </w:rPr>
        <w:t>Series D</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Shares</w:t>
      </w:r>
      <w:r>
        <w:rPr>
          <w:rFonts w:ascii="Arial" w:cs="Arial" w:eastAsia="Arial" w:hAnsi="Arial"/>
          <w:sz w:val="16"/>
          <w:szCs w:val="16"/>
          <w:color w:val="auto"/>
        </w:rPr>
        <w:t>), at any time at the option of the holder;</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 that the Series D Preferred was not convertible until the effective date of the Charter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below);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our common stock if, as a result of such conversion, the holder, together with its affiliates and other attribution parties, would own more than 9.99% of the total number of shares of our common stock then issued and outstanding, which percentage may be changed at the holder’s election to a lower percentage at any time or to a higher percentage not to exceed 19.99% upon 61 days’ prior notice to us.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 Amendment</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On March 5, 2021, at a virtual special meeting of stockholders of the Company, stockholders approved an amendment to our Restated Articles of Incorporation, as amended (our </w:t>
      </w:r>
      <w:r>
        <w:rPr>
          <w:rFonts w:ascii="Arial" w:cs="Arial" w:eastAsia="Arial" w:hAnsi="Arial"/>
          <w:sz w:val="15"/>
          <w:szCs w:val="15"/>
          <w:i w:val="1"/>
          <w:iCs w:val="1"/>
          <w:color w:val="auto"/>
        </w:rPr>
        <w:t>Charter</w:t>
      </w:r>
      <w:r>
        <w:rPr>
          <w:rFonts w:ascii="Arial" w:cs="Arial" w:eastAsia="Arial" w:hAnsi="Arial"/>
          <w:sz w:val="15"/>
          <w:szCs w:val="15"/>
          <w:color w:val="auto"/>
        </w:rPr>
        <w:t xml:space="preserve">), to increase the number of shares of common stock authorized for potential future issuance from 175 million to 325 million shares (the </w:t>
      </w:r>
      <w:r>
        <w:rPr>
          <w:rFonts w:ascii="Arial" w:cs="Arial" w:eastAsia="Arial" w:hAnsi="Arial"/>
          <w:sz w:val="15"/>
          <w:szCs w:val="15"/>
          <w:i w:val="1"/>
          <w:iCs w:val="1"/>
          <w:color w:val="auto"/>
        </w:rPr>
        <w:t>Charter Amendment</w:t>
      </w:r>
      <w:r>
        <w:rPr>
          <w:rFonts w:ascii="Arial" w:cs="Arial" w:eastAsia="Arial" w:hAnsi="Arial"/>
          <w:sz w:val="15"/>
          <w:szCs w:val="15"/>
          <w:color w:val="auto"/>
        </w:rPr>
        <w:t>). We filed a certificate of amendment with the Secretary of State of the State of Nevada to effect the Charter Amendment on March 5, 2021.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in our Annual Report on Form 10-K for the fiscal year ended March 31, 2020, our Quarterly Reports on Form 10-Q for the periods ended June 30, 2020, September 30, 2020 and December 31, 2020,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the impact of the COVID-19 pandemic, efforts to contain the pandemic and resulting economic downturn on our operations and financial condition;</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the availability of capital to satisfy our working capital requirements;</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the accuracy of our estimates regarding expenses, future revenues and capital requirements;</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our plans to develop and commercialize our any of our current product candidates;</w:t>
      </w:r>
    </w:p>
    <w:p>
      <w:pPr>
        <w:spacing w:after="0" w:line="215" w:lineRule="exact"/>
        <w:rPr>
          <w:rFonts w:ascii="Arial" w:cs="Arial" w:eastAsia="Arial" w:hAnsi="Arial"/>
          <w:sz w:val="20"/>
          <w:szCs w:val="20"/>
          <w:color w:val="auto"/>
        </w:rPr>
      </w:pPr>
    </w:p>
    <w:p>
      <w:pPr>
        <w:ind w:left="600" w:hanging="304"/>
        <w:spacing w:after="0" w:line="233" w:lineRule="auto"/>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91" w:lineRule="exact"/>
        <w:rPr>
          <w:rFonts w:ascii="Arial" w:cs="Arial" w:eastAsia="Arial" w:hAnsi="Arial"/>
          <w:sz w:val="20"/>
          <w:szCs w:val="20"/>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regulatory developments in the United States and foreign countries;</w:t>
      </w:r>
    </w:p>
    <w:p>
      <w:pPr>
        <w:spacing w:after="0" w:line="215" w:lineRule="exact"/>
        <w:rPr>
          <w:rFonts w:ascii="Arial" w:cs="Arial" w:eastAsia="Arial" w:hAnsi="Arial"/>
          <w:sz w:val="20"/>
          <w:szCs w:val="20"/>
          <w:color w:val="auto"/>
        </w:rPr>
      </w:pPr>
    </w:p>
    <w:p>
      <w:pPr>
        <w:ind w:left="600" w:hanging="304"/>
        <w:spacing w:after="0" w:line="256" w:lineRule="auto"/>
        <w:tabs>
          <w:tab w:leader="none" w:pos="600" w:val="left"/>
        </w:tabs>
        <w:numPr>
          <w:ilvl w:val="0"/>
          <w:numId w:val="2"/>
        </w:numPr>
        <w:rPr>
          <w:rFonts w:ascii="Arial" w:cs="Arial" w:eastAsia="Arial" w:hAnsi="Arial"/>
          <w:sz w:val="19"/>
          <w:szCs w:val="19"/>
          <w:color w:val="auto"/>
        </w:rPr>
      </w:pPr>
      <w:r>
        <w:rPr>
          <w:rFonts w:ascii="Arial" w:cs="Arial" w:eastAsia="Arial" w:hAnsi="Arial"/>
          <w:sz w:val="15"/>
          <w:szCs w:val="15"/>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76" w:lineRule="exact"/>
        <w:rPr>
          <w:rFonts w:ascii="Arial" w:cs="Arial" w:eastAsia="Arial" w:hAnsi="Arial"/>
          <w:sz w:val="19"/>
          <w:szCs w:val="19"/>
          <w:color w:val="auto"/>
        </w:rPr>
      </w:pPr>
    </w:p>
    <w:p>
      <w:pPr>
        <w:ind w:left="600" w:hanging="304"/>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16"/>
          <w:szCs w:val="16"/>
          <w:color w:val="auto"/>
        </w:rPr>
        <w:t>our ability to obtain and maintain intellectual property protection for our core assets;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hanging="304"/>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size of the potential markets for our product candidates and our ability to serve those markets;</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rate and degree of market acceptance of our product candidates for any indication once approved;</w:t>
      </w:r>
    </w:p>
    <w:p>
      <w:pPr>
        <w:spacing w:after="0" w:line="201" w:lineRule="exact"/>
        <w:rPr>
          <w:rFonts w:ascii="Arial" w:cs="Arial" w:eastAsia="Arial" w:hAnsi="Arial"/>
          <w:sz w:val="20"/>
          <w:szCs w:val="20"/>
          <w:color w:val="auto"/>
        </w:rPr>
      </w:pPr>
    </w:p>
    <w:p>
      <w:pPr>
        <w:ind w:left="600" w:hanging="304"/>
        <w:spacing w:after="0"/>
        <w:tabs>
          <w:tab w:leader="none" w:pos="600" w:val="left"/>
        </w:tabs>
        <w:numPr>
          <w:ilvl w:val="0"/>
          <w:numId w:val="3"/>
        </w:numPr>
        <w:rPr>
          <w:rFonts w:ascii="Arial" w:cs="Arial" w:eastAsia="Arial" w:hAnsi="Arial"/>
          <w:sz w:val="19"/>
          <w:szCs w:val="19"/>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190" w:lineRule="exact"/>
        <w:rPr>
          <w:rFonts w:ascii="Arial" w:cs="Arial" w:eastAsia="Arial" w:hAnsi="Arial"/>
          <w:sz w:val="19"/>
          <w:szCs w:val="19"/>
          <w:color w:val="auto"/>
        </w:rPr>
      </w:pPr>
    </w:p>
    <w:p>
      <w:pPr>
        <w:ind w:left="600" w:hanging="304"/>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the loss of key scientific, clinical and nonclinical development, and/or management personnel, internally or from one of our third-party collaborators;</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our ability to comply with Nasdaq continued listing standards;</w:t>
      </w:r>
    </w:p>
    <w:p>
      <w:pPr>
        <w:spacing w:after="0" w:line="190" w:lineRule="exact"/>
        <w:rPr>
          <w:rFonts w:ascii="Arial" w:cs="Arial" w:eastAsia="Arial" w:hAnsi="Arial"/>
          <w:sz w:val="20"/>
          <w:szCs w:val="20"/>
          <w:color w:val="auto"/>
        </w:rPr>
      </w:pPr>
    </w:p>
    <w:p>
      <w:pPr>
        <w:ind w:left="600" w:hanging="304"/>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our ability to continue as a going concern; and</w:t>
      </w:r>
    </w:p>
    <w:p>
      <w:pPr>
        <w:spacing w:after="0" w:line="215" w:lineRule="exact"/>
        <w:rPr>
          <w:rFonts w:ascii="Arial" w:cs="Arial" w:eastAsia="Arial" w:hAnsi="Arial"/>
          <w:sz w:val="20"/>
          <w:szCs w:val="20"/>
          <w:color w:val="auto"/>
        </w:rPr>
      </w:pPr>
    </w:p>
    <w:p>
      <w:pPr>
        <w:jc w:val="both"/>
        <w:ind w:left="600" w:hanging="304"/>
        <w:spacing w:after="0" w:line="241" w:lineRule="auto"/>
        <w:tabs>
          <w:tab w:leader="none" w:pos="600" w:val="left"/>
        </w:tabs>
        <w:numPr>
          <w:ilvl w:val="0"/>
          <w:numId w:val="3"/>
        </w:numPr>
        <w:rPr>
          <w:rFonts w:ascii="Arial" w:cs="Arial" w:eastAsia="Arial" w:hAnsi="Arial"/>
          <w:sz w:val="20"/>
          <w:szCs w:val="20"/>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September 30, 2020 and December 31, 2020, which risk factors are incorporated herein by reference.</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any accompanying prospectus supplement and the documents incorporated by reference herein,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primarily for research and development expenses associated with continuing development of PH94B, PH10, AV-101, VistaStem’s drug rescue activities focused on potential drug candidates to expand our CNS pipeline or out-licensing opportunities, proof of principle studies with respect to potential CT and RM applications of VistaStem’s stem cell technology involving blood, cartilage and liver cells, and for other working capital and capital expenditures.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spacing w:after="0" w:line="360" w:lineRule="auto"/>
        <w:rPr>
          <w:sz w:val="20"/>
          <w:szCs w:val="20"/>
          <w:color w:val="auto"/>
        </w:rPr>
      </w:pPr>
      <w:r>
        <w:rPr>
          <w:rFonts w:ascii="Arial" w:cs="Arial" w:eastAsia="Arial" w:hAnsi="Arial"/>
          <w:sz w:val="14"/>
          <w:szCs w:val="14"/>
          <w:color w:val="auto"/>
        </w:rPr>
        <w:t>Our authorized capital stock consists of 325.0 million shares of common stock, $0.001 par value per share</w:t>
      </w:r>
      <w:r>
        <w:rPr>
          <w:rFonts w:ascii="Arial" w:cs="Arial" w:eastAsia="Arial" w:hAnsi="Arial"/>
          <w:sz w:val="14"/>
          <w:szCs w:val="14"/>
          <w:i w:val="1"/>
          <w:iCs w:val="1"/>
          <w:color w:val="auto"/>
        </w:rPr>
        <w:t>,</w:t>
      </w:r>
      <w:r>
        <w:rPr>
          <w:rFonts w:ascii="Arial" w:cs="Arial" w:eastAsia="Arial" w:hAnsi="Arial"/>
          <w:sz w:val="14"/>
          <w:szCs w:val="14"/>
          <w:color w:val="auto"/>
        </w:rPr>
        <w:t xml:space="preserve"> and 10.0 million shares of preferred stock, $0.001 par value per share. The following is a description of our common stock and certain provisions of our Charter, and our amended and restated bylaws, and certain provisions of Nevada law.</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2021, there were issued and outstanding, or reserved for issuance:</w:t>
      </w:r>
    </w:p>
    <w:p>
      <w:pPr>
        <w:spacing w:after="0" w:line="212" w:lineRule="exact"/>
        <w:rPr>
          <w:sz w:val="20"/>
          <w:szCs w:val="20"/>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143,762,996 shares of common stock held by approximately 25,000 stockholders of record;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1,131,669 shares of common stock reserved for issuance upon conversion of 1,131,669 shares of our Series B Preferred held by one institutional investor;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46,000,000 shares of common stock reserved for issuance upon conversion of 2,000,000 shares of our Series D Preferred held by 23 institutional investors;</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19,437,532 shares of common stock that have been reserved for issuance upon exercise of outstanding warrants, with a weighted average exercise price of $1.77 per share, including up to 1,371,430 shares of common stock issuable upon exercise of the Series A1 Warrants;</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7,643,088 shares of common stock reserved for issuance upon exercise of outstanding stock options under our Amended and Restated 2016 Stock Incentive Plan, with a weighted average exercise price of $1.41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6,700,000 shares of common stock reserved for issuance upon exercise of outstanding stock options under our 2019 Omnibus Equity Incentive Plan, with a weighted average exercise price of $1.22 per share,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2,168,158 shares of common stock reserved for future issuance in connection with future grants under our 2019 Omnibus Equity Incentive Plan.</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in this prospectus and/or any accompanying prospectus supplement.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Charter and our Bylaws, copies of which are filed with the SEC as exhibits to the registration statement of which this prospectus is a part.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Charter, which means that a plurality of the shares voted can elect all of the directors then outstanding for election. Except as otherwise provided under Nevada law or our Charter and Bylaws, on matters other than election of directors, action on a matter is approved if the votes cast favoring the action exceed the votes cast opposing the action.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in its discretion, determines to issue a dividend, and only at the times and in the amounts that our Board may determine. Our Board is not obligated to declare a dividend. We have not paid any dividends in the past and we do not intend to pay dividends in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Charter, and the applicable prospectus supplement (and any related free writing prospectus that we may authorize to be provided to you) for more specific information.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Currently, there are four series of our preferred stock outstanding- Series A Convertible Preferred Stock, Series B 10% Convertible Preferred Stock, Series C Convertible Preferred Stock and Series D Convertible Preferred Stock. The rights and preferences associated with each series are summarized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March 10, 2021,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Securities and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and the rules thereunder) more than 9.99% of all of the common stock outstanding at such time;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this limitation may be waived upon</w:t>
      </w:r>
      <w:r>
        <w:rPr>
          <w:rFonts w:ascii="Arial" w:cs="Arial" w:eastAsia="Arial" w:hAnsi="Arial"/>
          <w:sz w:val="16"/>
          <w:szCs w:val="16"/>
          <w:i w:val="1"/>
          <w:iCs w:val="1"/>
          <w:color w:val="auto"/>
        </w:rPr>
        <w:t xml:space="preserve"> </w:t>
      </w:r>
      <w:r>
        <w:rPr>
          <w:rFonts w:ascii="Arial" w:cs="Arial" w:eastAsia="Arial" w:hAnsi="Arial"/>
          <w:sz w:val="16"/>
          <w:szCs w:val="16"/>
          <w:color w:val="auto"/>
        </w:rPr>
        <w:t>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The Series A Preferred has no separate dividend rights. However, whenever our Board declares a dividend on our common stock, each holder of record of a share of Series A Preferred, or any fraction of a share of Series A Preferred, on the date set by the Board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10, 2021, there were 1,131,669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1,131,669 shares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5"/>
          <w:szCs w:val="15"/>
          <w:i w:val="1"/>
          <w:iCs w:val="1"/>
          <w:color w:val="auto"/>
        </w:rPr>
        <w:t>Accrued Dividend</w:t>
      </w:r>
      <w:r>
        <w:rPr>
          <w:rFonts w:ascii="Arial" w:cs="Arial" w:eastAsia="Arial" w:hAnsi="Arial"/>
          <w:sz w:val="15"/>
          <w:szCs w:val="15"/>
          <w:color w:val="auto"/>
        </w:rPr>
        <w:t>) on the stated value of the Series B Preferred ($7.00 per share). The Accrued Dividend will be payable on the date of either a Voluntary Conversion or Automatic Conversion solely in that number of shares of Common Stock equal to the Accrued Dividend.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At March 10, 2021,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The Series C Preferred has no separate dividend rights. However, whenever our Board declares a dividend on our common stock, each holder of record of a share of Series C Preferred, or any fraction of a share of Series C Preferred, on the Record Date set by the Board to determine the owners of the common stock of record entitled to receive such dividend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D Preferred</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connection with the December 2020 Public Offering, on December 21, 2020, we filed the Certificate of Designation of the Relative Rights and Preferences of the Series D Convertible Preferred Stock (the </w:t>
      </w:r>
      <w:r>
        <w:rPr>
          <w:rFonts w:ascii="Arial" w:cs="Arial" w:eastAsia="Arial" w:hAnsi="Arial"/>
          <w:sz w:val="16"/>
          <w:szCs w:val="16"/>
          <w:i w:val="1"/>
          <w:iCs w:val="1"/>
          <w:color w:val="auto"/>
        </w:rPr>
        <w:t>Series D COD</w:t>
      </w:r>
      <w:r>
        <w:rPr>
          <w:rFonts w:ascii="Arial" w:cs="Arial" w:eastAsia="Arial" w:hAnsi="Arial"/>
          <w:sz w:val="16"/>
          <w:szCs w:val="16"/>
          <w:color w:val="auto"/>
        </w:rPr>
        <w:t>) with the Secretary of State of the State of Nevada to establish the terms, rights, obligations and preferences of the Series D Preferred Stock. The Series D COD became effective upon the filing with the Secretary of State of the State of Nevada. The Series D COD designates 2,000,000 shares as Series D Convertible Preferred Stock, par value $0.001 per share (</w:t>
      </w:r>
      <w:r>
        <w:rPr>
          <w:rFonts w:ascii="Arial" w:cs="Arial" w:eastAsia="Arial" w:hAnsi="Arial"/>
          <w:sz w:val="16"/>
          <w:szCs w:val="16"/>
          <w:i w:val="1"/>
          <w:iCs w:val="1"/>
          <w:color w:val="auto"/>
        </w:rPr>
        <w:t>Series D Preferred)</w:t>
      </w:r>
      <w:r>
        <w:rPr>
          <w:rFonts w:ascii="Arial" w:cs="Arial" w:eastAsia="Arial" w:hAnsi="Arial"/>
          <w:sz w:val="16"/>
          <w:szCs w:val="16"/>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shares of Series D Preferred rank: (i) senior to all of our common stock until the date of the Charter Amendment; (ii) senior to any class or series of our capital stock hereafter created specifically ranking by its terms junior to the Series D Preferred; (iii) on parity to all shares of our Series A Preferred, Series B Preferred and Series C Preferred; (iv) on parity to any class or series of the Company’s capital stock hereafter created specifically ranking by its terms on parity with the Series D Preferred; and (v) junior to any class or series of the Company’s capital stock thereafter created specifically ranking by its terms senior to the Series D Preferred, in each case, as to distributions of assets upon the Company’s liquidation, dissolution or winding up whether voluntarily or involuntarily and/or the right to receive dividends.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common stock at any time at the option of the holder (the </w:t>
      </w:r>
      <w:r>
        <w:rPr>
          <w:rFonts w:ascii="Arial" w:cs="Arial" w:eastAsia="Arial" w:hAnsi="Arial"/>
          <w:sz w:val="16"/>
          <w:szCs w:val="16"/>
          <w:i w:val="1"/>
          <w:iCs w:val="1"/>
          <w:color w:val="auto"/>
        </w:rPr>
        <w:t>Series D Conversion Shares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Series D Preferred will not be convertible prior to the date on which the Company receives stockholder approval and upon effectiveness of the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common stock if, as a result of such conversion, the holder, together with its affiliates, would own more than 9.99% of the total number of shares of common stock then issued and outstanding, which percentage may be changed at the holder’s election to a lower percentage at any time or to a higher percentage not to exceed 19.99% upon 61 days’ notice to us.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noted above, our stockholders approved the Charter Amendment at a virtual special meeting of stockholders on March 5, 2021, and the Charter Amendment was filed with the State of Nevada and became effective on the same 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 xml:space="preserve">Prior to approval and effectiveness of the Charter Amendment, each holder of shares of Series D Preferred was entitled to receive, in preference to any distributions of any of our assets or surplus funds to the holders of common stock and any of our securities that by their terms are junior to the Series D Preferred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any distribution to the holders of any securities having (by their terms) parity with the Series D Preferred, an amount equal to $0.001 per share of Series D Preferred, plus an additional amount equal to any dividends declared but unpaid on such shares, before any payments shall be made or any assets distributed to holders of any class of common stock or any of our securities that by their terms are junior to the Series D Preferred. If, upon any such liquidation, dissolution or winding up of the Company, our assets shall be insufficient to pay the holders of shares of the Series D Preferred the amount required under the preceding sentence, then all of our remaining assets shall be distributed ratably to holders of the shares of the Series D Preferred and any securities having (by their terms) parity with the Series D Preferred. After such preferential payment, each holder of shares of Series D Preferred shall be entitled to participate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holders of common stock (on an as-converted basis, without regard to the 9.99% beneficial ownership limitation) and any securities having (by their terms) parity with the Series D Preferred, including the Series A Preferred, the Series B Preferred Stock and the Series C Preferred, in the remaining distribution of our net assets available for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Following the approval and effectiveness of the Charter Amendment on March 5, 2021, the Series D Preferred now has no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Series D Preferred Stock are entitled to receive any dividends payable to holders of common stock on an as-converted-to-common-stock basis.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approval and effectiveness of the Charter Amendment on March 5, 2021, the affirmative vote of holders of a majority of the then-outstanding shares of Series D Preferred will be required before we can: (a) amend, alter, modify or repeal (whether by merger, consolidation or otherwise) the Series D COD, our Charter and our Bylaws in any manner that adversely affects the rights, preferences, privileges or the restrictions provided for the benefit of, the Series D Preferred; (b) issue further shares of Series D Preferred or increase or decrease (other than by conversion) the number of authorized shares of Series D Preferred; or (c) enter into any agreement to do any of the foregoing that is not expressly made conditional on obtaining the affirmative vote or written consent of the requisite 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not obligated to redeem or repurchase any shares of Series D Preferred. Shares of Series D Preferred will not otherwise be entitled to any redemption rights or mandatory sinking fund or analogous fund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of Series D Conversion Shares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 Series D Conversion Shares were previously registered pursuant to a prospectus supplement filed with the SEC on December 18, 2020 pursuant to Rule 424(b)(5)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which supplemented the Company’s effective shelf registration statement on Form S-3 (File No. 333-234025), originally filed with the SEC on September 30, 2019 and declared effective on October 8, 2019. Pursuant to Rule 415(a)(6) and Rule 429 under the Securities Act, the offering of the Series D Conversion Shares will be registered pursuant to this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6" w:lineRule="exact"/>
        <w:rPr>
          <w:sz w:val="20"/>
          <w:szCs w:val="20"/>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 or free writing prospectus related to the warrants that we sell under this prospectus, as well as the complete warrant agreements that contain the terms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6" w:lineRule="exact"/>
        <w:rPr>
          <w:sz w:val="20"/>
          <w:szCs w:val="20"/>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holder of a warrant will be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2" w:lineRule="exact"/>
        <w:rPr>
          <w:sz w:val="20"/>
          <w:szCs w:val="20"/>
          <w:color w:val="auto"/>
        </w:rPr>
      </w:pPr>
    </w:p>
    <w:p>
      <w:pPr>
        <w:ind w:left="600" w:hanging="304"/>
        <w:spacing w:after="0"/>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If a holder complies with the procedures described above, such warrants will be considered to have been exercised when the warrant agent receives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common stock or preferred stock purchased upon exercise. If the holder exercises fewer than all of the warrants represented by a warrant certificate, a new warrant certificate will be issued to the holder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8" w:lineRule="exact"/>
        <w:rPr>
          <w:sz w:val="20"/>
          <w:szCs w:val="20"/>
          <w:color w:val="auto"/>
        </w:rPr>
      </w:pPr>
    </w:p>
    <w:p>
      <w:pPr>
        <w:ind w:left="600" w:hanging="304"/>
        <w:spacing w:after="0" w:line="285"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0"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2" w:lineRule="exact"/>
        <w:rPr>
          <w:sz w:val="20"/>
          <w:szCs w:val="20"/>
          <w:color w:val="auto"/>
        </w:rPr>
      </w:pPr>
    </w:p>
    <w:p>
      <w:pPr>
        <w:ind w:left="600" w:hanging="304"/>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 more information, see “</w:t>
      </w: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below.</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15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i w:val="1"/>
          <w:iCs w:val="1"/>
          <w:color w:val="auto"/>
        </w:rPr>
        <w:t xml:space="preserve">Fundamental Transactions: </w:t>
      </w:r>
      <w:r>
        <w:rPr>
          <w:rFonts w:ascii="Arial" w:cs="Arial" w:eastAsia="Arial" w:hAnsi="Arial"/>
          <w:sz w:val="15"/>
          <w:szCs w:val="15"/>
          <w:color w:val="auto"/>
        </w:rPr>
        <w:t>In the event of certain fundamental transactions, as described in the Series A1 Warrants and generally including any merger or consolidation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our Board,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4"/>
          <w:szCs w:val="14"/>
          <w:i w:val="1"/>
          <w:iCs w:val="1"/>
          <w:color w:val="auto"/>
        </w:rPr>
        <w:t>Registration of Series A1 Warrants and Series A1 Warrant Shares</w:t>
      </w:r>
      <w:r>
        <w:rPr>
          <w:rFonts w:ascii="Arial" w:cs="Arial" w:eastAsia="Arial" w:hAnsi="Arial"/>
          <w:sz w:val="14"/>
          <w:szCs w:val="14"/>
          <w:color w:val="auto"/>
        </w:rPr>
        <w:t>. The Series A1 Warrants and the Series A1 Warrant Shares were previously registered pursuant to a</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prospectus supplement filed with the SEC on August 31, 2017 pursuant to Rule 424(b)(5) under the Securities Act, and pursuant to the Company’s effective shelf registration statements on Form S-3 (File Nos. 333-215671 and 333-234025) (the </w:t>
      </w:r>
      <w:r>
        <w:rPr>
          <w:rFonts w:ascii="Arial" w:cs="Arial" w:eastAsia="Arial" w:hAnsi="Arial"/>
          <w:sz w:val="14"/>
          <w:szCs w:val="14"/>
          <w:i w:val="1"/>
          <w:iCs w:val="1"/>
          <w:color w:val="auto"/>
        </w:rPr>
        <w:t>Prior Registration Statements</w:t>
      </w:r>
      <w:r>
        <w:rPr>
          <w:rFonts w:ascii="Arial" w:cs="Arial" w:eastAsia="Arial" w:hAnsi="Arial"/>
          <w:sz w:val="14"/>
          <w:szCs w:val="14"/>
          <w:color w:val="auto"/>
        </w:rPr>
        <w:t xml:space="preserve">), which were originally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on January 23, 2017 and September 30, 2019, respectively, and declared effective by the SEC on July 27, 2017 and October 8, 2019, respectively. Pursuant to Rule 415(a)(6) and Rule 429 under the Securities Act, the offering of the Series A1 Warrant Shares will be registered pursuant to this registration statement.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UNITS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2" w:lineRule="exact"/>
        <w:rPr>
          <w:sz w:val="20"/>
          <w:szCs w:val="20"/>
          <w:color w:val="auto"/>
        </w:rPr>
      </w:pPr>
    </w:p>
    <w:p>
      <w:pPr>
        <w:ind w:left="600" w:hanging="304"/>
        <w:spacing w:after="0" w:line="285"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CHARTER AND BYLAWS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0" w:lineRule="exact"/>
        <w:rPr>
          <w:sz w:val="20"/>
          <w:szCs w:val="20"/>
          <w:color w:val="auto"/>
        </w:rPr>
      </w:pPr>
    </w:p>
    <w:p>
      <w:pPr>
        <w:ind w:left="600" w:hanging="304"/>
        <w:spacing w:after="0" w:line="285"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our Board or a committee of our Board and a majority of disinterested directors on the Board (or on the committee) authorize, approved or ratify the transaction in good faith;</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stockholders holding a majority of the shares, including shares held by the common or interested directors or officers, authorize, approve or ratify the transaction in good faith;</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fact of the common directorship, office or financial interest is not known to the director or officer at the time the transaction is brought to the Board for action; or</w:t>
      </w:r>
    </w:p>
    <w:p>
      <w:pPr>
        <w:spacing w:after="0" w:line="234" w:lineRule="exact"/>
        <w:rPr>
          <w:rFonts w:ascii="Arial" w:cs="Arial" w:eastAsia="Arial" w:hAnsi="Arial"/>
          <w:sz w:val="14"/>
          <w:szCs w:val="14"/>
          <w:color w:val="auto"/>
        </w:rPr>
      </w:pPr>
    </w:p>
    <w:p>
      <w:pPr>
        <w:ind w:left="600" w:hanging="304"/>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transaction is fair to the Company at the time it is authorized or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154"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Our Charter and Nevada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 with Interested Stockholders Statute</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Sections 78.411 to 78.444 of the NRS, which apply to any Nevada corporation which has at least 200 stockholders of record and is publicly traded, including us, prohibits an “interested stockholder” from entering into specified types of business “combinations” with the Nevada corporation for two years, unless certain conditions are met. A “combination” includes:</w:t>
      </w:r>
    </w:p>
    <w:p>
      <w:pPr>
        <w:spacing w:after="0" w:line="106" w:lineRule="exact"/>
        <w:rPr>
          <w:sz w:val="20"/>
          <w:szCs w:val="20"/>
          <w:color w:val="auto"/>
        </w:rPr>
      </w:pPr>
    </w:p>
    <w:p>
      <w:pPr>
        <w:ind w:left="600" w:hanging="304"/>
        <w:spacing w:after="0" w:line="285"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94"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94" w:lineRule="exact"/>
        <w:rPr>
          <w:rFonts w:ascii="Arial" w:cs="Arial" w:eastAsia="Arial" w:hAnsi="Arial"/>
          <w:sz w:val="16"/>
          <w:szCs w:val="16"/>
          <w:color w:val="auto"/>
        </w:rPr>
      </w:pPr>
    </w:p>
    <w:p>
      <w:pPr>
        <w:ind w:left="880" w:hanging="288"/>
        <w:spacing w:after="0"/>
        <w:tabs>
          <w:tab w:leader="none" w:pos="8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having an aggregate market value equal to more than 5% of the aggregate market value of the corporation’s assets, determined on a consolidated basis;</w:t>
      </w:r>
    </w:p>
    <w:p>
      <w:pPr>
        <w:spacing w:after="0" w:line="161" w:lineRule="exact"/>
        <w:rPr>
          <w:rFonts w:ascii="Arial" w:cs="Arial" w:eastAsia="Arial" w:hAnsi="Arial"/>
          <w:sz w:val="15"/>
          <w:szCs w:val="15"/>
          <w:color w:val="auto"/>
        </w:rPr>
      </w:pPr>
    </w:p>
    <w:p>
      <w:pPr>
        <w:ind w:left="880" w:hanging="288"/>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having an aggregate market value equal to more than 5% of the aggregate market value of all outstanding voting shares of the corporation; or</w:t>
      </w:r>
    </w:p>
    <w:p>
      <w:pPr>
        <w:spacing w:after="0" w:line="149" w:lineRule="exact"/>
        <w:rPr>
          <w:rFonts w:ascii="Arial" w:cs="Arial" w:eastAsia="Arial" w:hAnsi="Arial"/>
          <w:sz w:val="16"/>
          <w:szCs w:val="16"/>
          <w:color w:val="auto"/>
        </w:rPr>
      </w:pPr>
    </w:p>
    <w:p>
      <w:pPr>
        <w:ind w:left="880" w:hanging="288"/>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representing more than 10% of the earning power or net income, determined on a consolidated basis, of the corporation; or</w:t>
      </w:r>
    </w:p>
    <w:p>
      <w:pPr>
        <w:spacing w:after="0" w:line="149" w:lineRule="exact"/>
        <w:rPr>
          <w:rFonts w:ascii="Arial" w:cs="Arial" w:eastAsia="Arial" w:hAnsi="Arial"/>
          <w:sz w:val="16"/>
          <w:szCs w:val="16"/>
          <w:color w:val="auto"/>
        </w:rPr>
      </w:pPr>
    </w:p>
    <w:p>
      <w:pPr>
        <w:jc w:val="both"/>
        <w:ind w:left="600" w:hanging="304"/>
        <w:spacing w:after="0" w:line="267"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108"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94" w:lineRule="exact"/>
        <w:rPr>
          <w:rFonts w:ascii="Arial" w:cs="Arial" w:eastAsia="Arial" w:hAnsi="Arial"/>
          <w:sz w:val="16"/>
          <w:szCs w:val="16"/>
          <w:color w:val="auto"/>
        </w:rPr>
      </w:pPr>
    </w:p>
    <w:p>
      <w:pPr>
        <w:ind w:left="600" w:hanging="304"/>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any of the following actions occurs</w:t>
      </w:r>
    </w:p>
    <w:p>
      <w:pPr>
        <w:spacing w:after="0" w:line="149" w:lineRule="exact"/>
        <w:rPr>
          <w:rFonts w:ascii="Arial" w:cs="Arial" w:eastAsia="Arial" w:hAnsi="Arial"/>
          <w:sz w:val="16"/>
          <w:szCs w:val="16"/>
          <w:color w:val="auto"/>
        </w:rPr>
      </w:pPr>
    </w:p>
    <w:p>
      <w:pPr>
        <w:ind w:left="880" w:hanging="288"/>
        <w:spacing w:after="0" w:line="285" w:lineRule="auto"/>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spacing w:after="0" w:line="94" w:lineRule="exact"/>
        <w:rPr>
          <w:rFonts w:ascii="Arial" w:cs="Arial" w:eastAsia="Arial" w:hAnsi="Arial"/>
          <w:sz w:val="16"/>
          <w:szCs w:val="16"/>
          <w:color w:val="auto"/>
        </w:rPr>
      </w:pPr>
    </w:p>
    <w:p>
      <w:pPr>
        <w:ind w:left="880" w:hanging="288"/>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recapitalization of the corporation;</w:t>
      </w:r>
    </w:p>
    <w:p>
      <w:pPr>
        <w:spacing w:after="0" w:line="149" w:lineRule="exact"/>
        <w:rPr>
          <w:rFonts w:ascii="Arial" w:cs="Arial" w:eastAsia="Arial" w:hAnsi="Arial"/>
          <w:sz w:val="16"/>
          <w:szCs w:val="16"/>
          <w:color w:val="auto"/>
        </w:rPr>
      </w:pPr>
    </w:p>
    <w:p>
      <w:pPr>
        <w:ind w:left="880" w:hanging="288"/>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merger or consolidation of the corporation with any subsidiary; or</w:t>
      </w:r>
    </w:p>
    <w:p>
      <w:pPr>
        <w:spacing w:after="0" w:line="149" w:lineRule="exact"/>
        <w:rPr>
          <w:rFonts w:ascii="Arial" w:cs="Arial" w:eastAsia="Arial" w:hAnsi="Arial"/>
          <w:sz w:val="16"/>
          <w:szCs w:val="16"/>
          <w:color w:val="auto"/>
        </w:rPr>
      </w:pPr>
    </w:p>
    <w:p>
      <w:pPr>
        <w:ind w:left="880" w:hanging="288"/>
        <w:spacing w:after="0"/>
        <w:tabs>
          <w:tab w:leader="none" w:pos="8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other transaction, whether or not with or into or otherwise involving the interested stockholder,</w:t>
      </w:r>
    </w:p>
    <w:p>
      <w:pPr>
        <w:spacing w:after="0" w:line="150" w:lineRule="exact"/>
        <w:rPr>
          <w:sz w:val="20"/>
          <w:szCs w:val="20"/>
          <w:color w:val="auto"/>
        </w:rPr>
      </w:pPr>
    </w:p>
    <w:p>
      <w:pPr>
        <w:jc w:val="both"/>
        <w:ind w:left="600"/>
        <w:spacing w:after="0" w:line="290" w:lineRule="auto"/>
        <w:rPr>
          <w:sz w:val="20"/>
          <w:szCs w:val="20"/>
          <w:color w:val="auto"/>
        </w:rPr>
      </w:pPr>
      <w:r>
        <w:rPr>
          <w:rFonts w:ascii="Arial" w:cs="Arial" w:eastAsia="Arial" w:hAnsi="Arial"/>
          <w:sz w:val="15"/>
          <w:szCs w:val="15"/>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 or</w:t>
      </w:r>
    </w:p>
    <w:p>
      <w:pPr>
        <w:spacing w:after="0" w:line="94" w:lineRule="exact"/>
        <w:rPr>
          <w:sz w:val="20"/>
          <w:szCs w:val="20"/>
          <w:color w:val="auto"/>
        </w:rPr>
      </w:pPr>
    </w:p>
    <w:p>
      <w:pPr>
        <w:ind w:left="600" w:hanging="304"/>
        <w:spacing w:after="0" w:line="360" w:lineRule="auto"/>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An “interested stockholder” is a person who is:</w:t>
      </w:r>
    </w:p>
    <w:p>
      <w:pPr>
        <w:spacing w:after="0" w:line="150" w:lineRule="exact"/>
        <w:rPr>
          <w:sz w:val="20"/>
          <w:szCs w:val="20"/>
          <w:color w:val="auto"/>
        </w:rPr>
      </w:pPr>
    </w:p>
    <w:p>
      <w:pPr>
        <w:ind w:left="600" w:hanging="304"/>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directly or indirectly, the beneficial owner of 10% or more of the voting power of the outstanding voting shares of the corporation; or</w:t>
      </w:r>
    </w:p>
    <w:p>
      <w:pPr>
        <w:spacing w:after="0" w:line="149"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60% of the 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Controlling Interest Statute</w:t>
      </w:r>
    </w:p>
    <w:p>
      <w:pPr>
        <w:spacing w:after="0" w:line="154"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 residents, that do business directly or indirectly in Nevada and whose articles of incorporation or bylaws in effect ten days following the acquisition of a controlling interest by an acquiror do not prohibit its application.</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intend to “do business” in Nevada within the meaning of the Acquisition of Controlling Interest Statute. Further, our Bylaws contain a specific opt out from the statute. Therefore, we believe it is unlikely that this statute will apply to us. The statute specifies three thresholds:</w:t>
      </w:r>
    </w:p>
    <w:p>
      <w:pPr>
        <w:spacing w:after="0" w:line="95" w:lineRule="exact"/>
        <w:rPr>
          <w:sz w:val="20"/>
          <w:szCs w:val="20"/>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one-fifth but less than one-third;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one-third but less than a majority; and</w:t>
      </w:r>
    </w:p>
    <w:p>
      <w:pPr>
        <w:spacing w:after="0" w:line="149"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majority or more, of the outstanding voting power.</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Once an acquiror crosses one of these thresholds, shares which it acquired in the transaction taking it over the threshold (or within 90 days preceding the date thereof) become “control shares” which could be deprived of the right to vote until a majority of the disinterested stockholders restore that right. 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Charter and our Bylaws, as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 vote in favor of restoring voting rights to the control shares may demand payment for the “fair value” of their shares as determined by a court in dissenter’s rights proceeding pursuant to Chapter 92A of the NRS.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193" w:lineRule="exact"/>
        <w:rPr>
          <w:sz w:val="20"/>
          <w:szCs w:val="20"/>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56" w:lineRule="exact"/>
        <w:rPr>
          <w:sz w:val="20"/>
          <w:szCs w:val="20"/>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Woodburn and Wedge, of Reno, Nevada.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2" w:lineRule="exact"/>
        <w:rPr>
          <w:sz w:val="20"/>
          <w:szCs w:val="20"/>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on June 29,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June 30, 2020, filed on August 13,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September 30, 2020, filed on November 12,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Quarterly Report on Form 10-Q for the quarter ended December 31, 2020, filed on February 11, 2021;</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Definitive Proxy Statement on Schedule 14A, filed on July 27, 2020 (solely with respect to information required by Part III of our Annual Report on Form 10-K for the year ended March 31, 2020, which information shall update and supersede information included in Part III of our Annual Report on Form 10-K for the year ended March 31, 2020);</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April 3,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April 27,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June 26,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August 6,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September 18,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October 13,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December 1,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December 22, 2020;</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January 6, 2021;</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February 2, 2021;</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Current Report on Form 8-K, filed on March 5, 2021;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(other than any portions of filings that are furnished rather than filed pursuant to Items 2.02 and 7.01 of a Current Report on Form 8-K) and are an important part of this prospectus.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267970</wp:posOffset>
            </wp:positionV>
            <wp:extent cx="973455" cy="620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3455" cy="62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$250,000,000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PREFERRED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1273175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9019"/>
          </w:cols>
          <w:pgMar w:left="1440" w:top="745" w:right="1440"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OTHER EXPENSES OF ISSUANCE AND DISTRIBUTION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and FINRA registration fees.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r>
      <w:tr>
        <w:trPr>
          <w:trHeight w:val="198"/>
        </w:trPr>
        <w:tc>
          <w:tcPr>
            <w:tcW w:w="10240" w:type="dxa"/>
            <w:vAlign w:val="bottom"/>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27,275</w:t>
            </w:r>
          </w:p>
        </w:tc>
        <w:tc>
          <w:tcPr>
            <w:tcW w:w="100" w:type="dxa"/>
            <w:vAlign w:val="bottom"/>
            <w:shd w:val="clear" w:color="auto" w:fill="CCEEFF"/>
          </w:tcPr>
          <w:p>
            <w:pPr>
              <w:spacing w:after="0"/>
              <w:rPr>
                <w:sz w:val="17"/>
                <w:szCs w:val="17"/>
                <w:color w:val="auto"/>
              </w:rPr>
            </w:pPr>
          </w:p>
        </w:tc>
      </w:tr>
      <w:tr>
        <w:trPr>
          <w:trHeight w:val="198"/>
        </w:trPr>
        <w:tc>
          <w:tcPr>
            <w:tcW w:w="10240" w:type="dxa"/>
            <w:vAlign w:val="bottom"/>
          </w:tcPr>
          <w:p>
            <w:pPr>
              <w:spacing w:after="0"/>
              <w:rPr>
                <w:sz w:val="20"/>
                <w:szCs w:val="20"/>
                <w:color w:val="auto"/>
              </w:rPr>
            </w:pPr>
            <w:r>
              <w:rPr>
                <w:rFonts w:ascii="Arial" w:cs="Arial" w:eastAsia="Arial" w:hAnsi="Arial"/>
                <w:sz w:val="16"/>
                <w:szCs w:val="16"/>
                <w:color w:val="auto"/>
              </w:rPr>
              <w:t>FINRA registration fee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30,099</w:t>
            </w:r>
          </w:p>
        </w:tc>
        <w:tc>
          <w:tcPr>
            <w:tcW w:w="100" w:type="dxa"/>
            <w:vAlign w:val="bottom"/>
          </w:tcPr>
          <w:p>
            <w:pPr>
              <w:spacing w:after="0"/>
              <w:rPr>
                <w:sz w:val="17"/>
                <w:szCs w:val="17"/>
                <w:color w:val="auto"/>
              </w:rPr>
            </w:pPr>
          </w:p>
        </w:tc>
      </w:tr>
      <w:tr>
        <w:trPr>
          <w:trHeight w:val="198"/>
        </w:trPr>
        <w:tc>
          <w:tcPr>
            <w:tcW w:w="1024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17"/>
                <w:szCs w:val="17"/>
                <w:color w:val="auto"/>
              </w:rPr>
            </w:pPr>
          </w:p>
        </w:tc>
      </w:tr>
      <w:tr>
        <w:trPr>
          <w:trHeight w:val="198"/>
        </w:trPr>
        <w:tc>
          <w:tcPr>
            <w:tcW w:w="1024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17"/>
                <w:szCs w:val="17"/>
                <w:color w:val="auto"/>
              </w:rPr>
            </w:pPr>
          </w:p>
        </w:tc>
      </w:tr>
      <w:tr>
        <w:trPr>
          <w:trHeight w:val="203"/>
        </w:trPr>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Printing and miscellaneous fees and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8"/>
        </w:trPr>
        <w:tc>
          <w:tcPr>
            <w:tcW w:w="1024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104,374</w:t>
            </w:r>
          </w:p>
        </w:tc>
        <w:tc>
          <w:tcPr>
            <w:tcW w:w="100" w:type="dxa"/>
            <w:vAlign w:val="bottom"/>
          </w:tcPr>
          <w:p>
            <w:pPr>
              <w:spacing w:after="0"/>
              <w:rPr>
                <w:sz w:val="17"/>
                <w:szCs w:val="17"/>
                <w:color w:val="auto"/>
              </w:rPr>
            </w:pPr>
          </w:p>
        </w:tc>
      </w:tr>
      <w:tr>
        <w:trPr>
          <w:trHeight w:val="20"/>
        </w:trPr>
        <w:tc>
          <w:tcPr>
            <w:tcW w:w="10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INDEMNIFICATION OF OFFICERS AND DIRECTORS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Section 78.7502 of the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The person to be indemnified must have acted in good faith and in a manner he or she reasonably believed to be in or not opposed to the best interests of the corporation and, with respect to any criminal action, such person must have had no reasonable cause to believe his conduct was unlawful.</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With respect to actions by or in the right of the corporation,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person is fairly and reasonably entitled to indemnity for such expenses as the court deems proper.</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Unless indemnification is ordered by a court, the determination to pay indemnification must be made by the stockholders, by a majority vote of a quorum of the Board of Directors who were not parties to the action, suit or proceeding, or in certain circumstances by independent legal counsel in a written opinion. Section 78.751 of the NRS permits the articles of incorporation or bylaws to provide for payment to an indemnified person of the expenses of defending an action as incurred upon receipt of an undertaking to repay the amount if it is ultimately determined by a court of competent jurisdiction that the person is not entitled to indemnification.</w:t>
      </w:r>
    </w:p>
    <w:p>
      <w:pPr>
        <w:spacing w:after="0" w:line="94"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Section 78.7502 also provides that to the extent a director, officer, employee or agent has been successful on the merits or otherwise in the defense of any such action, he must be indemnified by the corporation against expenses, including attorneys' fees, actually and reasonably incurred in connection with the defense.</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Article X of our Charter, entitled “Indemnification,” provides that we shall indemnify, and shall advance or reimburse the reasonable expenses incurred in advance of final disposition of the proceeding of, any individual made a party to a proceeding because that individual is or was a director of the corporation to the full extent and under all circumstances permitted by applicable law. Article X of our Bylaws, entitled “Indemnification,” provides that we shall indemnify our directors and officers to the fullest extent not prohibited by the NRS, except in the case of proceedings initiated by such officers or directors unless certain other factors are present.</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ind w:left="1"/>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16. EXHIBITS</w:t>
      </w: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1.1*</w:t>
            </w:r>
          </w:p>
        </w:tc>
        <w:tc>
          <w:tcPr>
            <w:tcW w:w="10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Form of Underwriting Agreement</w:t>
            </w:r>
          </w:p>
        </w:tc>
      </w:tr>
      <w:tr>
        <w:trPr>
          <w:trHeight w:val="198"/>
        </w:trPr>
        <w:tc>
          <w:tcPr>
            <w:tcW w:w="640" w:type="dxa"/>
            <w:vAlign w:val="bottom"/>
          </w:tcPr>
          <w:p>
            <w:pPr>
              <w:spacing w:after="0"/>
              <w:rPr>
                <w:sz w:val="20"/>
                <w:szCs w:val="20"/>
                <w:color w:val="auto"/>
              </w:rPr>
            </w:pPr>
            <w:r>
              <w:rPr>
                <w:rFonts w:ascii="Arial" w:cs="Arial" w:eastAsia="Arial" w:hAnsi="Arial"/>
                <w:sz w:val="16"/>
                <w:szCs w:val="16"/>
                <w:color w:val="auto"/>
              </w:rPr>
              <w:t>1.2*</w:t>
            </w:r>
          </w:p>
        </w:tc>
        <w:tc>
          <w:tcPr>
            <w:tcW w:w="10600" w:type="dxa"/>
            <w:vAlign w:val="bottom"/>
          </w:tcPr>
          <w:p>
            <w:pPr>
              <w:ind w:left="380"/>
              <w:spacing w:after="0"/>
              <w:rPr>
                <w:sz w:val="20"/>
                <w:szCs w:val="20"/>
                <w:color w:val="auto"/>
              </w:rPr>
            </w:pPr>
            <w:r>
              <w:rPr>
                <w:rFonts w:ascii="Arial" w:cs="Arial" w:eastAsia="Arial" w:hAnsi="Arial"/>
                <w:sz w:val="16"/>
                <w:szCs w:val="16"/>
                <w:color w:val="auto"/>
              </w:rPr>
              <w:t>Form of Placement Agent Agreement</w:t>
            </w:r>
          </w:p>
        </w:tc>
      </w:tr>
      <w:tr>
        <w:trPr>
          <w:trHeight w:val="19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4.1*</w:t>
            </w:r>
          </w:p>
        </w:tc>
        <w:tc>
          <w:tcPr>
            <w:tcW w:w="10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Form of any certificate of designation with respect to any preferred stock issued hereunder and the related form of preferred stock certificate</w:t>
            </w:r>
          </w:p>
        </w:tc>
      </w:tr>
      <w:tr>
        <w:trPr>
          <w:trHeight w:val="198"/>
        </w:trPr>
        <w:tc>
          <w:tcPr>
            <w:tcW w:w="640" w:type="dxa"/>
            <w:vAlign w:val="bottom"/>
          </w:tcPr>
          <w:p>
            <w:pPr>
              <w:spacing w:after="0"/>
              <w:rPr>
                <w:sz w:val="20"/>
                <w:szCs w:val="20"/>
                <w:color w:val="auto"/>
              </w:rPr>
            </w:pPr>
            <w:r>
              <w:rPr>
                <w:rFonts w:ascii="Arial" w:cs="Arial" w:eastAsia="Arial" w:hAnsi="Arial"/>
                <w:sz w:val="16"/>
                <w:szCs w:val="16"/>
                <w:color w:val="auto"/>
              </w:rPr>
              <w:t>4.2*</w:t>
            </w:r>
          </w:p>
        </w:tc>
        <w:tc>
          <w:tcPr>
            <w:tcW w:w="10600" w:type="dxa"/>
            <w:vAlign w:val="bottom"/>
          </w:tcPr>
          <w:p>
            <w:pPr>
              <w:ind w:left="380"/>
              <w:spacing w:after="0"/>
              <w:rPr>
                <w:sz w:val="20"/>
                <w:szCs w:val="20"/>
                <w:color w:val="auto"/>
              </w:rPr>
            </w:pPr>
            <w:r>
              <w:rPr>
                <w:rFonts w:ascii="Arial" w:cs="Arial" w:eastAsia="Arial" w:hAnsi="Arial"/>
                <w:sz w:val="16"/>
                <w:szCs w:val="16"/>
                <w:color w:val="auto"/>
              </w:rPr>
              <w:t>Form of any warrant agreement with respect to each particular series of warrants issued hereunder</w:t>
            </w:r>
          </w:p>
        </w:tc>
      </w:tr>
      <w:tr>
        <w:trPr>
          <w:trHeight w:val="198"/>
        </w:trPr>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4.3*</w:t>
            </w:r>
          </w:p>
        </w:tc>
        <w:tc>
          <w:tcPr>
            <w:tcW w:w="10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Form of any warrant agency agreement with respect to each particular series of warrants issued hereunder</w:t>
            </w:r>
          </w:p>
        </w:tc>
      </w:tr>
      <w:tr>
        <w:trPr>
          <w:trHeight w:val="198"/>
        </w:trPr>
        <w:tc>
          <w:tcPr>
            <w:tcW w:w="640" w:type="dxa"/>
            <w:vAlign w:val="bottom"/>
          </w:tcPr>
          <w:p>
            <w:pPr>
              <w:spacing w:after="0"/>
              <w:rPr>
                <w:sz w:val="20"/>
                <w:szCs w:val="20"/>
                <w:color w:val="auto"/>
              </w:rPr>
            </w:pPr>
            <w:r>
              <w:rPr>
                <w:rFonts w:ascii="Arial" w:cs="Arial" w:eastAsia="Arial" w:hAnsi="Arial"/>
                <w:sz w:val="16"/>
                <w:szCs w:val="16"/>
                <w:color w:val="auto"/>
              </w:rPr>
              <w:t>4.4*</w:t>
            </w:r>
          </w:p>
        </w:tc>
        <w:tc>
          <w:tcPr>
            <w:tcW w:w="10600" w:type="dxa"/>
            <w:vAlign w:val="bottom"/>
          </w:tcPr>
          <w:p>
            <w:pPr>
              <w:ind w:left="380"/>
              <w:spacing w:after="0"/>
              <w:rPr>
                <w:sz w:val="20"/>
                <w:szCs w:val="20"/>
                <w:color w:val="auto"/>
              </w:rPr>
            </w:pPr>
            <w:r>
              <w:rPr>
                <w:rFonts w:ascii="Arial" w:cs="Arial" w:eastAsia="Arial" w:hAnsi="Arial"/>
                <w:sz w:val="16"/>
                <w:szCs w:val="16"/>
                <w:color w:val="auto"/>
              </w:rPr>
              <w:t>Form of any unit agreement with respect to any unit issued hereunder</w:t>
            </w:r>
          </w:p>
        </w:tc>
      </w:tr>
      <w:tr>
        <w:trPr>
          <w:trHeight w:val="198"/>
        </w:trPr>
        <w:tc>
          <w:tcPr>
            <w:tcW w:w="640" w:type="dxa"/>
            <w:vAlign w:val="bottom"/>
            <w:shd w:val="clear" w:color="auto" w:fill="CCEEFF"/>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5.1</w:t>
              </w:r>
            </w:hyperlink>
          </w:p>
        </w:tc>
        <w:tc>
          <w:tcPr>
            <w:tcW w:w="10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Opinion of Woodburn and Wedge</w:t>
            </w:r>
          </w:p>
        </w:tc>
      </w:tr>
      <w:tr>
        <w:trPr>
          <w:trHeight w:val="198"/>
        </w:trPr>
        <w:tc>
          <w:tcPr>
            <w:tcW w:w="640" w:type="dxa"/>
            <w:vAlign w:val="bottom"/>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23.1</w:t>
              </w:r>
            </w:hyperlink>
          </w:p>
        </w:tc>
        <w:tc>
          <w:tcPr>
            <w:tcW w:w="10600" w:type="dxa"/>
            <w:vAlign w:val="bottom"/>
          </w:tcPr>
          <w:p>
            <w:pPr>
              <w:ind w:left="380"/>
              <w:spacing w:after="0"/>
              <w:rPr>
                <w:sz w:val="20"/>
                <w:szCs w:val="20"/>
                <w:color w:val="auto"/>
              </w:rPr>
            </w:pPr>
            <w:r>
              <w:rPr>
                <w:rFonts w:ascii="Arial" w:cs="Arial" w:eastAsia="Arial" w:hAnsi="Arial"/>
                <w:sz w:val="16"/>
                <w:szCs w:val="16"/>
                <w:color w:val="auto"/>
              </w:rPr>
              <w:t>Consent of Woodburn and Wedge (included in Exhibit 5.1)</w:t>
            </w:r>
          </w:p>
        </w:tc>
      </w:tr>
      <w:tr>
        <w:trPr>
          <w:trHeight w:val="198"/>
        </w:trPr>
        <w:tc>
          <w:tcPr>
            <w:tcW w:w="640" w:type="dxa"/>
            <w:vAlign w:val="bottom"/>
            <w:shd w:val="clear" w:color="auto" w:fill="CCEEFF"/>
          </w:tcPr>
          <w:p>
            <w:pPr>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23.2</w:t>
              </w:r>
            </w:hyperlink>
          </w:p>
        </w:tc>
        <w:tc>
          <w:tcPr>
            <w:tcW w:w="10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Consent of Independent Registered Public Accounting Firm – OUM &amp; Co., LLP</w:t>
            </w:r>
          </w:p>
        </w:tc>
      </w:tr>
    </w:tbl>
    <w:p>
      <w:pPr>
        <w:ind w:left="1021" w:hanging="1021"/>
        <w:spacing w:after="0"/>
        <w:tabs>
          <w:tab w:leader="none" w:pos="1021" w:val="left"/>
        </w:tabs>
        <w:numPr>
          <w:ilvl w:val="0"/>
          <w:numId w:val="19"/>
        </w:numPr>
        <w:rPr>
          <w:rFonts w:ascii="Arial" w:cs="Arial" w:eastAsia="Arial" w:hAnsi="Arial"/>
          <w:sz w:val="16"/>
          <w:szCs w:val="16"/>
          <w:u w:val="single" w:color="auto"/>
          <w:color w:val="0000EE"/>
        </w:rPr>
      </w:pPr>
      <w:r>
        <w:rPr>
          <w:rFonts w:ascii="Arial" w:cs="Arial" w:eastAsia="Arial" w:hAnsi="Arial"/>
          <w:sz w:val="16"/>
          <w:szCs w:val="16"/>
          <w:color w:val="auto"/>
        </w:rPr>
        <w:t>Power of Attorney (located on signature page)</w:t>
      </w:r>
    </w:p>
    <w:p>
      <w:pPr>
        <w:spacing w:after="0" w:line="203" w:lineRule="exact"/>
        <w:rPr>
          <w:sz w:val="20"/>
          <w:szCs w:val="20"/>
          <w:color w:val="auto"/>
        </w:rPr>
      </w:pPr>
    </w:p>
    <w:p>
      <w:pPr>
        <w:ind w:left="461" w:hanging="461"/>
        <w:spacing w:after="0" w:line="285" w:lineRule="auto"/>
        <w:tabs>
          <w:tab w:leader="none" w:pos="4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be filed, if necessary, by an amendment to this registration statement or incorporation by reference pursuant to a Current Report on Form 8-K in connection with an offering of securities.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ITEM 17. UNDERTAKINGS</w:t>
      </w:r>
    </w:p>
    <w:p>
      <w:pPr>
        <w:spacing w:after="0" w:line="216" w:lineRule="exact"/>
        <w:rPr>
          <w:sz w:val="20"/>
          <w:szCs w:val="20"/>
          <w:color w:val="auto"/>
        </w:rPr>
      </w:pPr>
    </w:p>
    <w:p>
      <w:pPr>
        <w:ind w:left="221" w:hanging="221"/>
        <w:spacing w:after="0"/>
        <w:tabs>
          <w:tab w:leader="none" w:pos="2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211" w:lineRule="exact"/>
        <w:rPr>
          <w:rFonts w:ascii="Arial" w:cs="Arial" w:eastAsia="Arial" w:hAnsi="Arial"/>
          <w:sz w:val="16"/>
          <w:szCs w:val="16"/>
          <w:color w:val="auto"/>
        </w:rPr>
      </w:pPr>
    </w:p>
    <w:p>
      <w:pPr>
        <w:ind w:left="861" w:hanging="268"/>
        <w:spacing w:after="0"/>
        <w:tabs>
          <w:tab w:leader="none" w:pos="861"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11" w:lineRule="exact"/>
        <w:rPr>
          <w:rFonts w:ascii="Arial" w:cs="Arial" w:eastAsia="Arial" w:hAnsi="Arial"/>
          <w:sz w:val="16"/>
          <w:szCs w:val="16"/>
          <w:color w:val="auto"/>
        </w:rPr>
      </w:pPr>
    </w:p>
    <w:p>
      <w:pPr>
        <w:ind w:left="1421" w:hanging="234"/>
        <w:spacing w:after="0"/>
        <w:tabs>
          <w:tab w:leader="none" w:pos="1421"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211" w:lineRule="exact"/>
        <w:rPr>
          <w:rFonts w:ascii="Arial" w:cs="Arial" w:eastAsia="Arial" w:hAnsi="Arial"/>
          <w:sz w:val="16"/>
          <w:szCs w:val="16"/>
          <w:color w:val="auto"/>
        </w:rPr>
      </w:pPr>
    </w:p>
    <w:p>
      <w:pPr>
        <w:jc w:val="both"/>
        <w:ind w:left="601" w:firstLine="586"/>
        <w:spacing w:after="0" w:line="263" w:lineRule="auto"/>
        <w:tabs>
          <w:tab w:leader="none" w:pos="1471"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4" w:lineRule="exact"/>
        <w:rPr>
          <w:rFonts w:ascii="Arial" w:cs="Arial" w:eastAsia="Arial" w:hAnsi="Arial"/>
          <w:sz w:val="16"/>
          <w:szCs w:val="16"/>
          <w:color w:val="auto"/>
        </w:rPr>
      </w:pPr>
    </w:p>
    <w:p>
      <w:pPr>
        <w:ind w:left="601" w:firstLine="586"/>
        <w:spacing w:after="0" w:line="285" w:lineRule="auto"/>
        <w:tabs>
          <w:tab w:leader="none" w:pos="1555"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6" w:lineRule="exact"/>
        <w:rPr>
          <w:sz w:val="20"/>
          <w:szCs w:val="20"/>
          <w:color w:val="auto"/>
        </w:rPr>
      </w:pPr>
    </w:p>
    <w:p>
      <w:pPr>
        <w:jc w:val="both"/>
        <w:ind w:left="601"/>
        <w:spacing w:after="0" w:line="327" w:lineRule="auto"/>
        <w:rPr>
          <w:sz w:val="20"/>
          <w:szCs w:val="20"/>
          <w:color w:val="auto"/>
        </w:rPr>
      </w:pPr>
      <w:r>
        <w:rPr>
          <w:rFonts w:ascii="Arial" w:cs="Arial" w:eastAsia="Arial" w:hAnsi="Arial"/>
          <w:sz w:val="14"/>
          <w:szCs w:val="14"/>
          <w:i w:val="1"/>
          <w:iCs w:val="1"/>
          <w:color w:val="auto"/>
        </w:rPr>
        <w:t>provided, however</w:t>
      </w:r>
      <w:r>
        <w:rPr>
          <w:rFonts w:ascii="Arial" w:cs="Arial" w:eastAsia="Arial" w:hAnsi="Arial"/>
          <w:sz w:val="14"/>
          <w:szCs w:val="14"/>
          <w:color w:val="auto"/>
        </w:rPr>
        <w:t>, that paragraphs (i), (ii) and (iii) do not apply if the information required to be included in a post-effective amendment by those paragraphs is</w:t>
      </w:r>
      <w:r>
        <w:rPr>
          <w:rFonts w:ascii="Arial" w:cs="Arial" w:eastAsia="Arial" w:hAnsi="Arial"/>
          <w:sz w:val="14"/>
          <w:szCs w:val="14"/>
          <w:i w:val="1"/>
          <w:iCs w:val="1"/>
          <w:color w:val="auto"/>
        </w:rPr>
        <w:t xml:space="preserve"> </w:t>
      </w:r>
      <w:r>
        <w:rPr>
          <w:rFonts w:ascii="Arial" w:cs="Arial" w:eastAsia="Arial" w:hAnsi="Arial"/>
          <w:sz w:val="14"/>
          <w:szCs w:val="14"/>
          <w:color w:val="auto"/>
        </w:rPr>
        <w:t>contained in reports filed with or furnished to the Commission by the Registrant pursuant to Section 13 or Section 15(d) of the Exchange Act of 1934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1" w:firstLine="592"/>
        <w:spacing w:after="0" w:line="320" w:lineRule="auto"/>
        <w:tabs>
          <w:tab w:leader="none" w:pos="865"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5"/>
          <w:szCs w:val="15"/>
          <w:color w:val="auto"/>
        </w:rPr>
      </w:pPr>
    </w:p>
    <w:p>
      <w:pPr>
        <w:ind w:left="901" w:hanging="308"/>
        <w:spacing w:after="0"/>
        <w:tabs>
          <w:tab w:leader="none" w:pos="90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32" w:lineRule="exact"/>
        <w:rPr>
          <w:rFonts w:ascii="Arial" w:cs="Arial" w:eastAsia="Arial" w:hAnsi="Arial"/>
          <w:sz w:val="15"/>
          <w:szCs w:val="15"/>
          <w:color w:val="auto"/>
        </w:rPr>
      </w:pPr>
    </w:p>
    <w:p>
      <w:pPr>
        <w:ind w:left="1"/>
        <w:spacing w:after="0"/>
        <w:rPr>
          <w:rFonts w:ascii="Arial" w:cs="Arial" w:eastAsia="Arial" w:hAnsi="Arial"/>
          <w:sz w:val="15"/>
          <w:szCs w:val="15"/>
          <w:color w:val="auto"/>
        </w:rPr>
      </w:pPr>
      <w:r>
        <w:rPr>
          <w:rFonts w:ascii="Arial" w:cs="Arial" w:eastAsia="Arial" w:hAnsi="Arial"/>
          <w:sz w:val="16"/>
          <w:szCs w:val="16"/>
          <w:color w:val="auto"/>
        </w:rPr>
        <w:t>offering.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31" w:right="3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hanging="268"/>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211" w:lineRule="exact"/>
        <w:rPr>
          <w:rFonts w:ascii="Arial" w:cs="Arial" w:eastAsia="Arial" w:hAnsi="Arial"/>
          <w:sz w:val="16"/>
          <w:szCs w:val="16"/>
          <w:color w:val="auto"/>
        </w:rPr>
      </w:pPr>
    </w:p>
    <w:p>
      <w:pPr>
        <w:ind w:firstLine="1186"/>
        <w:spacing w:after="0" w:line="285" w:lineRule="auto"/>
        <w:tabs>
          <w:tab w:leader="none" w:pos="140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6" w:lineRule="exact"/>
        <w:rPr>
          <w:rFonts w:ascii="Arial" w:cs="Arial" w:eastAsia="Arial" w:hAnsi="Arial"/>
          <w:sz w:val="16"/>
          <w:szCs w:val="16"/>
          <w:color w:val="auto"/>
        </w:rPr>
      </w:pPr>
    </w:p>
    <w:p>
      <w:pPr>
        <w:jc w:val="both"/>
        <w:ind w:firstLine="1186"/>
        <w:spacing w:after="0" w:line="303" w:lineRule="auto"/>
        <w:tabs>
          <w:tab w:leader="none" w:pos="1428" w:val="left"/>
        </w:tabs>
        <w:numPr>
          <w:ilvl w:val="1"/>
          <w:numId w:val="23"/>
        </w:numPr>
        <w:rPr>
          <w:rFonts w:ascii="Arial" w:cs="Arial" w:eastAsia="Arial" w:hAnsi="Arial"/>
          <w:sz w:val="14"/>
          <w:szCs w:val="14"/>
          <w:color w:val="auto"/>
        </w:rPr>
      </w:pPr>
      <w:r>
        <w:rPr>
          <w:rFonts w:ascii="Arial" w:cs="Arial" w:eastAsia="Arial" w:hAnsi="Arial"/>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rFonts w:ascii="Arial" w:cs="Arial" w:eastAsia="Arial" w:hAnsi="Arial"/>
          <w:sz w:val="14"/>
          <w:szCs w:val="14"/>
          <w:color w:val="auto"/>
        </w:rPr>
      </w:pPr>
    </w:p>
    <w:p>
      <w:pPr>
        <w:jc w:val="both"/>
        <w:ind w:firstLine="592"/>
        <w:spacing w:after="0" w:line="267" w:lineRule="auto"/>
        <w:tabs>
          <w:tab w:leader="none" w:pos="8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0" w:lineRule="exact"/>
        <w:rPr>
          <w:rFonts w:ascii="Arial" w:cs="Arial" w:eastAsia="Arial" w:hAnsi="Arial"/>
          <w:sz w:val="16"/>
          <w:szCs w:val="16"/>
          <w:color w:val="auto"/>
        </w:rPr>
      </w:pPr>
    </w:p>
    <w:p>
      <w:pPr>
        <w:ind w:left="1400" w:hanging="214"/>
        <w:spacing w:after="0"/>
        <w:tabs>
          <w:tab w:leader="none" w:pos="14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11" w:lineRule="exact"/>
        <w:rPr>
          <w:rFonts w:ascii="Arial" w:cs="Arial" w:eastAsia="Arial" w:hAnsi="Arial"/>
          <w:sz w:val="16"/>
          <w:szCs w:val="16"/>
          <w:color w:val="auto"/>
        </w:rPr>
      </w:pPr>
    </w:p>
    <w:p>
      <w:pPr>
        <w:ind w:left="1480" w:hanging="294"/>
        <w:spacing w:after="0"/>
        <w:tabs>
          <w:tab w:leader="none" w:pos="14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registrant;</w:t>
      </w:r>
    </w:p>
    <w:p>
      <w:pPr>
        <w:spacing w:after="0" w:line="204" w:lineRule="exact"/>
        <w:rPr>
          <w:rFonts w:ascii="Arial" w:cs="Arial" w:eastAsia="Arial" w:hAnsi="Arial"/>
          <w:sz w:val="15"/>
          <w:szCs w:val="15"/>
          <w:color w:val="auto"/>
        </w:rPr>
      </w:pPr>
    </w:p>
    <w:p>
      <w:pPr>
        <w:ind w:firstLine="1186"/>
        <w:spacing w:after="0" w:line="285" w:lineRule="auto"/>
        <w:tabs>
          <w:tab w:leader="none" w:pos="1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6" w:lineRule="exact"/>
        <w:rPr>
          <w:rFonts w:ascii="Arial" w:cs="Arial" w:eastAsia="Arial" w:hAnsi="Arial"/>
          <w:sz w:val="16"/>
          <w:szCs w:val="16"/>
          <w:color w:val="auto"/>
        </w:rPr>
      </w:pPr>
    </w:p>
    <w:p>
      <w:pPr>
        <w:ind w:left="1480" w:hanging="294"/>
        <w:spacing w:after="0"/>
        <w:tabs>
          <w:tab w:leader="none" w:pos="14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11" w:lineRule="exact"/>
        <w:rPr>
          <w:rFonts w:ascii="Arial" w:cs="Arial" w:eastAsia="Arial" w:hAnsi="Arial"/>
          <w:sz w:val="16"/>
          <w:szCs w:val="16"/>
          <w:color w:val="auto"/>
        </w:rPr>
      </w:pPr>
    </w:p>
    <w:p>
      <w:pPr>
        <w:jc w:val="both"/>
        <w:ind w:firstLine="592"/>
        <w:spacing w:after="0" w:line="267" w:lineRule="auto"/>
        <w:tabs>
          <w:tab w:leader="none" w:pos="9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each Registrant pursuant to the foregoing provisions, or otherwise, each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5">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March 15, 2021.</w:t>
      </w:r>
    </w:p>
    <w:p>
      <w:pPr>
        <w:spacing w:after="0" w:line="164"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VistaGen Therapeutics, Inc.</w:t>
      </w:r>
    </w:p>
    <w:p>
      <w:pPr>
        <w:spacing w:after="0" w:line="201" w:lineRule="exact"/>
        <w:rPr>
          <w:sz w:val="20"/>
          <w:szCs w:val="20"/>
          <w:color w:val="auto"/>
        </w:rPr>
      </w:pPr>
    </w:p>
    <w:tbl>
      <w:tblPr>
        <w:tblLayout w:type="fixed"/>
        <w:tblInd w:w="500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1"/>
              </w:rPr>
              <w:t>/s/ Shawn K. Singh</w:t>
            </w:r>
          </w:p>
        </w:tc>
        <w:tc>
          <w:tcPr>
            <w:tcW w:w="300" w:type="dxa"/>
            <w:vAlign w:val="bottom"/>
          </w:tcPr>
          <w:p>
            <w:pPr>
              <w:spacing w:after="0"/>
              <w:rPr>
                <w:sz w:val="16"/>
                <w:szCs w:val="16"/>
                <w:color w:val="auto"/>
              </w:rPr>
            </w:pPr>
          </w:p>
        </w:tc>
      </w:tr>
      <w:tr>
        <w:trPr>
          <w:trHeight w:val="206"/>
        </w:trPr>
        <w:tc>
          <w:tcPr>
            <w:tcW w:w="54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Shawn K. Singh, J.D.</w:t>
            </w:r>
          </w:p>
        </w:tc>
      </w:tr>
      <w:tr>
        <w:trPr>
          <w:trHeight w:val="205"/>
        </w:trPr>
        <w:tc>
          <w:tcPr>
            <w:tcW w:w="54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w w:val="94"/>
              </w:rPr>
              <w:t>Chief Executive Officer</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KNOW ALL PERSONS BY THESE PRESENTS, that each person whose signature below constitutes and appoints Shawn K. Singh as attorney-in-fact, with power of substitution, for him or her in any and all capacities, to sign any amendments to this Registration Statement on Form S-3,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Signature</w:t>
            </w:r>
          </w:p>
        </w:tc>
        <w:tc>
          <w:tcPr>
            <w:tcW w:w="5140" w:type="dxa"/>
            <w:vAlign w:val="bottom"/>
          </w:tcPr>
          <w:p>
            <w:pPr>
              <w:ind w:left="3040"/>
              <w:spacing w:after="0"/>
              <w:rPr>
                <w:sz w:val="20"/>
                <w:szCs w:val="20"/>
                <w:color w:val="auto"/>
              </w:rPr>
            </w:pPr>
            <w:r>
              <w:rPr>
                <w:rFonts w:ascii="Arial" w:cs="Arial" w:eastAsia="Arial" w:hAnsi="Arial"/>
                <w:sz w:val="16"/>
                <w:szCs w:val="16"/>
                <w:b w:val="1"/>
                <w:bCs w:val="1"/>
                <w:color w:val="auto"/>
              </w:rPr>
              <w:t>Title</w:t>
            </w:r>
          </w:p>
        </w:tc>
        <w:tc>
          <w:tcPr>
            <w:tcW w:w="2180" w:type="dxa"/>
            <w:vAlign w:val="bottom"/>
          </w:tcPr>
          <w:p>
            <w:pPr>
              <w:jc w:val="center"/>
              <w:ind w:left="1060"/>
              <w:spacing w:after="0"/>
              <w:rPr>
                <w:sz w:val="20"/>
                <w:szCs w:val="20"/>
                <w:color w:val="auto"/>
              </w:rPr>
            </w:pPr>
            <w:r>
              <w:rPr>
                <w:rFonts w:ascii="Arial" w:cs="Arial" w:eastAsia="Arial" w:hAnsi="Arial"/>
                <w:sz w:val="16"/>
                <w:szCs w:val="16"/>
                <w:b w:val="1"/>
                <w:bCs w:val="1"/>
                <w:color w:val="auto"/>
                <w:w w:val="92"/>
              </w:rPr>
              <w:t>Date</w:t>
            </w:r>
          </w:p>
        </w:tc>
      </w:tr>
      <w:tr>
        <w:trPr>
          <w:trHeight w:val="360"/>
        </w:trPr>
        <w:tc>
          <w:tcPr>
            <w:tcW w:w="3320" w:type="dxa"/>
            <w:vAlign w:val="bottom"/>
            <w:gridSpan w:val="7"/>
          </w:tcPr>
          <w:p>
            <w:pPr>
              <w:spacing w:after="0"/>
              <w:rPr>
                <w:sz w:val="20"/>
                <w:szCs w:val="20"/>
                <w:color w:val="auto"/>
              </w:rPr>
            </w:pPr>
            <w:r>
              <w:rPr>
                <w:rFonts w:ascii="Arial" w:cs="Arial" w:eastAsia="Arial" w:hAnsi="Arial"/>
                <w:sz w:val="16"/>
                <w:szCs w:val="16"/>
                <w:color w:val="auto"/>
              </w:rPr>
              <w:t>/s/ Shawn K. Singh</w:t>
            </w:r>
          </w:p>
        </w:tc>
        <w:tc>
          <w:tcPr>
            <w:tcW w:w="5140" w:type="dxa"/>
            <w:vAlign w:val="bottom"/>
          </w:tcPr>
          <w:p>
            <w:pPr>
              <w:ind w:left="960"/>
              <w:spacing w:after="0"/>
              <w:rPr>
                <w:sz w:val="20"/>
                <w:szCs w:val="20"/>
                <w:color w:val="auto"/>
              </w:rPr>
            </w:pPr>
            <w:r>
              <w:rPr>
                <w:rFonts w:ascii="Arial" w:cs="Arial" w:eastAsia="Arial" w:hAnsi="Arial"/>
                <w:sz w:val="16"/>
                <w:szCs w:val="16"/>
                <w:color w:val="auto"/>
              </w:rPr>
              <w:t>Chief Executive Officer, and Director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0"/>
        </w:trPr>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Shawn K. Singh, JD</w:t>
            </w:r>
          </w:p>
        </w:tc>
        <w:tc>
          <w:tcPr>
            <w:tcW w:w="5140" w:type="dxa"/>
            <w:vAlign w:val="bottom"/>
          </w:tcPr>
          <w:p>
            <w:pPr>
              <w:ind w:left="960"/>
              <w:spacing w:after="0"/>
              <w:rPr>
                <w:sz w:val="20"/>
                <w:szCs w:val="20"/>
                <w:color w:val="auto"/>
              </w:rPr>
            </w:pPr>
            <w:r>
              <w:rPr>
                <w:rFonts w:ascii="Arial" w:cs="Arial" w:eastAsia="Arial" w:hAnsi="Arial"/>
                <w:sz w:val="16"/>
                <w:szCs w:val="16"/>
                <w:i w:val="1"/>
                <w:iCs w:val="1"/>
                <w:color w:val="auto"/>
              </w:rPr>
              <w:t>(Principal Executive Officer)</w:t>
            </w:r>
          </w:p>
        </w:tc>
        <w:tc>
          <w:tcPr>
            <w:tcW w:w="2180" w:type="dxa"/>
            <w:vAlign w:val="bottom"/>
          </w:tcPr>
          <w:p>
            <w:pPr>
              <w:spacing w:after="0"/>
              <w:rPr>
                <w:sz w:val="18"/>
                <w:szCs w:val="18"/>
                <w:color w:val="auto"/>
              </w:rPr>
            </w:pPr>
          </w:p>
        </w:tc>
      </w:tr>
      <w:tr>
        <w:trPr>
          <w:trHeight w:val="360"/>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0"/>
              </w:rPr>
              <w:t>/s/ Jerrold D. Dotson</w:t>
            </w:r>
          </w:p>
        </w:tc>
        <w:tc>
          <w:tcPr>
            <w:tcW w:w="1980" w:type="dxa"/>
            <w:vAlign w:val="bottom"/>
            <w:gridSpan w:val="4"/>
          </w:tcPr>
          <w:p>
            <w:pPr>
              <w:spacing w:after="0"/>
              <w:rPr>
                <w:sz w:val="24"/>
                <w:szCs w:val="24"/>
                <w:color w:val="auto"/>
              </w:rPr>
            </w:pPr>
          </w:p>
        </w:tc>
        <w:tc>
          <w:tcPr>
            <w:tcW w:w="5140" w:type="dxa"/>
            <w:vAlign w:val="bottom"/>
          </w:tcPr>
          <w:p>
            <w:pPr>
              <w:ind w:left="960"/>
              <w:spacing w:after="0"/>
              <w:rPr>
                <w:sz w:val="20"/>
                <w:szCs w:val="20"/>
                <w:color w:val="auto"/>
              </w:rPr>
            </w:pPr>
            <w:r>
              <w:rPr>
                <w:rFonts w:ascii="Arial" w:cs="Arial" w:eastAsia="Arial" w:hAnsi="Arial"/>
                <w:sz w:val="16"/>
                <w:szCs w:val="16"/>
                <w:color w:val="auto"/>
              </w:rPr>
              <w:t>Vice President and Chief Financial Officer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Jerrold D. Dotson</w:t>
            </w:r>
          </w:p>
        </w:tc>
        <w:tc>
          <w:tcPr>
            <w:tcW w:w="5140" w:type="dxa"/>
            <w:vAlign w:val="bottom"/>
          </w:tcPr>
          <w:p>
            <w:pPr>
              <w:ind w:left="960"/>
              <w:spacing w:after="0"/>
              <w:rPr>
                <w:sz w:val="20"/>
                <w:szCs w:val="20"/>
                <w:color w:val="auto"/>
              </w:rPr>
            </w:pPr>
            <w:r>
              <w:rPr>
                <w:rFonts w:ascii="Arial" w:cs="Arial" w:eastAsia="Arial" w:hAnsi="Arial"/>
                <w:sz w:val="16"/>
                <w:szCs w:val="16"/>
                <w:i w:val="1"/>
                <w:iCs w:val="1"/>
                <w:color w:val="auto"/>
              </w:rPr>
              <w:t>(Principal Financial and Accounting Officer)</w:t>
            </w:r>
          </w:p>
        </w:tc>
        <w:tc>
          <w:tcPr>
            <w:tcW w:w="2180" w:type="dxa"/>
            <w:vAlign w:val="bottom"/>
          </w:tcPr>
          <w:p>
            <w:pPr>
              <w:spacing w:after="0"/>
              <w:rPr>
                <w:sz w:val="18"/>
                <w:szCs w:val="18"/>
                <w:color w:val="auto"/>
              </w:rPr>
            </w:pPr>
          </w:p>
        </w:tc>
      </w:tr>
      <w:tr>
        <w:trPr>
          <w:trHeight w:val="360"/>
        </w:trPr>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88"/>
              </w:rPr>
              <w:t>/s/ H. Ralph Snodgrass</w:t>
            </w:r>
          </w:p>
        </w:tc>
        <w:tc>
          <w:tcPr>
            <w:tcW w:w="1840" w:type="dxa"/>
            <w:vAlign w:val="bottom"/>
            <w:gridSpan w:val="2"/>
          </w:tcPr>
          <w:p>
            <w:pPr>
              <w:spacing w:after="0"/>
              <w:rPr>
                <w:sz w:val="24"/>
                <w:szCs w:val="24"/>
                <w:color w:val="auto"/>
              </w:rPr>
            </w:pPr>
          </w:p>
        </w:tc>
        <w:tc>
          <w:tcPr>
            <w:tcW w:w="5140" w:type="dxa"/>
            <w:vAlign w:val="bottom"/>
          </w:tcPr>
          <w:p>
            <w:pPr>
              <w:ind w:left="960"/>
              <w:spacing w:after="0"/>
              <w:rPr>
                <w:sz w:val="20"/>
                <w:szCs w:val="20"/>
                <w:color w:val="auto"/>
              </w:rPr>
            </w:pPr>
            <w:r>
              <w:rPr>
                <w:rFonts w:ascii="Arial" w:cs="Arial" w:eastAsia="Arial" w:hAnsi="Arial"/>
                <w:sz w:val="16"/>
                <w:szCs w:val="16"/>
                <w:color w:val="auto"/>
              </w:rPr>
              <w:t>President, Chief Scientific Officer and Director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H. Ralph Snodgrass, Ph.D</w:t>
            </w:r>
          </w:p>
        </w:tc>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0"/>
        </w:trPr>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5"/>
              </w:rPr>
              <w:t>/s/ Jon S. Saxe</w:t>
            </w:r>
          </w:p>
        </w:tc>
        <w:tc>
          <w:tcPr>
            <w:tcW w:w="2380" w:type="dxa"/>
            <w:vAlign w:val="bottom"/>
            <w:gridSpan w:val="6"/>
          </w:tcPr>
          <w:p>
            <w:pPr>
              <w:spacing w:after="0"/>
              <w:rPr>
                <w:sz w:val="24"/>
                <w:szCs w:val="24"/>
                <w:color w:val="auto"/>
              </w:rPr>
            </w:pPr>
          </w:p>
        </w:tc>
        <w:tc>
          <w:tcPr>
            <w:tcW w:w="5140" w:type="dxa"/>
            <w:vAlign w:val="bottom"/>
          </w:tcPr>
          <w:p>
            <w:pPr>
              <w:ind w:left="960"/>
              <w:spacing w:after="0"/>
              <w:rPr>
                <w:sz w:val="20"/>
                <w:szCs w:val="20"/>
                <w:color w:val="auto"/>
              </w:rPr>
            </w:pPr>
            <w:r>
              <w:rPr>
                <w:rFonts w:ascii="Arial" w:cs="Arial" w:eastAsia="Arial" w:hAnsi="Arial"/>
                <w:sz w:val="16"/>
                <w:szCs w:val="16"/>
                <w:color w:val="auto"/>
              </w:rPr>
              <w:t>Chairman of the Board of Directors</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Jon S. Saxe</w:t>
            </w:r>
          </w:p>
        </w:tc>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0"/>
        </w:trPr>
        <w:tc>
          <w:tcPr>
            <w:tcW w:w="3320" w:type="dxa"/>
            <w:vAlign w:val="bottom"/>
            <w:gridSpan w:val="7"/>
          </w:tcPr>
          <w:p>
            <w:pPr>
              <w:spacing w:after="0"/>
              <w:rPr>
                <w:sz w:val="20"/>
                <w:szCs w:val="20"/>
                <w:color w:val="auto"/>
              </w:rPr>
            </w:pPr>
            <w:r>
              <w:rPr>
                <w:rFonts w:ascii="Arial" w:cs="Arial" w:eastAsia="Arial" w:hAnsi="Arial"/>
                <w:sz w:val="16"/>
                <w:szCs w:val="16"/>
                <w:color w:val="auto"/>
              </w:rPr>
              <w:t>/s/ Brian J. Underdown</w:t>
            </w:r>
          </w:p>
        </w:tc>
        <w:tc>
          <w:tcPr>
            <w:tcW w:w="5140" w:type="dxa"/>
            <w:vAlign w:val="bottom"/>
          </w:tcPr>
          <w:p>
            <w:pPr>
              <w:ind w:left="960"/>
              <w:spacing w:after="0"/>
              <w:rPr>
                <w:sz w:val="20"/>
                <w:szCs w:val="20"/>
                <w:color w:val="auto"/>
              </w:rPr>
            </w:pPr>
            <w:r>
              <w:rPr>
                <w:rFonts w:ascii="Arial" w:cs="Arial" w:eastAsia="Arial" w:hAnsi="Arial"/>
                <w:sz w:val="16"/>
                <w:szCs w:val="16"/>
                <w:color w:val="auto"/>
              </w:rPr>
              <w:t>Director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March15, 2021</w:t>
            </w:r>
          </w:p>
        </w:tc>
      </w:tr>
      <w:tr>
        <w:trPr>
          <w:trHeight w:val="20"/>
        </w:trPr>
        <w:tc>
          <w:tcPr>
            <w:tcW w:w="13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Brian J. Underdown, Ph. D</w:t>
            </w:r>
          </w:p>
        </w:tc>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0"/>
        </w:trPr>
        <w:tc>
          <w:tcPr>
            <w:tcW w:w="3320" w:type="dxa"/>
            <w:vAlign w:val="bottom"/>
            <w:gridSpan w:val="7"/>
          </w:tcPr>
          <w:p>
            <w:pPr>
              <w:spacing w:after="0"/>
              <w:rPr>
                <w:sz w:val="20"/>
                <w:szCs w:val="20"/>
                <w:color w:val="auto"/>
              </w:rPr>
            </w:pPr>
            <w:r>
              <w:rPr>
                <w:rFonts w:ascii="Arial" w:cs="Arial" w:eastAsia="Arial" w:hAnsi="Arial"/>
                <w:sz w:val="16"/>
                <w:szCs w:val="16"/>
                <w:color w:val="auto"/>
              </w:rPr>
              <w:t>/s/ Jerry B. Gin, Ph.D</w:t>
            </w:r>
          </w:p>
        </w:tc>
        <w:tc>
          <w:tcPr>
            <w:tcW w:w="5140" w:type="dxa"/>
            <w:vAlign w:val="bottom"/>
          </w:tcPr>
          <w:p>
            <w:pPr>
              <w:ind w:left="960"/>
              <w:spacing w:after="0"/>
              <w:rPr>
                <w:sz w:val="20"/>
                <w:szCs w:val="20"/>
                <w:color w:val="auto"/>
              </w:rPr>
            </w:pPr>
            <w:r>
              <w:rPr>
                <w:rFonts w:ascii="Arial" w:cs="Arial" w:eastAsia="Arial" w:hAnsi="Arial"/>
                <w:sz w:val="16"/>
                <w:szCs w:val="16"/>
                <w:color w:val="auto"/>
              </w:rPr>
              <w:t>Director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13"/>
        </w:trPr>
        <w:tc>
          <w:tcPr>
            <w:tcW w:w="13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Jerry B. Gin, Ph.D.</w:t>
            </w:r>
          </w:p>
        </w:tc>
        <w:tc>
          <w:tcPr>
            <w:tcW w:w="1940" w:type="dxa"/>
            <w:vAlign w:val="bottom"/>
            <w:gridSpan w:val="3"/>
          </w:tcPr>
          <w:p>
            <w:pPr>
              <w:spacing w:after="0"/>
              <w:rPr>
                <w:sz w:val="18"/>
                <w:szCs w:val="18"/>
                <w:color w:val="auto"/>
              </w:rPr>
            </w:pPr>
          </w:p>
        </w:tc>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0"/>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2"/>
              </w:rPr>
              <w:t>/s/ Ann M. Cunningham</w:t>
            </w:r>
          </w:p>
        </w:tc>
        <w:tc>
          <w:tcPr>
            <w:tcW w:w="1760" w:type="dxa"/>
            <w:vAlign w:val="bottom"/>
          </w:tcPr>
          <w:p>
            <w:pPr>
              <w:spacing w:after="0"/>
              <w:rPr>
                <w:sz w:val="24"/>
                <w:szCs w:val="24"/>
                <w:color w:val="auto"/>
              </w:rPr>
            </w:pPr>
          </w:p>
        </w:tc>
        <w:tc>
          <w:tcPr>
            <w:tcW w:w="5140" w:type="dxa"/>
            <w:vAlign w:val="bottom"/>
          </w:tcPr>
          <w:p>
            <w:pPr>
              <w:ind w:left="960"/>
              <w:spacing w:after="0"/>
              <w:rPr>
                <w:sz w:val="20"/>
                <w:szCs w:val="20"/>
                <w:color w:val="auto"/>
              </w:rPr>
            </w:pPr>
            <w:r>
              <w:rPr>
                <w:rFonts w:ascii="Arial" w:cs="Arial" w:eastAsia="Arial" w:hAnsi="Arial"/>
                <w:sz w:val="16"/>
                <w:szCs w:val="16"/>
                <w:color w:val="auto"/>
              </w:rPr>
              <w:t>Director</w:t>
            </w:r>
          </w:p>
        </w:tc>
        <w:tc>
          <w:tcPr>
            <w:tcW w:w="2180" w:type="dxa"/>
            <w:vAlign w:val="bottom"/>
          </w:tcPr>
          <w:p>
            <w:pPr>
              <w:jc w:val="center"/>
              <w:ind w:left="1080"/>
              <w:spacing w:after="0"/>
              <w:rPr>
                <w:sz w:val="20"/>
                <w:szCs w:val="20"/>
                <w:color w:val="auto"/>
              </w:rPr>
            </w:pPr>
            <w:r>
              <w:rPr>
                <w:rFonts w:ascii="Arial" w:cs="Arial" w:eastAsia="Arial" w:hAnsi="Arial"/>
                <w:sz w:val="16"/>
                <w:szCs w:val="16"/>
                <w:color w:val="auto"/>
                <w:w w:val="91"/>
              </w:rPr>
              <w:t>March 15, 2021</w:t>
            </w:r>
          </w:p>
        </w:tc>
      </w:tr>
      <w:tr>
        <w:trPr>
          <w:trHeight w:val="213"/>
        </w:trPr>
        <w:tc>
          <w:tcPr>
            <w:tcW w:w="3320" w:type="dxa"/>
            <w:vAlign w:val="bottom"/>
            <w:gridSpan w:val="7"/>
          </w:tcPr>
          <w:p>
            <w:pPr>
              <w:spacing w:after="0"/>
              <w:rPr>
                <w:sz w:val="20"/>
                <w:szCs w:val="20"/>
                <w:color w:val="auto"/>
              </w:rPr>
            </w:pPr>
            <w:r>
              <w:rPr>
                <w:rFonts w:ascii="Arial" w:cs="Arial" w:eastAsia="Arial" w:hAnsi="Arial"/>
                <w:sz w:val="16"/>
                <w:szCs w:val="16"/>
                <w:color w:val="auto"/>
              </w:rPr>
              <w:t>Ann M. Cunningham</w:t>
            </w:r>
          </w:p>
        </w:tc>
        <w:tc>
          <w:tcPr>
            <w:tcW w:w="5140" w:type="dxa"/>
            <w:vAlign w:val="bottom"/>
          </w:tcPr>
          <w:p>
            <w:pPr>
              <w:spacing w:after="0"/>
              <w:rPr>
                <w:sz w:val="18"/>
                <w:szCs w:val="18"/>
                <w:color w:val="auto"/>
              </w:rPr>
            </w:pPr>
          </w:p>
        </w:tc>
        <w:tc>
          <w:tcPr>
            <w:tcW w:w="21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17145</wp:posOffset>
            </wp:positionV>
            <wp:extent cx="5220335" cy="863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0335" cy="86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March 15, 2021</w:t>
      </w: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6"/>
          <w:szCs w:val="16"/>
          <w:color w:val="auto"/>
        </w:rPr>
        <w:t>South San Francisco, California 94090</w:t>
      </w:r>
    </w:p>
    <w:p>
      <w:pPr>
        <w:spacing w:after="0" w:line="200" w:lineRule="exact"/>
        <w:rPr>
          <w:sz w:val="20"/>
          <w:szCs w:val="20"/>
          <w:color w:val="auto"/>
        </w:rPr>
      </w:pP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color w:val="auto"/>
        </w:rPr>
        <w:t>Ladies and Gentlemen:</w:t>
      </w:r>
    </w:p>
    <w:p>
      <w:pPr>
        <w:spacing w:after="0" w:line="212" w:lineRule="exact"/>
        <w:rPr>
          <w:sz w:val="20"/>
          <w:szCs w:val="20"/>
          <w:color w:val="auto"/>
        </w:rPr>
      </w:pPr>
    </w:p>
    <w:p>
      <w:pPr>
        <w:jc w:val="both"/>
        <w:ind w:left="1" w:firstLine="593"/>
        <w:spacing w:after="0" w:line="297" w:lineRule="auto"/>
        <w:rPr>
          <w:sz w:val="20"/>
          <w:szCs w:val="20"/>
          <w:color w:val="auto"/>
        </w:rPr>
      </w:pPr>
      <w:r>
        <w:rPr>
          <w:rFonts w:ascii="Arial" w:cs="Arial" w:eastAsia="Arial" w:hAnsi="Arial"/>
          <w:sz w:val="14"/>
          <w:szCs w:val="14"/>
          <w:color w:val="auto"/>
        </w:rPr>
        <w:t>We have acted as special Nevada counsel to VistaGen Therapeutics, Inc., a Nevada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in connection with the preparation of the Registration Statement on Form S-3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to be filed on the date hereof by the Company and the Company with the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 The Registration Statement relates to, among other things, the issuance and sale from time to time by the Company, pursuant to Rule 415 of the General Rules and Regulations promulgated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of up to $250,000,000 of the following securities:</w:t>
      </w:r>
    </w:p>
    <w:p>
      <w:pPr>
        <w:spacing w:after="0" w:line="2" w:lineRule="exact"/>
        <w:rPr>
          <w:sz w:val="20"/>
          <w:szCs w:val="20"/>
          <w:color w:val="auto"/>
        </w:rPr>
      </w:pPr>
    </w:p>
    <w:p>
      <w:pPr>
        <w:jc w:val="both"/>
        <w:ind w:left="1" w:hanging="1"/>
        <w:spacing w:after="0" w:line="322" w:lineRule="auto"/>
        <w:tabs>
          <w:tab w:leader="none" w:pos="195" w:val="left"/>
        </w:tabs>
        <w:numPr>
          <w:ilvl w:val="0"/>
          <w:numId w:val="24"/>
        </w:numPr>
        <w:rPr>
          <w:rFonts w:ascii="Arial" w:cs="Arial" w:eastAsia="Arial" w:hAnsi="Arial"/>
          <w:sz w:val="14"/>
          <w:szCs w:val="14"/>
          <w:color w:val="auto"/>
        </w:rPr>
      </w:pPr>
      <w:r>
        <w:rPr>
          <w:rFonts w:ascii="Arial" w:cs="Arial" w:eastAsia="Arial" w:hAnsi="Arial"/>
          <w:sz w:val="14"/>
          <w:szCs w:val="14"/>
          <w:color w:val="auto"/>
        </w:rPr>
        <w:t>shares of common stock of the Company, $0.001 par value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(ii) shares of preferred stock of the Company, $0.001 par value per share (the “</w:t>
      </w:r>
      <w:r>
        <w:rPr>
          <w:rFonts w:ascii="Arial" w:cs="Arial" w:eastAsia="Arial" w:hAnsi="Arial"/>
          <w:sz w:val="14"/>
          <w:szCs w:val="14"/>
          <w:u w:val="single" w:color="auto"/>
          <w:color w:val="auto"/>
        </w:rPr>
        <w:t>Preferred Stock</w:t>
      </w:r>
      <w:r>
        <w:rPr>
          <w:rFonts w:ascii="Arial" w:cs="Arial" w:eastAsia="Arial" w:hAnsi="Arial"/>
          <w:sz w:val="14"/>
          <w:szCs w:val="14"/>
          <w:color w:val="auto"/>
        </w:rPr>
        <w:t>”), in one or more series; (iii) warrants to purchase equity securities of the Company (“</w:t>
      </w:r>
      <w:r>
        <w:rPr>
          <w:rFonts w:ascii="Arial" w:cs="Arial" w:eastAsia="Arial" w:hAnsi="Arial"/>
          <w:sz w:val="14"/>
          <w:szCs w:val="14"/>
          <w:u w:val="single" w:color="auto"/>
          <w:color w:val="auto"/>
        </w:rPr>
        <w:t>Warrants</w:t>
      </w:r>
      <w:r>
        <w:rPr>
          <w:rFonts w:ascii="Arial" w:cs="Arial" w:eastAsia="Arial" w:hAnsi="Arial"/>
          <w:sz w:val="14"/>
          <w:szCs w:val="14"/>
          <w:color w:val="auto"/>
        </w:rPr>
        <w:t>”); and (iv) units consisting of one or more Warrants, Preferred Stock, Common Stock or any combination of such securities (“</w:t>
      </w:r>
      <w:r>
        <w:rPr>
          <w:rFonts w:ascii="Arial" w:cs="Arial" w:eastAsia="Arial" w:hAnsi="Arial"/>
          <w:sz w:val="14"/>
          <w:szCs w:val="14"/>
          <w:u w:val="single" w:color="auto"/>
          <w:color w:val="auto"/>
        </w:rPr>
        <w:t>Units</w:t>
      </w:r>
      <w:r>
        <w:rPr>
          <w:rFonts w:ascii="Arial" w:cs="Arial" w:eastAsia="Arial" w:hAnsi="Arial"/>
          <w:sz w:val="14"/>
          <w:szCs w:val="14"/>
          <w:color w:val="auto"/>
        </w:rPr>
        <w:t>”) (items (i) through (iv) above are collectively referred to herein as the “</w:t>
      </w:r>
      <w:r>
        <w:rPr>
          <w:rFonts w:ascii="Arial" w:cs="Arial" w:eastAsia="Arial" w:hAnsi="Arial"/>
          <w:sz w:val="14"/>
          <w:szCs w:val="14"/>
          <w:u w:val="single" w:color="auto"/>
          <w:color w:val="auto"/>
        </w:rPr>
        <w:t>Securities</w:t>
      </w:r>
      <w:r>
        <w:rPr>
          <w:rFonts w:ascii="Arial" w:cs="Arial" w:eastAsia="Arial" w:hAnsi="Arial"/>
          <w:sz w:val="14"/>
          <w:szCs w:val="14"/>
          <w:color w:val="auto"/>
        </w:rPr>
        <w:t>”).</w:t>
      </w:r>
    </w:p>
    <w:p>
      <w:pPr>
        <w:spacing w:after="0" w:line="136" w:lineRule="exact"/>
        <w:rPr>
          <w:sz w:val="20"/>
          <w:szCs w:val="20"/>
          <w:color w:val="auto"/>
        </w:rPr>
      </w:pPr>
    </w:p>
    <w:p>
      <w:pPr>
        <w:ind w:left="601"/>
        <w:spacing w:after="0"/>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w:t>
      </w:r>
    </w:p>
    <w:p>
      <w:pPr>
        <w:spacing w:after="0" w:line="212" w:lineRule="exact"/>
        <w:rPr>
          <w:sz w:val="20"/>
          <w:szCs w:val="20"/>
          <w:color w:val="auto"/>
        </w:rPr>
      </w:pPr>
    </w:p>
    <w:p>
      <w:pPr>
        <w:ind w:left="1181" w:hanging="588"/>
        <w:spacing w:after="0" w:line="262" w:lineRule="auto"/>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Designation designating 500,000 shares of the Company’s authorized preferred stock, par value $0.001 per share, as Series A Convertible Preferred Stock, as filed with the Nevada Secretary of State on December 22, 2011;</w:t>
      </w:r>
    </w:p>
    <w:p>
      <w:pPr>
        <w:spacing w:after="0" w:line="1" w:lineRule="exact"/>
        <w:rPr>
          <w:rFonts w:ascii="Arial" w:cs="Arial" w:eastAsia="Arial" w:hAnsi="Arial"/>
          <w:sz w:val="16"/>
          <w:szCs w:val="16"/>
          <w:color w:val="auto"/>
        </w:rPr>
      </w:pPr>
    </w:p>
    <w:p>
      <w:pPr>
        <w:ind w:left="1181" w:hanging="588"/>
        <w:spacing w:after="0" w:line="258" w:lineRule="auto"/>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Designation designating 4,000,000 shares of the Company’s authorized preferred stock, par value $0.001 per share, as Series B 10% Convertible Preferred Stock, as filed with the Nevada Secretary of State on May 7, 2015;</w:t>
      </w:r>
    </w:p>
    <w:p>
      <w:pPr>
        <w:ind w:left="1181" w:hanging="588"/>
        <w:spacing w:after="0" w:line="258" w:lineRule="auto"/>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Designation designating 3,000,000 shares of the Company’s authorized preferred stock, par value $0.001 per share, as Series C Convertible Preferred Stock, as filed with the Nevada Secretary of State on January 22, 2016;</w:t>
      </w:r>
    </w:p>
    <w:p>
      <w:pPr>
        <w:ind w:left="1181" w:hanging="588"/>
        <w:spacing w:after="0"/>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Restated Articles of Incorporation of the Company, as filed with the Nevada Secretary of State on August 11, 2016;</w:t>
      </w:r>
    </w:p>
    <w:p>
      <w:pPr>
        <w:spacing w:after="0" w:line="13" w:lineRule="exact"/>
        <w:rPr>
          <w:rFonts w:ascii="Arial" w:cs="Arial" w:eastAsia="Arial" w:hAnsi="Arial"/>
          <w:sz w:val="16"/>
          <w:szCs w:val="16"/>
          <w:color w:val="auto"/>
        </w:rPr>
      </w:pPr>
    </w:p>
    <w:p>
      <w:pPr>
        <w:ind w:left="1181" w:hanging="588"/>
        <w:spacing w:after="0"/>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15, 2017;</w:t>
      </w:r>
    </w:p>
    <w:p>
      <w:pPr>
        <w:spacing w:after="0" w:line="13" w:lineRule="exact"/>
        <w:rPr>
          <w:rFonts w:ascii="Arial" w:cs="Arial" w:eastAsia="Arial" w:hAnsi="Arial"/>
          <w:sz w:val="16"/>
          <w:szCs w:val="16"/>
          <w:color w:val="auto"/>
        </w:rPr>
      </w:pPr>
    </w:p>
    <w:p>
      <w:pPr>
        <w:ind w:left="1181" w:hanging="588"/>
        <w:spacing w:after="0"/>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September 6, 2019;</w:t>
      </w:r>
    </w:p>
    <w:p>
      <w:pPr>
        <w:spacing w:after="0" w:line="13" w:lineRule="exact"/>
        <w:rPr>
          <w:rFonts w:ascii="Arial" w:cs="Arial" w:eastAsia="Arial" w:hAnsi="Arial"/>
          <w:sz w:val="16"/>
          <w:szCs w:val="16"/>
          <w:color w:val="auto"/>
        </w:rPr>
      </w:pPr>
    </w:p>
    <w:p>
      <w:pPr>
        <w:ind w:left="1181" w:hanging="588"/>
        <w:spacing w:after="0" w:line="258" w:lineRule="auto"/>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Designation designating 2,000,000 shares of the Company’s authorized preferred stock, par value $0.001 per share, as Series D Convertible Preferred Stock, as filed with the Nevada Secretary of State on December 21, 2021;</w:t>
      </w:r>
    </w:p>
    <w:p>
      <w:pPr>
        <w:ind w:left="1181" w:hanging="588"/>
        <w:spacing w:after="0"/>
        <w:tabs>
          <w:tab w:leader="none" w:pos="11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Certificate of Amendment to Articles of Incorporation of the Company, as filed with the Nevada Secretary of State on March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72"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color w:val="auto"/>
        </w:rPr>
        <w:t>VistaGen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200" w:lineRule="exact"/>
        <w:rPr>
          <w:sz w:val="20"/>
          <w:szCs w:val="20"/>
          <w:color w:val="auto"/>
        </w:rPr>
      </w:pPr>
    </w:p>
    <w:p>
      <w:pPr>
        <w:spacing w:after="0" w:line="205" w:lineRule="exact"/>
        <w:rPr>
          <w:sz w:val="20"/>
          <w:szCs w:val="20"/>
          <w:color w:val="auto"/>
        </w:rPr>
      </w:pPr>
    </w:p>
    <w:p>
      <w:pPr>
        <w:ind w:left="1180" w:hanging="588"/>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Second Amended and Restated Bylaws of the Company, adopted August 16, 2016, and certified to us to be currently in effect;</w:t>
      </w:r>
    </w:p>
    <w:p>
      <w:pPr>
        <w:spacing w:after="0" w:line="21" w:lineRule="exact"/>
        <w:rPr>
          <w:rFonts w:ascii="Arial" w:cs="Arial" w:eastAsia="Arial" w:hAnsi="Arial"/>
          <w:sz w:val="16"/>
          <w:szCs w:val="16"/>
          <w:color w:val="auto"/>
        </w:rPr>
      </w:pPr>
    </w:p>
    <w:p>
      <w:pPr>
        <w:ind w:left="1180" w:hanging="588"/>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Certificate of Good Standing for the Company issued by the Nevada Secretary of State on March 14, 2021;</w:t>
      </w:r>
    </w:p>
    <w:p>
      <w:pPr>
        <w:spacing w:after="0" w:line="13" w:lineRule="exact"/>
        <w:rPr>
          <w:rFonts w:ascii="Arial" w:cs="Arial" w:eastAsia="Arial" w:hAnsi="Arial"/>
          <w:sz w:val="16"/>
          <w:szCs w:val="16"/>
          <w:color w:val="auto"/>
        </w:rPr>
      </w:pPr>
    </w:p>
    <w:p>
      <w:pPr>
        <w:ind w:left="1180" w:hanging="588"/>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Registration Statement;</w:t>
      </w:r>
    </w:p>
    <w:p>
      <w:pPr>
        <w:spacing w:after="0" w:line="13" w:lineRule="exact"/>
        <w:rPr>
          <w:rFonts w:ascii="Arial" w:cs="Arial" w:eastAsia="Arial" w:hAnsi="Arial"/>
          <w:sz w:val="16"/>
          <w:szCs w:val="16"/>
          <w:color w:val="auto"/>
        </w:rPr>
      </w:pPr>
    </w:p>
    <w:p>
      <w:pPr>
        <w:ind w:left="1180" w:hanging="588"/>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Base Prospectus;</w:t>
      </w:r>
    </w:p>
    <w:p>
      <w:pPr>
        <w:spacing w:after="0" w:line="13" w:lineRule="exact"/>
        <w:rPr>
          <w:rFonts w:ascii="Arial" w:cs="Arial" w:eastAsia="Arial" w:hAnsi="Arial"/>
          <w:sz w:val="16"/>
          <w:szCs w:val="16"/>
          <w:color w:val="auto"/>
        </w:rPr>
      </w:pPr>
    </w:p>
    <w:p>
      <w:pPr>
        <w:ind w:left="1180" w:hanging="588"/>
        <w:spacing w:after="0" w:line="258"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Resolutions adopted by the Board of Directors of the Company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dated March 12, 2021, authorizing and approving the Registration Statement, the issuance and sale of the securities described in the Registration Statement; and</w:t>
      </w:r>
    </w:p>
    <w:p>
      <w:pPr>
        <w:ind w:left="1180" w:hanging="588"/>
        <w:spacing w:after="0" w:line="276"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certificate, dated March 15, 2021, from an Officer of the Company as to certain factual matters, including, the incumbency of the officers of the Company (the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w:t>
      </w:r>
    </w:p>
    <w:p>
      <w:pPr>
        <w:spacing w:after="0" w:line="163"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252525"/>
        </w:rPr>
        <w:t>In addition to the foregoing, we have examined such other instruments, documents and records that we deemed relevant and necessary for the basis of our opinion hereinafter expressed. We have assumed the authenticity of all records, documents and instruments submitted to us as originals, the genuineness of all signatures, the legal capacity of natural persons and the conformity to the originals of all records, documents and instruments submitted to us as copies.</w:t>
      </w:r>
    </w:p>
    <w:p>
      <w:pPr>
        <w:spacing w:after="0" w:line="151"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In rendering the opinions contained herein, we have, with your permission, made the following assumptions: (i) all documents submitted to or reviewed by us, including all amendments and supplements thereto, are accurate and complete and, if not originals, are true, correct, and complete copies of the originals; (ii) the signatures on each of such documents by the parties thereto are genuine; (iii) each individual who signed such documents had the legal capacity to do so; (iv) all persons who signed such documents on behalf of a business entity were duly authorized to do so; (v) all statements in certificates of public officials and officers of the Company that we reviewed were and are accurate, and (vi) all representations made by the Company as to matters of fact in the documents that we reviewed were and are accurate. We have assumed that there are no amendments, modifications, or supplements to such documents other than those amendments, modifications, and supplements that are known to us.</w:t>
      </w:r>
    </w:p>
    <w:p>
      <w:pPr>
        <w:spacing w:after="0" w:line="14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252525"/>
        </w:rPr>
        <w:t>This opinion is limited to the Nevada Revised Statutes, and we disclaim any opinion as to the laws of any other jurisdiction. We further disclaim any opinion as to any other statute, rule, regulation, ordinance, order or other promulgation of any other jurisdiction or any regional or local governmental body or as to any related judicial or administrative opinion.</w:t>
      </w:r>
    </w:p>
    <w:p>
      <w:pPr>
        <w:spacing w:after="0" w:line="168"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In rendering the opinions set forth below, we have assumed that (i) at the time of offer, issuance and sale of any Securities, the Registration Statement, and any other required post-effective amendments thereto, will be effective under the Securities Act, any required prospectus supplement with respect to such Securities will have been delivered and filed with the Commission and no stop order suspending its effectiveness will have been issued and remain in effect; (ii) upon the issuance of Common Stock, including Common Stock that may be issued upon conversion or exercise of any other Securities convertible into or exercisable for Common Stock, the total number of shares of Common Stock issued and outstanding will not exceed the total number of shares of Common Stock that the Company is then authorized to issue under the Restated Articles of Incorporation, as amended; and (iii) upon the issuance of Preferred Stock, including Preferred Stock that may be issued upon conversion or exercise of any other Securities convertible into or exercisable for Preferred Stock, the total number of shares of Preferred Stock issued and outstanding, and the total number of issued and outstanding shares of the applicable class or series of Preferred Stock designated pursuant to the Restated Articles of Incorporation, will not exceed the total number of shares of Preferred Stock or the number of shares of such class or series of Preferred Stock that the Company is then authorized to issue under the Restated Articles of Incorporation,,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color w:val="auto"/>
        </w:rPr>
        <w:t>VistaGen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200" w:lineRule="exact"/>
        <w:rPr>
          <w:sz w:val="20"/>
          <w:szCs w:val="20"/>
          <w:color w:val="auto"/>
        </w:rPr>
      </w:pPr>
    </w:p>
    <w:p>
      <w:pPr>
        <w:spacing w:after="0" w:line="205" w:lineRule="exact"/>
        <w:rPr>
          <w:sz w:val="20"/>
          <w:szCs w:val="20"/>
          <w:color w:val="auto"/>
        </w:rPr>
      </w:pPr>
    </w:p>
    <w:p>
      <w:pPr>
        <w:ind w:left="600"/>
        <w:spacing w:after="0"/>
        <w:rPr>
          <w:sz w:val="20"/>
          <w:szCs w:val="20"/>
          <w:color w:val="auto"/>
        </w:rPr>
      </w:pPr>
      <w:r>
        <w:rPr>
          <w:rFonts w:ascii="Arial" w:cs="Arial" w:eastAsia="Arial" w:hAnsi="Arial"/>
          <w:sz w:val="14"/>
          <w:szCs w:val="14"/>
          <w:color w:val="252525"/>
        </w:rPr>
        <w:t>Based upon the foregoing and our examination of such questions of law as we have deemed necessary or appropriate for the purpose of this opinion, it is our opinion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252525"/>
        </w:rPr>
        <w:t>that</w:t>
      </w:r>
    </w:p>
    <w:p>
      <w:pPr>
        <w:spacing w:after="0" w:line="204" w:lineRule="exact"/>
        <w:rPr>
          <w:sz w:val="20"/>
          <w:szCs w:val="20"/>
          <w:color w:val="auto"/>
        </w:rPr>
      </w:pPr>
    </w:p>
    <w:p>
      <w:pPr>
        <w:ind w:left="880" w:hanging="288"/>
        <w:spacing w:after="0"/>
        <w:tabs>
          <w:tab w:leader="none" w:pos="880" w:val="left"/>
        </w:tabs>
        <w:numPr>
          <w:ilvl w:val="0"/>
          <w:numId w:val="27"/>
        </w:numPr>
        <w:rPr>
          <w:rFonts w:ascii="Arial" w:cs="Arial" w:eastAsia="Arial" w:hAnsi="Arial"/>
          <w:sz w:val="16"/>
          <w:szCs w:val="16"/>
          <w:color w:val="252525"/>
        </w:rPr>
      </w:pPr>
      <w:r>
        <w:rPr>
          <w:rFonts w:ascii="Arial" w:cs="Arial" w:eastAsia="Arial" w:hAnsi="Arial"/>
          <w:sz w:val="16"/>
          <w:szCs w:val="16"/>
          <w:color w:val="252525"/>
        </w:rPr>
        <w:t>The Company is validly existing as a corporation in good standing under the laws of the State of Nevada.</w:t>
      </w:r>
    </w:p>
    <w:p>
      <w:pPr>
        <w:spacing w:after="0" w:line="211" w:lineRule="exact"/>
        <w:rPr>
          <w:rFonts w:ascii="Arial" w:cs="Arial" w:eastAsia="Arial" w:hAnsi="Arial"/>
          <w:sz w:val="16"/>
          <w:szCs w:val="16"/>
          <w:color w:val="252525"/>
        </w:rPr>
      </w:pPr>
    </w:p>
    <w:p>
      <w:pPr>
        <w:jc w:val="both"/>
        <w:ind w:left="880" w:hanging="288"/>
        <w:spacing w:after="0" w:line="296"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With respect to any offering of Common Stock (the “</w:t>
      </w:r>
      <w:r>
        <w:rPr>
          <w:rFonts w:ascii="Arial" w:cs="Arial" w:eastAsia="Arial" w:hAnsi="Arial"/>
          <w:sz w:val="14"/>
          <w:szCs w:val="14"/>
          <w:u w:val="single" w:color="auto"/>
          <w:color w:val="auto"/>
        </w:rPr>
        <w:t>Offered Common Stock</w:t>
      </w:r>
      <w:r>
        <w:rPr>
          <w:rFonts w:ascii="Arial" w:cs="Arial" w:eastAsia="Arial" w:hAnsi="Arial"/>
          <w:sz w:val="14"/>
          <w:szCs w:val="14"/>
          <w:color w:val="auto"/>
        </w:rPr>
        <w:t>”), when (i) the Registration Statement, as finally amended (including all necessary post-effective amendments), has become effective under the Securities Act; (ii) an appropriate prospectus supplement (or term sheet) with respect to the Offered Common Stock has been prepared, delivered, and filed in compliance with the Securities Act and the applicable rules and regulations thereunder; (iii) if the Offered Common Stock is to be sold pursuant to a firm commitment underwritten offering, an underwriting agreement with respect to the Offered Common Stock will have been duly authorized, executed, and delivered by the Company and the other parties thereto; (iv) the Board of Directors, including any appropriate committee appointed thereby, and appropriate officers of the Company have taken all necessary corporate action to approve the issuance of the Offered Common Stock and related matters; (v) the terms of the issuance and sale of the Offered Common Stock have been duly established in conformity with the Restated Articles of Incorporation and the Bylaws of the Company, each as amended and then in effect, so as not to (A) violate any applicable law,</w:t>
      </w:r>
    </w:p>
    <w:p>
      <w:pPr>
        <w:spacing w:after="0" w:line="1" w:lineRule="exact"/>
        <w:rPr>
          <w:rFonts w:ascii="Arial" w:cs="Arial" w:eastAsia="Arial" w:hAnsi="Arial"/>
          <w:sz w:val="14"/>
          <w:szCs w:val="14"/>
          <w:color w:val="auto"/>
        </w:rPr>
      </w:pPr>
    </w:p>
    <w:p>
      <w:pPr>
        <w:jc w:val="both"/>
        <w:ind w:left="880"/>
        <w:spacing w:after="0" w:line="304" w:lineRule="auto"/>
        <w:rPr>
          <w:rFonts w:ascii="Arial" w:cs="Arial" w:eastAsia="Arial" w:hAnsi="Arial"/>
          <w:sz w:val="14"/>
          <w:szCs w:val="14"/>
          <w:color w:val="auto"/>
        </w:rPr>
      </w:pPr>
      <w:r>
        <w:rPr>
          <w:rFonts w:ascii="Arial" w:cs="Arial" w:eastAsia="Arial" w:hAnsi="Arial"/>
          <w:sz w:val="14"/>
          <w:szCs w:val="14"/>
          <w:color w:val="auto"/>
        </w:rPr>
        <w:t>(B)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 a certificate or certificates representing the Offered Common Stock are duly executed, countersigned, registered and delivered upon payment of the agreed upon consideration therefor, the Offered Common Stock (including any Common Stock duly issued upon conversion, exchange, or exercise of any Preferred Stock), when issued and sold in accordance with the applicable underwriting agreement, with respect to the Offered Common Stock, or any other duly authorized, executed and delivered valid and binding purchase or agency agreement, will be duly authorized, validly issued, fully paid and nonassessable, provided that the consideration therefor is not less than the par value thereof.</w:t>
      </w:r>
    </w:p>
    <w:p>
      <w:pPr>
        <w:spacing w:after="0" w:line="85" w:lineRule="exact"/>
        <w:rPr>
          <w:rFonts w:ascii="Arial" w:cs="Arial" w:eastAsia="Arial" w:hAnsi="Arial"/>
          <w:sz w:val="14"/>
          <w:szCs w:val="14"/>
          <w:color w:val="auto"/>
        </w:rPr>
      </w:pPr>
    </w:p>
    <w:p>
      <w:pPr>
        <w:jc w:val="both"/>
        <w:ind w:left="880" w:hanging="288"/>
        <w:spacing w:after="0" w:line="298" w:lineRule="auto"/>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With respect to any offering of a series of Preferred Stock (the “</w:t>
      </w:r>
      <w:r>
        <w:rPr>
          <w:rFonts w:ascii="Arial" w:cs="Arial" w:eastAsia="Arial" w:hAnsi="Arial"/>
          <w:sz w:val="14"/>
          <w:szCs w:val="14"/>
          <w:u w:val="single" w:color="auto"/>
          <w:color w:val="auto"/>
        </w:rPr>
        <w:t>Offered Preferred Stock</w:t>
      </w:r>
      <w:r>
        <w:rPr>
          <w:rFonts w:ascii="Arial" w:cs="Arial" w:eastAsia="Arial" w:hAnsi="Arial"/>
          <w:sz w:val="14"/>
          <w:szCs w:val="14"/>
          <w:color w:val="auto"/>
        </w:rPr>
        <w:t>”), when (i) the Registration Statement, as finally amended (including all necessary post-effective amendments), has become effective under the Securities Act; (ii) an appropriate prospectus supplement (or term sheet) with respect to the Offered Preferred Stock has been prepared, delivered, and filed in compliance with the Securities Act and the applicable rules and regulations thereunder; (iii) if the Offered Preferred Stock is to be sold pursuant to a firm commitment underwritten offering, an underwriting agreement with respect to the Offered Preferred Stock will have been duly authorized, executed, and delivered by the Company and the other parties thereto; (iv) the Board of Directors, including any appropriate committee appointed thereby, and appropriate officers of the Company have taken all necessary corporate action to approve the issuance and terms of the Offered Preferred Stock and related matters, including the adoption of a Certificate of Designation for the Offered Preferred Stock in accordance with the applicable provisions of Nevada law (the “</w:t>
      </w:r>
      <w:r>
        <w:rPr>
          <w:rFonts w:ascii="Arial" w:cs="Arial" w:eastAsia="Arial" w:hAnsi="Arial"/>
          <w:sz w:val="14"/>
          <w:szCs w:val="14"/>
          <w:u w:val="single" w:color="auto"/>
          <w:color w:val="auto"/>
        </w:rPr>
        <w:t>Certificate of Designation</w:t>
      </w:r>
      <w:r>
        <w:rPr>
          <w:rFonts w:ascii="Arial" w:cs="Arial" w:eastAsia="Arial" w:hAnsi="Arial"/>
          <w:sz w:val="14"/>
          <w:szCs w:val="14"/>
          <w:color w:val="auto"/>
        </w:rPr>
        <w:t>”); (v) the filing of the Certificate of Designation with the Secretary of State of the State of Nevada has duly occurred; (vi) the terms, as well as the terms of the issuance and sale, of the Offered Preferred Stock have been duly established in conformity with the Company’s Restated Articles of Incorporation, including the Certificate of Designation relating to the Offered Preferred Stock,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(vii) a certificate or certificates representing the Offered Preferred Stock are duly executed, countersigned, registered and delivered upon payment of the agreed upon consideration therefor, the Offered Preferred Stock, when issued and sold in accordance with the applicable underwriting agreement, with respect to the Offered Preferred Stock, or any other duly authorized, executed, and delivered valid and binding purchase or agency agreement, will be duly authorized, validly issued, fully paid, and nonassessable, provided that the consideration therefor is not less than the par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color w:val="auto"/>
        </w:rPr>
        <w:t>VistaGen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200" w:lineRule="exact"/>
        <w:rPr>
          <w:sz w:val="20"/>
          <w:szCs w:val="20"/>
          <w:color w:val="auto"/>
        </w:rPr>
      </w:pPr>
    </w:p>
    <w:p>
      <w:pPr>
        <w:spacing w:after="0" w:line="205" w:lineRule="exact"/>
        <w:rPr>
          <w:sz w:val="20"/>
          <w:szCs w:val="20"/>
          <w:color w:val="auto"/>
        </w:rPr>
      </w:pPr>
    </w:p>
    <w:p>
      <w:pPr>
        <w:jc w:val="both"/>
        <w:ind w:left="880" w:hanging="288"/>
        <w:spacing w:after="0" w:line="279" w:lineRule="auto"/>
        <w:tabs>
          <w:tab w:leader="none" w:pos="8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With respect to any offering of Warrants to be issued under a Warrant Agreement (the “</w:t>
      </w:r>
      <w:r>
        <w:rPr>
          <w:rFonts w:ascii="Arial" w:cs="Arial" w:eastAsia="Arial" w:hAnsi="Arial"/>
          <w:sz w:val="15"/>
          <w:szCs w:val="15"/>
          <w:u w:val="single" w:color="auto"/>
          <w:color w:val="auto"/>
        </w:rPr>
        <w:t>Offered Warrants</w:t>
      </w:r>
      <w:r>
        <w:rPr>
          <w:rFonts w:ascii="Arial" w:cs="Arial" w:eastAsia="Arial" w:hAnsi="Arial"/>
          <w:sz w:val="15"/>
          <w:szCs w:val="15"/>
          <w:color w:val="auto"/>
        </w:rPr>
        <w:t>”), when (i) the Registration Statement, as finally amended (including all necessary post-effective amendments), has become effective under the Securities Act; (ii) an appropriate prospectus supplement (or term sheet) with respect to the Offered Warrants has been prepared, delivered, and filed in compliance with the Securities Act and the applicable rules and regulations thereunder; (iii) the Board of Directors, including any appropriate committee appointed thereby, and appropriate officers of the Company have taken all necessary corporate action to approve the issuance and terms of the Offered Warrants and related matters, (iv) the Warrant Agreement has been duly authorized and validly executed and delivered by the Company and the warrant agent under the Warrant Agreement; (v) the terms of the issuance and sale of the Offered Warrants have been duly established in conformity with the Restated Articles of Incorporation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(vi) the Offered Warrants are duly executed, issued, and delivered in accordance with the terms of the Warrant Agreement and the applicable definitive purchase, underwriting, or similar agreement approved by the Board of Directors of the Company, upon payment (or delivery) of the consideration therefor provided for therein, the Offered Warrants will be valid and binding obligations of the Company, to the extent that Nevada law governs such issues.</w:t>
      </w:r>
    </w:p>
    <w:p>
      <w:pPr>
        <w:spacing w:after="0" w:line="100" w:lineRule="exact"/>
        <w:rPr>
          <w:rFonts w:ascii="Arial" w:cs="Arial" w:eastAsia="Arial" w:hAnsi="Arial"/>
          <w:sz w:val="15"/>
          <w:szCs w:val="15"/>
          <w:color w:val="auto"/>
        </w:rPr>
      </w:pPr>
    </w:p>
    <w:p>
      <w:pPr>
        <w:jc w:val="both"/>
        <w:ind w:left="880" w:hanging="288"/>
        <w:spacing w:after="0" w:line="299" w:lineRule="auto"/>
        <w:tabs>
          <w:tab w:leader="none" w:pos="8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With respect to any offering of Units (the “</w:t>
      </w:r>
      <w:r>
        <w:rPr>
          <w:rFonts w:ascii="Arial" w:cs="Arial" w:eastAsia="Arial" w:hAnsi="Arial"/>
          <w:sz w:val="14"/>
          <w:szCs w:val="14"/>
          <w:u w:val="single" w:color="auto"/>
          <w:color w:val="auto"/>
        </w:rPr>
        <w:t>Offered Units</w:t>
      </w:r>
      <w:r>
        <w:rPr>
          <w:rFonts w:ascii="Arial" w:cs="Arial" w:eastAsia="Arial" w:hAnsi="Arial"/>
          <w:sz w:val="14"/>
          <w:szCs w:val="14"/>
          <w:color w:val="auto"/>
        </w:rPr>
        <w:t>”), when (i) the Registration Statement, as finally amended (including all necessary post-effective amendments), has become effective under the Securities Act; (ii) an appropriate prospectus supplement (or term sheet) with respect to the Offered Units has been prepared, delivered, and filed in compliance with the Securities Act and the applicable rules and regulations thereunder; (iii) the Board of Directors, including any appropriate committee appointed thereby, and appropriate officers of the Company have taken all necessary corporate action to authorize and approve (A) the issuance and terms of the Offered Units, (B) the issuance and terms of any Warrants which are a component of the Units, the terms of the offering thereof and related matters, and the execution and delivery of any related Warrant Agreement, and (C) the issuance and terms of any Preferred Stock or Common Stock which are a component of the Units, the terms of the offering thereof and related matters, (iv) the terms of the issuance and sale of the Offered Units have been duly established in conformity with the Restated Articles of Incorporation and the Bylaws of the Company, each as amended and then in effect, so as not to (A) violate any applicable law, (B) violate the Restated Articles of Incorporation or the Bylaws of the Company, each as amended and then in effect, or (C) result in a default under or breach of any agreement or instrument binding upon the Company and so as to comply with any requirement or restriction imposed by any court or governmental body having jurisdiction over the Company; and (v) all of the parties duly execute and deliver (A) the applicable Offered Units, (B) such Warrants and Warrant Agreement, and (C) such Preferred Stock and Common Stock, and each such Security is issued, in each case upon payment of the consideration therefor provided for in the applicable definitive purchase, underwriting, or similar agreement approved by the Board of Directors of the Company and otherwise in accordance with the provisions of the applicable Warrant Agreement, in the case of the Warrants, or the Company’s Restated Articles of Incorporation and Bylaws (as amended to such date and then in effect), in the case of such Preferred Stock and Common Stock, such Offered Units will be valid and binding obligations of the Company, to the extent Nevada law governs such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sz w:val="20"/>
          <w:szCs w:val="20"/>
          <w:color w:val="auto"/>
        </w:rPr>
      </w:pPr>
      <w:r>
        <w:rPr>
          <w:rFonts w:ascii="Arial" w:cs="Arial" w:eastAsia="Arial" w:hAnsi="Arial"/>
          <w:sz w:val="15"/>
          <w:szCs w:val="15"/>
          <w:color w:val="auto"/>
        </w:rPr>
        <w:t>VistaGen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pacing w:after="0" w:line="200" w:lineRule="exact"/>
        <w:rPr>
          <w:sz w:val="20"/>
          <w:szCs w:val="20"/>
          <w:color w:val="auto"/>
        </w:rPr>
      </w:pPr>
    </w:p>
    <w:p>
      <w:pPr>
        <w:spacing w:after="0" w:line="205"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In rendering the opinions expressed above, we have assumed that, at or prior to the time of the delivery of any such Security, there shall not have occurred any change in law affecting the validity or enforceability of such Security.</w:t>
      </w:r>
    </w:p>
    <w:p>
      <w:pPr>
        <w:spacing w:after="0" w:line="9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With respect to any agreement or instrument reviewed by us, that by its terms or otherwise is governed by the law of any jurisdiction other than the laws of the State of Nevada, our opinion herein is based solely on our understanding of the plain language of such agreement or instrument and we do not express our opinion with respect to the interpretation, validity, binding nature, or enforceability of any such agreement or instrument, and we do not assume any responsibility with respect to the effect on the opinions or statements set forth herein of any interpretation thereof inconsistent with such understanding.</w:t>
      </w:r>
    </w:p>
    <w:p>
      <w:pPr>
        <w:spacing w:after="0" w:line="108"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252525"/>
        </w:rPr>
        <w:t>This opinion is rendered to you in connection with the Registration Statement and is not to be relied upon for any other purpose. We disclaim any obligation to advise you of any change of law that occurs, or any facts of which we may become aware, after the date of this opinion.</w:t>
      </w:r>
    </w:p>
    <w:p>
      <w:pPr>
        <w:spacing w:after="0" w:line="156" w:lineRule="exact"/>
        <w:rPr>
          <w:sz w:val="20"/>
          <w:szCs w:val="20"/>
          <w:color w:val="auto"/>
        </w:rPr>
      </w:pPr>
    </w:p>
    <w:p>
      <w:pPr>
        <w:jc w:val="both"/>
        <w:ind w:firstLine="747"/>
        <w:spacing w:after="0" w:line="271" w:lineRule="auto"/>
        <w:rPr>
          <w:sz w:val="20"/>
          <w:szCs w:val="20"/>
          <w:color w:val="auto"/>
        </w:rPr>
      </w:pPr>
      <w:r>
        <w:rPr>
          <w:rFonts w:ascii="Arial" w:cs="Arial" w:eastAsia="Arial" w:hAnsi="Arial"/>
          <w:sz w:val="16"/>
          <w:szCs w:val="16"/>
          <w:color w:val="auto"/>
        </w:rPr>
        <w:t>This opinion is based upon our knowledge of the law and facts relevant to the transactions herein referenced as of the date hereof. We assume no duty to update or supplement this opinion to reflect any facts or circumstances that may hereafter come to our attention or to reflect any changes in any law that may hereafter occur or become effective.</w:t>
      </w:r>
    </w:p>
    <w:p>
      <w:pPr>
        <w:spacing w:after="0" w:line="168" w:lineRule="exact"/>
        <w:rPr>
          <w:sz w:val="20"/>
          <w:szCs w:val="20"/>
          <w:color w:val="auto"/>
        </w:rPr>
      </w:pPr>
    </w:p>
    <w:p>
      <w:pPr>
        <w:jc w:val="both"/>
        <w:ind w:firstLine="593"/>
        <w:spacing w:after="0" w:line="320" w:lineRule="auto"/>
        <w:rPr>
          <w:sz w:val="20"/>
          <w:szCs w:val="20"/>
          <w:color w:val="auto"/>
        </w:rPr>
      </w:pPr>
      <w:r>
        <w:rPr>
          <w:rFonts w:ascii="Arial" w:cs="Arial" w:eastAsia="Arial" w:hAnsi="Arial"/>
          <w:sz w:val="15"/>
          <w:szCs w:val="15"/>
          <w:color w:val="252525"/>
        </w:rPr>
        <w:t xml:space="preserve">We hereby consent to the filing of this opinion as an exhibit to the Registration Statement. </w:t>
      </w:r>
      <w:r>
        <w:rPr>
          <w:rFonts w:ascii="Arial" w:cs="Arial" w:eastAsia="Arial" w:hAnsi="Arial"/>
          <w:sz w:val="15"/>
          <w:szCs w:val="15"/>
          <w:color w:val="000000"/>
        </w:rPr>
        <w:t>In giving this consent, we do not thereby admit that we are included in the</w:t>
      </w:r>
      <w:r>
        <w:rPr>
          <w:rFonts w:ascii="Arial" w:cs="Arial" w:eastAsia="Arial" w:hAnsi="Arial"/>
          <w:sz w:val="15"/>
          <w:szCs w:val="15"/>
          <w:color w:val="252525"/>
        </w:rPr>
        <w:t xml:space="preserve"> </w:t>
      </w:r>
      <w:r>
        <w:rPr>
          <w:rFonts w:ascii="Arial" w:cs="Arial" w:eastAsia="Arial" w:hAnsi="Arial"/>
          <w:sz w:val="15"/>
          <w:szCs w:val="15"/>
          <w:color w:val="000000"/>
        </w:rPr>
        <w:t>category of persons whose consent is required under Section 7 of the Securities Act or the rules and regulations of the Securities and Exchange Commission.</w:t>
      </w:r>
    </w:p>
    <w:p>
      <w:pPr>
        <w:spacing w:after="0" w:line="33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Very truly yours,</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WOODBURN AND WEDGE</w:t>
      </w:r>
    </w:p>
    <w:p>
      <w:pPr>
        <w:spacing w:after="0" w:line="20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Shawn G. Pearson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Shawn 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653415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499235" cy="329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99235" cy="32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CONSENT OF INDEPENDENT REGISTERED PUBLIC ACCOUNTING FIRM</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VistaGen Therapeutics, Inc. of our report dated June 29, 2020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2020.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also consent to the reference to us under the caption “Experts” in the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473075</wp:posOffset>
            </wp:positionV>
            <wp:extent cx="714375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11240"/>
      </w:cols>
      <w:pgMar w:left="320" w:top="5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2."/>
      <w:numFmt w:val="lowerRoman"/>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24"/>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4"/>
    </w:lvl>
    <w:lvl w:ilvl="1">
      <w:lvlJc w:val="left"/>
      <w:lvlText w:val="(%2)"/>
      <w:numFmt w:val="lowerRoman"/>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lowerRoman"/>
      <w:start w:val="9"/>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2021-03-15T16:06:35Z</dcterms:created>
  <dcterms:modified xsi:type="dcterms:W3CDTF">2021-03-15T16:06:35Z</dcterms:modified>
</cp:coreProperties>
</file>