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283845</wp:posOffset>
            </wp:positionV>
            <wp:extent cx="725360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381635</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 8-K</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CURRENT REPORT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 xml:space="preserve">Date of Report (Date of earliest event reported): </w:t>
      </w:r>
      <w:r>
        <w:rPr>
          <w:rFonts w:ascii="Arial" w:cs="Arial" w:eastAsia="Arial" w:hAnsi="Arial"/>
          <w:sz w:val="17"/>
          <w:szCs w:val="17"/>
          <w:b w:val="1"/>
          <w:bCs w:val="1"/>
          <w:u w:val="single" w:color="auto"/>
          <w:color w:val="auto"/>
        </w:rPr>
        <w:t>January 29,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VistaGen Therapeutics, Inc.</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180" w:lineRule="exact"/>
        <w:rPr>
          <w:sz w:val="24"/>
          <w:szCs w:val="24"/>
          <w:color w:val="auto"/>
        </w:rPr>
      </w:pPr>
    </w:p>
    <w:tbl>
      <w:tblPr>
        <w:tblLayout w:type="fixed"/>
        <w:tblInd w:w="40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7"/>
              </w:rPr>
              <w:t>NEVADA</w:t>
            </w:r>
          </w:p>
        </w:tc>
        <w:tc>
          <w:tcPr>
            <w:tcW w:w="1280" w:type="dxa"/>
            <w:vAlign w:val="bottom"/>
          </w:tcPr>
          <w:p>
            <w:pPr>
              <w:spacing w:after="0"/>
              <w:rPr>
                <w:sz w:val="16"/>
                <w:szCs w:val="16"/>
                <w:color w:val="auto"/>
              </w:rPr>
            </w:pPr>
          </w:p>
        </w:tc>
        <w:tc>
          <w:tcPr>
            <w:tcW w:w="1820" w:type="dxa"/>
            <w:vAlign w:val="bottom"/>
            <w:gridSpan w:val="4"/>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001-37761</w:t>
            </w: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20-5093315</w:t>
            </w:r>
          </w:p>
        </w:tc>
        <w:tc>
          <w:tcPr>
            <w:tcW w:w="8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3120" w:type="dxa"/>
            <w:vAlign w:val="bottom"/>
            <w:gridSpan w:val="3"/>
          </w:tcPr>
          <w:p>
            <w:pPr>
              <w:jc w:val="center"/>
              <w:ind w:right="140"/>
              <w:spacing w:after="0"/>
              <w:rPr>
                <w:sz w:val="20"/>
                <w:szCs w:val="20"/>
                <w:color w:val="auto"/>
              </w:rPr>
            </w:pPr>
            <w:r>
              <w:rPr>
                <w:rFonts w:ascii="Arial" w:cs="Arial" w:eastAsia="Arial" w:hAnsi="Arial"/>
                <w:sz w:val="17"/>
                <w:szCs w:val="17"/>
                <w:i w:val="1"/>
                <w:iCs w:val="1"/>
                <w:color w:val="auto"/>
                <w:w w:val="92"/>
              </w:rPr>
              <w:t>(State or other jurisdiction of incorporation)</w:t>
            </w:r>
          </w:p>
        </w:tc>
        <w:tc>
          <w:tcPr>
            <w:tcW w:w="820" w:type="dxa"/>
            <w:vAlign w:val="bottom"/>
          </w:tcPr>
          <w:p>
            <w:pPr>
              <w:spacing w:after="0"/>
              <w:rPr>
                <w:sz w:val="19"/>
                <w:szCs w:val="19"/>
                <w:color w:val="auto"/>
              </w:rPr>
            </w:pPr>
          </w:p>
        </w:tc>
        <w:tc>
          <w:tcPr>
            <w:tcW w:w="3700" w:type="dxa"/>
            <w:vAlign w:val="bottom"/>
            <w:gridSpan w:val="7"/>
          </w:tcPr>
          <w:p>
            <w:pPr>
              <w:jc w:val="center"/>
              <w:ind w:right="960"/>
              <w:spacing w:after="0"/>
              <w:rPr>
                <w:sz w:val="20"/>
                <w:szCs w:val="20"/>
                <w:color w:val="auto"/>
              </w:rPr>
            </w:pPr>
            <w:r>
              <w:rPr>
                <w:rFonts w:ascii="Arial" w:cs="Arial" w:eastAsia="Arial" w:hAnsi="Arial"/>
                <w:sz w:val="17"/>
                <w:szCs w:val="17"/>
                <w:i w:val="1"/>
                <w:iCs w:val="1"/>
                <w:color w:val="auto"/>
                <w:w w:val="90"/>
              </w:rPr>
              <w:t>(Commission File Number)</w:t>
            </w:r>
          </w:p>
        </w:tc>
        <w:tc>
          <w:tcPr>
            <w:tcW w:w="2780" w:type="dxa"/>
            <w:vAlign w:val="bottom"/>
            <w:gridSpan w:val="3"/>
          </w:tcPr>
          <w:p>
            <w:pPr>
              <w:jc w:val="center"/>
              <w:ind w:left="137"/>
              <w:spacing w:after="0"/>
              <w:rPr>
                <w:sz w:val="20"/>
                <w:szCs w:val="20"/>
                <w:color w:val="auto"/>
              </w:rPr>
            </w:pPr>
            <w:r>
              <w:rPr>
                <w:rFonts w:ascii="Arial" w:cs="Arial" w:eastAsia="Arial" w:hAnsi="Arial"/>
                <w:sz w:val="17"/>
                <w:szCs w:val="17"/>
                <w:i w:val="1"/>
                <w:iCs w:val="1"/>
                <w:color w:val="auto"/>
                <w:w w:val="90"/>
              </w:rPr>
              <w:t>(IRS Employer Identification Number)</w:t>
            </w:r>
          </w:p>
        </w:tc>
      </w:tr>
      <w:tr>
        <w:trPr>
          <w:trHeight w:val="398"/>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00" w:type="dxa"/>
            <w:vAlign w:val="bottom"/>
            <w:gridSpan w:val="7"/>
          </w:tcPr>
          <w:p>
            <w:pPr>
              <w:jc w:val="center"/>
              <w:ind w:right="960"/>
              <w:spacing w:after="0"/>
              <w:rPr>
                <w:sz w:val="20"/>
                <w:szCs w:val="20"/>
                <w:color w:val="auto"/>
              </w:rPr>
            </w:pPr>
            <w:r>
              <w:rPr>
                <w:rFonts w:ascii="Arial" w:cs="Arial" w:eastAsia="Arial" w:hAnsi="Arial"/>
                <w:sz w:val="17"/>
                <w:szCs w:val="17"/>
                <w:b w:val="1"/>
                <w:bCs w:val="1"/>
                <w:color w:val="auto"/>
                <w:w w:val="88"/>
              </w:rPr>
              <w:t>343 Allerton Ave.</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00" w:type="dxa"/>
            <w:vAlign w:val="bottom"/>
            <w:gridSpan w:val="7"/>
          </w:tcPr>
          <w:p>
            <w:pPr>
              <w:jc w:val="center"/>
              <w:ind w:right="960"/>
              <w:spacing w:after="0" w:line="179" w:lineRule="exact"/>
              <w:rPr>
                <w:sz w:val="20"/>
                <w:szCs w:val="20"/>
                <w:color w:val="auto"/>
              </w:rPr>
            </w:pPr>
            <w:r>
              <w:rPr>
                <w:rFonts w:ascii="Arial" w:cs="Arial" w:eastAsia="Arial" w:hAnsi="Arial"/>
                <w:sz w:val="17"/>
                <w:szCs w:val="17"/>
                <w:b w:val="1"/>
                <w:bCs w:val="1"/>
                <w:color w:val="auto"/>
                <w:w w:val="88"/>
              </w:rPr>
              <w:t>South San Francisco, California 94090</w:t>
            </w: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2"/>
        </w:trPr>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740" w:type="dxa"/>
            <w:vAlign w:val="bottom"/>
            <w:tcBorders>
              <w:top w:val="single" w:sz="8" w:color="auto"/>
            </w:tcBorders>
            <w:gridSpan w:val="6"/>
          </w:tcPr>
          <w:p>
            <w:pPr>
              <w:jc w:val="center"/>
              <w:spacing w:after="0"/>
              <w:rPr>
                <w:sz w:val="20"/>
                <w:szCs w:val="20"/>
                <w:color w:val="auto"/>
              </w:rPr>
            </w:pPr>
            <w:r>
              <w:rPr>
                <w:rFonts w:ascii="Arial" w:cs="Arial" w:eastAsia="Arial" w:hAnsi="Arial"/>
                <w:sz w:val="17"/>
                <w:szCs w:val="17"/>
                <w:i w:val="1"/>
                <w:iCs w:val="1"/>
                <w:color w:val="auto"/>
                <w:w w:val="89"/>
              </w:rPr>
              <w:t>(Address of principal executive offices)</w:t>
            </w: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3"/>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20" w:type="dxa"/>
            <w:vAlign w:val="bottom"/>
            <w:gridSpan w:val="6"/>
          </w:tcPr>
          <w:p>
            <w:pPr>
              <w:jc w:val="center"/>
              <w:ind w:left="1597"/>
              <w:spacing w:after="0"/>
              <w:rPr>
                <w:sz w:val="20"/>
                <w:szCs w:val="20"/>
                <w:color w:val="auto"/>
              </w:rPr>
            </w:pPr>
            <w:r>
              <w:rPr>
                <w:rFonts w:ascii="Arial" w:cs="Arial" w:eastAsia="Arial" w:hAnsi="Arial"/>
                <w:sz w:val="17"/>
                <w:szCs w:val="17"/>
                <w:b w:val="1"/>
                <w:bCs w:val="1"/>
                <w:color w:val="auto"/>
                <w:w w:val="89"/>
              </w:rPr>
              <w:t>(650) 577-3600</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520" w:type="dxa"/>
            <w:vAlign w:val="bottom"/>
            <w:gridSpan w:val="8"/>
          </w:tcPr>
          <w:p>
            <w:pPr>
              <w:jc w:val="center"/>
              <w:ind w:right="140"/>
              <w:spacing w:after="0"/>
              <w:rPr>
                <w:sz w:val="20"/>
                <w:szCs w:val="20"/>
                <w:color w:val="auto"/>
              </w:rPr>
            </w:pPr>
            <w:r>
              <w:rPr>
                <w:rFonts w:ascii="Arial" w:cs="Arial" w:eastAsia="Arial" w:hAnsi="Arial"/>
                <w:sz w:val="17"/>
                <w:szCs w:val="17"/>
                <w:i w:val="1"/>
                <w:iCs w:val="1"/>
                <w:color w:val="auto"/>
                <w:w w:val="88"/>
              </w:rPr>
              <w:t>(Registrant’s telephone number, including area code)</w:t>
            </w: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3"/>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60" w:type="dxa"/>
            <w:vAlign w:val="bottom"/>
            <w:gridSpan w:val="6"/>
          </w:tcPr>
          <w:p>
            <w:pPr>
              <w:jc w:val="center"/>
              <w:ind w:right="1800"/>
              <w:spacing w:after="0"/>
              <w:rPr>
                <w:sz w:val="20"/>
                <w:szCs w:val="20"/>
                <w:color w:val="auto"/>
              </w:rPr>
            </w:pPr>
            <w:r>
              <w:rPr>
                <w:rFonts w:ascii="Arial" w:cs="Arial" w:eastAsia="Arial" w:hAnsi="Arial"/>
                <w:sz w:val="17"/>
                <w:szCs w:val="17"/>
                <w:b w:val="1"/>
                <w:bCs w:val="1"/>
                <w:color w:val="auto"/>
                <w:w w:val="89"/>
              </w:rPr>
              <w:t>Not Applicable</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520" w:type="dxa"/>
            <w:vAlign w:val="bottom"/>
            <w:gridSpan w:val="8"/>
          </w:tcPr>
          <w:p>
            <w:pPr>
              <w:jc w:val="center"/>
              <w:ind w:right="80"/>
              <w:spacing w:after="0"/>
              <w:rPr>
                <w:sz w:val="20"/>
                <w:szCs w:val="20"/>
                <w:color w:val="auto"/>
              </w:rPr>
            </w:pPr>
            <w:r>
              <w:rPr>
                <w:rFonts w:ascii="Arial" w:cs="Arial" w:eastAsia="Arial" w:hAnsi="Arial"/>
                <w:sz w:val="17"/>
                <w:szCs w:val="17"/>
                <w:i w:val="1"/>
                <w:iCs w:val="1"/>
                <w:color w:val="auto"/>
                <w:w w:val="89"/>
              </w:rPr>
              <w:t>(Former name or former address, if changed since last report)</w:t>
            </w: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00" w:lineRule="exact"/>
        <w:rPr>
          <w:sz w:val="24"/>
          <w:szCs w:val="24"/>
          <w:color w:val="auto"/>
        </w:rPr>
      </w:pPr>
    </w:p>
    <w:p>
      <w:pPr>
        <w:spacing w:after="0" w:line="279" w:lineRule="exact"/>
        <w:rPr>
          <w:sz w:val="24"/>
          <w:szCs w:val="24"/>
          <w:color w:val="auto"/>
        </w:rPr>
      </w:pPr>
    </w:p>
    <w:p>
      <w:pPr>
        <w:ind w:right="200"/>
        <w:spacing w:after="0" w:line="272"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50" w:lineRule="exact"/>
        <w:rPr>
          <w:rFonts w:ascii="MS PGothic" w:cs="MS PGothic" w:eastAsia="MS PGothic" w:hAnsi="MS PGothic"/>
          <w:sz w:val="17"/>
          <w:szCs w:val="17"/>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50" w:lineRule="exact"/>
        <w:rPr>
          <w:rFonts w:ascii="MS PGothic" w:cs="MS PGothic" w:eastAsia="MS PGothic" w:hAnsi="MS PGothic"/>
          <w:sz w:val="17"/>
          <w:szCs w:val="17"/>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0" w:lineRule="exact"/>
        <w:rPr>
          <w:rFonts w:ascii="MS PGothic" w:cs="MS PGothic" w:eastAsia="MS PGothic" w:hAnsi="MS PGothic"/>
          <w:sz w:val="17"/>
          <w:szCs w:val="17"/>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55" w:lineRule="exact"/>
        <w:rPr>
          <w:sz w:val="24"/>
          <w:szCs w:val="24"/>
          <w:color w:val="auto"/>
        </w:rPr>
      </w:pPr>
    </w:p>
    <w:p>
      <w:pPr>
        <w:spacing w:after="0" w:line="218"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7"/>
          <w:szCs w:val="17"/>
          <w:color w:val="auto"/>
        </w:rPr>
        <w:t>☐</w:t>
      </w:r>
    </w:p>
    <w:p>
      <w:pPr>
        <w:spacing w:after="0" w:line="180" w:lineRule="exact"/>
        <w:rPr>
          <w:sz w:val="24"/>
          <w:szCs w:val="24"/>
          <w:color w:val="auto"/>
        </w:rPr>
      </w:pPr>
    </w:p>
    <w:p>
      <w:pPr>
        <w:ind w:right="440"/>
        <w:spacing w:after="0" w:line="21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3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452755</wp:posOffset>
            </wp:positionV>
            <wp:extent cx="725360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631825</wp:posOffset>
            </wp:positionV>
            <wp:extent cx="72536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1087" w:right="279" w:bottom="1440" w:gutter="0" w:footer="0" w:header="0"/>
        </w:sectPr>
      </w:pPr>
    </w:p>
    <w:bookmarkStart w:id="1" w:name="page2"/>
    <w:bookmarkEnd w:id="1"/>
    <w:p>
      <w:pPr>
        <w:spacing w:after="0"/>
        <w:tabs>
          <w:tab w:leader="none" w:pos="168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Issuance of Letter to Stockholders</w:t>
      </w:r>
    </w:p>
    <w:p>
      <w:pPr>
        <w:spacing w:after="0" w:line="214" w:lineRule="exact"/>
        <w:rPr>
          <w:sz w:val="20"/>
          <w:szCs w:val="20"/>
          <w:color w:val="auto"/>
        </w:rPr>
      </w:pPr>
    </w:p>
    <w:p>
      <w:pPr>
        <w:jc w:val="both"/>
        <w:ind w:firstLine="461"/>
        <w:spacing w:after="0" w:line="258" w:lineRule="auto"/>
        <w:rPr>
          <w:sz w:val="20"/>
          <w:szCs w:val="20"/>
          <w:color w:val="auto"/>
        </w:rPr>
      </w:pPr>
      <w:r>
        <w:rPr>
          <w:rFonts w:ascii="Arial" w:cs="Arial" w:eastAsia="Arial" w:hAnsi="Arial"/>
          <w:sz w:val="17"/>
          <w:szCs w:val="17"/>
          <w:color w:val="auto"/>
        </w:rPr>
        <w:t>On January 29, 2018, Shawn Singh, Chief Executive Officer and Director of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sent a letter to the Company’s stockholders highlighting the Company’s recent milestones and discussing the impending launch of the Company’s Phase 2 clinical study of its lead product candidate, AV-101, for the adjunctive treatment of Major Depressive Disorder. A copy of the press release announcing Mr. Singh’s issuance of the letter is attached hereto as Exhibit 99.1, and a copy of Mr. Singh’s letter is attached hereto as Exhibit 99.2.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New Corporate Presentation</w:t>
      </w:r>
    </w:p>
    <w:p>
      <w:pPr>
        <w:spacing w:after="0" w:line="214" w:lineRule="exact"/>
        <w:rPr>
          <w:sz w:val="20"/>
          <w:szCs w:val="20"/>
          <w:color w:val="auto"/>
        </w:rPr>
      </w:pPr>
    </w:p>
    <w:p>
      <w:pPr>
        <w:jc w:val="both"/>
        <w:ind w:firstLine="461"/>
        <w:spacing w:after="0" w:line="272" w:lineRule="auto"/>
        <w:rPr>
          <w:sz w:val="20"/>
          <w:szCs w:val="20"/>
          <w:color w:val="auto"/>
        </w:rPr>
      </w:pPr>
      <w:r>
        <w:rPr>
          <w:rFonts w:ascii="Arial" w:cs="Arial" w:eastAsia="Arial" w:hAnsi="Arial"/>
          <w:sz w:val="17"/>
          <w:szCs w:val="17"/>
          <w:color w:val="auto"/>
        </w:rPr>
        <w:t>On January 29, 2018, the Company utilized a new corporate presentation (the “</w:t>
      </w:r>
      <w:r>
        <w:rPr>
          <w:rFonts w:ascii="Arial" w:cs="Arial" w:eastAsia="Arial" w:hAnsi="Arial"/>
          <w:sz w:val="17"/>
          <w:szCs w:val="17"/>
          <w:i w:val="1"/>
          <w:iCs w:val="1"/>
          <w:color w:val="auto"/>
        </w:rPr>
        <w:t>Corporate Presentation</w:t>
      </w:r>
      <w:r>
        <w:rPr>
          <w:rFonts w:ascii="Arial" w:cs="Arial" w:eastAsia="Arial" w:hAnsi="Arial"/>
          <w:sz w:val="17"/>
          <w:szCs w:val="17"/>
          <w:color w:val="auto"/>
        </w:rPr>
        <w:t>”) for business purposes. A copy of the Corporate Presentation is attached hereto as Exhibit 99.3.</w:t>
      </w:r>
    </w:p>
    <w:p>
      <w:pPr>
        <w:spacing w:after="0" w:line="172" w:lineRule="exact"/>
        <w:rPr>
          <w:sz w:val="20"/>
          <w:szCs w:val="20"/>
          <w:color w:val="auto"/>
        </w:rPr>
      </w:pPr>
    </w:p>
    <w:p>
      <w:pPr>
        <w:jc w:val="both"/>
        <w:ind w:firstLine="461"/>
        <w:spacing w:after="0" w:line="312" w:lineRule="auto"/>
        <w:rPr>
          <w:sz w:val="20"/>
          <w:szCs w:val="20"/>
          <w:color w:val="auto"/>
        </w:rPr>
      </w:pPr>
      <w:r>
        <w:rPr>
          <w:rFonts w:ascii="Arial" w:cs="Arial" w:eastAsia="Arial" w:hAnsi="Arial"/>
          <w:sz w:val="15"/>
          <w:szCs w:val="15"/>
          <w:color w:val="auto"/>
        </w:rPr>
        <w:t>The information in this Current Report on Form 8-K, including the information set forth in Exhibits 99.1, 99.2 and 99.3 are being furnished and shall not be deemed “filed” for purposes of Section 18 of the Securities Exchange Act of 1934, as amended (the “</w:t>
      </w:r>
      <w:r>
        <w:rPr>
          <w:rFonts w:ascii="Arial" w:cs="Arial" w:eastAsia="Arial" w:hAnsi="Arial"/>
          <w:sz w:val="15"/>
          <w:szCs w:val="15"/>
          <w:i w:val="1"/>
          <w:iCs w:val="1"/>
          <w:color w:val="auto"/>
        </w:rPr>
        <w:t>Exchange Act</w:t>
      </w:r>
      <w:r>
        <w:rPr>
          <w:rFonts w:ascii="Arial" w:cs="Arial" w:eastAsia="Arial" w:hAnsi="Arial"/>
          <w:sz w:val="15"/>
          <w:szCs w:val="15"/>
          <w:color w:val="auto"/>
        </w:rPr>
        <w:t>”), nor shall any exhibit filed herewith be deemed incorporated by reference in any filing under the Securities Act of 1933, as amended, or the Exchange Act, except as shall be expressly set forth by specific reference in such a filing.</w:t>
      </w:r>
    </w:p>
    <w:p>
      <w:pPr>
        <w:spacing w:after="0" w:line="147" w:lineRule="exact"/>
        <w:rPr>
          <w:sz w:val="20"/>
          <w:szCs w:val="20"/>
          <w:color w:val="auto"/>
        </w:rPr>
      </w:pPr>
    </w:p>
    <w:p>
      <w:pPr>
        <w:jc w:val="both"/>
        <w:ind w:firstLine="461"/>
        <w:spacing w:after="0" w:line="256" w:lineRule="auto"/>
        <w:rPr>
          <w:sz w:val="20"/>
          <w:szCs w:val="20"/>
          <w:color w:val="auto"/>
        </w:rPr>
      </w:pPr>
      <w:r>
        <w:rPr>
          <w:rFonts w:ascii="Arial" w:cs="Arial" w:eastAsia="Arial" w:hAnsi="Arial"/>
          <w:sz w:val="17"/>
          <w:szCs w:val="17"/>
          <w:color w:val="auto"/>
        </w:rPr>
        <w:t>In addition, this Current Report on Form 8-K and the exhibit(s) attached hereto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183" w:lineRule="exact"/>
        <w:rPr>
          <w:sz w:val="20"/>
          <w:szCs w:val="20"/>
          <w:color w:val="auto"/>
        </w:rPr>
      </w:pPr>
    </w:p>
    <w:p>
      <w:pPr>
        <w:spacing w:after="0"/>
        <w:tabs>
          <w:tab w:leader="none" w:pos="168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401955</wp:posOffset>
            </wp:positionV>
            <wp:extent cx="725360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 w:name="page3"/>
    <w:bookmarkEnd w:id="2"/>
    <w:p>
      <w:pPr>
        <w:jc w:val="center"/>
        <w:ind w:left="620"/>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firstLine="615"/>
        <w:spacing w:after="0" w:line="27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VistaGen Therapeutics, Inc.</w:t>
      </w:r>
    </w:p>
    <w:p>
      <w:pPr>
        <w:spacing w:after="0" w:line="218" w:lineRule="exact"/>
        <w:rPr>
          <w:sz w:val="20"/>
          <w:szCs w:val="20"/>
          <w:color w:val="auto"/>
        </w:rPr>
      </w:pPr>
    </w:p>
    <w:p>
      <w:pPr>
        <w:ind w:left="40"/>
        <w:spacing w:after="0"/>
        <w:tabs>
          <w:tab w:leader="none" w:pos="5480" w:val="left"/>
          <w:tab w:leader="none" w:pos="6040" w:val="left"/>
        </w:tabs>
        <w:rPr>
          <w:sz w:val="20"/>
          <w:szCs w:val="20"/>
          <w:color w:val="auto"/>
        </w:rPr>
      </w:pPr>
      <w:r>
        <w:rPr>
          <w:rFonts w:ascii="Arial" w:cs="Arial" w:eastAsia="Arial" w:hAnsi="Arial"/>
          <w:sz w:val="17"/>
          <w:szCs w:val="17"/>
          <w:color w:val="auto"/>
        </w:rPr>
        <w:t>Date: January 30, 2018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11430</wp:posOffset>
            </wp:positionV>
            <wp:extent cx="340741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7410" cy="16510"/>
                    </a:xfrm>
                    <a:prstGeom prst="rect">
                      <a:avLst/>
                    </a:prstGeom>
                    <a:noFill/>
                  </pic:spPr>
                </pic:pic>
              </a:graphicData>
            </a:graphic>
          </wp:anchor>
        </w:drawing>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Shawn K. Singh</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36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980"/>
          </w:cols>
          <w:pgMar w:left="240" w:top="742"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tcPr>
          <w:p>
            <w:pPr>
              <w:ind w:left="35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622"/>
        </w:trPr>
        <w:tc>
          <w:tcPr>
            <w:tcW w:w="1280" w:type="dxa"/>
            <w:vAlign w:val="bottom"/>
            <w:gridSpan w:val="3"/>
          </w:tcPr>
          <w:p>
            <w:pPr>
              <w:spacing w:after="0"/>
              <w:rPr>
                <w:sz w:val="20"/>
                <w:szCs w:val="20"/>
                <w:color w:val="auto"/>
              </w:rPr>
            </w:pPr>
            <w:r>
              <w:rPr>
                <w:rFonts w:ascii="Arial" w:cs="Arial" w:eastAsia="Arial" w:hAnsi="Arial"/>
                <w:sz w:val="17"/>
                <w:szCs w:val="17"/>
                <w:b w:val="1"/>
                <w:bCs w:val="1"/>
                <w:color w:val="auto"/>
              </w:rPr>
              <w:t>Exhibit No.</w:t>
            </w:r>
          </w:p>
        </w:tc>
        <w:tc>
          <w:tcPr>
            <w:tcW w:w="200" w:type="dxa"/>
            <w:vAlign w:val="bottom"/>
          </w:tcPr>
          <w:p>
            <w:pPr>
              <w:spacing w:after="0"/>
              <w:rPr>
                <w:sz w:val="24"/>
                <w:szCs w:val="24"/>
                <w:color w:val="auto"/>
              </w:rPr>
            </w:pPr>
          </w:p>
        </w:tc>
        <w:tc>
          <w:tcPr>
            <w:tcW w:w="9940" w:type="dxa"/>
            <w:vAlign w:val="bottom"/>
          </w:tcPr>
          <w:p>
            <w:pPr>
              <w:ind w:left="456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80" w:type="dxa"/>
            <w:vAlign w:val="bottom"/>
            <w:tcBorders>
              <w:bottom w:val="single" w:sz="8" w:color="0000EE"/>
            </w:tcBorders>
            <w:shd w:val="clear" w:color="auto" w:fill="CCEEFF"/>
          </w:tcPr>
          <w:p>
            <w:pPr>
              <w:spacing w:after="0" w:line="167" w:lineRule="exact"/>
              <w:rPr>
                <w:rFonts w:ascii="Arial" w:cs="Arial" w:eastAsia="Arial" w:hAnsi="Arial"/>
                <w:sz w:val="17"/>
                <w:szCs w:val="17"/>
                <w:color w:val="0000EE"/>
                <w:w w:val="78"/>
              </w:rPr>
            </w:pPr>
            <w:hyperlink w:anchor="page5">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1</w:t>
              </w:r>
            </w:hyperlink>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94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Press Release issued by VistaGen Therapeutics, Inc., dated January 29, 2018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 w:type="dxa"/>
            <w:vAlign w:val="bottom"/>
            <w:tcBorders>
              <w:bottom w:val="single" w:sz="8" w:color="0000EE"/>
            </w:tcBorders>
          </w:tcPr>
          <w:p>
            <w:pPr>
              <w:spacing w:after="0" w:line="167" w:lineRule="exact"/>
              <w:rPr>
                <w:rFonts w:ascii="Arial" w:cs="Arial" w:eastAsia="Arial" w:hAnsi="Arial"/>
                <w:sz w:val="17"/>
                <w:szCs w:val="17"/>
                <w:color w:val="0000EE"/>
                <w:w w:val="78"/>
              </w:rPr>
            </w:pPr>
            <w:hyperlink w:anchor="page8">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2</w:t>
              </w:r>
            </w:hyperlink>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940" w:type="dxa"/>
            <w:vAlign w:val="bottom"/>
          </w:tcPr>
          <w:p>
            <w:pPr>
              <w:spacing w:after="0" w:line="167" w:lineRule="exact"/>
              <w:rPr>
                <w:sz w:val="20"/>
                <w:szCs w:val="20"/>
                <w:color w:val="auto"/>
              </w:rPr>
            </w:pPr>
            <w:r>
              <w:rPr>
                <w:rFonts w:ascii="Arial" w:cs="Arial" w:eastAsia="Arial" w:hAnsi="Arial"/>
                <w:sz w:val="17"/>
                <w:szCs w:val="17"/>
                <w:color w:val="auto"/>
              </w:rPr>
              <w:t>Letter to Shareholders, dated January 29,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line="185" w:lineRule="exact"/>
              <w:rPr>
                <w:rFonts w:ascii="Arial" w:cs="Arial" w:eastAsia="Arial" w:hAnsi="Arial"/>
                <w:sz w:val="17"/>
                <w:szCs w:val="17"/>
                <w:color w:val="0000EE"/>
              </w:rPr>
            </w:pPr>
            <w:hyperlink w:anchor="page11">
              <w:r>
                <w:rPr>
                  <w:rFonts w:ascii="Arial" w:cs="Arial" w:eastAsia="Arial" w:hAnsi="Arial"/>
                  <w:sz w:val="17"/>
                  <w:szCs w:val="17"/>
                  <w:color w:val="0000EE"/>
                </w:rPr>
                <w:t>99.</w:t>
              </w:r>
              <w:r>
                <w:rPr>
                  <w:rFonts w:ascii="Arial" w:cs="Arial" w:eastAsia="Arial" w:hAnsi="Arial"/>
                  <w:sz w:val="17"/>
                  <w:szCs w:val="17"/>
                  <w:u w:val="single" w:color="auto"/>
                  <w:color w:val="0000EE"/>
                </w:rPr>
                <w:t>3</w:t>
              </w:r>
            </w:hyperlink>
          </w:p>
        </w:tc>
        <w:tc>
          <w:tcPr>
            <w:tcW w:w="200" w:type="dxa"/>
            <w:vAlign w:val="bottom"/>
            <w:shd w:val="clear" w:color="auto" w:fill="CCEEFF"/>
          </w:tcPr>
          <w:p>
            <w:pPr>
              <w:spacing w:after="0"/>
              <w:rPr>
                <w:sz w:val="17"/>
                <w:szCs w:val="17"/>
                <w:color w:val="auto"/>
              </w:rPr>
            </w:pPr>
          </w:p>
        </w:tc>
        <w:tc>
          <w:tcPr>
            <w:tcW w:w="99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Corporate Presentation, dated January 29, 2018</w:t>
            </w: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99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1463675" cy="1130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3675" cy="113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76" w:lineRule="auto"/>
        <w:rPr>
          <w:sz w:val="20"/>
          <w:szCs w:val="20"/>
          <w:color w:val="auto"/>
        </w:rPr>
      </w:pPr>
      <w:r>
        <w:rPr>
          <w:rFonts w:ascii="Arial" w:cs="Arial" w:eastAsia="Arial" w:hAnsi="Arial"/>
          <w:sz w:val="20"/>
          <w:szCs w:val="20"/>
          <w:b w:val="1"/>
          <w:bCs w:val="1"/>
          <w:color w:val="auto"/>
        </w:rPr>
        <w:t>VistaGen Therapeutics Issues Letter to Stockholders as Company Prepares to Initiate AV-101 Phase 2 Study for Major Depressive Disorder</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South San Francisco, CA (January 29, 2018)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VistaGen Therapeutics, Inc.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VTGN), a clinical-stage biopharmaceutical company focused on developing</w:t>
      </w:r>
      <w:r>
        <w:rPr>
          <w:rFonts w:ascii="Arial" w:cs="Arial" w:eastAsia="Arial" w:hAnsi="Arial"/>
          <w:sz w:val="17"/>
          <w:szCs w:val="17"/>
          <w:b w:val="1"/>
          <w:bCs w:val="1"/>
          <w:color w:val="auto"/>
        </w:rPr>
        <w:t xml:space="preserve"> </w:t>
      </w:r>
      <w:r>
        <w:rPr>
          <w:rFonts w:ascii="Arial" w:cs="Arial" w:eastAsia="Arial" w:hAnsi="Arial"/>
          <w:sz w:val="17"/>
          <w:szCs w:val="17"/>
          <w:color w:val="auto"/>
        </w:rPr>
        <w:t>new generation medicines for depression and other central nervous system (CNS) disorders, today issued a letter to stockholders as the Company prepares to initiate its Phase 2 study of AV-101 for Major Depressive Disorder (MDD).</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full version of the letter to stockholders may be accessed using the following link, or by visiting the Investor Relations section of the Company’s website, </w:t>
      </w:r>
      <w:r>
        <w:rPr>
          <w:rFonts w:ascii="Arial" w:cs="Arial" w:eastAsia="Arial" w:hAnsi="Arial"/>
          <w:sz w:val="17"/>
          <w:szCs w:val="17"/>
          <w:u w:val="single" w:color="auto"/>
          <w:color w:val="0563C1"/>
        </w:rPr>
        <w:t>www.vistagen.com</w:t>
      </w:r>
      <w:r>
        <w:rPr>
          <w:rFonts w:ascii="Arial" w:cs="Arial" w:eastAsia="Arial" w:hAnsi="Arial"/>
          <w:sz w:val="17"/>
          <w:szCs w:val="17"/>
          <w:color w:val="000000"/>
        </w:rPr>
        <w: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563C1"/>
        </w:rPr>
        <w:t>https://d1io3yog0oux5.cloudfront.net/vistagen/files/docs/shareholder-letter.pdf</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letter to stockholders, Shawn Singh, Chief Executive Officer, highlights the Company’s recent milestones and discusses the impending launch of the Company’s Phase 2 clinical study of AV-101 for MDD. VistaGen’s AV-101 is an oral new generation antidepressant with a mechanism of action that is fundamentally differentiated from all standard, FDA-approved antidepressants.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early-2017, I had the privilege of “Ringing the Bell” at The Nasdaq Stock Market’s headquarters in Times Square on behalf of our company. That exciting and unique corporate event proved to be a symbolic prologue to the productive year for VistaGen that followed. The milestones we accomplished in 2017 have strongly positioned us to advance our AV-101 Phase 2 program to new levels throughout this year and next,” commented Mr. Singh in the letter to stockholders. “Following a productive meeting with the U.S. Food and Drug Administration (FDA) in the fall of 2017, we achieved two key regulatory milestones before year end. First, in October 2017, the FDA authorized us to proceed, under our Investigational New Drug (IND) application, with our U.S. multi-center Phase 2 clinical study of AV-101 as an oral new generation adjunctive treatment for MDD patients with an inadequate response to standard, FDA-approved antidepressants. In addition, in December 2017, the FDA granted us Fast Track Designation for development of AV-101 for treatment of MDD, providing us the opportunity for frequent FDA interactions regarding the most appropriate and efficient development pathway to bring AV-101 to MDD patients. 2017 culminated with the closing of an underwritten public offering that generated gross proceeds of $15 million, enabling us to commence and advance through our Phase 2 study in 2018. I want to thank, again, our underwriters and our new and existing investors for supporting our vision.”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Accomplishments:</w:t>
      </w:r>
    </w:p>
    <w:p>
      <w:pPr>
        <w:spacing w:after="0" w:line="218" w:lineRule="exact"/>
        <w:rPr>
          <w:sz w:val="20"/>
          <w:szCs w:val="20"/>
          <w:color w:val="auto"/>
        </w:rPr>
      </w:pPr>
    </w:p>
    <w:p>
      <w:pPr>
        <w:ind w:left="620" w:hanging="310"/>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Received “green light” from the FDA to launch AV-101 Phase 2 MDD adjunctive treatment study pursuant to our IND.</w:t>
      </w:r>
    </w:p>
    <w:p>
      <w:pPr>
        <w:spacing w:after="0" w:line="16" w:lineRule="exact"/>
        <w:rPr>
          <w:rFonts w:ascii="Arial" w:cs="Arial" w:eastAsia="Arial" w:hAnsi="Arial"/>
          <w:sz w:val="17"/>
          <w:szCs w:val="17"/>
          <w:color w:val="auto"/>
        </w:rPr>
      </w:pPr>
    </w:p>
    <w:p>
      <w:pPr>
        <w:ind w:left="620" w:hanging="310"/>
        <w:spacing w:after="0" w:line="25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Received Fast Track Designation from the FDA for development of AV-101 as an adjunctive treatment for MDD. Fast Track Designation is designed to facilitate the development and review of new treatments for serious conditions, such as MDD, with unmet medical need.</w:t>
      </w:r>
    </w:p>
    <w:p>
      <w:pPr>
        <w:jc w:val="both"/>
        <w:ind w:left="620" w:hanging="310"/>
        <w:spacing w:after="0" w:line="25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Continued to strengthen our intellectual property portfolio as the European Patent Office (EPO) granted a patent related to methods of treating depression with AV-101 and certain other neurological indications, and the U.S. Patent and Trademark Office (USPTO) issued </w:t>
      </w:r>
      <w:r>
        <w:rPr>
          <w:rFonts w:ascii="Arial" w:cs="Arial" w:eastAsia="Arial" w:hAnsi="Arial"/>
          <w:sz w:val="17"/>
          <w:szCs w:val="17"/>
          <w:u w:val="single" w:color="auto"/>
          <w:color w:val="0563C1"/>
        </w:rPr>
        <w:t>U.S. Patent No. 9,834,801</w:t>
      </w:r>
      <w:r>
        <w:rPr>
          <w:rFonts w:ascii="Arial" w:cs="Arial" w:eastAsia="Arial" w:hAnsi="Arial"/>
          <w:sz w:val="17"/>
          <w:szCs w:val="17"/>
          <w:color w:val="auto"/>
        </w:rPr>
        <w:t xml:space="preserve"> related to certain methods of production for AV-101.</w:t>
      </w:r>
    </w:p>
    <w:p>
      <w:pPr>
        <w:spacing w:after="0" w:line="1" w:lineRule="exact"/>
        <w:rPr>
          <w:rFonts w:ascii="Arial" w:cs="Arial" w:eastAsia="Arial" w:hAnsi="Arial"/>
          <w:sz w:val="17"/>
          <w:szCs w:val="17"/>
          <w:color w:val="auto"/>
        </w:rPr>
      </w:pPr>
    </w:p>
    <w:p>
      <w:pPr>
        <w:ind w:left="620" w:hanging="310"/>
        <w:spacing w:after="0" w:line="267"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AV-101 was featured on the cover of </w:t>
      </w:r>
      <w:r>
        <w:rPr>
          <w:rFonts w:ascii="Arial" w:cs="Arial" w:eastAsia="Arial" w:hAnsi="Arial"/>
          <w:sz w:val="16"/>
          <w:szCs w:val="16"/>
          <w:i w:val="1"/>
          <w:iCs w:val="1"/>
          <w:color w:val="auto"/>
        </w:rPr>
        <w:t>The Journal of Pain</w:t>
      </w:r>
      <w:r>
        <w:rPr>
          <w:rFonts w:ascii="Arial" w:cs="Arial" w:eastAsia="Arial" w:hAnsi="Arial"/>
          <w:sz w:val="16"/>
          <w:szCs w:val="16"/>
          <w:color w:val="auto"/>
        </w:rPr>
        <w:t xml:space="preserve"> in October 2017, a peer-reviewed publication of nonclinical studies of the effects of AV-101 in well-established nonclinical models of pain. This article is available at the following link: </w:t>
      </w:r>
      <w:r>
        <w:rPr>
          <w:rFonts w:ascii="Arial" w:cs="Arial" w:eastAsia="Arial" w:hAnsi="Arial"/>
          <w:sz w:val="16"/>
          <w:szCs w:val="16"/>
          <w:u w:val="single" w:color="auto"/>
          <w:color w:val="0563C1"/>
        </w:rPr>
        <w:t>http://dx.doi.org/10.1016/j.jpain.2017.03.014</w:t>
      </w:r>
      <w:r>
        <w:rPr>
          <w:rFonts w:ascii="Arial" w:cs="Arial" w:eastAsia="Arial" w:hAnsi="Arial"/>
          <w:sz w:val="16"/>
          <w:szCs w:val="16"/>
          <w:color w:val="auto"/>
        </w:rPr>
        <w:t>).</w:t>
      </w:r>
    </w:p>
    <w:p>
      <w:pPr>
        <w:ind w:left="620" w:hanging="310"/>
        <w:spacing w:after="0" w:line="263"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Closed underwritten public offering that generated gross proceeds of $15 million. Proceeds from the offering enable us to continue research and development, primarily related to our Phase 2 clinical study of AV-101 for MDD.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72536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6"/>
          <w:szCs w:val="16"/>
          <w:color w:val="auto"/>
        </w:rPr>
        <w:t>Mr. Singh continued, “As a result of receiving a “green light” from the FDA, we anticipate launching our AV-101 Phase 2 MDD adjunctive treatment study during the current quarter, with topline data expected to be available during the first half of 2019. In addition, we expect one of our principal collaborators, the U.S. National Institute of Mental Health, to complete its Phase 2 monotherapy study of AV-101 in treatment-resistant MDD patients during 2018. This Phase 2 study is being conducted by Dr. Carlos Zarate Jr., Chief, Section on the Neurobiology and Treatment of Mood Disorders and Chief of the Experimental Therapeutics and Pathophysiology Branch at the NIMH. AV-101 caught the attention of Dr. Zarate, widely considered a pioneer in ketamine research for MDD, and his team after head-to-head preclinical studies of AV-101 vs. ketamine, ultimately resulting in a Cooperative Research and Development Agreement between VistaGen and the U.S. National Institutes of Health, whereby the NIMH is fully funding and conducting the NIMH Phase 2 monotherapy MDD study of AV-101.”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Anticipated Milestones over next 12 to 18 Months:</w:t>
      </w:r>
    </w:p>
    <w:p>
      <w:pPr>
        <w:spacing w:after="0" w:line="214" w:lineRule="exact"/>
        <w:rPr>
          <w:sz w:val="20"/>
          <w:szCs w:val="20"/>
          <w:color w:val="auto"/>
        </w:rPr>
      </w:pPr>
    </w:p>
    <w:p>
      <w:pPr>
        <w:ind w:left="620" w:hanging="310"/>
        <w:spacing w:after="0"/>
        <w:tabs>
          <w:tab w:leader="none" w:pos="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First Quarter of 2018:</w:t>
      </w:r>
    </w:p>
    <w:p>
      <w:pPr>
        <w:spacing w:after="0" w:line="21" w:lineRule="exact"/>
        <w:rPr>
          <w:sz w:val="20"/>
          <w:szCs w:val="20"/>
          <w:color w:val="auto"/>
        </w:rPr>
      </w:pPr>
    </w:p>
    <w:p>
      <w:pPr>
        <w:jc w:val="both"/>
        <w:ind w:left="1240" w:hanging="316"/>
        <w:spacing w:after="0" w:line="251" w:lineRule="auto"/>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Launch our Phase 2 clinical study of AV-101 for MDD with Dr. Maurizio Fava of Harvard University as Principal Investigator; a 180-patient, U.S. multi-center, double-blind, placebo controlled efficacy and safety study evaluating AV-101 as an adjunctive treatment in MDD patients with an inadequate response to standard, FDA-approved antidepressants.</w:t>
      </w:r>
    </w:p>
    <w:p>
      <w:pPr>
        <w:spacing w:after="0" w:line="1" w:lineRule="exact"/>
        <w:rPr>
          <w:rFonts w:ascii="Arial" w:cs="Arial" w:eastAsia="Arial" w:hAnsi="Arial"/>
          <w:sz w:val="17"/>
          <w:szCs w:val="17"/>
          <w:color w:val="auto"/>
        </w:rPr>
      </w:pPr>
    </w:p>
    <w:p>
      <w:pPr>
        <w:ind w:left="620" w:hanging="31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Second Half of 2018:</w:t>
      </w:r>
    </w:p>
    <w:p>
      <w:pPr>
        <w:spacing w:after="0" w:line="9" w:lineRule="exact"/>
        <w:rPr>
          <w:rFonts w:ascii="Arial" w:cs="Arial" w:eastAsia="Arial" w:hAnsi="Arial"/>
          <w:sz w:val="17"/>
          <w:szCs w:val="17"/>
          <w:color w:val="auto"/>
        </w:rPr>
      </w:pPr>
    </w:p>
    <w:p>
      <w:pPr>
        <w:ind w:left="1240" w:hanging="316"/>
        <w:spacing w:after="0"/>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NIMH AV-101 Phase 2 MDD monotherapy study topline results.</w:t>
      </w:r>
    </w:p>
    <w:p>
      <w:pPr>
        <w:spacing w:after="0" w:line="9" w:lineRule="exact"/>
        <w:rPr>
          <w:rFonts w:ascii="Arial" w:cs="Arial" w:eastAsia="Arial" w:hAnsi="Arial"/>
          <w:sz w:val="17"/>
          <w:szCs w:val="17"/>
          <w:color w:val="auto"/>
        </w:rPr>
      </w:pPr>
    </w:p>
    <w:p>
      <w:pPr>
        <w:ind w:left="1240" w:hanging="316"/>
        <w:spacing w:after="0"/>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Completion of our AV-101 Phase 2 MDD adjunctive treatment study.</w:t>
      </w:r>
    </w:p>
    <w:p>
      <w:pPr>
        <w:spacing w:after="0" w:line="9" w:lineRule="exact"/>
        <w:rPr>
          <w:rFonts w:ascii="Arial" w:cs="Arial" w:eastAsia="Arial" w:hAnsi="Arial"/>
          <w:sz w:val="17"/>
          <w:szCs w:val="17"/>
          <w:color w:val="auto"/>
        </w:rPr>
      </w:pPr>
    </w:p>
    <w:p>
      <w:pPr>
        <w:ind w:left="620" w:hanging="31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First Half of 2019:</w:t>
      </w:r>
    </w:p>
    <w:p>
      <w:pPr>
        <w:spacing w:after="0" w:line="9" w:lineRule="exact"/>
        <w:rPr>
          <w:rFonts w:ascii="Arial" w:cs="Arial" w:eastAsia="Arial" w:hAnsi="Arial"/>
          <w:sz w:val="17"/>
          <w:szCs w:val="17"/>
          <w:color w:val="auto"/>
        </w:rPr>
      </w:pPr>
    </w:p>
    <w:p>
      <w:pPr>
        <w:ind w:left="1240" w:hanging="316"/>
        <w:spacing w:after="0"/>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Launch of AV-101 Phase 2 studies in neuropathic pain and Parkinson’s disease levodopa-induced dyskinesia.</w:t>
      </w:r>
    </w:p>
    <w:p>
      <w:pPr>
        <w:spacing w:after="0" w:line="9" w:lineRule="exact"/>
        <w:rPr>
          <w:rFonts w:ascii="Arial" w:cs="Arial" w:eastAsia="Arial" w:hAnsi="Arial"/>
          <w:sz w:val="17"/>
          <w:szCs w:val="17"/>
          <w:color w:val="auto"/>
        </w:rPr>
      </w:pPr>
    </w:p>
    <w:p>
      <w:pPr>
        <w:ind w:left="1240" w:hanging="316"/>
        <w:spacing w:after="0"/>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AV-101 Phase 2 MDD adjunctive treatment study topline results.</w:t>
      </w:r>
    </w:p>
    <w:p>
      <w:pPr>
        <w:spacing w:after="0" w:line="20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VistaGen kicked off 2018 by hosting meetings with current investors, prospective institutional investors and potential strategic partners during the 36th Annual J.P. Morgan Healthcare Conference and 10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Annual Biotech Showcase in San Francisco. Additionally, Mr. Singh participated on a panel with distinguished scientists and clinicians focused on the neuroscience of depression and addiction during the Healthcare Innovation Forum held at the University of California, San Francisco (UCSF) Medical Center in San Francisco.</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Mr. Singh concluded, “Reflecting on a productive week in San Francisco, it is apparent to us that a paradigm shift towards a new generation of faster-acting antidepressants, particularly those targeting NMDA and AMPA receptors, is emerging. Throughout 2018, we will remain focused on our core mission - to develop new generation medicines for depression and other CNS disorders affecting millions of people worldwide who do not currently have adequate treatment alternatives. Personally, and professionally, I am motivated and passionate about our mission. I maintain the highest confidence in our strategy and our team, and I anticipate that 2018 will yield even more exciting achievements intended to deliver both life-changing benefits to CNS patients and extraordinary value to our stockholders.”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72536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682"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About VistaGen</w:t>
      </w:r>
    </w:p>
    <w:p>
      <w:pPr>
        <w:spacing w:after="0" w:line="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focused on developing new generation medicines for depression and other CNS disorders. VistaGen’s lead CNS product candidate, AV-101, is in Phase 2 development, initially as a new generation oral antidepressant drug candidate for MDD AV-101's </w:t>
      </w:r>
      <w:r>
        <w:rPr>
          <w:rFonts w:ascii="Arial" w:cs="Arial" w:eastAsia="Arial" w:hAnsi="Arial"/>
          <w:sz w:val="16"/>
          <w:szCs w:val="16"/>
          <w:u w:val="single" w:color="auto"/>
          <w:color w:val="auto"/>
        </w:rPr>
        <w:t>mechanism of action</w:t>
      </w:r>
      <w:r>
        <w:rPr>
          <w:rFonts w:ascii="Arial" w:cs="Arial" w:eastAsia="Arial" w:hAnsi="Arial"/>
          <w:sz w:val="16"/>
          <w:szCs w:val="16"/>
          <w:color w:val="auto"/>
        </w:rPr>
        <w:t xml:space="preserve"> is fundamentally different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Dr. Maurizio Fava of Harvard University is the Principal Investigator of the VistaGen’s AV-101 MDD Phase 2 adjunctive treatment study. AV-101 may also have the potential to treat multiple CNS disorders and neurodegenerative diseases in addition to MDD, including neuropathic pain, epilepsy, Huntington’s disease, Parkinson’s disease levodopa-induced dyskinesia (PD LID) and other CNS diseases and disorders where modulation of the NMDA receptors, activation of AMPA pathways and/or key active metabolites of AV-101 may achieve therapeutic benefit.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please visit </w:t>
      </w:r>
      <w:r>
        <w:rPr>
          <w:rFonts w:ascii="Arial" w:cs="Arial" w:eastAsia="Arial" w:hAnsi="Arial"/>
          <w:sz w:val="17"/>
          <w:szCs w:val="17"/>
          <w:u w:val="single" w:color="auto"/>
          <w:color w:val="auto"/>
        </w:rPr>
        <w:t>www.vistagen.com</w:t>
      </w:r>
      <w:r>
        <w:rPr>
          <w:rFonts w:ascii="Arial" w:cs="Arial" w:eastAsia="Arial" w:hAnsi="Arial"/>
          <w:sz w:val="17"/>
          <w:szCs w:val="17"/>
          <w:color w:val="auto"/>
        </w:rPr>
        <w:t xml:space="preserve"> and connect with VistaGen on: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Twitter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LinkedIn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Facebook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(MDD monotherapy) and/or the Company’s planned Phase 2 (MDD adjunctive treatment) clinical studies of AV-101, allowance of patent applications and continued protection of its intellectual property, and the availability of substantial additional capital to support its operations, including the AV-101 Phase 2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VistaGen undertakes no obligation to publicly update or revise any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IR@vistagen.com</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VistaGen@KCSA.com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72536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678"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144145</wp:posOffset>
            </wp:positionV>
            <wp:extent cx="1463675" cy="1130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3675" cy="113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January 29, 2018</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Dear Fellow Stockholders: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early-2017, I had the privilege of “Ringing the Bell” at The Nasdaq Stock Market’s headquarters in Times Square on behalf of our company. That exciting and unique corporate event proved to be a symbolic prologue to the productive year for VistaGen that followed. The milestones we accomplished in 2017 have strongly positioned us to advance our AV-101 Phase 2 program to new levels throughout this year and next.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and Clinical Development</w:t>
      </w: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refer to AV-101 as a “new generation” antidepressant because its mechanism of action (the way it works in the brain) is fundamentally different from all FDA-approved antidepressants, as well as all FDA-approved atypical antipsychotics often used together with standard antidepressants. Investment, innovation, industry expertise and a lot of hard work by our focused and passionate teams, teams committed to making a game-changing impact in the treatment of multiple diseases and disorders involving the central nervous system (CNS), have advanced us to the threshold of launching our potentially transformative Phase 2 study of AV-101 for treatment of Major Depressive Disorder (MDD). Our primary goal is to develop and ultimately receive regulatory approval to commercialize AV-101 worldwide for multiple CNS diseases and disorders. Our initial regulatory and commercial strategies to accomplish that goal are focused on developing AV-101 as an oral, safe, and faster-acting new generation treatment alternative for millions of MDD patients with inadequate therapeutic results from standard antidepressants, displacing atypical antipsychotics in the current MDD drug treatment paradigm. It is a potentially game-changing goal indeed, and our teams are well-suited for the challenge.</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Following a productive meeting with the U.S. Food and Drug Administration (FDA) in the Fall of 2017, we achieved two key regulatory milestones before year end. First, in October 2017, the FDA authorized us to proceed, under our Investigational New Drug (IND) application, with our U.S. multi-center Phase 2 clinical study of AV-101 as an oral new generation adjunctive treatment for MDD. This study will focus on treatment of MDD patients with an inadequate response to standard, FDA-approved antidepressants. In addition, in December 2017, the FDA granted us Fast Track Designation for development of AV-101 for treatment of MDD, providing us the opportunity for frequent FDA interactions regarding the most appropriate and efficient development pathway to bring AV-101 to MDD patients.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a result of receiving a “green light” from the FDA, we anticipate launching our AV-101 Phase 2 MDD adjunctive treatment study during the current quarter, with topline data expected to be available during the first half of 2019.</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During 2018, we expect one of our principal collaborators, the U.S. National Institute of Mental Health (NIMH), to complete its Phase 2 monotherapy study of AV-101 in treatment-resistant MDD patients. This Phase 2 study is being conducted by Dr. Carlos Zarate Jr., Chief, Section on the Neurobiology and Treatment of Mood Disorders and Chief of the Experimental Therapeutics and Pathophysiology Branch at the NIMH. AV-101 caught the attention of Dr. Zarate, widely considered a pioneer in ketamine research for MDD, and his team after head-to-head preclinical studies of AV-101 vs. ketamine, ultimately resulting in a Cooperative Research and Development Agreement (CRADA) between VistaGen and the U.S. National Institutes of Health (NIH), whereby the NIMH is fully funding and conducting the NIMH Phase 2 monotherapy MDD study of AV-101.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725360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Manufacturing and Patents</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our AV-101 Phase 2 program, as well as potential Phase 3 development and commercialization, we, together with our contract manufacturing organization, developed a novel process for the production of AV-101 drug substance. We believe our new proprietary AV-101 production process will significantly improve manufacturing efficiency.</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strengthened our intellectual property around AV-101 in 2017. In Europe, the European Patent Office (EPO) granted our patent related to methods of treating depression with AV-101 and certain other neurological indications. Additionally, the U.S. Patent and Trademark Office (USPTO) granted a patent related to certain methods of production of AV-101. These issued patents, together with the potential issuance of additional AV-101 patent applications currently under review in the US, European Union and other key pharmaceutical markets, provide VistaGen with added long-term intellectual property protection for AV-101 and enhance its commercial potential.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Highlights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AV-101 for Neuropathic Pain and Parkinson’s Disease Levodopa-induced Dyskinesia (PD LID)</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 xml:space="preserve">In addition to MDD, we believe AV-101 may also have the potential to treat multiple CNS disorders and neurodegenerative diseases, including neuropathic pain, PD LID and other CNS diseases and disorders where modulation of NMDA receptors, activation of AMPA pathways and/or key active metabolites of AV-101 may achieve therapeutic benefit. In October 2017, a peer-reviewed publication of nonclinical studies of the effects of AV-101 in four well-established nonclinical models of pain was featured on the cover of </w:t>
      </w:r>
      <w:r>
        <w:rPr>
          <w:rFonts w:ascii="Arial" w:cs="Arial" w:eastAsia="Arial" w:hAnsi="Arial"/>
          <w:sz w:val="15"/>
          <w:szCs w:val="15"/>
          <w:i w:val="1"/>
          <w:iCs w:val="1"/>
          <w:color w:val="auto"/>
        </w:rPr>
        <w:t>The Journal of Pain</w:t>
      </w:r>
      <w:r>
        <w:rPr>
          <w:rFonts w:ascii="Arial" w:cs="Arial" w:eastAsia="Arial" w:hAnsi="Arial"/>
          <w:sz w:val="15"/>
          <w:szCs w:val="15"/>
          <w:color w:val="auto"/>
        </w:rPr>
        <w:t xml:space="preserve"> (</w:t>
      </w:r>
      <w:r>
        <w:rPr>
          <w:rFonts w:ascii="Arial" w:cs="Arial" w:eastAsia="Arial" w:hAnsi="Arial"/>
          <w:sz w:val="15"/>
          <w:szCs w:val="15"/>
          <w:u w:val="single" w:color="auto"/>
          <w:color w:val="0000FF"/>
        </w:rPr>
        <w:t>http://dx.doi.org/10.1016/j.jpain.2017.03.014</w:t>
      </w:r>
      <w:r>
        <w:rPr>
          <w:rFonts w:ascii="Arial" w:cs="Arial" w:eastAsia="Arial" w:hAnsi="Arial"/>
          <w:sz w:val="15"/>
          <w:szCs w:val="15"/>
          <w:color w:val="auto"/>
        </w:rPr>
        <w:t>). In these studies, AV-101 was found to have robust anti-nociceptive effects, similar to gabapentin, but with a better side effect profile in several pre-clinical models of hyperalgesia and allodynia, with results suggesting AV-101's potential for treating multiple pain states. We believe the positive results published in these studies, taken together with successful AV-101 Phase 1a and 1b clinical safety studies and the epidemic abuse of prescription opioid pain medicines, support further investment in Phase 2 clinical studies to assess efficacy and safety of AV-101 as a new non-opioid treatment alternative for patients suffering from neuropathic pain. We are also excited about the opportunity to explore AV-101’s potential to reduce dyskinesia associated standard levodopa, or L-DOPA, therapy for Parkinson's disease, based on results from non-clinical studies. Without diverting our priority focus on MDD, we plan to expand our AV-101 Phase 2 clinical program during the next year to include these important CNS indications with significant unmet need.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Markets</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2017 culminated with the closing of an underwritten public offering that generated gross proceeds of $15 million. This financing enables us to commence and advance our Phase 2 study in 2018. I want to thank, again, our underwriters and our new and existing investors for supporting our 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725360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color w:val="auto"/>
        </w:rPr>
        <w:t>2018 J.P. Morgan Healthcare Conference and University of California, San Francisco Panel Discussion</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Earlier this month, our team kicked off 2018 by hosting numerous meetings with current investors, prospective institutional investors and potential strategic partners during the 36th Annual J.P. Morgan Healthcare Conference and 10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Annual Biotech Showcase in San Francisco. Additionally, I was honored to participate on a panel with distinguished scientists and clinicians focused on the neuroscience of depression and addiction during the Healthcare Innovation Forum held at the University of California, San Francisco (UCSF) Medical Center in San Francisco. Our in-depth panel discussions were not only encouraging and motivating, but also eye-opening regarding potential advances in neuropsychiatry on the horizon at UCSF.</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Reflecting on a productive week in San Francisco, it is apparent that a paradigm shift towards a new generation of faster-acting antidepressants, particularly those targeting NMDA and AMPA receptors, is emerging. The positive effects on depression and pain through the IV administration of ketamine is well documented, and significant investment has been made by big Pharma to explore its benefits. For example, Janssen Research &amp; Development, one of the Janssen Pharmaceutical Companies of Johnson &amp; Johnson, has made a significant investment in esketamine, an intranasally-administered NMDA receptor antagonist currently in Phase 3 development with a mechanism of action similar to ketamine treatment currently administered by injection. If approved by the FDA, esketamine would be one of the first new approaches to treat patients with MDD in the last 50 years. Similar to ketamine and esketamine, AV-101 targets the NMDA and AMPA receptors, however AV-101 is oral and it inhibits the NMDA receptor activity rather than blocking it, thereby producing ketamine-like antidepressant effects without safety concerns associated with ketamine.</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 am as eager and passionate as I have ever been to see what transpires from our AV-101 Phase 2 program, especially our impending Phase 2 adjunctive treatment study in MDD patients with an inadequate response to standard antidepressants. Throughout 2018, we will remain focused on our core mission - to develop new generation medicines for depression and other CNS disorders affecting millions of people worldwide who do not currently have adequate treatment alternatives. I maintain the highest confidence in our strategy and our teams, and I anticipate that 2018 will yield even more exciting achievements intended to deliver both life-changing benefits to CNS patients and extraordinary value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1170940" cy="487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0940" cy="48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Shawn Singh,</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72536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186690</wp:posOffset>
            </wp:positionV>
            <wp:extent cx="7313930" cy="576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5765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3930" cy="5765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2020-01-14T05:00:18Z</dcterms:created>
  <dcterms:modified xsi:type="dcterms:W3CDTF">2020-01-14T05:00:18Z</dcterms:modified>
</cp:coreProperties>
</file>