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February 26, 2019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949" w:right="239" w:bottom="1440" w:gutter="0" w:footer="0" w:header="0"/>
        </w:sectPr>
      </w:pPr>
    </w:p>
    <w:p>
      <w:pPr>
        <w:spacing w:after="0" w:line="20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001-37761</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3240"/>
          </w:cols>
          <w:pgMar w:left="240" w:top="949" w:right="2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420"/>
          </w:cols>
          <w:pgMar w:left="240" w:top="949" w:right="2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On February 26, 2019,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entered into an underwriting agreement (the “</w:t>
      </w:r>
      <w:r>
        <w:rPr>
          <w:rFonts w:ascii="Arial" w:cs="Arial" w:eastAsia="Arial" w:hAnsi="Arial"/>
          <w:sz w:val="16"/>
          <w:szCs w:val="16"/>
          <w:i w:val="1"/>
          <w:iCs w:val="1"/>
          <w:color w:val="auto"/>
        </w:rPr>
        <w:t>Underwriting Agreement</w:t>
      </w:r>
      <w:r>
        <w:rPr>
          <w:rFonts w:ascii="Arial" w:cs="Arial" w:eastAsia="Arial" w:hAnsi="Arial"/>
          <w:sz w:val="16"/>
          <w:szCs w:val="16"/>
          <w:color w:val="auto"/>
        </w:rPr>
        <w:t>”) with William Blair &amp; Company, L.L.C. (“</w:t>
      </w:r>
      <w:r>
        <w:rPr>
          <w:rFonts w:ascii="Arial" w:cs="Arial" w:eastAsia="Arial" w:hAnsi="Arial"/>
          <w:sz w:val="16"/>
          <w:szCs w:val="16"/>
          <w:i w:val="1"/>
          <w:iCs w:val="1"/>
          <w:color w:val="auto"/>
        </w:rPr>
        <w:t>Blair</w:t>
      </w:r>
      <w:r>
        <w:rPr>
          <w:rFonts w:ascii="Arial" w:cs="Arial" w:eastAsia="Arial" w:hAnsi="Arial"/>
          <w:sz w:val="16"/>
          <w:szCs w:val="16"/>
          <w:color w:val="auto"/>
        </w:rPr>
        <w:t>”), relating to an underwritten public offering (the “</w:t>
      </w:r>
      <w:r>
        <w:rPr>
          <w:rFonts w:ascii="Arial" w:cs="Arial" w:eastAsia="Arial" w:hAnsi="Arial"/>
          <w:sz w:val="16"/>
          <w:szCs w:val="16"/>
          <w:i w:val="1"/>
          <w:iCs w:val="1"/>
          <w:color w:val="auto"/>
        </w:rPr>
        <w:t>Public Offering</w:t>
      </w:r>
      <w:r>
        <w:rPr>
          <w:rFonts w:ascii="Arial" w:cs="Arial" w:eastAsia="Arial" w:hAnsi="Arial"/>
          <w:sz w:val="16"/>
          <w:szCs w:val="16"/>
          <w:color w:val="auto"/>
        </w:rPr>
        <w:t>”) of 10,000,000 shares of the Company’s common stock, par value $0.001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(the “</w:t>
      </w:r>
      <w:r>
        <w:rPr>
          <w:rFonts w:ascii="Arial" w:cs="Arial" w:eastAsia="Arial" w:hAnsi="Arial"/>
          <w:sz w:val="16"/>
          <w:szCs w:val="16"/>
          <w:i w:val="1"/>
          <w:iCs w:val="1"/>
          <w:color w:val="auto"/>
        </w:rPr>
        <w:t>Firm Shares</w:t>
      </w:r>
      <w:r>
        <w:rPr>
          <w:rFonts w:ascii="Arial" w:cs="Arial" w:eastAsia="Arial" w:hAnsi="Arial"/>
          <w:sz w:val="16"/>
          <w:szCs w:val="16"/>
          <w:color w:val="auto"/>
        </w:rPr>
        <w:t>”), at a public offering price of $1.00 per share. Under the terms of the Underwriting Agreement, the Company granted to Blair a 30-day over-allotment option (the “</w:t>
      </w:r>
      <w:r>
        <w:rPr>
          <w:rFonts w:ascii="Arial" w:cs="Arial" w:eastAsia="Arial" w:hAnsi="Arial"/>
          <w:sz w:val="16"/>
          <w:szCs w:val="16"/>
          <w:i w:val="1"/>
          <w:iCs w:val="1"/>
          <w:color w:val="auto"/>
        </w:rPr>
        <w:t>Over-Allotment Option</w:t>
      </w:r>
      <w:r>
        <w:rPr>
          <w:rFonts w:ascii="Arial" w:cs="Arial" w:eastAsia="Arial" w:hAnsi="Arial"/>
          <w:sz w:val="16"/>
          <w:szCs w:val="16"/>
          <w:color w:val="auto"/>
        </w:rPr>
        <w:t>”) to purchase up to an additional 1,500,000 shares of its Common Stock (the “</w:t>
      </w:r>
      <w:r>
        <w:rPr>
          <w:rFonts w:ascii="Arial" w:cs="Arial" w:eastAsia="Arial" w:hAnsi="Arial"/>
          <w:sz w:val="16"/>
          <w:szCs w:val="16"/>
          <w:i w:val="1"/>
          <w:iCs w:val="1"/>
          <w:color w:val="auto"/>
        </w:rPr>
        <w:t>Option Shares</w:t>
      </w:r>
      <w:r>
        <w:rPr>
          <w:rFonts w:ascii="Arial" w:cs="Arial" w:eastAsia="Arial" w:hAnsi="Arial"/>
          <w:sz w:val="16"/>
          <w:szCs w:val="16"/>
          <w:color w:val="auto"/>
        </w:rPr>
        <w:t>” and, together with the Firm Shares, the “</w:t>
      </w:r>
      <w:r>
        <w:rPr>
          <w:rFonts w:ascii="Arial" w:cs="Arial" w:eastAsia="Arial" w:hAnsi="Arial"/>
          <w:sz w:val="16"/>
          <w:szCs w:val="16"/>
          <w:i w:val="1"/>
          <w:iCs w:val="1"/>
          <w:color w:val="auto"/>
        </w:rPr>
        <w:t>Shares</w:t>
      </w:r>
      <w:r>
        <w:rPr>
          <w:rFonts w:ascii="Arial" w:cs="Arial" w:eastAsia="Arial" w:hAnsi="Arial"/>
          <w:sz w:val="16"/>
          <w:szCs w:val="16"/>
          <w:color w:val="auto"/>
        </w:rPr>
        <w:t>”).</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March 1, 2019, Blair exercised the Over-Allotment Option in full. As a result of the closing of the sale of the Firm Shares on February 28, 2019 and the anticipated closing of the Option Shares on March 5, 2019, the Company expects total gross proceeds from the Public Offering will be $11.5 million and total net proceeds of the Public Offering will be approximately $10.4 million, after deducting the underwriting discount and Public Offering expenses payable by the Company.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Following the issuance of the Shares to Blair, the Company expects to have a total of 42,620,465 shares of its Common Stock issued and outstanding.</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w:t>
      </w:r>
    </w:p>
    <w:p>
      <w:pPr>
        <w:spacing w:after="0" w:line="19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Firm Shares were, and the Option Shares are, being sold pursuant to a shelf registration statement filed with the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which became effective on July 27, 2017 (File No. 333-215671). A prospectus supplement relating to the Public Offering was filed with the SEC on February 27, 2019. The closing of the Public Offering with respect to the Firm Shares occurred on February 28, 2019, and the closing of the offering of Option Shares is expected to take place on or about March 5, 2019, subject to the satisfaction of customary closing conditions.</w:t>
      </w:r>
    </w:p>
    <w:p>
      <w:pPr>
        <w:spacing w:after="0" w:line="167"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6"/>
          <w:szCs w:val="16"/>
          <w:color w:val="auto"/>
        </w:rPr>
        <w:t>A copy of the Underwriting Agreement is attached hereto as Exhibit 1.1 and is incorporated herein by reference. The foregoing description of the material terms of the Underwriting Agreement does not purport to be complete and is qualified in its entirety by reference to such exhibit.</w:t>
      </w:r>
    </w:p>
    <w:p>
      <w:pPr>
        <w:spacing w:after="0" w:line="139"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A copy of the legal opinion and consent of Disclosure Law Group, a Professional Corporation, relating to the Shares sold in the Public Offering is attached hereto as Exhibit 5.1.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6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0"/>
                <w:szCs w:val="20"/>
                <w:color w:val="auto"/>
              </w:rPr>
            </w:pP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940" w:type="dxa"/>
            <w:vAlign w:val="bottom"/>
            <w:shd w:val="clear" w:color="auto" w:fill="CCEEFF"/>
          </w:tcPr>
          <w:p>
            <w:pPr>
              <w:spacing w:after="0"/>
              <w:rPr>
                <w:sz w:val="15"/>
                <w:szCs w:val="15"/>
                <w:color w:val="auto"/>
              </w:rPr>
            </w:pPr>
          </w:p>
        </w:tc>
        <w:tc>
          <w:tcPr>
            <w:tcW w:w="1016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w w:val="93"/>
              </w:rPr>
              <w:t>Underwriting Agreement, dated February 26, 2019, by and between VistaGen Therapeutics, Inc. and William Blair &amp; Company, L.L.C.</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940" w:type="dxa"/>
            <w:vAlign w:val="bottom"/>
          </w:tcPr>
          <w:p>
            <w:pPr>
              <w:spacing w:after="0"/>
              <w:rPr>
                <w:sz w:val="15"/>
                <w:szCs w:val="15"/>
                <w:color w:val="auto"/>
              </w:rPr>
            </w:pPr>
          </w:p>
        </w:tc>
        <w:tc>
          <w:tcPr>
            <w:tcW w:w="10160" w:type="dxa"/>
            <w:vAlign w:val="bottom"/>
            <w:gridSpan w:val="2"/>
          </w:tcPr>
          <w:p>
            <w:pPr>
              <w:ind w:left="240"/>
              <w:spacing w:after="0" w:line="176" w:lineRule="exact"/>
              <w:rPr>
                <w:sz w:val="20"/>
                <w:szCs w:val="20"/>
                <w:color w:val="auto"/>
              </w:rPr>
            </w:pPr>
            <w:r>
              <w:rPr>
                <w:rFonts w:ascii="Arial" w:cs="Arial" w:eastAsia="Arial" w:hAnsi="Arial"/>
                <w:sz w:val="18"/>
                <w:szCs w:val="18"/>
                <w:color w:val="auto"/>
              </w:rPr>
              <w:t>Opinion of Disclosure Law Group, a Professional Corporation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1</w:t>
              </w:r>
            </w:hyperlink>
          </w:p>
        </w:tc>
        <w:tc>
          <w:tcPr>
            <w:tcW w:w="9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shd w:val="clear" w:color="auto" w:fill="CCEEFF"/>
              </w:rPr>
              <w:t>Consent of Disclosure Law Group, a Professional Corporation (included in Exhibit 5.1)</w:t>
            </w:r>
          </w:p>
        </w:tc>
        <w:tc>
          <w:tcPr>
            <w:tcW w:w="0" w:type="dxa"/>
            <w:vAlign w:val="bottom"/>
          </w:tcPr>
          <w:p>
            <w:pPr>
              <w:spacing w:after="0"/>
              <w:rPr>
                <w:sz w:val="1"/>
                <w:szCs w:val="1"/>
                <w:color w:val="auto"/>
              </w:rPr>
            </w:pPr>
          </w:p>
        </w:tc>
      </w:tr>
      <w:tr>
        <w:trPr>
          <w:trHeight w:val="1304"/>
        </w:trPr>
        <w:tc>
          <w:tcPr>
            <w:tcW w:w="20" w:type="dxa"/>
            <w:vAlign w:val="bottom"/>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9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00" w:type="dxa"/>
            <w:vAlign w:val="bottom"/>
          </w:tcPr>
          <w:p>
            <w:pPr>
              <w:spacing w:after="0"/>
              <w:rPr>
                <w:sz w:val="19"/>
                <w:szCs w:val="19"/>
                <w:color w:val="auto"/>
              </w:rPr>
            </w:pPr>
          </w:p>
        </w:tc>
        <w:tc>
          <w:tcPr>
            <w:tcW w:w="7920" w:type="dxa"/>
            <w:vAlign w:val="bottom"/>
            <w:gridSpan w:val="3"/>
          </w:tcPr>
          <w:p>
            <w:pPr>
              <w:ind w:left="2000"/>
              <w:spacing w:after="0"/>
              <w:rPr>
                <w:sz w:val="20"/>
                <w:szCs w:val="20"/>
                <w:color w:val="auto"/>
              </w:rPr>
            </w:pPr>
            <w:r>
              <w:rPr>
                <w:rFonts w:ascii="Arial" w:cs="Arial" w:eastAsia="Arial" w:hAnsi="Arial"/>
                <w:sz w:val="18"/>
                <w:szCs w:val="18"/>
                <w:color w:val="auto"/>
              </w:rPr>
              <w:t>VistaGen Therapeutics, Inc.</w:t>
            </w:r>
          </w:p>
        </w:tc>
      </w:tr>
      <w:tr>
        <w:trPr>
          <w:trHeight w:val="394"/>
        </w:trPr>
        <w:tc>
          <w:tcPr>
            <w:tcW w:w="3500" w:type="dxa"/>
            <w:vAlign w:val="bottom"/>
          </w:tcPr>
          <w:p>
            <w:pPr>
              <w:ind w:left="60"/>
              <w:spacing w:after="0"/>
              <w:rPr>
                <w:sz w:val="20"/>
                <w:szCs w:val="20"/>
                <w:color w:val="auto"/>
              </w:rPr>
            </w:pPr>
            <w:r>
              <w:rPr>
                <w:rFonts w:ascii="Arial" w:cs="Arial" w:eastAsia="Arial" w:hAnsi="Arial"/>
                <w:sz w:val="18"/>
                <w:szCs w:val="18"/>
                <w:color w:val="auto"/>
              </w:rPr>
              <w:t>Date: March 4, 2019</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Shawn K. Singh</w:t>
            </w:r>
          </w:p>
        </w:tc>
        <w:tc>
          <w:tcPr>
            <w:tcW w:w="3460" w:type="dxa"/>
            <w:vAlign w:val="bottom"/>
          </w:tcPr>
          <w:p>
            <w:pPr>
              <w:spacing w:after="0"/>
              <w:rPr>
                <w:sz w:val="24"/>
                <w:szCs w:val="24"/>
                <w:color w:val="auto"/>
              </w:rPr>
            </w:pPr>
          </w:p>
        </w:tc>
      </w:tr>
      <w:tr>
        <w:trPr>
          <w:trHeight w:val="228"/>
        </w:trPr>
        <w:tc>
          <w:tcPr>
            <w:tcW w:w="35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Shawn K. Singh</w:t>
            </w:r>
          </w:p>
        </w:tc>
      </w:tr>
      <w:tr>
        <w:trPr>
          <w:trHeight w:val="222"/>
        </w:trPr>
        <w:tc>
          <w:tcPr>
            <w:tcW w:w="35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873"/>
        </w:trPr>
        <w:tc>
          <w:tcPr>
            <w:tcW w:w="35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57"/>
        </w:trPr>
        <w:tc>
          <w:tcPr>
            <w:tcW w:w="126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940" w:type="dxa"/>
            <w:vAlign w:val="bottom"/>
            <w:shd w:val="clear" w:color="auto" w:fill="CCEEFF"/>
          </w:tcPr>
          <w:p>
            <w:pPr>
              <w:spacing w:after="0"/>
              <w:rPr>
                <w:sz w:val="15"/>
                <w:szCs w:val="15"/>
                <w:color w:val="auto"/>
              </w:rPr>
            </w:pPr>
          </w:p>
        </w:tc>
        <w:tc>
          <w:tcPr>
            <w:tcW w:w="1016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w w:val="93"/>
              </w:rPr>
              <w:t>Underwriting Agreement, dated February 26, 2019, by and between VistaGen Therapeutics, Inc. and William Blair &amp; Company, L.L.C.</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940" w:type="dxa"/>
            <w:vAlign w:val="bottom"/>
          </w:tcPr>
          <w:p>
            <w:pPr>
              <w:spacing w:after="0"/>
              <w:rPr>
                <w:sz w:val="15"/>
                <w:szCs w:val="15"/>
                <w:color w:val="auto"/>
              </w:rPr>
            </w:pPr>
          </w:p>
        </w:tc>
        <w:tc>
          <w:tcPr>
            <w:tcW w:w="10160" w:type="dxa"/>
            <w:vAlign w:val="bottom"/>
            <w:gridSpan w:val="2"/>
          </w:tcPr>
          <w:p>
            <w:pPr>
              <w:ind w:left="240"/>
              <w:spacing w:after="0" w:line="176" w:lineRule="exact"/>
              <w:rPr>
                <w:sz w:val="20"/>
                <w:szCs w:val="20"/>
                <w:color w:val="auto"/>
              </w:rPr>
            </w:pPr>
            <w:r>
              <w:rPr>
                <w:rFonts w:ascii="Arial" w:cs="Arial" w:eastAsia="Arial" w:hAnsi="Arial"/>
                <w:sz w:val="18"/>
                <w:szCs w:val="18"/>
                <w:color w:val="auto"/>
              </w:rPr>
              <w:t>Opinion of Disclosure Law Group, a Professional Corporation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1</w:t>
              </w:r>
            </w:hyperlink>
          </w:p>
        </w:tc>
        <w:tc>
          <w:tcPr>
            <w:tcW w:w="9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shd w:val="clear" w:color="auto" w:fill="CCEEFF"/>
              </w:rPr>
              <w:t>Consent of Disclosure Law Group, a Professional Corporation (included in Exhibit 5.1)</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9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164" w:lineRule="exact"/>
        <w:rPr>
          <w:sz w:val="20"/>
          <w:szCs w:val="20"/>
          <w:color w:val="auto"/>
        </w:rPr>
      </w:pPr>
    </w:p>
    <w:p>
      <w:pPr>
        <w:ind w:left="10120"/>
        <w:spacing w:after="0"/>
        <w:rPr>
          <w:sz w:val="20"/>
          <w:szCs w:val="20"/>
          <w:color w:val="auto"/>
        </w:rPr>
      </w:pPr>
      <w:r>
        <w:rPr>
          <w:rFonts w:ascii="Arial" w:cs="Arial" w:eastAsia="Arial" w:hAnsi="Arial"/>
          <w:sz w:val="15"/>
          <w:szCs w:val="15"/>
          <w:color w:val="auto"/>
        </w:rPr>
        <w:t>February 26, 2019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representative of the several Underwriters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named in Schedule I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William Blair &amp;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 North Riverside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VistaGen Therapeutics, Inc., a Nevada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proposes, subject to the terms and conditions stated herein, to issue and sell to the Underwriters named in Schedule I hereto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for whom William Blair &amp; Company, L.L.C. is acting as representative (the “</w:t>
      </w:r>
      <w:r>
        <w:rPr>
          <w:rFonts w:ascii="Arial" w:cs="Arial" w:eastAsia="Arial" w:hAnsi="Arial"/>
          <w:sz w:val="16"/>
          <w:szCs w:val="16"/>
          <w:b w:val="1"/>
          <w:bCs w:val="1"/>
          <w:i w:val="1"/>
          <w:iCs w:val="1"/>
          <w:color w:val="auto"/>
        </w:rPr>
        <w:t>Representative</w:t>
      </w:r>
      <w:r>
        <w:rPr>
          <w:rFonts w:ascii="Arial" w:cs="Arial" w:eastAsia="Arial" w:hAnsi="Arial"/>
          <w:sz w:val="16"/>
          <w:szCs w:val="16"/>
          <w:color w:val="auto"/>
        </w:rPr>
        <w:t>” or “you”), an aggregate of 10,000,000 shares (the “</w:t>
      </w:r>
      <w:r>
        <w:rPr>
          <w:rFonts w:ascii="Arial" w:cs="Arial" w:eastAsia="Arial" w:hAnsi="Arial"/>
          <w:sz w:val="16"/>
          <w:szCs w:val="16"/>
          <w:b w:val="1"/>
          <w:bCs w:val="1"/>
          <w:i w:val="1"/>
          <w:iCs w:val="1"/>
          <w:color w:val="auto"/>
        </w:rPr>
        <w:t>Firm Securities</w:t>
      </w:r>
      <w:r>
        <w:rPr>
          <w:rFonts w:ascii="Arial" w:cs="Arial" w:eastAsia="Arial" w:hAnsi="Arial"/>
          <w:sz w:val="16"/>
          <w:szCs w:val="16"/>
          <w:color w:val="auto"/>
        </w:rPr>
        <w:t>”) and, at the election of the Underwriters, up to 1,500,000 additional shares (the “</w:t>
      </w:r>
      <w:r>
        <w:rPr>
          <w:rFonts w:ascii="Arial" w:cs="Arial" w:eastAsia="Arial" w:hAnsi="Arial"/>
          <w:sz w:val="16"/>
          <w:szCs w:val="16"/>
          <w:b w:val="1"/>
          <w:bCs w:val="1"/>
          <w:i w:val="1"/>
          <w:iCs w:val="1"/>
          <w:color w:val="auto"/>
        </w:rPr>
        <w:t>Optional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of common stock, par value $0.001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of the Company (the Firm Securities and the Optional Securities that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Underwriters elect to purchase pursuant to Section 2 hereof are herein collectively called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w:t>
      </w:r>
    </w:p>
    <w:p>
      <w:pPr>
        <w:spacing w:after="0" w:line="1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 understands that the Underwriters propose to make a public offering of their respective portions of the Securities as soon as you deem advisable.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The Company represents and warrants to, and agrees with, each of the Underwriters that:</w:t>
      </w:r>
    </w:p>
    <w:p>
      <w:pPr>
        <w:spacing w:after="0" w:line="158" w:lineRule="exact"/>
        <w:rPr>
          <w:sz w:val="20"/>
          <w:szCs w:val="20"/>
          <w:color w:val="auto"/>
        </w:rPr>
      </w:pPr>
    </w:p>
    <w:p>
      <w:pPr>
        <w:jc w:val="both"/>
        <w:ind w:firstLine="656"/>
        <w:spacing w:after="0" w:line="303" w:lineRule="auto"/>
        <w:tabs>
          <w:tab w:leader="none" w:pos="887" w:val="left"/>
        </w:tabs>
        <w:numPr>
          <w:ilvl w:val="0"/>
          <w:numId w:val="2"/>
        </w:numPr>
        <w:rPr>
          <w:rFonts w:ascii="Arial" w:cs="Arial" w:eastAsia="Arial" w:hAnsi="Arial"/>
          <w:sz w:val="15"/>
          <w:szCs w:val="15"/>
          <w:color w:val="auto"/>
        </w:rPr>
      </w:pPr>
      <w:r>
        <w:rPr>
          <w:rFonts w:ascii="Arial" w:cs="Arial" w:eastAsia="Arial" w:hAnsi="Arial"/>
          <w:sz w:val="15"/>
          <w:szCs w:val="15"/>
          <w:color w:val="auto"/>
        </w:rPr>
        <w:t>A registration statement on Form S-3 (File No. 333-215671) (the “</w:t>
      </w:r>
      <w:r>
        <w:rPr>
          <w:rFonts w:ascii="Arial" w:cs="Arial" w:eastAsia="Arial" w:hAnsi="Arial"/>
          <w:sz w:val="15"/>
          <w:szCs w:val="15"/>
          <w:b w:val="1"/>
          <w:bCs w:val="1"/>
          <w:i w:val="1"/>
          <w:iCs w:val="1"/>
          <w:color w:val="auto"/>
        </w:rPr>
        <w:t>Initial Registration Statement</w:t>
      </w:r>
      <w:r>
        <w:rPr>
          <w:rFonts w:ascii="Arial" w:cs="Arial" w:eastAsia="Arial" w:hAnsi="Arial"/>
          <w:sz w:val="15"/>
          <w:szCs w:val="15"/>
          <w:color w:val="auto"/>
        </w:rPr>
        <w:t>”) in respect of the Securities has been filed with the Securities and Exchange Commission (the “</w:t>
      </w:r>
      <w:r>
        <w:rPr>
          <w:rFonts w:ascii="Arial" w:cs="Arial" w:eastAsia="Arial" w:hAnsi="Arial"/>
          <w:sz w:val="15"/>
          <w:szCs w:val="15"/>
          <w:b w:val="1"/>
          <w:bCs w:val="1"/>
          <w:i w:val="1"/>
          <w:iCs w:val="1"/>
          <w:color w:val="auto"/>
        </w:rPr>
        <w:t>Commission</w:t>
      </w:r>
      <w:r>
        <w:rPr>
          <w:rFonts w:ascii="Arial" w:cs="Arial" w:eastAsia="Arial" w:hAnsi="Arial"/>
          <w:sz w:val="15"/>
          <w:szCs w:val="15"/>
          <w:color w:val="auto"/>
        </w:rPr>
        <w:t>”); the Initial Registration Statement and any post-effective amendment thereto, each in the form heretofore delivered to you and, excluding exhibits to the Initial Registration Statement, but including all documents incorporated by reference in the prospectus included therein, have been declared effective by the Commission in such form; other than a registration statement, if any, increasing the size of the offering (a “</w:t>
      </w:r>
      <w:r>
        <w:rPr>
          <w:rFonts w:ascii="Arial" w:cs="Arial" w:eastAsia="Arial" w:hAnsi="Arial"/>
          <w:sz w:val="15"/>
          <w:szCs w:val="15"/>
          <w:b w:val="1"/>
          <w:bCs w:val="1"/>
          <w:i w:val="1"/>
          <w:iCs w:val="1"/>
          <w:color w:val="auto"/>
        </w:rPr>
        <w:t>Rule 462(b) Registration Statement</w:t>
      </w:r>
      <w:r>
        <w:rPr>
          <w:rFonts w:ascii="Arial" w:cs="Arial" w:eastAsia="Arial" w:hAnsi="Arial"/>
          <w:sz w:val="15"/>
          <w:szCs w:val="15"/>
          <w:color w:val="auto"/>
        </w:rPr>
        <w:t>”), filed pursuant to Rule 462(b) under the Securities Act of 1933, as amended (the “</w:t>
      </w:r>
      <w:r>
        <w:rPr>
          <w:rFonts w:ascii="Arial" w:cs="Arial" w:eastAsia="Arial" w:hAnsi="Arial"/>
          <w:sz w:val="15"/>
          <w:szCs w:val="15"/>
          <w:b w:val="1"/>
          <w:bCs w:val="1"/>
          <w:i w:val="1"/>
          <w:iCs w:val="1"/>
          <w:color w:val="auto"/>
        </w:rPr>
        <w:t>Act</w:t>
      </w:r>
      <w:r>
        <w:rPr>
          <w:rFonts w:ascii="Arial" w:cs="Arial" w:eastAsia="Arial" w:hAnsi="Arial"/>
          <w:sz w:val="15"/>
          <w:szCs w:val="15"/>
          <w:color w:val="auto"/>
        </w:rPr>
        <w:t>”), which became effective upon filing, no other document with respect to the Initial Registration Statement or document incorporated by reference therein has heretofore been filed, or transmitted for filing, with the Commission and no stop order suspending the effectiveness of the Initial Registration Statement, any post-effective amendment thereto or the Rule 462(b) Registration Statement, if any, has been issued and no proceeding for that purpose has been initiated or, to the Company’s knowledge, threatened by the Commission (the base prospectus filed as part of the Initial Registration Statement, in the form in which it has most recently been filed with the Commission on or prior to the date of this Agreement relating to the Securities, is hereinafter called the “</w:t>
      </w:r>
      <w:r>
        <w:rPr>
          <w:rFonts w:ascii="Arial" w:cs="Arial" w:eastAsia="Arial" w:hAnsi="Arial"/>
          <w:sz w:val="15"/>
          <w:szCs w:val="15"/>
          <w:b w:val="1"/>
          <w:bCs w:val="1"/>
          <w:i w:val="1"/>
          <w:iCs w:val="1"/>
          <w:color w:val="auto"/>
        </w:rPr>
        <w:t>Basic Prospectus</w:t>
      </w:r>
      <w:r>
        <w:rPr>
          <w:rFonts w:ascii="Arial" w:cs="Arial" w:eastAsia="Arial" w:hAnsi="Arial"/>
          <w:sz w:val="15"/>
          <w:szCs w:val="15"/>
          <w:color w:val="auto"/>
        </w:rPr>
        <w:t>”; any preliminary prospectus (including any preliminary prospectus supplement) relating to the Securities filed with the Commission pursuant to Rule 424(b) under the Act is hereinafter called a “</w:t>
      </w:r>
      <w:r>
        <w:rPr>
          <w:rFonts w:ascii="Arial" w:cs="Arial" w:eastAsia="Arial" w:hAnsi="Arial"/>
          <w:sz w:val="15"/>
          <w:szCs w:val="15"/>
          <w:b w:val="1"/>
          <w:bCs w:val="1"/>
          <w:i w:val="1"/>
          <w:iCs w:val="1"/>
          <w:color w:val="auto"/>
        </w:rPr>
        <w:t>Preliminary Prospectus</w:t>
      </w:r>
      <w:r>
        <w:rPr>
          <w:rFonts w:ascii="Arial" w:cs="Arial" w:eastAsia="Arial" w:hAnsi="Arial"/>
          <w:sz w:val="15"/>
          <w:szCs w:val="15"/>
          <w:color w:val="auto"/>
        </w:rPr>
        <w:t>”; the various parts of the Initial Registration Statement and the Rule 462(b) Registration Statement, if any, including all exhibits thereto and including any prospectus supplement relating to the Securities that is filed with the Commission and deemed by virtue of Rule 430B under the Act to be part of the Initial Registration Statement, each as amended at the time such part of the Initial Registration Statement became effective or such part of the Rule 462(b) Registration Statement, if any, became or hereafter becomes effective, are hereinafter collectively called the “</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the Basic Prospectus, as amended and supplemented immediately prior to the Applicable Time (as defined in Section 1(c) hereof), is hereinafter called the “</w:t>
      </w:r>
      <w:r>
        <w:rPr>
          <w:rFonts w:ascii="Arial" w:cs="Arial" w:eastAsia="Arial" w:hAnsi="Arial"/>
          <w:sz w:val="15"/>
          <w:szCs w:val="15"/>
          <w:b w:val="1"/>
          <w:bCs w:val="1"/>
          <w:i w:val="1"/>
          <w:iCs w:val="1"/>
          <w:color w:val="auto"/>
        </w:rPr>
        <w:t>Pricing Prospectus</w:t>
      </w:r>
      <w:r>
        <w:rPr>
          <w:rFonts w:ascii="Arial" w:cs="Arial" w:eastAsia="Arial" w:hAnsi="Arial"/>
          <w:sz w:val="15"/>
          <w:szCs w:val="15"/>
          <w:color w:val="auto"/>
        </w:rPr>
        <w:t>”; the form of the final prospectus relating to the Securities filed with the Commission pursuant to Rule 424(b) under the Act, is hereinafter called the “</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any reference herein to the Basic Prospectus, the Pricing Prospectus, any Preliminary Prospectus or the Prospectus shall be deemed to refer to and include the documents incorporated by reference therein pursuant to Item 12 of Form S-3 under the Act,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Securities filed with the Commission pursuant to Rule 424(b) under the Act and any documents filed under the Securities Exchange Act of 1934, as amended (the “</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and incorporated therein, in each case after the date of the Basic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and any “issuer free writing prospectus” as defined in Rule 433 under the Act relating to the Securities is hereinafter called an “</w:t>
      </w:r>
      <w:r>
        <w:rPr>
          <w:rFonts w:ascii="Arial" w:cs="Arial" w:eastAsia="Arial" w:hAnsi="Arial"/>
          <w:sz w:val="15"/>
          <w:szCs w:val="15"/>
          <w:b w:val="1"/>
          <w:bCs w:val="1"/>
          <w:i w:val="1"/>
          <w:iCs w:val="1"/>
          <w:color w:val="auto"/>
        </w:rPr>
        <w:t>Issuer Free Writing Prospectus</w:t>
      </w:r>
      <w:r>
        <w:rPr>
          <w:rFonts w:ascii="Arial" w:cs="Arial" w:eastAsia="Arial" w:hAnsi="Arial"/>
          <w:sz w:val="15"/>
          <w:szCs w:val="15"/>
          <w:color w:val="auto"/>
        </w:rPr>
        <w:t>”; and any Issuer Free Writing Prospectus that is intended for general distribution to prospective investors, as evidenced by its being so specified on Schedule II(a) hereto, is hereinafter called a “</w:t>
      </w:r>
      <w:r>
        <w:rPr>
          <w:rFonts w:ascii="Arial" w:cs="Arial" w:eastAsia="Arial" w:hAnsi="Arial"/>
          <w:sz w:val="15"/>
          <w:szCs w:val="15"/>
          <w:b w:val="1"/>
          <w:bCs w:val="1"/>
          <w:i w:val="1"/>
          <w:iCs w:val="1"/>
          <w:color w:val="auto"/>
        </w:rPr>
        <w:t>General Use Issuer Free Writing Prospectus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jc w:val="both"/>
        <w:ind w:firstLine="656"/>
        <w:spacing w:after="0" w:line="290"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 order preventing or suspending the use of any Preliminary Prospectus or any Issuer Free Writing Prospectus has been issued by the Commission, and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information furnished in writing to the Company by an Underwriter through the Representative expressly for use therein, it being understood and agreed that the only such information provided by any Underwriter through the Representative is that identified as such in Section 9(b);</w:t>
      </w:r>
    </w:p>
    <w:p>
      <w:pPr>
        <w:spacing w:after="0" w:line="104" w:lineRule="exact"/>
        <w:rPr>
          <w:rFonts w:ascii="Arial" w:cs="Arial" w:eastAsia="Arial" w:hAnsi="Arial"/>
          <w:sz w:val="16"/>
          <w:szCs w:val="16"/>
          <w:color w:val="auto"/>
        </w:rPr>
      </w:pPr>
    </w:p>
    <w:p>
      <w:pPr>
        <w:jc w:val="both"/>
        <w:ind w:firstLine="656"/>
        <w:spacing w:after="0" w:line="286" w:lineRule="auto"/>
        <w:tabs>
          <w:tab w:leader="none" w:pos="887"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the purposes of this Agreement, the “</w:t>
      </w:r>
      <w:r>
        <w:rPr>
          <w:rFonts w:ascii="Arial" w:cs="Arial" w:eastAsia="Arial" w:hAnsi="Arial"/>
          <w:sz w:val="16"/>
          <w:szCs w:val="16"/>
          <w:b w:val="1"/>
          <w:bCs w:val="1"/>
          <w:i w:val="1"/>
          <w:iCs w:val="1"/>
          <w:color w:val="auto"/>
        </w:rPr>
        <w:t>Applicable Time</w:t>
      </w:r>
      <w:r>
        <w:rPr>
          <w:rFonts w:ascii="Arial" w:cs="Arial" w:eastAsia="Arial" w:hAnsi="Arial"/>
          <w:sz w:val="16"/>
          <w:szCs w:val="16"/>
          <w:color w:val="auto"/>
        </w:rPr>
        <w:t>” is 8:15 a.m. (New York City time) on the date of this Agreement. The Pricing Prospectus, as supplemented by the information listed in Schedule II(c) hereto and each General Use Issuer Free Writing Prospectus, taken together (collectively, the “</w:t>
      </w:r>
      <w:r>
        <w:rPr>
          <w:rFonts w:ascii="Arial" w:cs="Arial" w:eastAsia="Arial" w:hAnsi="Arial"/>
          <w:sz w:val="16"/>
          <w:szCs w:val="16"/>
          <w:b w:val="1"/>
          <w:bCs w:val="1"/>
          <w:i w:val="1"/>
          <w:iCs w:val="1"/>
          <w:color w:val="auto"/>
        </w:rPr>
        <w:t>Pricing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Disclosure Package</w:t>
      </w:r>
      <w:r>
        <w:rPr>
          <w:rFonts w:ascii="Arial" w:cs="Arial" w:eastAsia="Arial" w:hAnsi="Arial"/>
          <w:sz w:val="16"/>
          <w:szCs w:val="16"/>
          <w:color w:val="auto"/>
        </w:rPr>
        <w:t>”), including any prospectus wrapper attached thereto, as of the Applicable Time, did not include any untrue statement of a material fact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omit to state any material fact necessary in order to make the statements therein, in light of the circumstances under which they were made, not misleading; and each Issuer Free Writing Prospectus does not conflict with the information contained in the Registration Statement, the Pricing Disclosure Package or the Prospectus and each such Issuer Free Writing Prospectus, as supplemented by and taken together with the Pricing Disclosure Package as of the Applicable Time, did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an Issuer Free Writing Prospectus in reliance upon and in conformity with information furnished in writing to the Company by an Underwriter through the Representative expressly for use therein, it being understood and agreed that the only such information provided by any Underwriter through the Representative is that identified as such in Section 9(b);</w:t>
      </w:r>
    </w:p>
    <w:p>
      <w:pPr>
        <w:spacing w:after="0" w:line="113" w:lineRule="exact"/>
        <w:rPr>
          <w:rFonts w:ascii="Arial" w:cs="Arial" w:eastAsia="Arial" w:hAnsi="Arial"/>
          <w:sz w:val="16"/>
          <w:szCs w:val="16"/>
          <w:color w:val="auto"/>
        </w:rPr>
      </w:pPr>
    </w:p>
    <w:p>
      <w:pPr>
        <w:jc w:val="both"/>
        <w:ind w:firstLine="656"/>
        <w:spacing w:after="0" w:line="286" w:lineRule="auto"/>
        <w:tabs>
          <w:tab w:leader="none" w:pos="90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documents incorporated by reference in the Pricing Disclosure Package and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through the Representative expressly for use therein, it being understood and agreed that the only such information provided by any Underwriter through the Representative is that identified as such in Section 9(b); and no such documents were filed with the Commission since the Commission’s close of business on the business day immediately prior to the date of this Agreement and prior to the execution of this Agreement, except as set forth on Schedule II(b) hereto;</w:t>
      </w:r>
    </w:p>
    <w:p>
      <w:pPr>
        <w:spacing w:after="0" w:line="110" w:lineRule="exact"/>
        <w:rPr>
          <w:rFonts w:ascii="Arial" w:cs="Arial" w:eastAsia="Arial" w:hAnsi="Arial"/>
          <w:sz w:val="16"/>
          <w:szCs w:val="16"/>
          <w:color w:val="auto"/>
        </w:rPr>
      </w:pPr>
    </w:p>
    <w:p>
      <w:pPr>
        <w:jc w:val="both"/>
        <w:ind w:firstLine="656"/>
        <w:spacing w:after="0" w:line="290" w:lineRule="auto"/>
        <w:tabs>
          <w:tab w:leader="none" w:pos="92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and as of the applicable filing date as to 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through the Representative expressly for use therein, it being understood and agreed that the only such information provided by any Underwriter through the Representative is that identified as such in Section 9(b);</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6" w:name="page7"/>
    <w:bookmarkEnd w:id="6"/>
    <w:p>
      <w:pPr>
        <w:jc w:val="both"/>
        <w:ind w:firstLine="656"/>
        <w:spacing w:after="0" w:line="287" w:lineRule="auto"/>
        <w:tabs>
          <w:tab w:leader="none" w:pos="86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financial statements of the Company (including all notes and schedules thereto) included in the Registration Statement and the Pricing Disclosure Package present fairly the financial position of the Company and its consolidated subsidiaries at the dates indicated, and the balance sheet, statement of operations, stockholders’ equity and cash flows of the Company and its consolidated subsidiaries for the periods specified and such financial statements and related schedules and notes thereto, have been prepared in conformity with generally accepted accounting principles, consistently applied throughout the periods involved. The summary and selected financial data included in the Pricing Disclosure Package present fairly the information shown therein at the respective dates and for the respective periods specified and have been presented on a basis consistent with the consolidated financial statements set forth in the Pricing Disclosure Package and other financial information. No other financial statements or supporting schedules are required to be included in the Registration Statement or the Pricing Disclosure Package. The other financial and related statistical information included in the Registration Statement and the Pricing Disclosure Package presents fairly in all material respects the information included therein and has been prepared on a basis consistent with that of the financial statements that are included in the Pricing Disclosure Package and the books and records of the respective entities presented therein.</w:t>
      </w:r>
    </w:p>
    <w:p>
      <w:pPr>
        <w:spacing w:after="0" w:line="109" w:lineRule="exact"/>
        <w:rPr>
          <w:rFonts w:ascii="Arial" w:cs="Arial" w:eastAsia="Arial" w:hAnsi="Arial"/>
          <w:sz w:val="16"/>
          <w:szCs w:val="16"/>
          <w:color w:val="auto"/>
        </w:rPr>
      </w:pPr>
    </w:p>
    <w:p>
      <w:pPr>
        <w:ind w:firstLine="656"/>
        <w:spacing w:after="0" w:line="268" w:lineRule="auto"/>
        <w:tabs>
          <w:tab w:leader="none" w:pos="91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statistical and market-related data included in the Registration Statement, the Preliminary Prospectus and the Pricing Disclosure Package, are based on or derived from sources that the Company believes to be reliable and accurate;</w:t>
      </w:r>
    </w:p>
    <w:p>
      <w:pPr>
        <w:spacing w:after="0" w:line="118" w:lineRule="exact"/>
        <w:rPr>
          <w:rFonts w:ascii="Arial" w:cs="Arial" w:eastAsia="Arial" w:hAnsi="Arial"/>
          <w:sz w:val="18"/>
          <w:szCs w:val="18"/>
          <w:color w:val="auto"/>
        </w:rPr>
      </w:pPr>
    </w:p>
    <w:p>
      <w:pPr>
        <w:jc w:val="both"/>
        <w:ind w:firstLine="656"/>
        <w:spacing w:after="0" w:line="291" w:lineRule="auto"/>
        <w:tabs>
          <w:tab w:leader="none" w:pos="906" w:val="left"/>
        </w:tabs>
        <w:numPr>
          <w:ilvl w:val="0"/>
          <w:numId w:val="4"/>
        </w:numPr>
        <w:rPr>
          <w:rFonts w:ascii="Arial" w:cs="Arial" w:eastAsia="Arial" w:hAnsi="Arial"/>
          <w:sz w:val="16"/>
          <w:szCs w:val="16"/>
          <w:color w:val="auto"/>
        </w:rPr>
      </w:pPr>
      <w:r>
        <w:rPr>
          <w:rFonts w:ascii="Arial" w:cs="Arial" w:eastAsia="Arial" w:hAnsi="Arial"/>
          <w:sz w:val="16"/>
          <w:szCs w:val="16"/>
          <w:color w:val="auto"/>
        </w:rPr>
        <w:t>Except as (i) described in the Registration Statement, the Preliminary Prospectus and the Pricing Disclosure Package or (ii) would not, singly or in the aggregate, reasonably be expected to have a Material Adverse Effect (as hereinafter defined), (A) the Company and each of its subsidiaries have filed all United States federal, state, local and foreign income tax returns required by law to be filed through the date hereof and all taxes shown by such returns or otherwise assessed, which are due and payable, have been paid; and (B) there is no deficiency that has been, or could reasonably be expected to be, asserted against the Company or any of its subsidiaries or any of their respective properties or assets other than tax deficiencies that the Company or any of its subsidiaries are contesting in good faith and as to which adequate reserves have been established in accordance with GAAP;</w:t>
      </w:r>
    </w:p>
    <w:p>
      <w:pPr>
        <w:spacing w:after="0" w:line="106" w:lineRule="exact"/>
        <w:rPr>
          <w:rFonts w:ascii="Arial" w:cs="Arial" w:eastAsia="Arial" w:hAnsi="Arial"/>
          <w:sz w:val="16"/>
          <w:szCs w:val="16"/>
          <w:color w:val="auto"/>
        </w:rPr>
      </w:pPr>
    </w:p>
    <w:p>
      <w:pPr>
        <w:jc w:val="both"/>
        <w:ind w:firstLine="656"/>
        <w:spacing w:after="0" w:line="288" w:lineRule="auto"/>
        <w:tabs>
          <w:tab w:leader="none" w:pos="873" w:val="left"/>
        </w:tabs>
        <w:numPr>
          <w:ilvl w:val="0"/>
          <w:numId w:val="4"/>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sustained since the date of the latest audited financial statements included or incorporated by reference in the Pricing Disclosure Package any material loss or interference with its business, direct or contingent, including from fire, explosion, flood or other calamity, whether or not covered by insurance, or from any labor dispute or court or governmental action, order or decree, otherwise than as set forth or contemplated in the Pricing Disclosure Package; and, since the respective dates as of which information is given in the Registration Statement and the Pricing Disclosure Package, there has not been (i) any change in the capital stock or long-term debt of the Company or any of its subsidiaries, taken as a whole (other than changes pursuant to agreements or employee benefit plans or in connection with the exercise of options or warrants, in each case as described or referred to in the Pricing Disclosure Package) or (ii) or any material adverse change, or any development involving a prospective material adverse change, in or affecting the properties, business, management, prospects, operations, earnings, assets, liabilities or condition (financial or otherwise) of the Company and its subsidiaries, taken as a whole (a “</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w:t>
      </w:r>
    </w:p>
    <w:p>
      <w:pPr>
        <w:spacing w:after="0" w:line="106" w:lineRule="exact"/>
        <w:rPr>
          <w:rFonts w:ascii="Arial" w:cs="Arial" w:eastAsia="Arial" w:hAnsi="Arial"/>
          <w:sz w:val="16"/>
          <w:szCs w:val="16"/>
          <w:color w:val="auto"/>
        </w:rPr>
      </w:pPr>
    </w:p>
    <w:p>
      <w:pPr>
        <w:jc w:val="both"/>
        <w:ind w:firstLine="656"/>
        <w:spacing w:after="0" w:line="254" w:lineRule="auto"/>
        <w:tabs>
          <w:tab w:leader="none" w:pos="8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and its subsidiaries have good and marketable title to all real property owned by them and have good title to all other property owned by them, in each case free and clear of all liens, encumbrances and defects except such as are described in the Pricing Disclosure Package or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7" w:name="page8"/>
    <w:bookmarkEnd w:id="7"/>
    <w:p>
      <w:pPr>
        <w:jc w:val="both"/>
        <w:ind w:firstLine="656"/>
        <w:spacing w:after="0" w:line="289" w:lineRule="auto"/>
        <w:tabs>
          <w:tab w:leader="none" w:pos="897"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Except as disclosed in the Registration Statement, the Pricing Disclosure Package and the Prospectus, neither the Company nor any of its subsidiaries is in violation of any statute, any rule, regulation, decision or order of any Governmental Authority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6"/>
          <w:szCs w:val="16"/>
          <w:b w:val="1"/>
          <w:bCs w:val="1"/>
          <w:i w:val="1"/>
          <w:iCs w:val="1"/>
          <w:color w:val="auto"/>
        </w:rPr>
        <w:t>“Environmental Laws”</w:t>
      </w:r>
      <w:r>
        <w:rPr>
          <w:rFonts w:ascii="Arial" w:cs="Arial" w:eastAsia="Arial" w:hAnsi="Arial"/>
          <w:sz w:val="16"/>
          <w:szCs w:val="16"/>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might lead to such a claim. Neither the Company nor any of its subsidiaries anticipates incurring any material capital expenditures relating to compliance with Environmental Laws;</w:t>
      </w:r>
    </w:p>
    <w:p>
      <w:pPr>
        <w:spacing w:after="0" w:line="104" w:lineRule="exact"/>
        <w:rPr>
          <w:rFonts w:ascii="Arial" w:cs="Arial" w:eastAsia="Arial" w:hAnsi="Arial"/>
          <w:sz w:val="16"/>
          <w:szCs w:val="16"/>
          <w:color w:val="auto"/>
        </w:rPr>
      </w:pPr>
    </w:p>
    <w:p>
      <w:pPr>
        <w:jc w:val="both"/>
        <w:ind w:firstLine="656"/>
        <w:spacing w:after="0" w:line="287" w:lineRule="auto"/>
        <w:tabs>
          <w:tab w:leader="none" w:pos="87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(i) has been duly incorporated and is validly existing as a corporation in good standing under the laws of the State of Nevada, with corporate power and corporate authority to own its properties and conduct its business as described in the Pricing Disclosure Package and (ii) has been duly qualified as a foreign corporation for the transaction of business and is in good standing under the laws of each other jurisdiction in which it owns or leases properties or conducts any business so as to require such qualification, except in the case of clause (ii), where the failure to be so qualified or in good standing would not have a Material Adverse Effect; and each subsidiary of the Company (x) has been duly incorporated or formed, as the case may be, and is validly existing as a corporation or limited liability company, as applicable, in good standing under the laws of its jurisdiction of incorporation or formation, with the company power and authority to own its properties and conduct its business as described in the Pricing Disclosure Package and (y) has been duly qualified as a foreign corporation or limited liability company for the transaction of business and is in good standing under the laws of each other jurisdiction in which it owns or leases properties or conducts any business so as to require such qualification, except in the case of clause (y), where the failure to be so qualified or in good standing would not have a Material Adverse Effect;</w:t>
      </w:r>
    </w:p>
    <w:p>
      <w:pPr>
        <w:spacing w:after="0" w:line="109" w:lineRule="exact"/>
        <w:rPr>
          <w:rFonts w:ascii="Arial" w:cs="Arial" w:eastAsia="Arial" w:hAnsi="Arial"/>
          <w:sz w:val="16"/>
          <w:szCs w:val="16"/>
          <w:color w:val="auto"/>
        </w:rPr>
      </w:pPr>
    </w:p>
    <w:p>
      <w:pPr>
        <w:ind w:left="960" w:hanging="30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57" w:lineRule="exact"/>
        <w:rPr>
          <w:rFonts w:ascii="Arial" w:cs="Arial" w:eastAsia="Arial" w:hAnsi="Arial"/>
          <w:sz w:val="18"/>
          <w:szCs w:val="18"/>
          <w:color w:val="auto"/>
        </w:rPr>
      </w:pPr>
    </w:p>
    <w:p>
      <w:pPr>
        <w:jc w:val="both"/>
        <w:ind w:firstLine="656"/>
        <w:spacing w:after="0" w:line="286" w:lineRule="auto"/>
        <w:tabs>
          <w:tab w:leader="none" w:pos="902"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has an authorized capitalization as set forth in the Pricing Disclosure Package under the caption “Capitalization” and all of the issued shares of capital stock of the Company have been duly authorized and validly issued and are fully paid and non-assessable and conform to the description of the Common Stock contained in the Pricing Disclosure Package and the Prospectus and all of the issued shares of capital stock of each subsidiary of the Company have been duly authorized and validly issued, are fully paid and non-assessable and are owned directly or indirectly by the Company, free and clear of all liens, encumbrances, equities or claims and there are no options, warrants or other rights to acquire shares of capital stock of any subsidiary of the Company; with respect to equity-based awards (the “</w:t>
      </w:r>
      <w:r>
        <w:rPr>
          <w:rFonts w:ascii="Arial" w:cs="Arial" w:eastAsia="Arial" w:hAnsi="Arial"/>
          <w:sz w:val="16"/>
          <w:szCs w:val="16"/>
          <w:b w:val="1"/>
          <w:bCs w:val="1"/>
          <w:i w:val="1"/>
          <w:iCs w:val="1"/>
          <w:color w:val="auto"/>
        </w:rPr>
        <w:t>Awards</w:t>
      </w:r>
      <w:r>
        <w:rPr>
          <w:rFonts w:ascii="Arial" w:cs="Arial" w:eastAsia="Arial" w:hAnsi="Arial"/>
          <w:sz w:val="16"/>
          <w:szCs w:val="16"/>
          <w:color w:val="auto"/>
        </w:rPr>
        <w:t>”) granted pursuant to the equity-based compensation plans of the Company (the “</w:t>
      </w:r>
      <w:r>
        <w:rPr>
          <w:rFonts w:ascii="Arial" w:cs="Arial" w:eastAsia="Arial" w:hAnsi="Arial"/>
          <w:sz w:val="16"/>
          <w:szCs w:val="16"/>
          <w:b w:val="1"/>
          <w:bCs w:val="1"/>
          <w:i w:val="1"/>
          <w:iCs w:val="1"/>
          <w:color w:val="auto"/>
        </w:rPr>
        <w:t>Company Stock Plans</w:t>
      </w:r>
      <w:r>
        <w:rPr>
          <w:rFonts w:ascii="Arial" w:cs="Arial" w:eastAsia="Arial" w:hAnsi="Arial"/>
          <w:sz w:val="16"/>
          <w:szCs w:val="16"/>
          <w:color w:val="auto"/>
        </w:rPr>
        <w:t>”), (i) each Award intended to qualify as an “incentive stock option” under Section 422 of the Internal Revenue Code so qualifies, (ii) each grant of an Award was duly authorized no later than the date on which the grant of such Award was by its terms to be effective (the “</w:t>
      </w:r>
      <w:r>
        <w:rPr>
          <w:rFonts w:ascii="Arial" w:cs="Arial" w:eastAsia="Arial" w:hAnsi="Arial"/>
          <w:sz w:val="16"/>
          <w:szCs w:val="16"/>
          <w:b w:val="1"/>
          <w:bCs w:val="1"/>
          <w:i w:val="1"/>
          <w:iCs w:val="1"/>
          <w:color w:val="auto"/>
        </w:rPr>
        <w:t>Grant Date</w:t>
      </w:r>
      <w:r>
        <w:rPr>
          <w:rFonts w:ascii="Arial" w:cs="Arial" w:eastAsia="Arial" w:hAnsi="Arial"/>
          <w:sz w:val="16"/>
          <w:szCs w:val="16"/>
          <w:color w:val="auto"/>
        </w:rPr>
        <w:t>”)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(iv) the per share exercise price of each Award was equal to the fair market value of a share of Common Stock, as determined in good faith by the Board of Directors on the effective Grant Date and (v) each such grant was properly accounted for in accordance with U.S. GAAP;</w:t>
      </w:r>
    </w:p>
    <w:p>
      <w:pPr>
        <w:spacing w:after="0" w:line="107" w:lineRule="exact"/>
        <w:rPr>
          <w:rFonts w:ascii="Arial" w:cs="Arial" w:eastAsia="Arial" w:hAnsi="Arial"/>
          <w:sz w:val="16"/>
          <w:szCs w:val="16"/>
          <w:color w:val="auto"/>
        </w:rPr>
      </w:pPr>
    </w:p>
    <w:p>
      <w:pPr>
        <w:jc w:val="both"/>
        <w:ind w:firstLine="656"/>
        <w:spacing w:after="0" w:line="256" w:lineRule="auto"/>
        <w:tabs>
          <w:tab w:leader="none" w:pos="91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Securities to be issued and sold by the Company to the Underwriters hereunder have been duly authorized and, when issued and delivered against payment therefor as provided herein, will be duly and validly issued and fully paid and non-assessable and will conform to the description of the Securities contained in the Registration Statement, the Pricing Disclosure Package and the Prospectus; and the issuance of the Securities is not subject to any preemptive or similar rights that have not been waived or complied with;</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8" w:name="page9"/>
    <w:bookmarkEnd w:id="8"/>
    <w:p>
      <w:pPr>
        <w:jc w:val="both"/>
        <w:ind w:firstLine="656"/>
        <w:spacing w:after="0" w:line="283" w:lineRule="auto"/>
        <w:tabs>
          <w:tab w:leader="none" w:pos="913"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issue and sale of the Securities and the compliance by the Company with its obligations under this Agreement and the consummation of the transactions herein contemplated (A) will not conflict with or result in a material breach or violation of any of the terms or provisions of, or constitute a material default under,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w:t>
      </w:r>
    </w:p>
    <w:p>
      <w:pPr>
        <w:spacing w:after="0" w:line="2" w:lineRule="exact"/>
        <w:rPr>
          <w:rFonts w:ascii="Arial" w:cs="Arial" w:eastAsia="Arial" w:hAnsi="Arial"/>
          <w:sz w:val="16"/>
          <w:szCs w:val="16"/>
          <w:color w:val="auto"/>
        </w:rPr>
      </w:pPr>
    </w:p>
    <w:p>
      <w:pPr>
        <w:jc w:val="both"/>
        <w:ind w:firstLine="8"/>
        <w:spacing w:after="0" w:line="288" w:lineRule="auto"/>
        <w:tabs>
          <w:tab w:leader="none" w:pos="289" w:val="left"/>
        </w:tabs>
        <w:numPr>
          <w:ilvl w:val="0"/>
          <w:numId w:val="7"/>
        </w:numPr>
        <w:rPr>
          <w:rFonts w:ascii="Arial" w:cs="Arial" w:eastAsia="Arial" w:hAnsi="Arial"/>
          <w:sz w:val="16"/>
          <w:szCs w:val="16"/>
          <w:color w:val="auto"/>
        </w:rPr>
      </w:pPr>
      <w:r>
        <w:rPr>
          <w:rFonts w:ascii="Arial" w:cs="Arial" w:eastAsia="Arial" w:hAnsi="Arial"/>
          <w:sz w:val="16"/>
          <w:szCs w:val="16"/>
          <w:color w:val="auto"/>
        </w:rPr>
        <w:t>will not violate any of the provisions of the Restated Articles of Incorporation or the Amended and Restated Bylaws of the Company, or the organizational documents of any subsidiary, or (C) will not violate any statute or any order, rule or regulation of any court or governmental agency or body having jurisdiction over the Company or any of its subsidiaries or any of their properties, and (D) will not require any consent, approval, authorization, order, registration or qualification of or with any court, governmental agency or body or third party, except for (x) such consents, approvals, authorizations, orders, registrations or qualifications that have been obtained or made and are in full force and effect, (y) the registration under the Act of the Securities, the approval by the Financial Industry Regulatory Authority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 of the underwriting terms and arrangements, and (z) such consents, approvals, authorizations, orders, registrations or qualifications as may be required under state securities or Blue Sky laws in connection with the purchase and distribution of the Securities by the Underwriters;</w:t>
      </w:r>
    </w:p>
    <w:p>
      <w:pPr>
        <w:spacing w:after="0" w:line="109" w:lineRule="exact"/>
        <w:rPr>
          <w:rFonts w:ascii="Arial" w:cs="Arial" w:eastAsia="Arial" w:hAnsi="Arial"/>
          <w:sz w:val="16"/>
          <w:szCs w:val="16"/>
          <w:color w:val="auto"/>
        </w:rPr>
      </w:pPr>
    </w:p>
    <w:p>
      <w:pPr>
        <w:jc w:val="both"/>
        <w:ind w:firstLine="656"/>
        <w:spacing w:after="0" w:line="298" w:lineRule="auto"/>
        <w:tabs>
          <w:tab w:leader="none" w:pos="909" w:val="left"/>
        </w:tabs>
        <w:numPr>
          <w:ilvl w:val="1"/>
          <w:numId w:val="7"/>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in violation of its Restated Articles of Incorporation, the Amended and Restated Bylaws or other organizational documents or (B)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clause (B), to the extent that such default would not have a Material Adverse Effect;</w:t>
      </w:r>
    </w:p>
    <w:p>
      <w:pPr>
        <w:spacing w:after="0" w:line="99" w:lineRule="exact"/>
        <w:rPr>
          <w:rFonts w:ascii="Arial" w:cs="Arial" w:eastAsia="Arial" w:hAnsi="Arial"/>
          <w:sz w:val="16"/>
          <w:szCs w:val="16"/>
          <w:color w:val="auto"/>
        </w:rPr>
      </w:pPr>
    </w:p>
    <w:p>
      <w:pPr>
        <w:jc w:val="both"/>
        <w:ind w:firstLine="656"/>
        <w:spacing w:after="0" w:line="256" w:lineRule="auto"/>
        <w:tabs>
          <w:tab w:leader="none" w:pos="89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statements set forth in the Pricing Disclosure Package and Prospectus under the caption “Description of our Capital Stock,” insofar as they purport to constitute a summary of the terms of the Common Stock, under the captions “Material U.S. Federal Income Tax Considerations to Non-U.S. Holders” and “Underwriting,” insofar as they purport to describe the provisions of the laws and documents referred to therein, are accurate and complete in all material respects;</w:t>
      </w:r>
    </w:p>
    <w:p>
      <w:pPr>
        <w:spacing w:after="0" w:line="129" w:lineRule="exact"/>
        <w:rPr>
          <w:rFonts w:ascii="Arial" w:cs="Arial" w:eastAsia="Arial" w:hAnsi="Arial"/>
          <w:sz w:val="18"/>
          <w:szCs w:val="18"/>
          <w:color w:val="auto"/>
        </w:rPr>
      </w:pPr>
    </w:p>
    <w:p>
      <w:pPr>
        <w:jc w:val="both"/>
        <w:ind w:firstLine="656"/>
        <w:spacing w:after="0" w:line="255" w:lineRule="auto"/>
        <w:tabs>
          <w:tab w:leader="none" w:pos="878" w:val="left"/>
        </w:tabs>
        <w:numPr>
          <w:ilvl w:val="1"/>
          <w:numId w:val="7"/>
        </w:numPr>
        <w:rPr>
          <w:rFonts w:ascii="Arial" w:cs="Arial" w:eastAsia="Arial" w:hAnsi="Arial"/>
          <w:sz w:val="18"/>
          <w:szCs w:val="18"/>
          <w:color w:val="auto"/>
        </w:rPr>
      </w:pPr>
      <w:r>
        <w:rPr>
          <w:rFonts w:ascii="Arial" w:cs="Arial" w:eastAsia="Arial" w:hAnsi="Arial"/>
          <w:sz w:val="18"/>
          <w:szCs w:val="18"/>
          <w:color w:val="auto"/>
        </w:rPr>
        <w:t>Other than as set forth in the Pricing Disclosure Package, there are no legal or governmental proceedings pending to which the Company or any of its subsidiaries or, to the knowledge of the Company, any officer or director of the Company is a party or of which any property or assets of the Company or any of its subsidiaries is the subject which, if determined adversely to the Company or any of its subsidiaries or any officer or director, would individually or in the aggregate reasonably be expected to have a Material Adverse Effect; and, to the Company’s knowledge, no such proceedings are threatened by governmental authorities or threatened by others;</w:t>
      </w:r>
    </w:p>
    <w:p>
      <w:pPr>
        <w:spacing w:after="0" w:line="129" w:lineRule="exact"/>
        <w:rPr>
          <w:rFonts w:ascii="Arial" w:cs="Arial" w:eastAsia="Arial" w:hAnsi="Arial"/>
          <w:sz w:val="18"/>
          <w:szCs w:val="18"/>
          <w:color w:val="auto"/>
        </w:rPr>
      </w:pPr>
    </w:p>
    <w:p>
      <w:pPr>
        <w:ind w:firstLine="656"/>
        <w:spacing w:after="0" w:line="332" w:lineRule="auto"/>
        <w:tabs>
          <w:tab w:leader="none" w:pos="878"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offering and sale of the Securities and the application of the proceeds thereof, will not be an “investment company,” as such term is defined in the Investment Company Act of 1940, as amended (the “</w:t>
      </w:r>
      <w:r>
        <w:rPr>
          <w:rFonts w:ascii="Arial" w:cs="Arial" w:eastAsia="Arial" w:hAnsi="Arial"/>
          <w:sz w:val="16"/>
          <w:szCs w:val="16"/>
          <w:b w:val="1"/>
          <w:bCs w:val="1"/>
          <w:i w:val="1"/>
          <w:iCs w:val="1"/>
          <w:color w:val="auto"/>
        </w:rPr>
        <w:t>Investment Company Act</w:t>
      </w:r>
      <w:r>
        <w:rPr>
          <w:rFonts w:ascii="Arial" w:cs="Arial" w:eastAsia="Arial" w:hAnsi="Arial"/>
          <w:sz w:val="16"/>
          <w:szCs w:val="16"/>
          <w:color w:val="auto"/>
        </w:rPr>
        <w:t>”);</w:t>
      </w:r>
    </w:p>
    <w:p>
      <w:pPr>
        <w:spacing w:after="0" w:line="71" w:lineRule="exact"/>
        <w:rPr>
          <w:rFonts w:ascii="Arial" w:cs="Arial" w:eastAsia="Arial" w:hAnsi="Arial"/>
          <w:sz w:val="16"/>
          <w:szCs w:val="16"/>
          <w:color w:val="auto"/>
        </w:rPr>
      </w:pPr>
    </w:p>
    <w:p>
      <w:pPr>
        <w:jc w:val="both"/>
        <w:ind w:firstLine="656"/>
        <w:spacing w:after="0" w:line="259" w:lineRule="auto"/>
        <w:tabs>
          <w:tab w:leader="none" w:pos="917" w:val="left"/>
        </w:tabs>
        <w:numPr>
          <w:ilvl w:val="1"/>
          <w:numId w:val="7"/>
        </w:numPr>
        <w:rPr>
          <w:rFonts w:ascii="Arial" w:cs="Arial" w:eastAsia="Arial" w:hAnsi="Arial"/>
          <w:sz w:val="18"/>
          <w:szCs w:val="18"/>
          <w:color w:val="auto"/>
        </w:rPr>
      </w:pPr>
      <w:r>
        <w:rPr>
          <w:rFonts w:ascii="Arial" w:cs="Arial" w:eastAsia="Arial" w:hAnsi="Arial"/>
          <w:sz w:val="18"/>
          <w:szCs w:val="18"/>
          <w:color w:val="auto"/>
        </w:rPr>
        <w:t>At the earliest time after the filing of the Initial Registration Statement that the Company or another offering participant made a bona fide offer (within the meaning of Rule 164(h)(2) under the Act) of the Securities, the Company was not and is not, as of the date hereof, an “ineligible issuer,” as defined in Rule 405 under the Act;</w:t>
      </w:r>
    </w:p>
    <w:p>
      <w:pPr>
        <w:spacing w:after="0" w:line="126" w:lineRule="exact"/>
        <w:rPr>
          <w:rFonts w:ascii="Arial" w:cs="Arial" w:eastAsia="Arial" w:hAnsi="Arial"/>
          <w:sz w:val="18"/>
          <w:szCs w:val="18"/>
          <w:color w:val="auto"/>
        </w:rPr>
      </w:pPr>
    </w:p>
    <w:p>
      <w:pPr>
        <w:jc w:val="both"/>
        <w:ind w:firstLine="656"/>
        <w:spacing w:after="0" w:line="259" w:lineRule="auto"/>
        <w:tabs>
          <w:tab w:leader="none" w:pos="901" w:val="left"/>
        </w:tabs>
        <w:numPr>
          <w:ilvl w:val="1"/>
          <w:numId w:val="7"/>
        </w:numPr>
        <w:rPr>
          <w:rFonts w:ascii="Arial" w:cs="Arial" w:eastAsia="Arial" w:hAnsi="Arial"/>
          <w:sz w:val="18"/>
          <w:szCs w:val="18"/>
          <w:color w:val="auto"/>
        </w:rPr>
      </w:pPr>
      <w:r>
        <w:rPr>
          <w:rFonts w:ascii="Arial" w:cs="Arial" w:eastAsia="Arial" w:hAnsi="Arial"/>
          <w:sz w:val="18"/>
          <w:szCs w:val="18"/>
          <w:color w:val="auto"/>
        </w:rPr>
        <w:t>OUM &amp; Co. LLP, who have audited certain financial statements of the Company and its subsidiaries, is an independent registered public accounting firm with respect to the Company as required by the Act and the rules and regulations of the Commission thereunder and the Public Company Accounting Oversight Board (United States) (the “</w:t>
      </w:r>
      <w:r>
        <w:rPr>
          <w:rFonts w:ascii="Arial" w:cs="Arial" w:eastAsia="Arial" w:hAnsi="Arial"/>
          <w:sz w:val="18"/>
          <w:szCs w:val="18"/>
          <w:b w:val="1"/>
          <w:bCs w:val="1"/>
          <w:i w:val="1"/>
          <w:iCs w:val="1"/>
          <w:color w:val="auto"/>
        </w:rPr>
        <w:t>PCAOB</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9" w:name="page10"/>
    <w:bookmarkEnd w:id="9"/>
    <w:p>
      <w:pPr>
        <w:jc w:val="both"/>
        <w:ind w:firstLine="656"/>
        <w:spacing w:after="0" w:line="291" w:lineRule="auto"/>
        <w:tabs>
          <w:tab w:leader="none" w:pos="93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Except as disclosed in the Registration Statement and the Pricing Disclosure Package, the Company’s internal control over financial reporting is effective and the Company is not aware of any “significant deficiencies” or “material weaknesses” (each as defined by the PCAOB) in its internal control over financial reporting;</w:t>
      </w:r>
    </w:p>
    <w:p>
      <w:pPr>
        <w:spacing w:after="0" w:line="106" w:lineRule="exact"/>
        <w:rPr>
          <w:rFonts w:ascii="Arial" w:cs="Arial" w:eastAsia="Arial" w:hAnsi="Arial"/>
          <w:sz w:val="16"/>
          <w:szCs w:val="16"/>
          <w:color w:val="auto"/>
        </w:rPr>
      </w:pPr>
    </w:p>
    <w:p>
      <w:pPr>
        <w:ind w:firstLine="656"/>
        <w:spacing w:after="0" w:line="268" w:lineRule="auto"/>
        <w:tabs>
          <w:tab w:leader="none" w:pos="9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board of directors meets the independence requirements of, and has established an audit committee that meets the independence requirements of, the rules and regulations of the Commission and the NASDAQ Capital Market (“</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jc w:val="both"/>
        <w:ind w:firstLine="656"/>
        <w:spacing w:after="0" w:line="259" w:lineRule="auto"/>
        <w:tabs>
          <w:tab w:leader="none" w:pos="907" w:val="left"/>
        </w:tabs>
        <w:numPr>
          <w:ilvl w:val="0"/>
          <w:numId w:val="8"/>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or incorporated by reference in the Pricing Disclosure Package, there has been no change in the Company’s internal control over financial reporting that has materially affected, or is reasonably likely to materially affect, the Company’s internal control over financial reporting;</w:t>
      </w:r>
    </w:p>
    <w:p>
      <w:pPr>
        <w:spacing w:after="0" w:line="126" w:lineRule="exact"/>
        <w:rPr>
          <w:rFonts w:ascii="Arial" w:cs="Arial" w:eastAsia="Arial" w:hAnsi="Arial"/>
          <w:sz w:val="18"/>
          <w:szCs w:val="18"/>
          <w:color w:val="auto"/>
        </w:rPr>
      </w:pPr>
    </w:p>
    <w:p>
      <w:pPr>
        <w:jc w:val="both"/>
        <w:ind w:firstLine="656"/>
        <w:spacing w:after="0" w:line="256" w:lineRule="auto"/>
        <w:tabs>
          <w:tab w:leader="none" w:pos="88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30" w:lineRule="exact"/>
        <w:rPr>
          <w:sz w:val="20"/>
          <w:szCs w:val="20"/>
          <w:color w:val="auto"/>
        </w:rPr>
      </w:pPr>
    </w:p>
    <w:p>
      <w:pPr>
        <w:jc w:val="both"/>
        <w:ind w:firstLine="656"/>
        <w:spacing w:after="0" w:line="301" w:lineRule="auto"/>
        <w:tabs>
          <w:tab w:leader="none" w:pos="970" w:val="left"/>
        </w:tabs>
        <w:numPr>
          <w:ilvl w:val="1"/>
          <w:numId w:val="9"/>
        </w:numPr>
        <w:rPr>
          <w:rFonts w:ascii="Arial" w:cs="Arial" w:eastAsia="Arial" w:hAnsi="Arial"/>
          <w:sz w:val="15"/>
          <w:szCs w:val="15"/>
          <w:color w:val="auto"/>
        </w:rPr>
      </w:pPr>
      <w:r>
        <w:rPr>
          <w:rFonts w:ascii="Arial" w:cs="Arial" w:eastAsia="Arial" w:hAnsi="Arial"/>
          <w:sz w:val="15"/>
          <w:szCs w:val="15"/>
          <w:color w:val="auto"/>
        </w:rPr>
        <w:t>Except to the extent as described in the Registration Statement, the Pricing Disclosure Package and the Prospectus, the Company or its subsidiaries owns, possesses, or can acquire on reasonable terms, all Intellectual Property necessary for the conduct of the Company’s or any subsidiary’s business as now conducted or as described in the Registration Statement, the Pricing Disclosure Package and the Prospectus to be conducted, and there are no unreleased liens or security interests which have been filed against any of the patents owned by the Company or its subsidiaries. Furthermore, (A) to the knowledge of the Company, there is no infringement, misappropriation or violation by third parties of any such Intellectual Property; (B) there is no pending or, to the knowledge of the Company, threatened, action, suit, proceeding or claim by others challenging the Company’s or any subsidiary’s rights in or to any such Intellectual Property, and the Company is unaware of any facts which would form a reasonable basis for any such claim; (C) the Intellectual Property owned by the Company or its subsidiaries, and to the knowledge of the Company, the Intellectual Property licensed to the Company or its subsidiaries, has not been adjudged invalid or unenforceable, in whole or in part, and there is no pending or, to the knowledge of the Company, threatened action, suit, proceeding or claim by others challenging the validity or scope of any such Intellectual Property, and the Company is not aware of any facts which would form a reasonable basis for any such claim; (D) there is no pending or, to the knowledge of the Company, threatened action, suit, proceeding or claim by others that the Company or any of its subsidiaries infringes, misappropriates or otherwise violates any Intellectual Property or other proprietary rights of others, neither the Company nor any of its subsidiaries has received any written notice of such claim and the Company is unaware of any other fact which would form a reasonable basis for any such claim;</w:t>
      </w:r>
    </w:p>
    <w:p>
      <w:pPr>
        <w:spacing w:after="0" w:line="3" w:lineRule="exact"/>
        <w:rPr>
          <w:rFonts w:ascii="Arial" w:cs="Arial" w:eastAsia="Arial" w:hAnsi="Arial"/>
          <w:sz w:val="15"/>
          <w:szCs w:val="15"/>
          <w:color w:val="auto"/>
        </w:rPr>
      </w:pPr>
    </w:p>
    <w:p>
      <w:pPr>
        <w:jc w:val="both"/>
        <w:ind w:firstLine="8"/>
        <w:spacing w:after="0" w:line="286" w:lineRule="auto"/>
        <w:tabs>
          <w:tab w:leader="none" w:pos="274"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Company and its subsidiaries have complied with the terms of each agreement pursuant to which Intellectual Property has been licensed to the Company or its subsidiaries, and all such agreements are in full force and effect; (F) the drug candidates described in the Registration Statement, the Pricing Disclosure Package and the Prospectus as under development by the Company or its subsidiaries fall within the scope of the claims of one or more patents or applications relating to the drug candidate or its intended use owned by, or exclusively licensed to, the Company or its subsidiaries; and (G) to the Company’s knowledge, no employee of the Company or any of its subsidiaries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or actions undertaken by the employee while employed with the Company or any of its subsidiaries. </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xml:space="preserve"> shall mean all patents, patent applications, trade and service marks, trade and service mark registrations, trade names, copyrights, licenses, inventions, trade secrets, domain names, technology, know-how and other intellectual property;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10" w:name="page11"/>
    <w:bookmarkEnd w:id="10"/>
    <w:p>
      <w:pPr>
        <w:ind w:right="20" w:firstLine="656"/>
        <w:spacing w:after="0" w:line="332" w:lineRule="auto"/>
        <w:tabs>
          <w:tab w:leader="none" w:pos="99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There are no off-balance sheet arrangements (as defined in Regulation S-K Item 303(a)(4)(ii)) that may have a material current or future effect on the Company’s financial condition, changes in financial condition, results of operations, liquidity, capital expenditures or capital resources;</w:t>
      </w:r>
    </w:p>
    <w:p>
      <w:pPr>
        <w:spacing w:after="0" w:line="71" w:lineRule="exact"/>
        <w:rPr>
          <w:rFonts w:ascii="Arial" w:cs="Arial" w:eastAsia="Arial" w:hAnsi="Arial"/>
          <w:sz w:val="16"/>
          <w:szCs w:val="16"/>
          <w:color w:val="auto"/>
        </w:rPr>
      </w:pPr>
    </w:p>
    <w:p>
      <w:pPr>
        <w:jc w:val="both"/>
        <w:ind w:firstLine="656"/>
        <w:spacing w:after="0" w:line="289" w:lineRule="auto"/>
        <w:tabs>
          <w:tab w:leader="none" w:pos="97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and each of its subsidiaries have complied, and are presently in compliance, in all material respects, with its privacy and security policies, and with all obligations, laws and regulations regarding the collection, use, transfer, storage, protection, disposal and/or disclosure of personally identifiable information and/or any other information collected from or provided by third parties. The Company and its subsidiaries have taken commercially reasonable steps to protect the information technology systems and data used in connection with the operation of the Company and/or its subsidiaries. The Company and its subsidiaries have used reasonable efforts to establish, and have established, commercially reasonable disaster recovery and security plans, procedures and facilities for the business, including, without limitation, for the information technology systems and data held or used by or for the Company and/or any of its subsidiaries. Except as set forth in the Pricing Disclosure Package and the Prospectus, there has been no security breach or attack or other compromise of or relating to any such information technology system or data which would reasonably be expected to have a Material Adverse Effect;</w:t>
      </w:r>
    </w:p>
    <w:p>
      <w:pPr>
        <w:spacing w:after="0" w:line="104" w:lineRule="exact"/>
        <w:rPr>
          <w:rFonts w:ascii="Arial" w:cs="Arial" w:eastAsia="Arial" w:hAnsi="Arial"/>
          <w:sz w:val="16"/>
          <w:szCs w:val="16"/>
          <w:color w:val="auto"/>
        </w:rPr>
      </w:pPr>
    </w:p>
    <w:p>
      <w:pPr>
        <w:jc w:val="both"/>
        <w:ind w:firstLine="656"/>
        <w:spacing w:after="0" w:line="294" w:lineRule="auto"/>
        <w:tabs>
          <w:tab w:leader="none" w:pos="99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and each of its subsidiaries are insured by insurers of recognized financial responsibility against such losses and risks and in such amounts as are, in the Company’s reasonable judgment,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02" w:lineRule="exact"/>
        <w:rPr>
          <w:rFonts w:ascii="Arial" w:cs="Arial" w:eastAsia="Arial" w:hAnsi="Arial"/>
          <w:sz w:val="16"/>
          <w:szCs w:val="16"/>
          <w:color w:val="auto"/>
        </w:rPr>
      </w:pPr>
    </w:p>
    <w:p>
      <w:pPr>
        <w:ind w:firstLine="656"/>
        <w:spacing w:after="0" w:line="332" w:lineRule="auto"/>
        <w:tabs>
          <w:tab w:leader="none" w:pos="97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There are no contracts or other documents which are required to be described in the Registration Statement, the Pricing Disclosure Package or the Prospectus or to be filed as an exhibit to the Registration Statement which have not been described or filed as required;</w:t>
      </w:r>
    </w:p>
    <w:p>
      <w:pPr>
        <w:spacing w:after="0" w:line="71" w:lineRule="exact"/>
        <w:rPr>
          <w:rFonts w:ascii="Arial" w:cs="Arial" w:eastAsia="Arial" w:hAnsi="Arial"/>
          <w:sz w:val="16"/>
          <w:szCs w:val="16"/>
          <w:color w:val="auto"/>
        </w:rPr>
      </w:pPr>
    </w:p>
    <w:p>
      <w:pPr>
        <w:ind w:firstLine="656"/>
        <w:spacing w:after="0" w:line="370" w:lineRule="auto"/>
        <w:tabs>
          <w:tab w:leader="none" w:pos="945"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Except as disclosed in the Pricing Disclosure Package, there are no related party transactions that would be required to be disclosed therein by Item 404 of Regulation S-K promulgated under the Act and any such related party transactions described therein are accurately described in all material respects;</w:t>
      </w:r>
    </w:p>
    <w:p>
      <w:pPr>
        <w:spacing w:after="0" w:line="48" w:lineRule="exact"/>
        <w:rPr>
          <w:rFonts w:ascii="Arial" w:cs="Arial" w:eastAsia="Arial" w:hAnsi="Arial"/>
          <w:sz w:val="15"/>
          <w:szCs w:val="15"/>
          <w:color w:val="auto"/>
        </w:rPr>
      </w:pPr>
    </w:p>
    <w:p>
      <w:pPr>
        <w:jc w:val="both"/>
        <w:ind w:firstLine="656"/>
        <w:spacing w:after="0" w:line="285" w:lineRule="auto"/>
        <w:tabs>
          <w:tab w:leader="none" w:pos="988"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(i) as set forth or described in the Pricing Disclosure Package, none of the following events has occurred or exists: (A) a failure to fulfill the obligations, if any, under the minimum funding standards of Section 302 of the United States Employee Retirement Income Security Act of 1974, as amended (“</w:t>
      </w:r>
      <w:r>
        <w:rPr>
          <w:rFonts w:ascii="Arial" w:cs="Arial" w:eastAsia="Arial" w:hAnsi="Arial"/>
          <w:sz w:val="16"/>
          <w:szCs w:val="16"/>
          <w:b w:val="1"/>
          <w:bCs w:val="1"/>
          <w:i w:val="1"/>
          <w:iCs w:val="1"/>
          <w:color w:val="auto"/>
        </w:rPr>
        <w:t>ERISA</w:t>
      </w:r>
      <w:r>
        <w:rPr>
          <w:rFonts w:ascii="Arial" w:cs="Arial" w:eastAsia="Arial" w:hAnsi="Arial"/>
          <w:sz w:val="16"/>
          <w:szCs w:val="16"/>
          <w:color w:val="auto"/>
        </w:rPr>
        <w:t>”), and the regulations and published interpretations thereunder with respect to a Plan, determined without regard to any waiver of such obligations or extension of any amortization period; (B)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any of its subsidiaries; or (C) any breach of any contractual obligation, or any violation of law or applicable qualification standards, with respect to the employment or compensation of employees by the Company or any of its subsidiaries. Except (i) as set forth or described in the Pricing Disclosure Package or (ii) as would not have, individually or in the aggregate, a Material Adverse Effect, none of the following events has occurred or is reasonably likely to occur: (A) an increase in the aggregate amount of contributions required to be made to all Plans in the current fiscal year of the Company and its subsidiaries compared to the amount of such contributions made in the most recently completed fiscal year of the Company and its subsidiaries; (B) an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(C) any event or condition giving rise to a liability under Title IV of ERISA; or (D) the filing of a material claim by one or more employees or former employees of the Company or any of its subsidiaries related to their employment. For purposes of this paragraph, the term “Plan” means a plan (within the meaning of Section 3(3) of ERISA) with respect to which the Company or any of its subsidiaries may have any liability;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11" w:name="page12"/>
    <w:bookmarkEnd w:id="11"/>
    <w:p>
      <w:pPr>
        <w:jc w:val="both"/>
        <w:ind w:firstLine="656"/>
        <w:spacing w:after="0" w:line="298" w:lineRule="auto"/>
        <w:tabs>
          <w:tab w:leader="none" w:pos="99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material compliance with ERISA,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i w:val="1"/>
          <w:iCs w:val="1"/>
          <w:color w:val="auto"/>
        </w:rPr>
        <w:t>Employee Benefit Laws</w:t>
      </w:r>
      <w:r>
        <w:rPr>
          <w:rFonts w:ascii="Arial" w:cs="Arial" w:eastAsia="Arial" w:hAnsi="Arial"/>
          <w:sz w:val="16"/>
          <w:szCs w:val="16"/>
          <w:color w:val="auto"/>
        </w:rPr>
        <w:t>”) and no action, suit or proceeding by or before any court or governmental agency, authority or body or any arbitrator to which the Company or any of its subsidiaries is a party with respect to the Employee Benefit Laws is pending or, to the knowledge of the Company, threatened;</w:t>
      </w:r>
    </w:p>
    <w:p>
      <w:pPr>
        <w:spacing w:after="0" w:line="99" w:lineRule="exact"/>
        <w:rPr>
          <w:rFonts w:ascii="Arial" w:cs="Arial" w:eastAsia="Arial" w:hAnsi="Arial"/>
          <w:sz w:val="16"/>
          <w:szCs w:val="16"/>
          <w:color w:val="auto"/>
        </w:rPr>
      </w:pPr>
    </w:p>
    <w:p>
      <w:pPr>
        <w:ind w:right="20" w:firstLine="656"/>
        <w:spacing w:after="0" w:line="332" w:lineRule="auto"/>
        <w:tabs>
          <w:tab w:leader="none" w:pos="91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There are no contracts, agreements or understandings between the Company or its subsidiaries and any person that would give rise to a valid claim against the Company or any Underwriter for a brokerage commission, finder’s fee or other like payment in connection with this offering;</w:t>
      </w:r>
    </w:p>
    <w:p>
      <w:pPr>
        <w:spacing w:after="0" w:line="71" w:lineRule="exact"/>
        <w:rPr>
          <w:rFonts w:ascii="Arial" w:cs="Arial" w:eastAsia="Arial" w:hAnsi="Arial"/>
          <w:sz w:val="16"/>
          <w:szCs w:val="16"/>
          <w:color w:val="auto"/>
        </w:rPr>
      </w:pPr>
    </w:p>
    <w:p>
      <w:pPr>
        <w:jc w:val="both"/>
        <w:ind w:firstLine="656"/>
        <w:spacing w:after="0" w:line="288" w:lineRule="auto"/>
        <w:tabs>
          <w:tab w:leader="none" w:pos="91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holders of outstanding shares of the Company’s capital stock are not entitled to preemptive or other rights to subscribe for the Securities that have not been complied with or otherwise effectively waived; none of the outstanding shares of Common Stock were issued in violation of any preemptive rights, rights of first refusal or other similar rights to subscribe for or purchase securities of the Company; there are no persons with registration or other similar rights to have securities of the Company registered under the Act other than as disclosed in the Pricing Disclosure Package; and there are no Persons with registration or similar rights that would require any securities of the Company to be included in the Registration Statement or in the offering contemplated hereby;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Pricing Disclosure Package; and the description of the Company’s stock option, stock bonus and other stock plans or arrangements, and the options or other rights granted thereunder, included in the Pricing Disclosure Package fairly presents the information required to be shown with respect to such plans, arrangements, options and rights;</w:t>
      </w:r>
    </w:p>
    <w:p>
      <w:pPr>
        <w:spacing w:after="0" w:line="106" w:lineRule="exact"/>
        <w:rPr>
          <w:rFonts w:ascii="Arial" w:cs="Arial" w:eastAsia="Arial" w:hAnsi="Arial"/>
          <w:sz w:val="16"/>
          <w:szCs w:val="16"/>
          <w:color w:val="auto"/>
        </w:rPr>
      </w:pPr>
    </w:p>
    <w:p>
      <w:pPr>
        <w:jc w:val="both"/>
        <w:ind w:firstLine="656"/>
        <w:spacing w:after="0" w:line="286" w:lineRule="auto"/>
        <w:tabs>
          <w:tab w:leader="none" w:pos="991"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Neither the Company nor any of its subsidiaries, nor any or their directors, officers or employees, nor, to the Company’s knowledge, any agent, affiliate or representative of the Company or its subsidiaries, is an individual or entity that is, or is owned or controlled by an individual or entity that is (A) the subject of any sanctions administered or enforced by the U.S. Department of Treasury’s Office of Foreign Assets Control, the United Nations Security Council, the European Union, Her Majesty’s Treasury or other relevant sanctions authority (collectively, “</w:t>
      </w:r>
      <w:r>
        <w:rPr>
          <w:rFonts w:ascii="Arial" w:cs="Arial" w:eastAsia="Arial" w:hAnsi="Arial"/>
          <w:sz w:val="16"/>
          <w:szCs w:val="16"/>
          <w:b w:val="1"/>
          <w:bCs w:val="1"/>
          <w:i w:val="1"/>
          <w:iCs w:val="1"/>
          <w:color w:val="auto"/>
        </w:rPr>
        <w:t>Sanctions</w:t>
      </w:r>
      <w:r>
        <w:rPr>
          <w:rFonts w:ascii="Arial" w:cs="Arial" w:eastAsia="Arial" w:hAnsi="Arial"/>
          <w:sz w:val="16"/>
          <w:szCs w:val="16"/>
          <w:color w:val="auto"/>
        </w:rPr>
        <w:t>”), nor (B) located, organized or resident in a country or territory that is the subject of Sanctions (including, without limitation, Burma/Myanmar, Cuba, Iran, Libya, North Korea, Sudan, Syria or the Crimean region of Ukraine); (ii) neither the Company nor any of its subsidiaries will, directly or indirectly, use the proceeds of the offering, or lend, contribute or otherwise make available such proceeds to any subsidiary, joint venture partner or other individual or entity (A) to fund or facilitate any activities or business of or with any individual or entity or in any country or territory that, at the time of such funding or facilitation, is the subject of Sanctions; or (B) in any other manner that will result in a violation of Sanctions by any individual or entity (including any individual or entity participating in the offering, whether as underwriter, advisor, investor or otherwise); (iii) for the past five years, neither the Company nor any of its subsidiaries has knowingly engaged in, and is not now knowingly engaged in, any dealings or transactions with any individual or entity, or in any country or territory, that at the time of the dealing or transaction is or was the subject of Sanctions.;</w:t>
      </w:r>
    </w:p>
    <w:p>
      <w:pPr>
        <w:spacing w:after="0" w:line="329" w:lineRule="exact"/>
        <w:rPr>
          <w:rFonts w:ascii="Arial" w:cs="Arial" w:eastAsia="Arial" w:hAnsi="Arial"/>
          <w:sz w:val="16"/>
          <w:szCs w:val="16"/>
          <w:color w:val="auto"/>
        </w:rPr>
      </w:pPr>
    </w:p>
    <w:p>
      <w:pPr>
        <w:jc w:val="both"/>
        <w:ind w:firstLine="656"/>
        <w:spacing w:after="0" w:line="286" w:lineRule="auto"/>
        <w:tabs>
          <w:tab w:leader="none" w:pos="94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compliance with applicable federal, state, international, foreign or other laws, regulations or government guidance regarding financial record-keeping and reporting requirements, including, without limitation, Title 18 US. Code section 1956 and 1957, the Bank Secrecy Act, as amended by Title III of the Uniting and Strengthening America by Providing Appropriate Tools Required to Intercept and Obstruct Terrorism Act of 2001 (USA PATRIOT Act), the Currency and Foreign Transactions Reporting Act of 1970, as amended, the applicable money laundering statutes of jurisdictions where the Company and the subsidiaries conduct business, the applicable rules and regulations thereunder,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and any related or similar rules, regulations or guidelines, issued, administered or enforced by any governmental agency (collectively, the “</w:t>
      </w:r>
      <w:r>
        <w:rPr>
          <w:rFonts w:ascii="Arial" w:cs="Arial" w:eastAsia="Arial" w:hAnsi="Arial"/>
          <w:sz w:val="16"/>
          <w:szCs w:val="16"/>
          <w:b w:val="1"/>
          <w:bCs w:val="1"/>
          <w:i w:val="1"/>
          <w:i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12" w:name="page13"/>
    <w:bookmarkEnd w:id="12"/>
    <w:p>
      <w:pPr>
        <w:jc w:val="both"/>
        <w:ind w:firstLine="656"/>
        <w:spacing w:after="0" w:line="289" w:lineRule="auto"/>
        <w:tabs>
          <w:tab w:leader="none" w:pos="1097"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any director or officer thereof, nor, to the Company’s knowledge, any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6"/>
          <w:szCs w:val="16"/>
          <w:b w:val="1"/>
          <w:bCs w:val="1"/>
          <w:i w:val="1"/>
          <w:iCs w:val="1"/>
          <w:color w:val="auto"/>
        </w:rPr>
        <w:t>FCPA</w:t>
      </w:r>
      <w:r>
        <w:rPr>
          <w:rFonts w:ascii="Arial" w:cs="Arial" w:eastAsia="Arial" w:hAnsi="Arial"/>
          <w:sz w:val="16"/>
          <w:szCs w:val="16"/>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its subsidiaries and its affiliates have conducted their businesses in compliance with the FCPA and have instituted and maintain policies and procedures designed to ensure, and which are reasonably expected to continue to ensure, continued compliance therewith;</w:t>
      </w:r>
    </w:p>
    <w:p>
      <w:pPr>
        <w:spacing w:after="0" w:line="104" w:lineRule="exact"/>
        <w:rPr>
          <w:rFonts w:ascii="Arial" w:cs="Arial" w:eastAsia="Arial" w:hAnsi="Arial"/>
          <w:sz w:val="16"/>
          <w:szCs w:val="16"/>
          <w:color w:val="auto"/>
        </w:rPr>
      </w:pPr>
    </w:p>
    <w:p>
      <w:pPr>
        <w:jc w:val="both"/>
        <w:ind w:firstLine="656"/>
        <w:spacing w:after="0" w:line="286" w:lineRule="auto"/>
        <w:tabs>
          <w:tab w:leader="none" w:pos="102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and, as applicable, each of its subsidiaries holds all material, and is operating in material compliance with, all certificates, registrations, franchises, licenses, permits, clearances, approvals, exemptions, and other authorizations issued by all applicable authorities, including the United States Food and Drug Administration (“</w:t>
      </w:r>
      <w:r>
        <w:rPr>
          <w:rFonts w:ascii="Arial" w:cs="Arial" w:eastAsia="Arial" w:hAnsi="Arial"/>
          <w:sz w:val="16"/>
          <w:szCs w:val="16"/>
          <w:b w:val="1"/>
          <w:bCs w:val="1"/>
          <w:i w:val="1"/>
          <w:iCs w:val="1"/>
          <w:color w:val="auto"/>
        </w:rPr>
        <w:t>FDA</w:t>
      </w:r>
      <w:r>
        <w:rPr>
          <w:rFonts w:ascii="Arial" w:cs="Arial" w:eastAsia="Arial" w:hAnsi="Arial"/>
          <w:sz w:val="16"/>
          <w:szCs w:val="16"/>
          <w:color w:val="auto"/>
        </w:rPr>
        <w:t>”), and any state, federal or foreign regulatory agencies or bodies required for the conduct of its business as currently conducted (collectively, “</w:t>
      </w:r>
      <w:r>
        <w:rPr>
          <w:rFonts w:ascii="Arial" w:cs="Arial" w:eastAsia="Arial" w:hAnsi="Arial"/>
          <w:sz w:val="16"/>
          <w:szCs w:val="16"/>
          <w:b w:val="1"/>
          <w:bCs w:val="1"/>
          <w:i w:val="1"/>
          <w:iCs w:val="1"/>
          <w:color w:val="auto"/>
        </w:rPr>
        <w:t>Permits</w:t>
      </w:r>
      <w:r>
        <w:rPr>
          <w:rFonts w:ascii="Arial" w:cs="Arial" w:eastAsia="Arial" w:hAnsi="Arial"/>
          <w:sz w:val="16"/>
          <w:szCs w:val="16"/>
          <w:color w:val="auto"/>
        </w:rPr>
        <w:t>”), and all such Permits are in full force and effect; the Company and each of its subsidiaries have fulfilled and performed all of their material obligations with respect to the Permits, and, to the Company’s knowledge, no event has occurred which allows, or after notice or lapse of time would allow, revocation or termination thereof or results in any other material impairment of the rights of the holder of any Permit; to the Company’s knowledge, all applications, notifications, submissions, information, claims, reports and statistics, and other data and conclusions derived therefrom, utilized as the basis for any and all requests for a Permit from the FDA or any other Governmental Authority relating to the Company and its subsidiaries, their business and the products of the Company, when submitted the FDA or to such other Governmental Authority, were true, complete and correct in all material respects as of the date of submission and any necessary or required updates, changes, corrections or modification to such applications, submissions, information and data have been submitted to the FDA or such other Governmental Authority;</w:t>
      </w:r>
    </w:p>
    <w:p>
      <w:pPr>
        <w:spacing w:after="0" w:line="113" w:lineRule="exact"/>
        <w:rPr>
          <w:rFonts w:ascii="Arial" w:cs="Arial" w:eastAsia="Arial" w:hAnsi="Arial"/>
          <w:sz w:val="16"/>
          <w:szCs w:val="16"/>
          <w:color w:val="auto"/>
        </w:rPr>
      </w:pPr>
    </w:p>
    <w:p>
      <w:pPr>
        <w:jc w:val="both"/>
        <w:ind w:firstLine="656"/>
        <w:spacing w:after="0" w:line="286" w:lineRule="auto"/>
        <w:tabs>
          <w:tab w:leader="none" w:pos="9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nonclinical tests, clinical trials and other studies (collectively, “</w:t>
      </w:r>
      <w:r>
        <w:rPr>
          <w:rFonts w:ascii="Arial" w:cs="Arial" w:eastAsia="Arial" w:hAnsi="Arial"/>
          <w:sz w:val="16"/>
          <w:szCs w:val="16"/>
          <w:b w:val="1"/>
          <w:bCs w:val="1"/>
          <w:i w:val="1"/>
          <w:iCs w:val="1"/>
          <w:color w:val="auto"/>
        </w:rPr>
        <w:t>studies</w:t>
      </w:r>
      <w:r>
        <w:rPr>
          <w:rFonts w:ascii="Arial" w:cs="Arial" w:eastAsia="Arial" w:hAnsi="Arial"/>
          <w:sz w:val="16"/>
          <w:szCs w:val="16"/>
          <w:color w:val="auto"/>
        </w:rPr>
        <w:t>”) that are described in, or the results of which are referred to in, the Registration Statement, the Pricing Disclosure Package or the Prospectus were and, if still pending, are being conducted in all material respects in accordance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the Pricing Disclosure Package or the Prospectus; the Company and its subsidiaries have made all such filings and obtained all such approvals as may be required by the FDA or from any other U.S. or foreign government or drug regulatory agency, or health care facility Institutional Review Board (collectively, the “</w:t>
      </w:r>
      <w:r>
        <w:rPr>
          <w:rFonts w:ascii="Arial" w:cs="Arial" w:eastAsia="Arial" w:hAnsi="Arial"/>
          <w:sz w:val="16"/>
          <w:szCs w:val="16"/>
          <w:b w:val="1"/>
          <w:bCs w:val="1"/>
          <w:i w:val="1"/>
          <w:iCs w:val="1"/>
          <w:color w:val="auto"/>
        </w:rPr>
        <w:t>Regulatory Agencies</w:t>
      </w:r>
      <w:r>
        <w:rPr>
          <w:rFonts w:ascii="Arial" w:cs="Arial" w:eastAsia="Arial" w:hAnsi="Arial"/>
          <w:sz w:val="16"/>
          <w:szCs w:val="16"/>
          <w:color w:val="auto"/>
        </w:rPr>
        <w:t>”); the Company and its subsidiaries have not received any notice of, or correspondence from, any Regulatory Agency requiring the termination or suspension of any clinical trials that are described or referred to in the Registration Statement, the Pricing Disclosure Package or the Prospectus, other than any suspension that was subsequently lifted prior to January 1, 2018; and the Company and its subsidiaries have operated and currently are in compliance in all material respects with all applicable rules and regulations of the Regulatory Agencies;</w:t>
      </w:r>
    </w:p>
    <w:p>
      <w:pPr>
        <w:spacing w:after="0" w:line="113" w:lineRule="exact"/>
        <w:rPr>
          <w:rFonts w:ascii="Arial" w:cs="Arial" w:eastAsia="Arial" w:hAnsi="Arial"/>
          <w:sz w:val="16"/>
          <w:szCs w:val="16"/>
          <w:color w:val="auto"/>
        </w:rPr>
      </w:pPr>
    </w:p>
    <w:p>
      <w:pPr>
        <w:jc w:val="both"/>
        <w:ind w:firstLine="656"/>
        <w:spacing w:after="0" w:line="286" w:lineRule="auto"/>
        <w:tabs>
          <w:tab w:leader="none" w:pos="99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and each of its subsidiaries and its and their respective directors and officers and, to the Company’s knowledge, its employees and agents (while acting in such capacity) are, and at all times have been, in material compliance with, all healthcare laws applicable to the Company and each of its subsidiaries or any of its products or activities, including, but not limited to, the Federal Food, Drug, and Cosmetic Act (21 U.S.C. §§ 301 et seq.), as amended, and the Controlled Substances Act (21 U.S.C. Section 801 et seq.), as amended, the regulations promulgated pursuant to such laws, and any other state or federal law, accreditation standards, regulation, memorandum, opinion letter, or other issuance which imposes requirements on the manufacturing, development, testing, labeling, marketing or distribution of the Company’s product candidates, recordkeeping, quality, safety, privacy, security, licensure, accreditation or any other aspect of producing the Company’s product candidates(collectively, “</w:t>
      </w:r>
      <w:r>
        <w:rPr>
          <w:rFonts w:ascii="Arial" w:cs="Arial" w:eastAsia="Arial" w:hAnsi="Arial"/>
          <w:sz w:val="16"/>
          <w:szCs w:val="16"/>
          <w:b w:val="1"/>
          <w:bCs w:val="1"/>
          <w:i w:val="1"/>
          <w:iCs w:val="1"/>
          <w:color w:val="auto"/>
        </w:rPr>
        <w:t>Healthcare Laws</w:t>
      </w:r>
      <w:r>
        <w:rPr>
          <w:rFonts w:ascii="Arial" w:cs="Arial" w:eastAsia="Arial" w:hAnsi="Arial"/>
          <w:sz w:val="16"/>
          <w:szCs w:val="16"/>
          <w:color w:val="auto"/>
        </w:rPr>
        <w:t>”). The Company has not received any notification, correspondence or any other written or oral communication, including notification of any pending or threatened claim, suit, proceeding, hearing, enforcement, investigation, arbitration or other action (“</w:t>
      </w:r>
      <w:r>
        <w:rPr>
          <w:rFonts w:ascii="Arial" w:cs="Arial" w:eastAsia="Arial" w:hAnsi="Arial"/>
          <w:sz w:val="16"/>
          <w:szCs w:val="16"/>
          <w:b w:val="1"/>
          <w:bCs w:val="1"/>
          <w:i w:val="1"/>
          <w:iCs w:val="1"/>
          <w:color w:val="auto"/>
        </w:rPr>
        <w:t>Action</w:t>
      </w:r>
      <w:r>
        <w:rPr>
          <w:rFonts w:ascii="Arial" w:cs="Arial" w:eastAsia="Arial" w:hAnsi="Arial"/>
          <w:sz w:val="16"/>
          <w:szCs w:val="16"/>
          <w:color w:val="auto"/>
        </w:rPr>
        <w:t>”) from any court, arbitrator, third-party, or governmental or regulatory authority, including, without limitation, the FDA, the Drug Enforcement Administration (“</w:t>
      </w:r>
      <w:r>
        <w:rPr>
          <w:rFonts w:ascii="Arial" w:cs="Arial" w:eastAsia="Arial" w:hAnsi="Arial"/>
          <w:sz w:val="16"/>
          <w:szCs w:val="16"/>
          <w:b w:val="1"/>
          <w:bCs w:val="1"/>
          <w:i w:val="1"/>
          <w:iCs w:val="1"/>
          <w:color w:val="auto"/>
        </w:rPr>
        <w:t>DEA</w:t>
      </w:r>
      <w:r>
        <w:rPr>
          <w:rFonts w:ascii="Arial" w:cs="Arial" w:eastAsia="Arial" w:hAnsi="Arial"/>
          <w:sz w:val="16"/>
          <w:szCs w:val="16"/>
          <w:color w:val="auto"/>
        </w:rPr>
        <w:t>”), or the U.S. Department of Health and Human Services Office of Inspector General, of potential or actual non-compliance by, or liability of, the Company or any of its subsidiaries under any Healthcare Laws, and to the knowledge of the Company, no such Action is threatened;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13" w:name="page14"/>
    <w:bookmarkEnd w:id="13"/>
    <w:p>
      <w:pPr>
        <w:ind w:left="-20" w:firstLine="656"/>
        <w:spacing w:after="0" w:line="268" w:lineRule="auto"/>
        <w:tabs>
          <w:tab w:leader="none" w:pos="9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is in compliance with all applicable provisions of the Sarbanes-Oxley Act of 2002, as amended, and the rules and regulations of the Commission thereunder.</w:t>
      </w:r>
    </w:p>
    <w:p>
      <w:pPr>
        <w:spacing w:after="0" w:line="118" w:lineRule="exact"/>
        <w:rPr>
          <w:sz w:val="20"/>
          <w:szCs w:val="20"/>
          <w:color w:val="auto"/>
        </w:rPr>
      </w:pPr>
    </w:p>
    <w:p>
      <w:pPr>
        <w:jc w:val="both"/>
        <w:ind w:left="-20" w:firstLine="704"/>
        <w:spacing w:after="0" w:line="259" w:lineRule="auto"/>
        <w:tabs>
          <w:tab w:leader="none" w:pos="969"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interactive data in eXtensbile Business Reporting Language 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spacing w:after="0" w:line="126" w:lineRule="exact"/>
        <w:rPr>
          <w:rFonts w:ascii="Arial" w:cs="Arial" w:eastAsia="Arial" w:hAnsi="Arial"/>
          <w:sz w:val="18"/>
          <w:szCs w:val="18"/>
          <w:color w:val="auto"/>
        </w:rPr>
      </w:pPr>
    </w:p>
    <w:p>
      <w:pPr>
        <w:jc w:val="both"/>
        <w:ind w:left="-20" w:firstLine="656"/>
        <w:spacing w:after="0" w:line="306" w:lineRule="auto"/>
        <w:tabs>
          <w:tab w:leader="none" w:pos="93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or any of its subsidiaries, is not a party to and does not have any ongoing reporting obligations pursuant to any corporate integrity agreements, monitoring agreements, deferred prosecution agreements, consent decrees, settlement orders, or similar agreements with or imposed by any governmental or regulatory authority;</w:t>
      </w:r>
    </w:p>
    <w:p>
      <w:pPr>
        <w:spacing w:after="0" w:line="93" w:lineRule="exact"/>
        <w:rPr>
          <w:rFonts w:ascii="Arial" w:cs="Arial" w:eastAsia="Arial" w:hAnsi="Arial"/>
          <w:sz w:val="16"/>
          <w:szCs w:val="16"/>
          <w:color w:val="auto"/>
        </w:rPr>
      </w:pPr>
    </w:p>
    <w:p>
      <w:pPr>
        <w:jc w:val="both"/>
        <w:ind w:left="-20" w:firstLine="656"/>
        <w:spacing w:after="0" w:line="306" w:lineRule="auto"/>
        <w:tabs>
          <w:tab w:leader="none" w:pos="8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Neither the Company, any of its subsidiaries, nor any of their respective employees, officers or directors has been excluded, suspended or debarred from participation in any U.S. state or federal health care program or human clinical research or is subject to a governmental inquiry, claim, investigation, proceeding, or other any other Action that could reasonably be expected to result in debarment, suspension, or exclusion; and</w:t>
      </w:r>
    </w:p>
    <w:p>
      <w:pPr>
        <w:spacing w:after="0" w:line="93" w:lineRule="exact"/>
        <w:rPr>
          <w:rFonts w:ascii="Arial" w:cs="Arial" w:eastAsia="Arial" w:hAnsi="Arial"/>
          <w:sz w:val="16"/>
          <w:szCs w:val="16"/>
          <w:color w:val="auto"/>
        </w:rPr>
      </w:pPr>
    </w:p>
    <w:p>
      <w:pPr>
        <w:jc w:val="both"/>
        <w:ind w:left="-20" w:firstLine="656"/>
        <w:spacing w:after="0" w:line="255"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relationship, direct or indirect, exists between or among the Company or any of its subsidiaries, on the one hand, and the directors, officers, stockholders, customers or suppliers of the Company or any of its subsidiaries, on the other, that is required by the Act to be described in the Registration Statement and the Prospectus and that is not so described in such documents and in the Pricing Disclosure Package. As of the date of the initial filing of the Registration Statement and through the date of this Agreement, there were no outstanding personal loans made, directly or indirectly, by the Company to any director or executive officer of the Company.</w:t>
      </w:r>
    </w:p>
    <w:p>
      <w:pPr>
        <w:spacing w:after="0" w:line="129" w:lineRule="exact"/>
        <w:rPr>
          <w:rFonts w:ascii="Arial" w:cs="Arial" w:eastAsia="Arial" w:hAnsi="Arial"/>
          <w:sz w:val="18"/>
          <w:szCs w:val="18"/>
          <w:color w:val="auto"/>
        </w:rPr>
      </w:pPr>
    </w:p>
    <w:p>
      <w:pPr>
        <w:jc w:val="both"/>
        <w:ind w:left="-20" w:firstLine="656"/>
        <w:spacing w:after="0" w:line="286" w:lineRule="auto"/>
        <w:tabs>
          <w:tab w:leader="none" w:pos="968"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Except as described in the Pricing Disclosure Package or the Registration Statement, there has been no security breach or incident, unauthorized access or disclosure, or other compromise of or relating to the Company’s or its subsidiaries’ information technology and computer systems, networks, hardware, software, data and databases (including the data and information of their respective customers, employees, suppliers, vendors and any third-party data maintained, processed or stored by the Company and its subsidiaries, and any such data processed or stored by third parties on behalf of the Company and its subsidiaries), equipment or technology (collectively, “</w:t>
      </w:r>
      <w:r>
        <w:rPr>
          <w:rFonts w:ascii="Arial" w:cs="Arial" w:eastAsia="Arial" w:hAnsi="Arial"/>
          <w:sz w:val="16"/>
          <w:szCs w:val="16"/>
          <w:b w:val="1"/>
          <w:bCs w:val="1"/>
          <w:i w:val="1"/>
          <w:iCs w:val="1"/>
          <w:color w:val="auto"/>
        </w:rPr>
        <w:t>IT Systems and Data</w:t>
      </w:r>
      <w:r>
        <w:rPr>
          <w:rFonts w:ascii="Arial" w:cs="Arial" w:eastAsia="Arial" w:hAnsi="Arial"/>
          <w:sz w:val="16"/>
          <w:szCs w:val="16"/>
          <w:color w:val="auto"/>
        </w:rPr>
        <w:t>”), except for those that have been remedied without material cost or liability; (ii) neither the Company nor its subsidiaries have been notified of, and have no knowledge of any event or condition that would reasonably be expected to result in, any security breach or incident, unauthorized access or disclosure or other compromise to their IT Systems and Data; and (iii) the Company and its subsidiaries, taken as a whole,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The Company and its subsidiaries are presently in material compliance with all applicable laws or statutes and all judgments, orders, rules and regulations of any Governmental Entity, internal policies and contractual obligations relating to the privacy and security of IT Systems and Data and to the protection of such IT Systems and Data from unauthorized use, access, misappropriation or modification.</w:t>
      </w:r>
    </w:p>
    <w:p>
      <w:pPr>
        <w:spacing w:after="0" w:line="110" w:lineRule="exact"/>
        <w:rPr>
          <w:rFonts w:ascii="Arial" w:cs="Arial" w:eastAsia="Arial" w:hAnsi="Arial"/>
          <w:sz w:val="16"/>
          <w:szCs w:val="16"/>
          <w:color w:val="auto"/>
        </w:rPr>
      </w:pPr>
    </w:p>
    <w:p>
      <w:pPr>
        <w:jc w:val="both"/>
        <w:ind w:left="-20" w:firstLine="656"/>
        <w:spacing w:after="0" w:line="259" w:lineRule="auto"/>
        <w:tabs>
          <w:tab w:leader="none" w:pos="10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the Pricing Disclosure Package and the Prospectus, the Company has not sold, issued or distributed any shares of Common Stock during the six month period preceding the date hereof, including any sales pursuant to Rule 144A under, or Regulation D or S of, the Act, other than shares issued pursuant to Company Stock Plans.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712" w:right="239" w:bottom="1440" w:gutter="0" w:footer="0" w:header="0"/>
        </w:sectPr>
      </w:pPr>
    </w:p>
    <w:bookmarkStart w:id="14" w:name="page15"/>
    <w:bookmarkEnd w:id="14"/>
    <w:p>
      <w:pPr>
        <w:ind w:firstLine="656"/>
        <w:spacing w:after="0" w:line="268" w:lineRule="auto"/>
        <w:tabs>
          <w:tab w:leader="none" w:pos="100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are no debt securities or preferred stock issued, or guaranteed by, the Company or any of its subsidiaries that are rated by a “nationally recognized statistical rating organization,” as such term is defined in Section 3(a)(62) of the Exchange Act.</w:t>
      </w:r>
    </w:p>
    <w:p>
      <w:pPr>
        <w:spacing w:after="0" w:line="118" w:lineRule="exact"/>
        <w:rPr>
          <w:sz w:val="20"/>
          <w:szCs w:val="20"/>
          <w:color w:val="auto"/>
        </w:rPr>
      </w:pPr>
    </w:p>
    <w:p>
      <w:pPr>
        <w:jc w:val="both"/>
        <w:ind w:firstLine="656"/>
        <w:spacing w:after="0" w:line="288" w:lineRule="auto"/>
        <w:tabs>
          <w:tab w:leader="none" w:pos="861"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Subject to the terms and conditions herein set forth, (a) the Company agrees to issue and sell to each of the Underwriters, and each of the Underwriters agrees, severally and not jointly, to purchase from the Company, at a purchase price per share of $0.93, the number of Firm Securities set forth opposite the name of such Underwriter in Schedule I hereto and (b) in the event and to the extent that the Underwriters shall exercise the election to purchase Optional Securities as provided below, the Company agrees to issue and sell to each of the Underwriters, and each of the Underwriters agrees, severally and not jointly, to purchase from the Company, at the purchase price per share set forth in clause (a) of this Section 2, that portion of the number of Optional Securities as to which such election shall have been exercised (to be adjusted by you so as to eliminate fractional shares) determined by multiplying such number of Optional Securities by a fraction, the numerator of which is the maximum number of Optional Securities which such Underwriter is entitled to purchase as set forth opposite the name of such Underwriter in Schedule I hereto and the denominator of which is the maximum number of Optional Securities that all of the Underwriters are entitled to purchase hereunder.</w:t>
      </w:r>
    </w:p>
    <w:p>
      <w:pPr>
        <w:spacing w:after="0" w:line="10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hereby grants to the Underwriters the right to purchase at their election up to 1,500,000 Optional Securities, at the purchase price per share set forth in the paragraph above, for the sole purpose of covering sales of shares in excess of the number of Firm Securities, provided that the purchase price per Optional Share shall be reduced by an amount per share equal to any dividends or distributions declared by the Company and payable on the Firm Securities but not payable on the Optional Securities. Any such election to purchase Optional Securities may be exercised only by written notice from you to the Company, given within a period of 30 calendar days after the date of this Agreement, setting forth the aggregate number of Optional Securities to be purchased and the date on which such Optional Securities are to be delivered, as determined by you but in no event earlier than the First Time of Delivery (as defined in Section 4 hereof) or, unless you and the Company otherwise agree in writing, earlier than two or later than ten business days after the date of such notice.</w:t>
      </w:r>
    </w:p>
    <w:p>
      <w:pPr>
        <w:spacing w:after="0" w:line="105" w:lineRule="exact"/>
        <w:rPr>
          <w:sz w:val="20"/>
          <w:szCs w:val="20"/>
          <w:color w:val="auto"/>
        </w:rPr>
      </w:pPr>
    </w:p>
    <w:p>
      <w:pPr>
        <w:ind w:firstLine="656"/>
        <w:spacing w:after="0" w:line="268" w:lineRule="auto"/>
        <w:tabs>
          <w:tab w:leader="none" w:pos="8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the authorization by you of the release of the Firm Securities, the several Underwriters propose to offer the Firm Securities for sale upon the terms and conditions set forth in the Prospectus.</w:t>
      </w:r>
    </w:p>
    <w:p>
      <w:pPr>
        <w:spacing w:after="0" w:line="118" w:lineRule="exact"/>
        <w:rPr>
          <w:rFonts w:ascii="Arial" w:cs="Arial" w:eastAsia="Arial" w:hAnsi="Arial"/>
          <w:sz w:val="18"/>
          <w:szCs w:val="18"/>
          <w:color w:val="auto"/>
        </w:rPr>
      </w:pPr>
    </w:p>
    <w:p>
      <w:pPr>
        <w:jc w:val="both"/>
        <w:ind w:firstLine="656"/>
        <w:spacing w:after="0" w:line="286" w:lineRule="auto"/>
        <w:tabs>
          <w:tab w:leader="none" w:pos="838"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The Securities to be purchased by each Underwriter hereunder, in definitive form, and in such authorized denominations and registered in such names as William Blair &amp; Company, L.L.C. may request upon at least forty-eight hours’ prior notice to the Company shall be delivered by or on behalf of the Company to the Representative, through the facilities of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for the account of such Underwriter, against payment by or on behalf of such Underwriter of the purchase price therefor by wire transfer of Federal (same-day) funds to the account specified by the Company to the William Blair &amp; Company, L.L.C. at least forty-eight hours in advance. The time and date of such delivery and payment shall be, with respect to the Firm Securities, 9:30 a.m., New York City time, on February 28, 2019 or such other time and date as William Blair &amp; Company, L.L.C. and the Company may agree upon in writing, and, with respect to the Optional Securities, 9:30 a.m., New York City time, on the date specified by William Blair &amp; Company, L.L.C. in the written notice given by William Blair &amp; Company, L.L.C. of the Underwriters’ election to purchase such Optional Securities, or such other time and date as William Blair &amp; Company, L.L.C. and the Company may agree upon in writing. Such time and date for delivery of the Firm Securities is herein called the “</w:t>
      </w:r>
      <w:r>
        <w:rPr>
          <w:rFonts w:ascii="Arial" w:cs="Arial" w:eastAsia="Arial" w:hAnsi="Arial"/>
          <w:sz w:val="16"/>
          <w:szCs w:val="16"/>
          <w:b w:val="1"/>
          <w:bCs w:val="1"/>
          <w:i w:val="1"/>
          <w:iCs w:val="1"/>
          <w:color w:val="auto"/>
        </w:rPr>
        <w:t>First Time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Delivery</w:t>
      </w:r>
      <w:r>
        <w:rPr>
          <w:rFonts w:ascii="Arial" w:cs="Arial" w:eastAsia="Arial" w:hAnsi="Arial"/>
          <w:sz w:val="16"/>
          <w:szCs w:val="16"/>
          <w:color w:val="auto"/>
        </w:rPr>
        <w:t>”, such time and date for delivery of the Optional Securities, if not the First Time of Delivery, is herein called the “</w:t>
      </w:r>
      <w:r>
        <w:rPr>
          <w:rFonts w:ascii="Arial" w:cs="Arial" w:eastAsia="Arial" w:hAnsi="Arial"/>
          <w:sz w:val="16"/>
          <w:szCs w:val="16"/>
          <w:b w:val="1"/>
          <w:bCs w:val="1"/>
          <w:i w:val="1"/>
          <w:iCs w:val="1"/>
          <w:color w:val="auto"/>
        </w:rPr>
        <w:t>Second Time of Delivery</w:t>
      </w:r>
      <w:r>
        <w:rPr>
          <w:rFonts w:ascii="Arial" w:cs="Arial" w:eastAsia="Arial" w:hAnsi="Arial"/>
          <w:sz w:val="16"/>
          <w:szCs w:val="16"/>
          <w:color w:val="auto"/>
        </w:rPr>
        <w:t>”, and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time and date for delivery is herein called a “</w:t>
      </w:r>
      <w:r>
        <w:rPr>
          <w:rFonts w:ascii="Arial" w:cs="Arial" w:eastAsia="Arial" w:hAnsi="Arial"/>
          <w:sz w:val="16"/>
          <w:szCs w:val="16"/>
          <w:b w:val="1"/>
          <w:bCs w:val="1"/>
          <w:i w:val="1"/>
          <w:iCs w:val="1"/>
          <w:color w:val="auto"/>
        </w:rPr>
        <w:t>Time of Delivery</w:t>
      </w:r>
      <w:r>
        <w:rPr>
          <w:rFonts w:ascii="Arial" w:cs="Arial" w:eastAsia="Arial" w:hAnsi="Arial"/>
          <w:sz w:val="16"/>
          <w:szCs w:val="16"/>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15" w:name="page16"/>
    <w:bookmarkEnd w:id="15"/>
    <w:p>
      <w:pPr>
        <w:jc w:val="both"/>
        <w:ind w:firstLine="656"/>
        <w:spacing w:after="0" w:line="254" w:lineRule="auto"/>
        <w:tabs>
          <w:tab w:leader="none" w:pos="89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documents to be delivered at each Time of Delivery by or on behalf of the parties hereto pursuant to Section 8 hereof, including the cross-receipt for the Securities and any additional documents requested by the Underwriters pursuant to Section 8(l) hereof, will be delivered at the offices of Latham &amp; Watkins LLP, at 330 North Wabash Avenue, Suite 2800, Chicago, Illinois 60611 (the “</w:t>
      </w:r>
      <w:r>
        <w:rPr>
          <w:rFonts w:ascii="Arial" w:cs="Arial" w:eastAsia="Arial" w:hAnsi="Arial"/>
          <w:sz w:val="18"/>
          <w:szCs w:val="18"/>
          <w:b w:val="1"/>
          <w:bCs w:val="1"/>
          <w:i w:val="1"/>
          <w:iCs w:val="1"/>
          <w:color w:val="auto"/>
        </w:rPr>
        <w:t>Closing Location</w:t>
      </w:r>
      <w:r>
        <w:rPr>
          <w:rFonts w:ascii="Arial" w:cs="Arial" w:eastAsia="Arial" w:hAnsi="Arial"/>
          <w:sz w:val="18"/>
          <w:szCs w:val="18"/>
          <w:color w:val="auto"/>
        </w:rPr>
        <w:t>”), and the Securities will be delivered at the office of DTC (or its designated custodian), all at such Time of Delivery. A meeting will be held at the Closing Location at 4:00 p.m., New York City time, on the New York Business Day immediately preceding such Time of Delivery, at which meeting the final drafts of the documents to be delivered pursuant to the preceding sentence will be available for review by the parties hereto.</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 The Company agrees with each of the Underwriters:</w:t>
      </w:r>
    </w:p>
    <w:p>
      <w:pPr>
        <w:spacing w:after="0" w:line="158" w:lineRule="exact"/>
        <w:rPr>
          <w:sz w:val="20"/>
          <w:szCs w:val="20"/>
          <w:color w:val="auto"/>
        </w:rPr>
      </w:pPr>
    </w:p>
    <w:p>
      <w:pPr>
        <w:jc w:val="both"/>
        <w:ind w:firstLine="656"/>
        <w:spacing w:after="0" w:line="285" w:lineRule="auto"/>
        <w:tabs>
          <w:tab w:leader="none" w:pos="92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prepare the Prospectus in a form approved by you and to file such Prospectus pursuant to Rule 424(b) under the Act not later than the Commission’s close of business on the second business day following the execution and delivery of this Agreement or such earlier time as may be required under the Act; to make no further amendment or any supplement to the Registration Statement, the Basic Prospectus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other material required to be filed by the Company with the Commission pursuant to Rule 433(d) under the Act, within the time required by such rule;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Securities; to advise you, promptly after it receives notice thereof, of the issuance by the Commission of any stop order or of any order preventing or suspending the use of any Preliminary Prospectus or other prospectus in respect of the Securities, of the suspension of the qualification of the Securities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112" w:lineRule="exact"/>
        <w:rPr>
          <w:rFonts w:ascii="Arial" w:cs="Arial" w:eastAsia="Arial" w:hAnsi="Arial"/>
          <w:sz w:val="16"/>
          <w:szCs w:val="16"/>
          <w:color w:val="auto"/>
        </w:rPr>
      </w:pPr>
    </w:p>
    <w:p>
      <w:pPr>
        <w:jc w:val="both"/>
        <w:ind w:firstLine="656"/>
        <w:spacing w:after="0" w:line="255" w:lineRule="auto"/>
        <w:tabs>
          <w:tab w:leader="none" w:pos="899"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Promptly from time to time to take such action as you may reasonably request to qualify the Securities for offering and sale under the securities laws of such jurisdictions as you may request and to comply with such laws so as to permit the continuance of sales and dealings therein in such jurisdictions for as long as may be necessary to complete the distribution of the Securities, provided that in connection therewith the Company shall not be required to qualify as a foreign corporation or to file a general consent to service of process in any jurisdiction or subject itself to taxation in any jurisdiction in which it is not otherwise subject to taxation on the date hereof;</w:t>
      </w:r>
    </w:p>
    <w:p>
      <w:pPr>
        <w:spacing w:after="0" w:line="129" w:lineRule="exact"/>
        <w:rPr>
          <w:rFonts w:ascii="Arial" w:cs="Arial" w:eastAsia="Arial" w:hAnsi="Arial"/>
          <w:sz w:val="18"/>
          <w:szCs w:val="18"/>
          <w:color w:val="auto"/>
        </w:rPr>
      </w:pPr>
    </w:p>
    <w:p>
      <w:pPr>
        <w:jc w:val="both"/>
        <w:ind w:firstLine="656"/>
        <w:spacing w:after="0" w:line="285" w:lineRule="auto"/>
        <w:tabs>
          <w:tab w:leader="none" w:pos="907"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Prior to 10:00 a.m., New York City time, on the New York Business Day next succeeding the date of this Agreement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Securities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you and upon your request to file such document and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Securities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16" w:name="page17"/>
    <w:bookmarkEnd w:id="16"/>
    <w:p>
      <w:pPr>
        <w:jc w:val="both"/>
        <w:ind w:firstLine="656"/>
        <w:spacing w:after="0" w:line="306" w:lineRule="auto"/>
        <w:tabs>
          <w:tab w:leader="none" w:pos="901"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make generally available to its securityholders as soon as practicable,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93" w:lineRule="exact"/>
        <w:rPr>
          <w:rFonts w:ascii="Arial" w:cs="Arial" w:eastAsia="Arial" w:hAnsi="Arial"/>
          <w:sz w:val="16"/>
          <w:szCs w:val="16"/>
          <w:color w:val="auto"/>
        </w:rPr>
      </w:pPr>
    </w:p>
    <w:p>
      <w:pPr>
        <w:jc w:val="both"/>
        <w:ind w:firstLine="656"/>
        <w:spacing w:after="0" w:line="285" w:lineRule="auto"/>
        <w:tabs>
          <w:tab w:leader="none" w:pos="899" w:val="left"/>
        </w:tabs>
        <w:numPr>
          <w:ilvl w:val="0"/>
          <w:numId w:val="22"/>
        </w:numPr>
        <w:rPr>
          <w:rFonts w:ascii="Arial" w:cs="Arial" w:eastAsia="Arial" w:hAnsi="Arial"/>
          <w:sz w:val="16"/>
          <w:szCs w:val="16"/>
          <w:color w:val="auto"/>
        </w:rPr>
      </w:pPr>
      <w:r>
        <w:rPr>
          <w:rFonts w:ascii="Arial" w:cs="Arial" w:eastAsia="Arial" w:hAnsi="Arial"/>
          <w:sz w:val="16"/>
          <w:szCs w:val="16"/>
          <w:color w:val="auto"/>
        </w:rPr>
        <w:t>During the period beginning from the date hereof and continuing to and including the date 90 days after the date of the Prospectus (the “</w:t>
      </w:r>
      <w:r>
        <w:rPr>
          <w:rFonts w:ascii="Arial" w:cs="Arial" w:eastAsia="Arial" w:hAnsi="Arial"/>
          <w:sz w:val="16"/>
          <w:szCs w:val="16"/>
          <w:b w:val="1"/>
          <w:bCs w:val="1"/>
          <w:i w:val="1"/>
          <w:iCs w:val="1"/>
          <w:color w:val="auto"/>
        </w:rPr>
        <w:t>Lock-Up</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not to (i) offer, sell, contract to sell, pledge, grant any option to purchase, make any short sale or otherwise transfer or dispose of, directly or indirectly,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file with the Commission a registration statement under the Act relating to, any securities of the Company that are substantially similar to the Securities, including but not limited to any options or warrants to purchase shares of Common Stock or any securities that are convertible into or exchangeable for, or that represent the right to receive, Common Stock, or any such substantially similar securities, or publicly disclose the intention to make any offer, sale, pledge, disposition or filing or (ii) enter into any swap or other agreement that transfers, in whole or in part, any of the economic consequences of ownership of the Common Stock, or any such other securities, whether any such transaction described in clause (i) or (ii) above is to be settled by delivery of Common Stock or such other securities, in cash or otherwise, without the prior written consent of the Representative (other than (A) the Securities to be sold to the Underwriters hereunder, (B) the issuance of options, warrants or other equity awards to acquire shares of Common Stock granted pursuant to the Company Stock Plans that are described in the Prospectus, as such plans may be amended, (C) the issuance of shares of Common Stock upon the exercise of any such options, warrants or other equity awards to acquire shares of Common Stock, (D) shares of Common Stock issued upon exercise of outstanding warrants, (E) shares of Common Stock issuable upon conversion of outstanding shares of the Company’s Series B 10% Convertible Preferred Stock (the “</w:t>
      </w:r>
      <w:r>
        <w:rPr>
          <w:rFonts w:ascii="Arial" w:cs="Arial" w:eastAsia="Arial" w:hAnsi="Arial"/>
          <w:sz w:val="16"/>
          <w:szCs w:val="16"/>
          <w:b w:val="1"/>
          <w:bCs w:val="1"/>
          <w:i w:val="1"/>
          <w:iCs w:val="1"/>
          <w:color w:val="auto"/>
        </w:rPr>
        <w:t>Series B Preferred</w:t>
      </w:r>
      <w:r>
        <w:rPr>
          <w:rFonts w:ascii="Arial" w:cs="Arial" w:eastAsia="Arial" w:hAnsi="Arial"/>
          <w:sz w:val="16"/>
          <w:szCs w:val="16"/>
          <w:color w:val="auto"/>
        </w:rPr>
        <w:t>”), and (F) in connection with any conversion of outstanding shares of Series B Preferred, shares of Common Stock issuable as payment of any accrued, but unpaid dividends on the shares of Series B Preferred to be converted;</w:t>
      </w:r>
    </w:p>
    <w:p>
      <w:pPr>
        <w:spacing w:after="0" w:line="114" w:lineRule="exact"/>
        <w:rPr>
          <w:rFonts w:ascii="Arial" w:cs="Arial" w:eastAsia="Arial" w:hAnsi="Arial"/>
          <w:sz w:val="16"/>
          <w:szCs w:val="16"/>
          <w:color w:val="auto"/>
        </w:rPr>
      </w:pPr>
    </w:p>
    <w:p>
      <w:pPr>
        <w:jc w:val="both"/>
        <w:ind w:firstLine="656"/>
        <w:spacing w:after="0" w:line="306"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the Commission the filing fee for the Rule 462(b) Registration Statement or give irrevocable instructions for the payment of such fee pursuant to Rule 111(b) under the Act;</w:t>
      </w:r>
    </w:p>
    <w:p>
      <w:pPr>
        <w:spacing w:after="0" w:line="93" w:lineRule="exact"/>
        <w:rPr>
          <w:rFonts w:ascii="Arial" w:cs="Arial" w:eastAsia="Arial" w:hAnsi="Arial"/>
          <w:sz w:val="16"/>
          <w:szCs w:val="16"/>
          <w:color w:val="auto"/>
        </w:rPr>
      </w:pPr>
    </w:p>
    <w:p>
      <w:pPr>
        <w:ind w:right="20" w:firstLine="656"/>
        <w:spacing w:after="0" w:line="268" w:lineRule="auto"/>
        <w:tabs>
          <w:tab w:leader="none" w:pos="9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Securities pursuant to this Agreement in the manner specified in the Pricing Prospectus under the caption “Use of Proceeds”;</w:t>
      </w:r>
    </w:p>
    <w:p>
      <w:pPr>
        <w:spacing w:after="0" w:line="118" w:lineRule="exact"/>
        <w:rPr>
          <w:rFonts w:ascii="Arial" w:cs="Arial" w:eastAsia="Arial" w:hAnsi="Arial"/>
          <w:sz w:val="18"/>
          <w:szCs w:val="18"/>
          <w:color w:val="auto"/>
        </w:rPr>
      </w:pPr>
    </w:p>
    <w:p>
      <w:pPr>
        <w:ind w:left="900" w:hanging="244"/>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use its best efforts to list, subject to notice of issuance, the Securities on the NASDAQ; and</w:t>
      </w:r>
    </w:p>
    <w:p>
      <w:pPr>
        <w:spacing w:after="0" w:line="373" w:lineRule="exact"/>
        <w:rPr>
          <w:rFonts w:ascii="Arial" w:cs="Arial" w:eastAsia="Arial" w:hAnsi="Arial"/>
          <w:sz w:val="18"/>
          <w:szCs w:val="18"/>
          <w:color w:val="auto"/>
        </w:rPr>
      </w:pPr>
    </w:p>
    <w:p>
      <w:pPr>
        <w:jc w:val="both"/>
        <w:ind w:firstLine="656"/>
        <w:spacing w:after="0" w:line="256" w:lineRule="auto"/>
        <w:tabs>
          <w:tab w:leader="none" w:pos="8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Securities (the “</w:t>
      </w:r>
      <w:r>
        <w:rPr>
          <w:rFonts w:ascii="Arial" w:cs="Arial" w:eastAsia="Arial" w:hAnsi="Arial"/>
          <w:sz w:val="18"/>
          <w:szCs w:val="18"/>
          <w:b w:val="1"/>
          <w:bCs w:val="1"/>
          <w:i w:val="1"/>
          <w:iCs w:val="1"/>
          <w:color w:val="auto"/>
        </w:rPr>
        <w:t>License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License shall be used solely for the purpose described above, is granted without any fee and may not be assigned or transferred.</w:t>
      </w:r>
    </w:p>
    <w:p>
      <w:pPr>
        <w:spacing w:after="0" w:line="197" w:lineRule="exact"/>
        <w:rPr>
          <w:rFonts w:ascii="Arial" w:cs="Arial" w:eastAsia="Arial" w:hAnsi="Arial"/>
          <w:sz w:val="18"/>
          <w:szCs w:val="18"/>
          <w:color w:val="auto"/>
        </w:rPr>
      </w:pPr>
    </w:p>
    <w:p>
      <w:pPr>
        <w:jc w:val="both"/>
        <w:ind w:firstLine="656"/>
        <w:spacing w:after="0" w:line="288" w:lineRule="auto"/>
        <w:tabs>
          <w:tab w:leader="none" w:pos="864"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represents and agrees that, unless it obtains the prior written consent of the Representative, and each Underwriter severally represents and agrees that, unless it obtains the prior written consent of the Company and the Representative, it has not made and will not make any offer relating to the Securities that would constitute an issuer free writing prospectus or that would otherwise constitute a free writing prospectus required to be filed with the Commission; provided that the prior written consent of the parties hereto shall be deemed to have been given in respect of the free writing prospectuses included in Schedule II. Any such free writing prospectus consented to by the Company and the Representative is hereinafter referred to as a “</w:t>
      </w:r>
      <w:r>
        <w:rPr>
          <w:rFonts w:ascii="Arial" w:cs="Arial" w:eastAsia="Arial" w:hAnsi="Arial"/>
          <w:sz w:val="16"/>
          <w:szCs w:val="16"/>
          <w:b w:val="1"/>
          <w:bCs w:val="1"/>
          <w:i w:val="1"/>
          <w:iCs w:val="1"/>
          <w:color w:val="auto"/>
        </w:rPr>
        <w:t>Permitted Free Writing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Prospectus</w:t>
      </w:r>
      <w:r>
        <w:rPr>
          <w:rFonts w:ascii="Arial" w:cs="Arial" w:eastAsia="Arial" w:hAnsi="Arial"/>
          <w:sz w:val="16"/>
          <w:szCs w:val="16"/>
          <w:i w:val="1"/>
          <w:iCs w:val="1"/>
          <w:color w:val="auto"/>
        </w:rPr>
        <w:t>.</w:t>
      </w:r>
      <w:r>
        <w:rPr>
          <w:rFonts w:ascii="Arial" w:cs="Arial" w:eastAsia="Arial" w:hAnsi="Arial"/>
          <w:sz w:val="16"/>
          <w:szCs w:val="16"/>
          <w:color w:val="auto"/>
        </w:rPr>
        <w:t>” The Company represents that it has treated or agrees that it will treat each Permitted Free Writing Prospectus as an issuer free writing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has complied and will comply with the requirements of Rules 164 and 433 of the Rules and Regulations applicable to any Permitted Free Writing Prospectus. The Company represents that it has satisfied and agrees that it will satisfy the conditions in Rule 433 to avoid a requirement to file with the Commission any electronic road show.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17" w:name="page18"/>
    <w:bookmarkEnd w:id="17"/>
    <w:p>
      <w:pPr>
        <w:jc w:val="both"/>
        <w:ind w:firstLine="648"/>
        <w:spacing w:after="0" w:line="294" w:lineRule="auto"/>
        <w:rPr>
          <w:sz w:val="20"/>
          <w:szCs w:val="20"/>
          <w:color w:val="auto"/>
        </w:rPr>
      </w:pPr>
      <w:r>
        <w:rPr>
          <w:rFonts w:ascii="Arial" w:cs="Arial" w:eastAsia="Arial" w:hAnsi="Arial"/>
          <w:sz w:val="16"/>
          <w:szCs w:val="16"/>
          <w:color w:val="auto"/>
        </w:rPr>
        <w:t>6.(a) The Company represents and agrees that, without the prior consent of the Representative, it has not made and will not make any offer relating to the Securities that would constitute a “free writing prospectus” as defined in Rule 405 under the Act, other than any such free writing prospectus the use of which has been consented to by the Representative and which is listed on Schedule II(a) hereto; each Underwriter represents and agrees that, without the prior consent of the Company and the Representative, it has not made and will not make any offer relating to the Securities that would constitute a free writing prospectus, other than any such free writing prospectus the use of which has been consented to by the Company and the Representative is listed on Schedule II(a) hereto;</w:t>
      </w:r>
    </w:p>
    <w:p>
      <w:pPr>
        <w:spacing w:after="0" w:line="102" w:lineRule="exact"/>
        <w:rPr>
          <w:sz w:val="20"/>
          <w:szCs w:val="20"/>
          <w:color w:val="auto"/>
        </w:rPr>
      </w:pPr>
    </w:p>
    <w:p>
      <w:pPr>
        <w:ind w:firstLine="656"/>
        <w:spacing w:after="0" w:line="268" w:lineRule="auto"/>
        <w:tabs>
          <w:tab w:leader="none" w:pos="9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has complied and will comply with the requirements of Rule 433 under the Act applicable to any Issuer Free Writing Prospectus, including timely filing with the Commission or retention where required and legending; and</w:t>
      </w:r>
    </w:p>
    <w:p>
      <w:pPr>
        <w:spacing w:after="0" w:line="118" w:lineRule="exact"/>
        <w:rPr>
          <w:rFonts w:ascii="Arial" w:cs="Arial" w:eastAsia="Arial" w:hAnsi="Arial"/>
          <w:sz w:val="18"/>
          <w:szCs w:val="18"/>
          <w:color w:val="auto"/>
        </w:rPr>
      </w:pPr>
    </w:p>
    <w:p>
      <w:pPr>
        <w:jc w:val="both"/>
        <w:ind w:firstLine="656"/>
        <w:spacing w:after="0" w:line="289" w:lineRule="auto"/>
        <w:tabs>
          <w:tab w:leader="none" w:pos="89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 agrees that if at any time following issuance of an Issuer Free Writing Prospectus any event occurred or occurs as a result of which such Issuer Free Writing Prospectus would conflict with the information in the Registration Statement, the Pricing Disclosure Package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 and, if requested by the Representative, will prepare and furnish without charge to each Underwriter an Issuer Free Writing Prospectus or other document which will correct such conflict, statement or omission; provided, however, that this representation and warranty shall not apply to any statements or omissions in an Issuer Free Writing Prospectus made in reliance upon and in conformity with information furnished in writing to the Company by an Underwriter through the Representative expressly for use therein, it being understood and agreed that the only such information provided by any Underwriter through the Representative is that identified as such in Section 9(b).</w:t>
      </w:r>
    </w:p>
    <w:p>
      <w:pPr>
        <w:spacing w:after="0" w:line="105" w:lineRule="exact"/>
        <w:rPr>
          <w:sz w:val="20"/>
          <w:szCs w:val="20"/>
          <w:color w:val="auto"/>
        </w:rPr>
      </w:pPr>
    </w:p>
    <w:p>
      <w:pPr>
        <w:jc w:val="both"/>
        <w:ind w:firstLine="656"/>
        <w:spacing w:after="0" w:line="304" w:lineRule="auto"/>
        <w:tabs>
          <w:tab w:leader="none" w:pos="856"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reproduction and filing of the Registration Statement, the Basic Prospectus, any Preliminary Prospectus,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Securities; (iii) all expenses in connection with the qualification of the Securities for offering and sale under state securities laws, including the fees and disbursements of counsel for the Underwriters in connection with such qualification and in connection with the Blue Sky survey (such fees not to exceed $5,000); (iv) all fees and expenses in connection with listing the Securities on the NASDAQ; (v) if applicable, the filing fees incident to, and the fees and disbursements of counsel for the Underwriters in connection with, any required review by FINRA of the terms of the sale of the Securities (such fees not to exceed $25,000); (vi) if applicable, the costs incidental to the issuance of the Securities, including the costs of preparation, printing and distribution of one or more versions of the Preliminary Prospectus and the Prospectus for distribution in Canada, in the form of a Canadian “wrapper” (including related fees and disbursements of Canadian counsel to the Underwriters; (vii) the cost of preparing stock certificates, if applicable; (viii) the cost and charges of any transfer agent or registrar; (ix)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in connection with the road show presentations, travel and lodging expenses of the representatives and officers of the Company and any such consultants, and the cost of aircraft and other transportation chartered in connection with the road show; and (x) all other costs and expenses incident to the performance of its obligations hereunder which are not otherwise specifically provided for in this Section 7. It is understood, however, that, except as provided in this Section 7, Sections 9 and 12 hereof and the engagement letter dated October 18, 2018, between William Blair &amp; Company, L.L.C. and the Company, the Underwriters will pay all of their own costs and expenses, including the fees of their counsel, transfer taxes on resale of any of the Securities by them, and any advertising expenses connected with any offers they may make.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18" w:name="page19"/>
    <w:bookmarkEnd w:id="18"/>
    <w:p>
      <w:pPr>
        <w:jc w:val="both"/>
        <w:ind w:firstLine="656"/>
        <w:spacing w:after="0" w:line="306" w:lineRule="auto"/>
        <w:tabs>
          <w:tab w:leader="none" w:pos="82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obligations of the Underwriters hereunder, as to the Securities to be delivered at each Time of Delivery, shall be subject, in their discretion, to the condition that all representations and warranties and other statements of the Company herein are, at and as of such Time of Delivery, true and correct, the condition that the Company shall have performed all of its obligations hereunder theretofore to be performed, and the following additional conditions:</w:t>
      </w:r>
    </w:p>
    <w:p>
      <w:pPr>
        <w:spacing w:after="0" w:line="93" w:lineRule="exact"/>
        <w:rPr>
          <w:sz w:val="20"/>
          <w:szCs w:val="20"/>
          <w:color w:val="auto"/>
        </w:rPr>
      </w:pPr>
    </w:p>
    <w:p>
      <w:pPr>
        <w:jc w:val="both"/>
        <w:ind w:firstLine="656"/>
        <w:spacing w:after="0" w:line="289"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filings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threatened by the Commission; no stop order suspending or preventing the use of the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104" w:lineRule="exact"/>
        <w:rPr>
          <w:rFonts w:ascii="Arial" w:cs="Arial" w:eastAsia="Arial" w:hAnsi="Arial"/>
          <w:sz w:val="16"/>
          <w:szCs w:val="16"/>
          <w:color w:val="auto"/>
        </w:rPr>
      </w:pPr>
    </w:p>
    <w:p>
      <w:pPr>
        <w:jc w:val="both"/>
        <w:ind w:firstLine="656"/>
        <w:spacing w:after="0" w:line="259" w:lineRule="auto"/>
        <w:tabs>
          <w:tab w:leader="none" w:pos="9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Latham &amp; Watkins LLP, counsel for the Underwriters, shall have furnished to you such written opinion or opinions, dated such Time of Delivery, in form and substance satisfactory to you, with respect to the matters you may reasonably request, and such counsel shall have received such papers and information as they may reasonably request to enable them to pass upon such matters;</w:t>
      </w:r>
    </w:p>
    <w:p>
      <w:pPr>
        <w:spacing w:after="0" w:line="126" w:lineRule="exact"/>
        <w:rPr>
          <w:rFonts w:ascii="Arial" w:cs="Arial" w:eastAsia="Arial" w:hAnsi="Arial"/>
          <w:sz w:val="18"/>
          <w:szCs w:val="18"/>
          <w:color w:val="auto"/>
        </w:rPr>
      </w:pPr>
    </w:p>
    <w:p>
      <w:pPr>
        <w:jc w:val="both"/>
        <w:ind w:firstLine="656"/>
        <w:spacing w:after="0" w:line="259" w:lineRule="auto"/>
        <w:tabs>
          <w:tab w:leader="none" w:pos="9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Disclosure Law Group, a Professional Corporation, counsel for the Company, shall have furnished to you their written opinion and a negative assurance letter and (ii) Capital Technology Law Group, intellectual property counsel to the Company, shall have furnished to you his written opinion regarding intellectual property matters, dated such Time of Delivery, each in form and substance satisfactory to you;</w:t>
      </w:r>
    </w:p>
    <w:p>
      <w:pPr>
        <w:spacing w:after="0" w:line="126" w:lineRule="exact"/>
        <w:rPr>
          <w:rFonts w:ascii="Arial" w:cs="Arial" w:eastAsia="Arial" w:hAnsi="Arial"/>
          <w:sz w:val="18"/>
          <w:szCs w:val="18"/>
          <w:color w:val="auto"/>
        </w:rPr>
      </w:pPr>
    </w:p>
    <w:p>
      <w:pPr>
        <w:jc w:val="both"/>
        <w:ind w:firstLine="656"/>
        <w:spacing w:after="0" w:line="335" w:lineRule="auto"/>
        <w:tabs>
          <w:tab w:leader="none" w:pos="921" w:val="left"/>
        </w:tabs>
        <w:numPr>
          <w:ilvl w:val="0"/>
          <w:numId w:val="26"/>
        </w:numPr>
        <w:rPr>
          <w:rFonts w:ascii="Arial" w:cs="Arial" w:eastAsia="Arial" w:hAnsi="Arial"/>
          <w:sz w:val="15"/>
          <w:szCs w:val="15"/>
          <w:color w:val="auto"/>
        </w:rPr>
      </w:pPr>
      <w:r>
        <w:rPr>
          <w:rFonts w:ascii="Arial" w:cs="Arial" w:eastAsia="Arial" w:hAnsi="Arial"/>
          <w:sz w:val="15"/>
          <w:szCs w:val="15"/>
          <w:color w:val="auto"/>
        </w:rPr>
        <w:t>On the date of the Prospectus at a time prior to the execution of this Agreement, on the effective date of any post-effective amendment to the Registration Statement filed subsequent to the date of this Agreement and also at each Time of Delivery, OUM &amp; Co. LLP shall have furnished to you a comfort letter or letters, dated the respective dates of delivery thereof, in form and substance satisfactory to the Representative, in form and substance satisfactory to you;</w:t>
      </w:r>
    </w:p>
    <w:p>
      <w:pPr>
        <w:spacing w:after="0" w:line="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(e)(i) Neither the Company nor any of its subsidiaries shall have sustained since the date of the latest audited financial statements included or incorporated by reference in the Pricing Disclosure Package any loss or interference with its business from fire, explosion, flood or other calamity, whether or not covered by insurance, or from any labor dispute or court or governmental action, order or decree, otherwise than as set forth or contemplated in the Pricing Disclosure Package, and (ii) since the respective dates as of which information is given in the Pricing Disclosure Package there shall not have been any change in the capital stock or long-term debt of the Company or any of its subsidiaries or any change, or any development involving a prospective change, in or affecting the properties, business, management, prospects, operations, earnings, assets, liabilities or condition (financial or otherwise) of the Company and its subsidiaries, otherwise than as set forth or contemplated in the Pricing Disclosure Package, the effect of which, in any such case described in clause (i) or (ii), is in your judgment so material and adverse as to make it impracticable or inadvisable to proceed with the public offering or the delivery of the Securities being delivered at such Time of Delivery on the terms and in the manner contemplated in the Prospectus;</w:t>
      </w:r>
    </w:p>
    <w:p>
      <w:pPr>
        <w:spacing w:after="0" w:line="106" w:lineRule="exact"/>
        <w:rPr>
          <w:sz w:val="20"/>
          <w:szCs w:val="20"/>
          <w:color w:val="auto"/>
        </w:rPr>
      </w:pPr>
    </w:p>
    <w:p>
      <w:pPr>
        <w:jc w:val="both"/>
        <w:ind w:firstLine="656"/>
        <w:spacing w:after="0" w:line="256" w:lineRule="auto"/>
        <w:tabs>
          <w:tab w:leader="none" w:pos="9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or after the Applicable Time (i) no downgrading shall have occurred in the rating accorded the Company’s securities by any “nationally recognized statistical rating organization,” as that term is defined by the Commission for purposes of Section 3(a)(62) of the Exchange Act, and (ii) no such organization shall have publicly announced that it has under surveillance or review, with possible negative implications, its rating of any of the Company’s debt securities;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19" w:name="page20"/>
    <w:bookmarkEnd w:id="19"/>
    <w:p>
      <w:pPr>
        <w:jc w:val="both"/>
        <w:ind w:firstLine="656"/>
        <w:spacing w:after="0" w:line="286" w:lineRule="auto"/>
        <w:tabs>
          <w:tab w:leader="none" w:pos="912" w:val="left"/>
        </w:tabs>
        <w:numPr>
          <w:ilvl w:val="1"/>
          <w:numId w:val="28"/>
        </w:numPr>
        <w:rPr>
          <w:rFonts w:ascii="Arial" w:cs="Arial" w:eastAsia="Arial" w:hAnsi="Arial"/>
          <w:sz w:val="16"/>
          <w:szCs w:val="16"/>
          <w:color w:val="auto"/>
        </w:rPr>
      </w:pPr>
      <w:r>
        <w:rPr>
          <w:rFonts w:ascii="Arial" w:cs="Arial" w:eastAsia="Arial" w:hAnsi="Arial"/>
          <w:sz w:val="16"/>
          <w:szCs w:val="16"/>
          <w:color w:val="auto"/>
        </w:rPr>
        <w:t>On or after the Applicable Time there shall not have occurred any of the following: (i) a suspension or material limitation in trading in securities generally on the New York Stock Exchange or on the NASDAQ; (ii) a suspension or material limitation in trading in the Company’s securities on NASDAQ;</w:t>
      </w:r>
    </w:p>
    <w:p>
      <w:pPr>
        <w:jc w:val="both"/>
        <w:ind w:firstLine="8"/>
        <w:spacing w:after="0" w:line="292" w:lineRule="auto"/>
        <w:tabs>
          <w:tab w:leader="none" w:pos="31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general moratorium on commercial banking activities declared by either Federal or New York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Securities being delivered at such Time of Delivery on the terms and in the manner contemplated in the Prospectus;</w:t>
      </w:r>
    </w:p>
    <w:p>
      <w:pPr>
        <w:spacing w:after="0" w:line="103" w:lineRule="exact"/>
        <w:rPr>
          <w:rFonts w:ascii="Arial" w:cs="Arial" w:eastAsia="Arial" w:hAnsi="Arial"/>
          <w:sz w:val="16"/>
          <w:szCs w:val="16"/>
          <w:color w:val="auto"/>
        </w:rPr>
      </w:pPr>
    </w:p>
    <w:p>
      <w:pPr>
        <w:ind w:left="900" w:hanging="244"/>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Securities to be sold at such Time of Delivery shall have been duly listed, subject to notice of issuance, on the NASDAQ;</w:t>
      </w:r>
    </w:p>
    <w:p>
      <w:pPr>
        <w:spacing w:after="0" w:line="157" w:lineRule="exact"/>
        <w:rPr>
          <w:rFonts w:ascii="Arial" w:cs="Arial" w:eastAsia="Arial" w:hAnsi="Arial"/>
          <w:sz w:val="18"/>
          <w:szCs w:val="18"/>
          <w:color w:val="auto"/>
        </w:rPr>
      </w:pPr>
    </w:p>
    <w:p>
      <w:pPr>
        <w:ind w:firstLine="656"/>
        <w:spacing w:after="0" w:line="268" w:lineRule="auto"/>
        <w:tabs>
          <w:tab w:leader="none" w:pos="8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Company shall have obtained and delivered to the Underwriters executed copies of a lock-up letter from the persons listed on Schedule III hereto, substantially to the effect set forth in Annex I hereof in form and substance satisfactory to the Representative;</w:t>
      </w:r>
    </w:p>
    <w:p>
      <w:pPr>
        <w:spacing w:after="0" w:line="118" w:lineRule="exact"/>
        <w:rPr>
          <w:rFonts w:ascii="Arial" w:cs="Arial" w:eastAsia="Arial" w:hAnsi="Arial"/>
          <w:sz w:val="18"/>
          <w:szCs w:val="18"/>
          <w:color w:val="auto"/>
        </w:rPr>
      </w:pPr>
    </w:p>
    <w:p>
      <w:pPr>
        <w:ind w:firstLine="656"/>
        <w:spacing w:after="0" w:line="268" w:lineRule="auto"/>
        <w:tabs>
          <w:tab w:leader="none" w:pos="887"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5(c) hereof with respect to the furnishing of prospectuses on the New York Business Day next succeeding the date of this Agreement;</w:t>
      </w:r>
    </w:p>
    <w:p>
      <w:pPr>
        <w:spacing w:after="0" w:line="118" w:lineRule="exact"/>
        <w:rPr>
          <w:rFonts w:ascii="Arial" w:cs="Arial" w:eastAsia="Arial" w:hAnsi="Arial"/>
          <w:sz w:val="18"/>
          <w:szCs w:val="18"/>
          <w:color w:val="auto"/>
        </w:rPr>
      </w:pPr>
    </w:p>
    <w:p>
      <w:pPr>
        <w:jc w:val="both"/>
        <w:ind w:firstLine="656"/>
        <w:spacing w:after="0" w:line="303" w:lineRule="auto"/>
        <w:tabs>
          <w:tab w:leader="none" w:pos="911" w:val="left"/>
        </w:tabs>
        <w:numPr>
          <w:ilvl w:val="1"/>
          <w:numId w:val="29"/>
        </w:numPr>
        <w:rPr>
          <w:rFonts w:ascii="Arial" w:cs="Arial" w:eastAsia="Arial" w:hAnsi="Arial"/>
          <w:sz w:val="15"/>
          <w:szCs w:val="15"/>
          <w:color w:val="auto"/>
        </w:rPr>
      </w:pPr>
      <w:r>
        <w:rPr>
          <w:rFonts w:ascii="Arial" w:cs="Arial" w:eastAsia="Arial" w:hAnsi="Arial"/>
          <w:sz w:val="15"/>
          <w:szCs w:val="15"/>
          <w:color w:val="auto"/>
        </w:rPr>
        <w:t>The Company shall have furnished or caused to be furnished to you at such Time of Delivery a certificate of the Chief Executive Officer and the Chief Financial Officer of the Company satisfactory to you as to the accuracy of the representations and warranties of the Company herein at and as of such time, as to the performance by the Company of all of its obligations hereunder to be performed at or prior to such time, as to the matters set forth in subsections (a),</w:t>
      </w:r>
    </w:p>
    <w:p>
      <w:pPr>
        <w:spacing w:after="0" w:line="1" w:lineRule="exact"/>
        <w:rPr>
          <w:rFonts w:ascii="Arial" w:cs="Arial" w:eastAsia="Arial" w:hAnsi="Arial"/>
          <w:sz w:val="15"/>
          <w:szCs w:val="15"/>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and (h) of this Section 8 and as to such other matters as you may reasonably request.</w:t>
      </w:r>
    </w:p>
    <w:p>
      <w:pPr>
        <w:spacing w:after="0" w:line="151" w:lineRule="exact"/>
        <w:rPr>
          <w:rFonts w:ascii="Arial" w:cs="Arial" w:eastAsia="Arial" w:hAnsi="Arial"/>
          <w:sz w:val="18"/>
          <w:szCs w:val="18"/>
          <w:color w:val="auto"/>
        </w:rPr>
      </w:pPr>
    </w:p>
    <w:p>
      <w:pPr>
        <w:jc w:val="both"/>
        <w:ind w:firstLine="656"/>
        <w:spacing w:after="0" w:line="259" w:lineRule="auto"/>
        <w:tabs>
          <w:tab w:leader="none" w:pos="885"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will furnish the Representative with any additional opinions, certificates, letters and documents as the Representative reasonably requests and conformed copies of documents delivered pursuant to this Section 8. The Representative may in its sole discretion waive on behalf of the Underwriters compliance with any conditions to the obligations of the Underwriters hereunder.</w:t>
      </w:r>
    </w:p>
    <w:p>
      <w:pPr>
        <w:spacing w:after="0" w:line="1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9.(a)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(i) arise out of or are based upon an untrue statement or alleged untrue statement of a material fact contained in the Registration Statement, the Basic Prospectus, any Preliminary Prospectus, the Pricing Disclosure Package or the Prospectus, or any amendment or supplement thereto, any Issuer Free Writing Prospectus or any “issuer information” filed or required to be filed pursuant to Rule 433(d) under the Act, or any road show as defined in Rule 433(h) under the Act (a “</w:t>
      </w:r>
      <w:r>
        <w:rPr>
          <w:rFonts w:ascii="Arial" w:cs="Arial" w:eastAsia="Arial" w:hAnsi="Arial"/>
          <w:sz w:val="16"/>
          <w:szCs w:val="16"/>
          <w:b w:val="1"/>
          <w:bCs w:val="1"/>
          <w:i w:val="1"/>
          <w:iCs w:val="1"/>
          <w:color w:val="auto"/>
        </w:rPr>
        <w:t>road show</w:t>
      </w:r>
      <w:r>
        <w:rPr>
          <w:rFonts w:ascii="Arial" w:cs="Arial" w:eastAsia="Arial" w:hAnsi="Arial"/>
          <w:sz w:val="16"/>
          <w:szCs w:val="16"/>
          <w:color w:val="auto"/>
        </w:rPr>
        <w:t>”), or (ii)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any Preliminary Prospectus, the Pricing Disclosure Package or the Prospectus, or any amendment or supplement thereto, or any Issuer Free Writing Prospectus, in reliance upon and in conformity with written information furnished to the Company by any Underwriter through the Representative expressly for use therein, it being understood and agreed that the only such information provided by any Underwriter through the Representative is that identified as such in Section 9(b).</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20" w:name="page21"/>
    <w:bookmarkEnd w:id="20"/>
    <w:p>
      <w:pPr>
        <w:jc w:val="both"/>
        <w:ind w:firstLine="656"/>
        <w:spacing w:after="0" w:line="286" w:lineRule="auto"/>
        <w:tabs>
          <w:tab w:leader="none" w:pos="918" w:val="left"/>
        </w:tabs>
        <w:numPr>
          <w:ilvl w:val="1"/>
          <w:numId w:val="31"/>
        </w:numPr>
        <w:rPr>
          <w:rFonts w:ascii="Arial" w:cs="Arial" w:eastAsia="Arial" w:hAnsi="Arial"/>
          <w:sz w:val="16"/>
          <w:szCs w:val="16"/>
          <w:color w:val="auto"/>
        </w:rPr>
      </w:pPr>
      <w:r>
        <w:rPr>
          <w:rFonts w:ascii="Arial" w:cs="Arial" w:eastAsia="Arial" w:hAnsi="Arial"/>
          <w:sz w:val="16"/>
          <w:szCs w:val="16"/>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(i) arise out of or are based upon an untrue statement or alleged untrue statement of a material fact contained in the Registration Statement, the Basic Prospectus, any Preliminary Prospectus, the Pricing Disclosure Package or the Prospectus, or any amendment or supplement thereto, or any Issuer Free Writing Prospectus, or any road show or (ii)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any Preliminary Prospectus, the Pricing Disclosure Package or the Prospectus or any such amendment or supplement thereto, or any Issuer Free Writing Prospectus, in reliance upon and in conformity with written information furnished to the Company by such Underwriter through the Representative expressly for use therein, it being understood and agreed that the only such information provided by any Underwriter through the Representative is the information contained in the fourth and the eleventh through the fifteenth paragraphs under the caption “Underwriting” in the Preliminary Prospectus and the Prospectus; and will reimburse the Company for any legal or other expenses reasonably incurred by the Company in connection with investigating or defending any such action or claim as such expenses are incurred.</w:t>
      </w:r>
    </w:p>
    <w:p>
      <w:pPr>
        <w:spacing w:after="0" w:line="110" w:lineRule="exact"/>
        <w:rPr>
          <w:rFonts w:ascii="Arial" w:cs="Arial" w:eastAsia="Arial" w:hAnsi="Arial"/>
          <w:sz w:val="16"/>
          <w:szCs w:val="16"/>
          <w:color w:val="auto"/>
        </w:rPr>
      </w:pPr>
    </w:p>
    <w:p>
      <w:pPr>
        <w:jc w:val="both"/>
        <w:ind w:firstLine="656"/>
        <w:spacing w:after="0" w:line="282" w:lineRule="auto"/>
        <w:tabs>
          <w:tab w:leader="none" w:pos="902" w:val="left"/>
        </w:tabs>
        <w:numPr>
          <w:ilvl w:val="1"/>
          <w:numId w:val="31"/>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under such subsection, except to the extent that the indemnifying party has been materially prejudiced by such failure.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provided, however, that if, in the sole judgment of the Representative, it is advisable for the Underwriters to be represented as a group by separate counsel, the Representative shall have the right to employ a single counsel (in addition to local counsel) to represent the Representative and all Underwriters that may be subject to liability arising from any claim in respect of which indemnity may be sought by the Underwriters under subsection (a) above in which event the reasonable fees and expenses of such separate counsel shall be borne by the indemnifying party or parties and reimbursed to the Underwriters as incurred.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w:t>
      </w:r>
    </w:p>
    <w:p>
      <w:pPr>
        <w:spacing w:after="0" w:line="4" w:lineRule="exact"/>
        <w:rPr>
          <w:rFonts w:ascii="Arial" w:cs="Arial" w:eastAsia="Arial" w:hAnsi="Arial"/>
          <w:sz w:val="16"/>
          <w:szCs w:val="16"/>
          <w:color w:val="auto"/>
        </w:rPr>
      </w:pPr>
    </w:p>
    <w:p>
      <w:pPr>
        <w:jc w:val="both"/>
        <w:ind w:firstLine="8"/>
        <w:spacing w:after="0" w:line="292" w:lineRule="auto"/>
        <w:tabs>
          <w:tab w:leader="none" w:pos="278" w:val="left"/>
        </w:tabs>
        <w:numPr>
          <w:ilvl w:val="0"/>
          <w:numId w:val="32"/>
        </w:numPr>
        <w:rPr>
          <w:rFonts w:ascii="Arial" w:cs="Arial" w:eastAsia="Arial" w:hAnsi="Arial"/>
          <w:sz w:val="16"/>
          <w:szCs w:val="16"/>
          <w:color w:val="auto"/>
        </w:rPr>
      </w:pPr>
      <w:r>
        <w:rPr>
          <w:rFonts w:ascii="Arial" w:cs="Arial" w:eastAsia="Arial" w:hAnsi="Arial"/>
          <w:sz w:val="16"/>
          <w:szCs w:val="16"/>
          <w:color w:val="auto"/>
        </w:rPr>
        <w:t>does not include a statement as to or an admission of fault, culpability or a failure to act, by or on behalf of any indemnified party. Notwithstanding the foregoing, if at any time an indemnified party shall have requested an indemnifying party to reimburse the indemnified party for fees and expenses of counsel pursuant to this Section 9(c), such indemnifying party agrees that it shall be liable for any settlement effected without its written consent if (i) such settlement is entered into more than 45 days after receipt by such indemnifying party of the aforesaid request and (ii) such indemnifying party shall not have reimbursed such indemnified party in accordance with such request prior to the date of such settlement.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21" w:name="page22"/>
    <w:bookmarkEnd w:id="21"/>
    <w:p>
      <w:pPr>
        <w:ind w:left="920" w:hanging="264"/>
        <w:spacing w:after="0"/>
        <w:tabs>
          <w:tab w:leader="none" w:pos="9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or insufficient to hold harmless an indemnified party under subsection (a) or</w:t>
      </w:r>
    </w:p>
    <w:p>
      <w:pPr>
        <w:spacing w:after="0" w:line="38" w:lineRule="exact"/>
        <w:rPr>
          <w:rFonts w:ascii="Arial" w:cs="Arial" w:eastAsia="Arial" w:hAnsi="Arial"/>
          <w:sz w:val="16"/>
          <w:szCs w:val="16"/>
          <w:color w:val="auto"/>
        </w:rPr>
      </w:pPr>
    </w:p>
    <w:p>
      <w:pPr>
        <w:jc w:val="both"/>
        <w:ind w:firstLine="8"/>
        <w:spacing w:after="0" w:line="283" w:lineRule="auto"/>
        <w:tabs>
          <w:tab w:leader="none" w:pos="25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Securities.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22" w:lineRule="exact"/>
        <w:rPr>
          <w:rFonts w:ascii="Arial" w:cs="Arial" w:eastAsia="Arial" w:hAnsi="Arial"/>
          <w:sz w:val="16"/>
          <w:szCs w:val="16"/>
          <w:color w:val="auto"/>
        </w:rPr>
      </w:pPr>
    </w:p>
    <w:p>
      <w:pPr>
        <w:jc w:val="both"/>
        <w:ind w:firstLine="656"/>
        <w:spacing w:after="0" w:line="254" w:lineRule="auto"/>
        <w:tabs>
          <w:tab w:leader="none" w:pos="896"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9 shall be in addition to any liability which the Company may otherwise have and shall extend, upon the same terms and conditions, to each person, if any, who controls any Underwriter within the meaning of the Act and each affiliate of any Underwriter within the meaning of Rule 405 under the Act, including, without limitation, the officers, directors, partners and members of each such Underwriter and its broker-dealer affiliates; and the obligations of the Underwriters under this Section 9 shall be in addition to any liability which the respective Underwriters may otherwise have and shall extend, upon the same terms and conditions, to each officer and director of the Company and to each person, if any, who controls the Company within the meaning of the Act.</w:t>
      </w:r>
    </w:p>
    <w:p>
      <w:pPr>
        <w:spacing w:after="0" w:line="1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10.(a) If any Underwriter shall default in its obligation to purchase the Securities which it has agreed to purchase hereunder at a Time of Delivery, you may in your discretion arrange for you or another party or other parties to purchase such Securities on the terms contained herein. If within thirty-six hours after such default by any Underwriter you do not arrange for the purchase of such Securities, then the Company shall be entitled to a further period of thirty-six hours within which to procure another party or other parties satisfactory to you to purchase such Securities on such terms. In the event that, within the respective prescribed periods, you notify the Company that you have so arranged for the purchase of such Securities, or the Company notifies you that it has so arranged for the purchase of such Securities,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10 with like effect as if such person had originally been a party to this Agreement with respect to such Securities.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22" w:name="page23"/>
    <w:bookmarkEnd w:id="22"/>
    <w:p>
      <w:pPr>
        <w:jc w:val="both"/>
        <w:ind w:firstLine="656"/>
        <w:spacing w:after="0" w:line="253" w:lineRule="auto"/>
        <w:tabs>
          <w:tab w:leader="none" w:pos="901"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Securities of a defaulting Underwriter or Underwriters by you and the Company as provided in subsection (a) above, the aggregate number of such Securities which remains unpurchased does not exceed one eleventh of the aggregate number of all the Securities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Securities which such Underwriter agreed to purchase hereunder) of the Securities of such defaulting Underwriter or Underwriters for which such arrangements have not been made; but nothing herein shall relieve a defaulting Underwriter from liability for its default.</w:t>
      </w:r>
    </w:p>
    <w:p>
      <w:pPr>
        <w:spacing w:after="0" w:line="133" w:lineRule="exact"/>
        <w:rPr>
          <w:rFonts w:ascii="Arial" w:cs="Arial" w:eastAsia="Arial" w:hAnsi="Arial"/>
          <w:sz w:val="18"/>
          <w:szCs w:val="18"/>
          <w:color w:val="auto"/>
        </w:rPr>
      </w:pPr>
    </w:p>
    <w:p>
      <w:pPr>
        <w:jc w:val="both"/>
        <w:ind w:firstLine="656"/>
        <w:spacing w:after="0" w:line="290" w:lineRule="auto"/>
        <w:tabs>
          <w:tab w:leader="none" w:pos="891"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Securities of a defaulting Underwriter or Underwriters by you and the Company as provided in subsection (a) above, the aggregate number of such Securities which remains unpurchased exceeds one eleventh of the aggregate number of all the Securities to be purchased at such Time of Delivery, or if the Company shall not exercise the right described in subsection (b) above to require non-defaulting Underwriters to purchase Securities of a defaulting Underwriter or Underwriters, then this Agreement (or, with respect to the Second Time of Delivery, the obligation of the Underwriters to purchase and of the Company to sell the Optional Securities)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05" w:lineRule="exact"/>
        <w:rPr>
          <w:sz w:val="20"/>
          <w:szCs w:val="20"/>
          <w:color w:val="auto"/>
        </w:rPr>
      </w:pPr>
    </w:p>
    <w:p>
      <w:pPr>
        <w:jc w:val="both"/>
        <w:ind w:firstLine="656"/>
        <w:spacing w:after="0" w:line="298" w:lineRule="auto"/>
        <w:tabs>
          <w:tab w:leader="none" w:pos="914"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Securities.</w:t>
      </w:r>
    </w:p>
    <w:p>
      <w:pPr>
        <w:spacing w:after="0" w:line="99" w:lineRule="exact"/>
        <w:rPr>
          <w:rFonts w:ascii="Arial" w:cs="Arial" w:eastAsia="Arial" w:hAnsi="Arial"/>
          <w:sz w:val="16"/>
          <w:szCs w:val="16"/>
          <w:color w:val="auto"/>
        </w:rPr>
      </w:pPr>
    </w:p>
    <w:p>
      <w:pPr>
        <w:jc w:val="both"/>
        <w:ind w:firstLine="656"/>
        <w:spacing w:after="0" w:line="255" w:lineRule="auto"/>
        <w:tabs>
          <w:tab w:leader="none" w:pos="913"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this Agreement shall be terminated pursuant to Section 10 hereof, the Company shall not then be under any liability to any defaulting Underwriter; but, if for any other reason, any Securities are not delivered by or on behalf of the Company as provided herein, the Company will reimburse the Underwriters through you for all out of pocket expenses, including fees and disbursements of counsel, reasonably incurred by the Underwriters in making preparations for the purchase, sale and delivery of the Securities not so delivered, but the Company shall then be under no further liability to any Underwriter except as provided in Sections 7 and 9 hereof.</w:t>
      </w:r>
    </w:p>
    <w:p>
      <w:pPr>
        <w:spacing w:after="0" w:line="129" w:lineRule="exact"/>
        <w:rPr>
          <w:rFonts w:ascii="Arial" w:cs="Arial" w:eastAsia="Arial" w:hAnsi="Arial"/>
          <w:sz w:val="18"/>
          <w:szCs w:val="18"/>
          <w:color w:val="auto"/>
        </w:rPr>
      </w:pPr>
    </w:p>
    <w:p>
      <w:pPr>
        <w:ind w:firstLine="656"/>
        <w:spacing w:after="0" w:line="268" w:lineRule="auto"/>
        <w:tabs>
          <w:tab w:leader="none" w:pos="9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all dealings hereunder, you shall act on behalf of each of the Underwriters, and the parties hereto shall be entitled to act and rely upon any statement, request, notice or agreement on behalf of any Underwriter made or given by you.</w:t>
      </w:r>
    </w:p>
    <w:p>
      <w:pPr>
        <w:spacing w:after="0" w:line="11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statements, requests, notices and agreements hereunder shall be in writing, and if to the Underwriters shall be delivered or sent by mail or facsimile transmission to William Blair &amp; Company, L.L.C., 150 North Riverside Plaza, Chicago, IL 60606, Attention: General Counsel, Facsimile: (312) 551-4646; and if to the Company shall be delivered or sent by mail or facsimile transmission to the address of the Company set forth on the cover of the Registration Statement, Attention: Shawn Singh, Chief Executive Officer, Facsimile: 888-482-2602 (with copies to those parties specified thereon). Any such statements, requests, notices or agreements shall take effect upon receipt thereof.</w:t>
      </w:r>
    </w:p>
    <w:p>
      <w:pPr>
        <w:spacing w:after="0" w:line="27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23" w:name="page24"/>
    <w:bookmarkEnd w:id="23"/>
    <w:p>
      <w:pPr>
        <w:jc w:val="both"/>
        <w:ind w:firstLine="656"/>
        <w:spacing w:after="0" w:line="298" w:lineRule="auto"/>
        <w:tabs>
          <w:tab w:leader="none" w:pos="91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Securities from any Underwriter shall be deemed a successor or assign by reason merely of such purchase.</w:t>
      </w:r>
    </w:p>
    <w:p>
      <w:pPr>
        <w:spacing w:after="0" w:line="99" w:lineRule="exact"/>
        <w:rPr>
          <w:rFonts w:ascii="Arial" w:cs="Arial" w:eastAsia="Arial" w:hAnsi="Arial"/>
          <w:sz w:val="16"/>
          <w:szCs w:val="16"/>
          <w:color w:val="auto"/>
        </w:rPr>
      </w:pPr>
    </w:p>
    <w:p>
      <w:pPr>
        <w:jc w:val="both"/>
        <w:ind w:firstLine="656"/>
        <w:spacing w:after="0" w:line="306" w:lineRule="auto"/>
        <w:tabs>
          <w:tab w:leader="none" w:pos="931" w:val="left"/>
        </w:tabs>
        <w:numPr>
          <w:ilvl w:val="0"/>
          <w:numId w:val="37"/>
        </w:numPr>
        <w:rPr>
          <w:rFonts w:ascii="Arial" w:cs="Arial" w:eastAsia="Arial" w:hAnsi="Arial"/>
          <w:sz w:val="16"/>
          <w:szCs w:val="16"/>
          <w:color w:val="auto"/>
        </w:rPr>
      </w:pPr>
      <w:r>
        <w:rPr>
          <w:rFonts w:ascii="Arial" w:cs="Arial" w:eastAsia="Arial" w:hAnsi="Arial"/>
          <w:sz w:val="16"/>
          <w:szCs w:val="16"/>
          <w:color w:val="auto"/>
        </w:rPr>
        <w:t>Time shall be of the essence of this Agreement. As used herein, the term “business day” shall mean any day when the Commission’s office in Washington, D.C. is open for business and “New York Business Day” shall mean each Monday, Tuesday, Wednesday, Thursday and Friday which is not a day on which banking institutions in New York City are generally authorized or obligated by law or executive order to close.</w:t>
      </w:r>
    </w:p>
    <w:p>
      <w:pPr>
        <w:spacing w:after="0" w:line="93" w:lineRule="exact"/>
        <w:rPr>
          <w:rFonts w:ascii="Arial" w:cs="Arial" w:eastAsia="Arial" w:hAnsi="Arial"/>
          <w:sz w:val="16"/>
          <w:szCs w:val="16"/>
          <w:color w:val="auto"/>
        </w:rPr>
      </w:pPr>
    </w:p>
    <w:p>
      <w:pPr>
        <w:jc w:val="both"/>
        <w:ind w:firstLine="656"/>
        <w:spacing w:after="0" w:line="289" w:lineRule="auto"/>
        <w:tabs>
          <w:tab w:leader="none" w:pos="92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acknowledges and agrees that (i) the purchase and sale of the Securities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04" w:lineRule="exact"/>
        <w:rPr>
          <w:rFonts w:ascii="Arial" w:cs="Arial" w:eastAsia="Arial" w:hAnsi="Arial"/>
          <w:sz w:val="16"/>
          <w:szCs w:val="16"/>
          <w:color w:val="auto"/>
        </w:rPr>
      </w:pPr>
    </w:p>
    <w:p>
      <w:pPr>
        <w:jc w:val="both"/>
        <w:ind w:firstLine="656"/>
        <w:spacing w:after="0" w:line="288" w:lineRule="auto"/>
        <w:tabs>
          <w:tab w:leader="none" w:pos="917"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acknowledges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06" w:lineRule="exact"/>
        <w:rPr>
          <w:rFonts w:ascii="Arial" w:cs="Arial" w:eastAsia="Arial" w:hAnsi="Arial"/>
          <w:sz w:val="16"/>
          <w:szCs w:val="16"/>
          <w:color w:val="auto"/>
        </w:rPr>
      </w:pPr>
    </w:p>
    <w:p>
      <w:pPr>
        <w:ind w:firstLine="656"/>
        <w:spacing w:after="0" w:line="268" w:lineRule="auto"/>
        <w:tabs>
          <w:tab w:leader="none" w:pos="9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the Company and the Underwriters, or any of them, with respect to the subject matter hereof.</w:t>
      </w:r>
    </w:p>
    <w:p>
      <w:pPr>
        <w:spacing w:after="0" w:line="112" w:lineRule="exact"/>
        <w:rPr>
          <w:rFonts w:ascii="Arial" w:cs="Arial" w:eastAsia="Arial" w:hAnsi="Arial"/>
          <w:sz w:val="18"/>
          <w:szCs w:val="18"/>
          <w:color w:val="auto"/>
        </w:rPr>
      </w:pPr>
    </w:p>
    <w:p>
      <w:pPr>
        <w:jc w:val="both"/>
        <w:ind w:firstLine="656"/>
        <w:spacing w:after="0" w:line="255" w:lineRule="auto"/>
        <w:tabs>
          <w:tab w:leader="none" w:pos="912"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THIS AGREEMENT AND ANY MATTERS RELATED TO THIS TRANSACTION SHALL BE GOVERNED BY AND CONSTRUED IN ACCORDANCE WITH THE LAWS OF THE STATE OF NEW YORK WITHOUT REGARD TO PRINCIPLES OF CONFLICT OF LAWS THAT WOULD RESULT IN THE APPLICATION OF ANY LAW OTHER THAN THE LAWS OF THE STATE OF NEW YORK. The Company agrees that any suit or proceeding arising in respect of this agreement or your engagement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31" w:lineRule="exact"/>
        <w:rPr>
          <w:rFonts w:ascii="Arial" w:cs="Arial" w:eastAsia="Arial" w:hAnsi="Arial"/>
          <w:sz w:val="18"/>
          <w:szCs w:val="18"/>
          <w:color w:val="auto"/>
        </w:rPr>
      </w:pPr>
    </w:p>
    <w:p>
      <w:pPr>
        <w:ind w:firstLine="656"/>
        <w:spacing w:after="0" w:line="268" w:lineRule="auto"/>
        <w:tabs>
          <w:tab w:leader="none" w:pos="9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24" w:name="page25"/>
    <w:bookmarkEnd w:id="24"/>
    <w:p>
      <w:pPr>
        <w:ind w:firstLine="656"/>
        <w:spacing w:after="0" w:line="268" w:lineRule="auto"/>
        <w:tabs>
          <w:tab w:leader="none" w:pos="91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18" w:lineRule="exact"/>
        <w:rPr>
          <w:rFonts w:ascii="Arial" w:cs="Arial" w:eastAsia="Arial" w:hAnsi="Arial"/>
          <w:sz w:val="18"/>
          <w:szCs w:val="18"/>
          <w:color w:val="auto"/>
        </w:rPr>
      </w:pPr>
    </w:p>
    <w:p>
      <w:pPr>
        <w:jc w:val="both"/>
        <w:ind w:firstLine="656"/>
        <w:spacing w:after="0" w:line="294" w:lineRule="auto"/>
        <w:tabs>
          <w:tab w:leader="none" w:pos="942"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02" w:lineRule="exact"/>
        <w:rPr>
          <w:rFonts w:ascii="Arial" w:cs="Arial" w:eastAsia="Arial" w:hAnsi="Arial"/>
          <w:sz w:val="16"/>
          <w:szCs w:val="16"/>
          <w:color w:val="auto"/>
        </w:rPr>
      </w:pPr>
    </w:p>
    <w:p>
      <w:pPr>
        <w:jc w:val="both"/>
        <w:ind w:firstLine="656"/>
        <w:spacing w:after="0" w:line="259" w:lineRule="auto"/>
        <w:tabs>
          <w:tab w:leader="none" w:pos="926"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term or other provision of this Agreement shall be held invalid, illegal or unenforceable, the validity, legality or enforceability of the other provisions of this Agreement shall not be affected thereby, and there shall be deemed substituted for the provision at issue a valid, legal and enforceable provision as similar as possible to the provision at issue.</w:t>
      </w:r>
    </w:p>
    <w:p>
      <w:pPr>
        <w:spacing w:after="0" w:line="126" w:lineRule="exact"/>
        <w:rPr>
          <w:rFonts w:ascii="Arial" w:cs="Arial" w:eastAsia="Arial" w:hAnsi="Arial"/>
          <w:sz w:val="18"/>
          <w:szCs w:val="18"/>
          <w:color w:val="auto"/>
        </w:rPr>
      </w:pPr>
    </w:p>
    <w:p>
      <w:pPr>
        <w:jc w:val="both"/>
        <w:ind w:firstLine="656"/>
        <w:spacing w:after="0" w:line="254" w:lineRule="auto"/>
        <w:tabs>
          <w:tab w:leader="none" w:pos="941"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as otherwise expressly provided herein, the provisions of this Agreement may be amended or waived at any time only by the written agreement of the parties hereto. Any waiver, permit, consent or approval of any kind or character on the part of any such holders of any provision or condition of this Agreement must be made in writing and shall be effective only to the extent specifically set forth in writing. The failure of any party hereto to enforce at any time any provision of this Agreement shall not be construed to be a waiver of such provision, nor in any way to affect the validity of this Agreement or any part hereof or the right of any party thereafter to enforce each and every such provision. No waiver of any breach of this Agreement shall be held to constitute a waiver of any other or subsequent breach.</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25" w:name="page26"/>
    <w:bookmarkEnd w:id="25"/>
    <w:p>
      <w:pPr>
        <w:ind w:firstLine="648"/>
        <w:spacing w:after="0" w:line="332" w:lineRule="auto"/>
        <w:rPr>
          <w:sz w:val="20"/>
          <w:szCs w:val="20"/>
          <w:color w:val="auto"/>
        </w:rPr>
      </w:pPr>
      <w:r>
        <w:rPr>
          <w:rFonts w:ascii="Arial" w:cs="Arial" w:eastAsia="Arial" w:hAnsi="Arial"/>
          <w:sz w:val="16"/>
          <w:szCs w:val="16"/>
          <w:color w:val="auto"/>
        </w:rPr>
        <w:t>If the foregoing is in accordance with your understanding, please sign and return to us, and upon the acceptance hereof by you, on behalf of each of the Underwriters, this letter and such acceptance hereof shall constitute a binding agreement between each of the Underwriters and the Company.</w:t>
      </w:r>
    </w:p>
    <w:p>
      <w:pPr>
        <w:spacing w:after="0" w:line="1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ind w:left="576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Shawn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-13970</wp:posOffset>
            </wp:positionV>
            <wp:extent cx="13938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8"/>
          <w:szCs w:val="18"/>
          <w:color w:val="auto"/>
        </w:rPr>
        <w:t>Name: Shawn Singh</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Chief Executive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BLAIR &amp; COMPANY, L.L.C.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itself and the several Underwriters named in Schedule I hereto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BLAIR &amp; COMPANY, L.L.C.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Steve Maletzky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5265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Steve Maletzky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 Partner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&amp; Head of Healthcare ECM</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8"/>
        </w:trPr>
        <w:tc>
          <w:tcPr>
            <w:tcW w:w="3800" w:type="dxa"/>
            <w:vAlign w:val="bottom"/>
          </w:tcPr>
          <w:p>
            <w:pPr>
              <w:spacing w:after="0"/>
              <w:rPr>
                <w:sz w:val="19"/>
                <w:szCs w:val="19"/>
                <w:color w:val="auto"/>
              </w:rPr>
            </w:pPr>
          </w:p>
        </w:tc>
        <w:tc>
          <w:tcPr>
            <w:tcW w:w="6120" w:type="dxa"/>
            <w:vAlign w:val="bottom"/>
            <w:gridSpan w:val="3"/>
          </w:tcPr>
          <w:p>
            <w:pPr>
              <w:jc w:val="right"/>
              <w:ind w:right="3572"/>
              <w:spacing w:after="0"/>
              <w:rPr>
                <w:sz w:val="20"/>
                <w:szCs w:val="20"/>
                <w:color w:val="auto"/>
              </w:rPr>
            </w:pPr>
            <w:r>
              <w:rPr>
                <w:rFonts w:ascii="Arial" w:cs="Arial" w:eastAsia="Arial" w:hAnsi="Arial"/>
                <w:sz w:val="18"/>
                <w:szCs w:val="18"/>
                <w:b w:val="1"/>
                <w:bCs w:val="1"/>
                <w:color w:val="auto"/>
              </w:rPr>
              <w:t>SCHEDULE I</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0"/>
        </w:trPr>
        <w:tc>
          <w:tcPr>
            <w:tcW w:w="38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Number of</w:t>
            </w:r>
          </w:p>
        </w:tc>
      </w:tr>
      <w:tr>
        <w:trPr>
          <w:trHeight w:val="216"/>
        </w:trPr>
        <w:tc>
          <w:tcPr>
            <w:tcW w:w="38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Optional</w:t>
            </w:r>
          </w:p>
        </w:tc>
      </w:tr>
      <w:tr>
        <w:trPr>
          <w:trHeight w:val="216"/>
        </w:trPr>
        <w:tc>
          <w:tcPr>
            <w:tcW w:w="38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Securities to</w:t>
            </w:r>
          </w:p>
        </w:tc>
      </w:tr>
      <w:tr>
        <w:trPr>
          <w:trHeight w:val="216"/>
        </w:trPr>
        <w:tc>
          <w:tcPr>
            <w:tcW w:w="38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be Purchased</w:t>
            </w:r>
          </w:p>
        </w:tc>
      </w:tr>
      <w:tr>
        <w:trPr>
          <w:trHeight w:val="216"/>
        </w:trPr>
        <w:tc>
          <w:tcPr>
            <w:tcW w:w="38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7"/>
              </w:rPr>
              <w:t>Firm</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if Maximum</w:t>
            </w:r>
          </w:p>
        </w:tc>
      </w:tr>
      <w:tr>
        <w:trPr>
          <w:trHeight w:val="216"/>
        </w:trPr>
        <w:tc>
          <w:tcPr>
            <w:tcW w:w="38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 to</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Option</w:t>
            </w:r>
          </w:p>
        </w:tc>
      </w:tr>
      <w:tr>
        <w:trPr>
          <w:trHeight w:val="237"/>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Underwriter</w:t>
            </w:r>
          </w:p>
        </w:tc>
        <w:tc>
          <w:tcPr>
            <w:tcW w:w="454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be Purchased</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Exercised</w:t>
            </w:r>
          </w:p>
        </w:tc>
        <w:tc>
          <w:tcPr>
            <w:tcW w:w="140" w:type="dxa"/>
            <w:vAlign w:val="bottom"/>
          </w:tcPr>
          <w:p>
            <w:pPr>
              <w:spacing w:after="0"/>
              <w:rPr>
                <w:sz w:val="20"/>
                <w:szCs w:val="20"/>
                <w:color w:val="auto"/>
              </w:rPr>
            </w:pPr>
          </w:p>
        </w:tc>
      </w:tr>
      <w:tr>
        <w:trPr>
          <w:trHeight w:val="243"/>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6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40" w:type="dxa"/>
            <w:vAlign w:val="bottom"/>
            <w:shd w:val="clear" w:color="auto" w:fill="CCEEFF"/>
          </w:tcPr>
          <w:p>
            <w:pPr>
              <w:spacing w:after="0"/>
              <w:rPr>
                <w:sz w:val="21"/>
                <w:szCs w:val="21"/>
                <w:color w:val="auto"/>
              </w:rPr>
            </w:pPr>
          </w:p>
        </w:tc>
      </w:tr>
      <w:tr>
        <w:trPr>
          <w:trHeight w:val="243"/>
        </w:trPr>
        <w:tc>
          <w:tcPr>
            <w:tcW w:w="380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4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ind w:left="4646"/>
        <w:spacing w:after="0"/>
        <w:rPr>
          <w:sz w:val="20"/>
          <w:szCs w:val="20"/>
          <w:color w:val="auto"/>
        </w:rPr>
      </w:pPr>
      <w:r>
        <w:rPr>
          <w:rFonts w:ascii="Arial" w:cs="Arial" w:eastAsia="Arial" w:hAnsi="Arial"/>
          <w:sz w:val="18"/>
          <w:szCs w:val="18"/>
          <w:b w:val="1"/>
          <w:bCs w:val="1"/>
          <w:color w:val="auto"/>
        </w:rPr>
        <w:t>SCHEDULE II</w:t>
      </w:r>
    </w:p>
    <w:p>
      <w:pPr>
        <w:spacing w:after="0" w:line="164" w:lineRule="exact"/>
        <w:rPr>
          <w:sz w:val="20"/>
          <w:szCs w:val="20"/>
          <w:color w:val="auto"/>
        </w:rPr>
      </w:pPr>
    </w:p>
    <w:p>
      <w:pPr>
        <w:ind w:left="6" w:right="6219" w:hanging="6"/>
        <w:spacing w:after="0" w:line="422"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Use Issuer Free Writing Prospectuses: [None]</w:t>
      </w:r>
    </w:p>
    <w:p>
      <w:pPr>
        <w:spacing w:after="0" w:line="1" w:lineRule="exact"/>
        <w:rPr>
          <w:rFonts w:ascii="Arial" w:cs="Arial" w:eastAsia="Arial" w:hAnsi="Arial"/>
          <w:sz w:val="18"/>
          <w:szCs w:val="18"/>
          <w:color w:val="auto"/>
        </w:rPr>
      </w:pPr>
    </w:p>
    <w:p>
      <w:pPr>
        <w:ind w:left="6" w:right="5919" w:hanging="6"/>
        <w:spacing w:after="0" w:line="422"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Documents Incorporated by Reference: [None]</w:t>
      </w:r>
    </w:p>
    <w:p>
      <w:pPr>
        <w:spacing w:after="0" w:line="1" w:lineRule="exact"/>
        <w:rPr>
          <w:rFonts w:ascii="Arial" w:cs="Arial" w:eastAsia="Arial" w:hAnsi="Arial"/>
          <w:sz w:val="18"/>
          <w:szCs w:val="18"/>
          <w:color w:val="auto"/>
        </w:rPr>
      </w:pPr>
    </w:p>
    <w:p>
      <w:pPr>
        <w:ind w:left="6" w:right="2999" w:hanging="6"/>
        <w:spacing w:after="0" w:line="475" w:lineRule="auto"/>
        <w:tabs>
          <w:tab w:leader="none" w:pos="24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Information other than the Pricing Prospectus that comprise the Pricing Disclosure Package: The initial public offering price per share for the Securities is $1.00</w:t>
      </w:r>
    </w:p>
    <w:p>
      <w:pPr>
        <w:spacing w:after="0" w:line="1" w:lineRule="exact"/>
        <w:rPr>
          <w:rFonts w:ascii="Arial" w:cs="Arial" w:eastAsia="Arial" w:hAnsi="Arial"/>
          <w:sz w:val="16"/>
          <w:szCs w:val="16"/>
          <w:color w:val="auto"/>
        </w:rPr>
      </w:pPr>
    </w:p>
    <w:p>
      <w:pPr>
        <w:ind w:left="6"/>
        <w:spacing w:after="0"/>
        <w:rPr>
          <w:rFonts w:ascii="Arial" w:cs="Arial" w:eastAsia="Arial" w:hAnsi="Arial"/>
          <w:sz w:val="16"/>
          <w:szCs w:val="16"/>
          <w:color w:val="auto"/>
        </w:rPr>
      </w:pPr>
      <w:r>
        <w:rPr>
          <w:rFonts w:ascii="Arial" w:cs="Arial" w:eastAsia="Arial" w:hAnsi="Arial"/>
          <w:sz w:val="18"/>
          <w:szCs w:val="18"/>
          <w:color w:val="auto"/>
        </w:rPr>
        <w:t>The number of Securities purchased by the Underwriters is 10,000,000.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66"/>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10795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725"/>
          </w:cols>
          <w:pgMar w:left="734" w:top="557" w:right="1440" w:bottom="1440" w:gutter="0" w:footer="0" w:header="0"/>
        </w:sectPr>
      </w:pPr>
    </w:p>
    <w:bookmarkStart w:id="28" w:name="page29"/>
    <w:bookmarkEnd w:id="28"/>
    <w:p>
      <w:pPr>
        <w:jc w:val="right"/>
        <w:ind w:right="3899"/>
        <w:spacing w:after="0"/>
        <w:rPr>
          <w:sz w:val="20"/>
          <w:szCs w:val="20"/>
          <w:color w:val="auto"/>
        </w:rPr>
      </w:pPr>
      <w:r>
        <w:rPr>
          <w:rFonts w:ascii="Arial" w:cs="Arial" w:eastAsia="Arial" w:hAnsi="Arial"/>
          <w:sz w:val="18"/>
          <w:szCs w:val="18"/>
          <w:b w:val="1"/>
          <w:bCs w:val="1"/>
          <w:color w:val="auto"/>
        </w:rPr>
        <w:t>SCHEDULE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579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57960" cy="1714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Jon S. Saxe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 Cunningham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Jerry Gin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 Ralph Snodgrass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Underdown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A.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Annex I</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Lock-Up Letter]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February ___,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representative of the underwriters named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Schedule I to the Underwriting Agreement referred to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 William Blair &amp; Company, 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150 North Riverside Plaza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60606</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5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As an inducement to the underwriters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xml:space="preserve">) to execute an underwriting agreement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xml:space="preserve">) providing for a public offering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xml:space="preserve">) of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xml:space="preserve">), of VistaGen Therapeutics, Inc., a Nevada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the undersigned hereby agrees that without, in each case, the prior written consent of William Blair &amp; Company, L.L.C. (the “</w:t>
      </w:r>
      <w:r>
        <w:rPr>
          <w:rFonts w:ascii="Arial" w:cs="Arial" w:eastAsia="Arial" w:hAnsi="Arial"/>
          <w:sz w:val="16"/>
          <w:szCs w:val="16"/>
          <w:b w:val="1"/>
          <w:bCs w:val="1"/>
          <w:i w:val="1"/>
          <w:iCs w:val="1"/>
          <w:color w:val="auto"/>
        </w:rPr>
        <w:t>Representative</w:t>
      </w:r>
      <w:r>
        <w:rPr>
          <w:rFonts w:ascii="Arial" w:cs="Arial" w:eastAsia="Arial" w:hAnsi="Arial"/>
          <w:sz w:val="16"/>
          <w:szCs w:val="16"/>
          <w:color w:val="auto"/>
        </w:rPr>
        <w:t xml:space="preserve">”) during the period specified in the second succeeding paragraph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the undersigned (or any affiliate of the undersigned or any person in privity with the undersigned or any affiliate of the undersigned) will not: (1) offer, pledge, announce the intention to sell, sell, contract to sell, sell any option or contract to purchase, purchase any option or contract to sell, grant any option, right or warrant to purchase, make any short sale or otherwise transfer or dispose of, directly or indirectly, any shares of Common Stock or any securities convertible into, exercisable or exchangeable for or that represent the right to receive Common Stock (including without limitation, Common Stock which may be deemed to be beneficially owned by the undersigned in accordance with the rules and regulations of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xml:space="preserve">) and securities which may be issued upon exercise of a stock option or warrant), whether now owned or hereafter acquired (the </w:t>
      </w:r>
      <w:r>
        <w:rPr>
          <w:rFonts w:ascii="Arial" w:cs="Arial" w:eastAsia="Arial" w:hAnsi="Arial"/>
          <w:sz w:val="16"/>
          <w:szCs w:val="16"/>
          <w:b w:val="1"/>
          <w:bCs w:val="1"/>
          <w:i w:val="1"/>
          <w:iCs w:val="1"/>
          <w:color w:val="auto"/>
        </w:rPr>
        <w:t>“Undersigned’s Securities”</w:t>
      </w:r>
      <w:r>
        <w:rPr>
          <w:rFonts w:ascii="Arial" w:cs="Arial" w:eastAsia="Arial" w:hAnsi="Arial"/>
          <w:sz w:val="16"/>
          <w:szCs w:val="16"/>
          <w:color w:val="auto"/>
        </w:rPr>
        <w:t>); (2) enter into any swap or other agreement that transfers, in whole or in part, any of the economic consequences of ownership of the Undersigned’s Securities, whether any such transaction described in clause (1) above or this clause (2) is to be settled by delivery of Common Stock or such other securities, in cash or otherwise; (3) make any demand for or exercise any right with respect to, the registration of any Common Stock or any security convertible into or exercisable or exchangeable for Common Stock; or (4) publicly disclose the intention to do any of the foregoing.</w:t>
      </w:r>
    </w:p>
    <w:p>
      <w:pPr>
        <w:spacing w:after="0" w:line="18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undersigned agrees that the foregoing restrictions preclude the undersigned from engaging in any hedging or other transaction that is designed to or that reasonably could be expected to lead to or result in a sale or disposition of the Undersigned’s Securities even if such Undersigned’s Securities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Securities or with respect to any security that includes, relates to, or derives any significant part of its value from such Undersigned’s Securities.</w:t>
      </w:r>
    </w:p>
    <w:p>
      <w:pPr>
        <w:spacing w:after="0" w:line="170"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 xml:space="preserve">The Lock-Up Period will commence on the date of this lock-up agreement (this </w:t>
      </w:r>
      <w:r>
        <w:rPr>
          <w:rFonts w:ascii="Arial" w:cs="Arial" w:eastAsia="Arial" w:hAnsi="Arial"/>
          <w:sz w:val="16"/>
          <w:szCs w:val="16"/>
          <w:b w:val="1"/>
          <w:bCs w:val="1"/>
          <w:i w:val="1"/>
          <w:iCs w:val="1"/>
          <w:color w:val="auto"/>
        </w:rPr>
        <w:t>“Lock-Up Agreement”</w:t>
      </w:r>
      <w:r>
        <w:rPr>
          <w:rFonts w:ascii="Arial" w:cs="Arial" w:eastAsia="Arial" w:hAnsi="Arial"/>
          <w:sz w:val="16"/>
          <w:szCs w:val="16"/>
          <w:color w:val="auto"/>
        </w:rPr>
        <w:t>) and continue and include the date 90 days after the date of the final prospectus used to sell Common Stock in the Offering pursuant to the Underwriting Agreement relating to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jc w:val="both"/>
        <w:ind w:firstLine="648"/>
        <w:spacing w:after="0" w:line="289" w:lineRule="auto"/>
        <w:rPr>
          <w:sz w:val="20"/>
          <w:szCs w:val="20"/>
          <w:color w:val="auto"/>
        </w:rPr>
      </w:pPr>
      <w:r>
        <w:rPr>
          <w:rFonts w:ascii="Arial" w:cs="Arial" w:eastAsia="Arial" w:hAnsi="Arial"/>
          <w:sz w:val="16"/>
          <w:szCs w:val="16"/>
          <w:color w:val="auto"/>
        </w:rPr>
        <w:t>If the undersigned is an officer or director of the Company, (i) the Representative agrees that, at least three business days before the effective date of any release or waiver of the foregoing restrictions in connection with a transfer of shares of Common Stock, the Representative will notify the Company of the impending release or waiver, and (ii) the Company has agreed in the Underwriting Agreement to announce the impending release or waiver by issuing a press release through a major news service at least two business days before the effective date of the release or waiver. Any release or waiver granted by the Representative hereunder to any such officer or director shall only be effective two business days after the publication date of such press release. The provisions of this paragraph will not apply if both (a) the release or waiver is effected solely to permit a transfer not for consideration and (b) the transferee has agreed in writing to be bound by the same terms described in this letter that are applicable to the transferor, to the extent and for the duration that such terms remain in effect at the time of the transfer.</w:t>
      </w:r>
    </w:p>
    <w:p>
      <w:pPr>
        <w:spacing w:after="0" w:line="1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Notwithstanding the foregoing, the undersigned may transfer the Undersigned’s Securities: (i)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or gifts; (ii) to any trust for the direct or indirect benefit of the undersigned or the immediate family of the undersigned; (iii) if the undersigned is a corporation, partnership, limited liability company, trust or other business entity, (a) to another corporation, partnership, limited liability company, trust or other business entity that is a direct or indirect affiliate (as defined in Rule 405 promulgated under the Securities Act of 1933, as amended) of the undersigned or (b) in distributions of shares of Common Stock or any security convertible into or exercisable for Common Stock to limited partners, limited liability company members or stockholders of the undersigned; (iv) if the undersigned is a trust, to the beneficiary of such trust; or (v) by testate succession or intestate succession;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the case of clauses (i)-(v), that (x) such transfer shall not involve a disposition for value, (y) the transferee agrees in writing with the Underwriters to be bound by the terms of this Lock-Up Agreement and (z) no filing by any party under Section 16(a)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shall be required or shall be made voluntarily in connection with such transfer. For purposes of this Lock-Up Agreement, “immediate family” shall mean any relationship by blood, marriage or adoption, not more remote than first cousin.</w:t>
      </w:r>
    </w:p>
    <w:p>
      <w:pPr>
        <w:spacing w:after="0" w:line="10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In addition, the foregoing restrictions shall not apply to: (i) the undersigned’s exercise of equity-based awards granted pursuant to the Company’s equity incentive plans in place as of the date of this Lock-Up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restrictions shall apply to any of the Undersigned’s Securities issued upon such exercise and (b) that if any filing is required under Section 16(a) of the Exchange Act in connection with such exercise, such filing shall include a statement to the effect that such filing is the result of the exercise of equity-based securities pursuant to the Company’s equity incentive plans; or (ii) the establishment of any contract, instruction or plan (a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that satisfies all of the requirements of Rule 10b5-1(c)(1)(i)(B) under the Exchange Act; </w:t>
      </w:r>
      <w:r>
        <w:rPr>
          <w:rFonts w:ascii="Arial" w:cs="Arial" w:eastAsia="Arial" w:hAnsi="Arial"/>
          <w:sz w:val="16"/>
          <w:szCs w:val="16"/>
          <w:i w:val="1"/>
          <w:iCs w:val="1"/>
          <w:color w:val="auto"/>
        </w:rPr>
        <w:t>provided</w:t>
      </w:r>
      <w:r>
        <w:rPr>
          <w:rFonts w:ascii="Arial" w:cs="Arial" w:eastAsia="Arial" w:hAnsi="Arial"/>
          <w:sz w:val="16"/>
          <w:szCs w:val="16"/>
          <w:color w:val="auto"/>
        </w:rPr>
        <w:t>, that no sales of the Undersigned’s Securities shall be made pursuant to such a Plan prior to the expiration of the Lock-Up Period, and such a Plan may only be established if no public announcement of the establishment or existence thereof and no filing with the SEC or other regulatory authority in respect thereof or transactions thereunder or contemplated thereby, by the undersigned, the Company or any other person, shall be required, and no such announcement or filing is made voluntarily, by the undersigned, the Company or any other person, prior to the expiration of the Lock-Up Period.</w:t>
      </w:r>
    </w:p>
    <w:p>
      <w:pPr>
        <w:spacing w:after="0" w:line="10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furtherance of the foregoing, the Company and its transfer agent and registrar are hereby authorized to decline to make any transfer of shares of Common Stock if such transfer would constitute a violation or breach of this Lock-Up Agreement.</w:t>
      </w:r>
    </w:p>
    <w:p>
      <w:pPr>
        <w:spacing w:after="0" w:line="11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Lock-Up Agreement and that upon request, the undersigned will execute any additional documents necessary to ensure the validity or enforcement of this Lock-Up Agreement. All authority herein conferred or agreed to be conferred and any obligations of the undersigned shall be binding upon the successors, assigns, heirs or personal representatives of the undersigned.</w:t>
      </w:r>
    </w:p>
    <w:p>
      <w:pPr>
        <w:spacing w:after="0" w:line="13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undersigned understands that the undersigned shall be released from all obligations under this Lock-Up Agreement if (i) the Company notifies the Underwriters in writing that it does not intend to proceed with the Offering, (ii) the Representative notifies the Company in writing that they have determined not to proceed with the Offering, (iii) the Underwriting Agreement (other than the provisions thereof which survive termination) shall terminate or be terminated prior to payment for and delivery of the Common Stock to be sold thereunder or (iv) the Underwriting Agreement does not become effective by March 31, 2019.</w:t>
      </w:r>
    </w:p>
    <w:p>
      <w:pPr>
        <w:spacing w:after="0" w:line="99"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The undersigned understands that the Underwriters are entering into the Underwriting Agreement and proceeding with the Offering in reliance upon this Lock-Up Agreement.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This Lock-Up Agreement shall be governed by, and construed in accordance with, the laws of the State of New York.</w:t>
      </w:r>
    </w:p>
    <w:p>
      <w:pPr>
        <w:spacing w:after="0" w:line="200" w:lineRule="exact"/>
        <w:rPr>
          <w:sz w:val="20"/>
          <w:szCs w:val="20"/>
          <w:color w:val="auto"/>
        </w:rPr>
      </w:pPr>
    </w:p>
    <w:p>
      <w:pPr>
        <w:spacing w:after="0" w:line="20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Very truly yours,</w:t>
      </w:r>
    </w:p>
    <w:p>
      <w:pPr>
        <w:spacing w:after="0" w:line="239"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______________________________________</w:t>
      </w:r>
    </w:p>
    <w:p>
      <w:pPr>
        <w:spacing w:after="0" w:line="3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Printed Name of Holder</w:t>
      </w:r>
    </w:p>
    <w:p>
      <w:pPr>
        <w:spacing w:after="0" w:line="27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___________________________________</w:t>
      </w:r>
    </w:p>
    <w:p>
      <w:pPr>
        <w:spacing w:after="0" w:line="3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82"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_______________________________________</w:t>
      </w:r>
    </w:p>
    <w:p>
      <w:pPr>
        <w:spacing w:after="0" w:line="3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Printed Name of Person Signing</w:t>
      </w:r>
    </w:p>
    <w:p>
      <w:pPr>
        <w:spacing w:after="0" w:line="36" w:lineRule="exact"/>
        <w:rPr>
          <w:sz w:val="20"/>
          <w:szCs w:val="20"/>
          <w:color w:val="auto"/>
        </w:rPr>
      </w:pPr>
    </w:p>
    <w:p>
      <w:pPr>
        <w:ind w:left="5060" w:firstLine="54"/>
        <w:spacing w:after="0" w:line="268" w:lineRule="auto"/>
        <w:rPr>
          <w:sz w:val="20"/>
          <w:szCs w:val="20"/>
          <w:color w:val="auto"/>
        </w:rPr>
      </w:pPr>
      <w:r>
        <w:rPr>
          <w:rFonts w:ascii="Arial" w:cs="Arial" w:eastAsia="Arial" w:hAnsi="Arial"/>
          <w:sz w:val="18"/>
          <w:szCs w:val="18"/>
          <w:color w:val="auto"/>
        </w:rPr>
        <w:t>(if signing as a custodian, trustee or on behalf of an entity, please indicate capacity of person signing)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900" w:top="563" w:right="7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152400</wp:posOffset>
            </wp:positionV>
            <wp:extent cx="1603375" cy="12693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03375"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March 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94090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You have requested our opinion, as counsel to VistaGen 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with respect to certain matters in connection with the offering by the Company of 11,500,000 shares of its common stock, par value $0.001 (the “</w:t>
      </w:r>
      <w:r>
        <w:rPr>
          <w:rFonts w:ascii="Arial" w:cs="Arial" w:eastAsia="Arial" w:hAnsi="Arial"/>
          <w:sz w:val="16"/>
          <w:szCs w:val="16"/>
          <w:i w:val="1"/>
          <w:iCs w:val="1"/>
          <w:color w:val="auto"/>
        </w:rPr>
        <w:t>Shares</w:t>
      </w:r>
      <w:r>
        <w:rPr>
          <w:rFonts w:ascii="Arial" w:cs="Arial" w:eastAsia="Arial" w:hAnsi="Arial"/>
          <w:sz w:val="16"/>
          <w:szCs w:val="16"/>
          <w:color w:val="auto"/>
        </w:rPr>
        <w:t>”), including 1,500,000 Shares sold pursuant to the exercise in full by the underwriters of their option to purchase additional shares, each pursuant to the Registration Statement on Form S-3 (No. 333-215671)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filed with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under the Securities Act of 1933 (the “</w:t>
      </w:r>
      <w:r>
        <w:rPr>
          <w:rFonts w:ascii="Arial" w:cs="Arial" w:eastAsia="Arial" w:hAnsi="Arial"/>
          <w:sz w:val="16"/>
          <w:szCs w:val="16"/>
          <w:i w:val="1"/>
          <w:iCs w:val="1"/>
          <w:color w:val="auto"/>
        </w:rPr>
        <w:t>Act</w:t>
      </w:r>
      <w:r>
        <w:rPr>
          <w:rFonts w:ascii="Arial" w:cs="Arial" w:eastAsia="Arial" w:hAnsi="Arial"/>
          <w:sz w:val="16"/>
          <w:szCs w:val="16"/>
          <w:color w:val="auto"/>
        </w:rPr>
        <w:t>”), the prospectus included within the Registration Statement declared effective July 27, 2017 (the “</w:t>
      </w:r>
      <w:r>
        <w:rPr>
          <w:rFonts w:ascii="Arial" w:cs="Arial" w:eastAsia="Arial" w:hAnsi="Arial"/>
          <w:sz w:val="16"/>
          <w:szCs w:val="16"/>
          <w:i w:val="1"/>
          <w:iCs w:val="1"/>
          <w:color w:val="auto"/>
        </w:rPr>
        <w:t>Base Prospectus</w:t>
      </w:r>
      <w:r>
        <w:rPr>
          <w:rFonts w:ascii="Arial" w:cs="Arial" w:eastAsia="Arial" w:hAnsi="Arial"/>
          <w:sz w:val="16"/>
          <w:szCs w:val="16"/>
          <w:color w:val="auto"/>
        </w:rPr>
        <w:t>”) and the prospectus supplement dated February 26, 2019 filed with the Commission pursuant to Rule 424(b) of the Rules and Regulations of the Act (the “</w:t>
      </w:r>
      <w:r>
        <w:rPr>
          <w:rFonts w:ascii="Arial" w:cs="Arial" w:eastAsia="Arial" w:hAnsi="Arial"/>
          <w:sz w:val="16"/>
          <w:szCs w:val="16"/>
          <w:i w:val="1"/>
          <w:iCs w:val="1"/>
          <w:color w:val="auto"/>
        </w:rPr>
        <w:t>Prospectus Supplement</w:t>
      </w:r>
      <w:r>
        <w:rPr>
          <w:rFonts w:ascii="Arial" w:cs="Arial" w:eastAsia="Arial" w:hAnsi="Arial"/>
          <w:sz w:val="16"/>
          <w:szCs w:val="16"/>
          <w:color w:val="auto"/>
        </w:rPr>
        <w:t>”) (the Base Prospectus and Prospectus Supplement are collectively referred to as the “</w:t>
      </w:r>
      <w:r>
        <w:rPr>
          <w:rFonts w:ascii="Arial" w:cs="Arial" w:eastAsia="Arial" w:hAnsi="Arial"/>
          <w:sz w:val="16"/>
          <w:szCs w:val="16"/>
          <w:i w:val="1"/>
          <w:iCs w:val="1"/>
          <w:color w:val="auto"/>
        </w:rPr>
        <w:t>Prospectus</w:t>
      </w:r>
      <w:r>
        <w:rPr>
          <w:rFonts w:ascii="Arial" w:cs="Arial" w:eastAsia="Arial" w:hAnsi="Arial"/>
          <w:sz w:val="16"/>
          <w:szCs w:val="16"/>
          <w:color w:val="auto"/>
        </w:rPr>
        <w:t>”). The Shares are to be sold by the Company as described in the Registration Statement and the Prospectus.</w:t>
      </w:r>
    </w:p>
    <w:p>
      <w:pPr>
        <w:spacing w:after="0" w:line="17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5"/>
          <w:szCs w:val="15"/>
          <w:color w:val="auto"/>
        </w:rPr>
        <w:t>We have examined and relied upon the Registration Statement and the Prospectus, the Company’s Amended and Restated Certificate of Incorporation and Bylaws, as currently in effect, and the originals or copies certified to our satisfaction of such records, documents, certificates, memoranda and other instruments as we have deemed relevant in connection with this opinion. We have assumed the genuineness and authenticity of all documents submitted to us as originals, the conformity to originals of all documents submitted to us as copies, and the accuracy, completeness and authenticity of certificates of public officials.</w:t>
      </w:r>
    </w:p>
    <w:p>
      <w:pPr>
        <w:spacing w:after="0" w:line="15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opinions set forth in this letter are limited to the Nevada Revised States and the law of the State of California, in each case as in effect on the date hereof. We are not rendering any opinion as to compliance with any federal or state antifraud law, rule or regulation relating to securities or to the sale or issuance thereof. On the basis of the foregoing, and in reliance thereon, and subject to the qualifications herein stated, we are of the opinion that the Shares have been duly authorized by all necessary corporate action on the part of the Company and when sold, issued and delivered against payment therefor as described in the Registration Statement and the Prospectus, will be validly issued, fully paid and non-assessable.</w:t>
      </w:r>
    </w:p>
    <w:p>
      <w:pPr>
        <w:spacing w:after="0" w:line="17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consent to the reference to our firm under the caption “</w:t>
      </w:r>
      <w:r>
        <w:rPr>
          <w:rFonts w:ascii="Arial" w:cs="Arial" w:eastAsia="Arial" w:hAnsi="Arial"/>
          <w:sz w:val="16"/>
          <w:szCs w:val="16"/>
          <w:i w:val="1"/>
          <w:iCs w:val="1"/>
          <w:color w:val="auto"/>
        </w:rPr>
        <w:t>Legal Matters</w:t>
      </w:r>
      <w:r>
        <w:rPr>
          <w:rFonts w:ascii="Arial" w:cs="Arial" w:eastAsia="Arial" w:hAnsi="Arial"/>
          <w:sz w:val="16"/>
          <w:szCs w:val="16"/>
          <w:color w:val="auto"/>
        </w:rPr>
        <w:t>” in the Prospectus and to the filing of this opinion as an exhibit to a Current Report on Form 8-K to be filed with the Commission for incorporation by reference into the Registration Statement. In giving this consent, we do not admit that we are “experts” within the meaning of Section 11 of the Act or within the category of persons whose consent is required by Section 7 of the Securities Act.</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1960"/>
        <w:spacing w:after="0"/>
        <w:rPr>
          <w:sz w:val="20"/>
          <w:szCs w:val="20"/>
          <w:color w:val="auto"/>
        </w:rPr>
      </w:pPr>
      <w:r>
        <w:rPr>
          <w:rFonts w:ascii="Arial" w:cs="Arial" w:eastAsia="Arial" w:hAnsi="Arial"/>
          <w:sz w:val="18"/>
          <w:szCs w:val="18"/>
          <w:u w:val="single" w:color="auto"/>
          <w:color w:val="auto"/>
        </w:rPr>
        <w:t>/s/ Disclosure Law Group</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Disclosure Law Group, a 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lowerLetter"/>
      <w:start w:val="1"/>
    </w:lvl>
  </w:abstractNum>
  <w:abstractNum w:abstractNumId="2">
    <w:nsid w:val="628C895D"/>
    <w:multiLevelType w:val="hybridMultilevel"/>
    <w:lvl w:ilvl="0">
      <w:lvlJc w:val="left"/>
      <w:lvlText w:val="(%1)"/>
      <w:numFmt w:val="lowerLetter"/>
      <w:start w:val="2"/>
    </w:lvl>
  </w:abstractNum>
  <w:abstractNum w:abstractNumId="3">
    <w:nsid w:val="333AB105"/>
    <w:multiLevelType w:val="hybridMultilevel"/>
    <w:lvl w:ilvl="0">
      <w:lvlJc w:val="left"/>
      <w:lvlText w:val="(%1)"/>
      <w:numFmt w:val="lowerLetter"/>
      <w:start w:val="6"/>
    </w:lvl>
  </w:abstractNum>
  <w:abstractNum w:abstractNumId="4">
    <w:nsid w:val="721DA317"/>
    <w:multiLevelType w:val="hybridMultilevel"/>
    <w:lvl w:ilvl="0">
      <w:lvlJc w:val="left"/>
      <w:lvlText w:val="(%1)"/>
      <w:numFmt w:val="lowerLetter"/>
      <w:start w:val="11"/>
    </w:lvl>
  </w:abstractNum>
  <w:abstractNum w:abstractNumId="5">
    <w:nsid w:val="2443A858"/>
    <w:multiLevelType w:val="hybridMultilevel"/>
    <w:lvl w:ilvl="0">
      <w:lvlJc w:val="left"/>
      <w:lvlText w:val="%1"/>
      <w:numFmt w:val="upperLetter"/>
      <w:start w:val="1"/>
    </w:lvl>
    <w:lvl w:ilvl="1">
      <w:lvlJc w:val="left"/>
      <w:lvlText w:val="(%2)"/>
      <w:numFmt w:val="lowerLetter"/>
      <w:start w:val="16"/>
    </w:lvl>
  </w:abstractNum>
  <w:abstractNum w:abstractNumId="6">
    <w:nsid w:val="2D1D5AE9"/>
    <w:multiLevelType w:val="hybridMultilevel"/>
    <w:lvl w:ilvl="0">
      <w:lvlJc w:val="left"/>
      <w:lvlText w:val="(%1)"/>
      <w:numFmt w:val="upperLetter"/>
      <w:start w:val="2"/>
    </w:lvl>
    <w:lvl w:ilvl="1">
      <w:lvlJc w:val="left"/>
      <w:lvlText w:val="(%2)"/>
      <w:numFmt w:val="lowerLetter"/>
      <w:start w:val="17"/>
    </w:lvl>
  </w:abstractNum>
  <w:abstractNum w:abstractNumId="7">
    <w:nsid w:val="6763845E"/>
    <w:multiLevelType w:val="hybridMultilevel"/>
    <w:lvl w:ilvl="0">
      <w:lvlJc w:val="left"/>
      <w:lvlText w:val="(%1)"/>
      <w:numFmt w:val="lowerLetter"/>
      <w:start w:val="23"/>
    </w:lvl>
  </w:abstractNum>
  <w:abstractNum w:abstractNumId="8">
    <w:nsid w:val="75A2A8D4"/>
    <w:multiLevelType w:val="hybridMultilevel"/>
    <w:lvl w:ilvl="0">
      <w:lvlJc w:val="left"/>
      <w:lvlText w:val="%1"/>
      <w:numFmt w:val="upperLetter"/>
      <w:start w:val="1"/>
    </w:lvl>
    <w:lvl w:ilvl="1">
      <w:lvlJc w:val="left"/>
      <w:lvlText w:val="(%2)"/>
      <w:numFmt w:val="lowerLetter"/>
      <w:start w:val="27"/>
    </w:lvl>
  </w:abstractNum>
  <w:abstractNum w:abstractNumId="9">
    <w:nsid w:val="8EDBDAB"/>
    <w:multiLevelType w:val="hybridMultilevel"/>
    <w:lvl w:ilvl="0">
      <w:lvlJc w:val="left"/>
      <w:lvlText w:val="(%1)"/>
      <w:numFmt w:val="upperLetter"/>
      <w:start w:val="5"/>
    </w:lvl>
    <w:lvl w:ilvl="1">
      <w:lvlJc w:val="left"/>
      <w:lvlText w:val="%2"/>
      <w:numFmt w:val="lowerLetter"/>
      <w:start w:val="1"/>
    </w:lvl>
  </w:abstractNum>
  <w:abstractNum w:abstractNumId="10">
    <w:nsid w:val="79838CB2"/>
    <w:multiLevelType w:val="hybridMultilevel"/>
    <w:lvl w:ilvl="0">
      <w:lvlJc w:val="left"/>
      <w:lvlText w:val="(%1)"/>
      <w:numFmt w:val="lowerLetter"/>
      <w:start w:val="28"/>
    </w:lvl>
  </w:abstractNum>
  <w:abstractNum w:abstractNumId="11">
    <w:nsid w:val="4353D0CD"/>
    <w:multiLevelType w:val="hybridMultilevel"/>
    <w:lvl w:ilvl="0">
      <w:lvlJc w:val="left"/>
      <w:lvlText w:val="(%1)"/>
      <w:numFmt w:val="lowerLetter"/>
      <w:start w:val="34"/>
    </w:lvl>
  </w:abstractNum>
  <w:abstractNum w:abstractNumId="12">
    <w:nsid w:val="B03E0C6"/>
    <w:multiLevelType w:val="hybridMultilevel"/>
    <w:lvl w:ilvl="0">
      <w:lvlJc w:val="left"/>
      <w:lvlText w:val="(%1)"/>
      <w:numFmt w:val="lowerLetter"/>
      <w:start w:val="39"/>
    </w:lvl>
  </w:abstractNum>
  <w:abstractNum w:abstractNumId="13">
    <w:nsid w:val="189A769B"/>
    <w:multiLevelType w:val="hybridMultilevel"/>
    <w:lvl w:ilvl="0">
      <w:lvlJc w:val="left"/>
      <w:lvlText w:val="(%1)"/>
      <w:numFmt w:val="lowerLetter"/>
      <w:start w:val="43"/>
    </w:lvl>
  </w:abstractNum>
  <w:abstractNum w:abstractNumId="14">
    <w:nsid w:val="54E49EB4"/>
    <w:multiLevelType w:val="hybridMultilevel"/>
    <w:lvl w:ilvl="0">
      <w:lvlJc w:val="left"/>
      <w:lvlText w:val="%1"/>
      <w:numFmt w:val="lowerLetter"/>
      <w:start w:val="1"/>
    </w:lvl>
    <w:lvl w:ilvl="1">
      <w:lvlJc w:val="left"/>
      <w:lvlText w:val="(%2)"/>
      <w:numFmt w:val="lowerLetter"/>
      <w:start w:val="44"/>
    </w:lvl>
  </w:abstractNum>
  <w:abstractNum w:abstractNumId="15">
    <w:nsid w:val="71F32454"/>
    <w:multiLevelType w:val="hybridMultilevel"/>
    <w:lvl w:ilvl="0">
      <w:lvlJc w:val="left"/>
      <w:lvlText w:val="(%1)"/>
      <w:numFmt w:val="lowerLetter"/>
      <w:start w:val="45"/>
    </w:lvl>
    <w:lvl w:ilvl="1">
      <w:lvlJc w:val="left"/>
      <w:lvlText w:val="%2"/>
      <w:numFmt w:val="lowerLetter"/>
      <w:start w:val="1"/>
    </w:lvl>
  </w:abstractNum>
  <w:abstractNum w:abstractNumId="16">
    <w:nsid w:val="2CA88611"/>
    <w:multiLevelType w:val="hybridMultilevel"/>
    <w:lvl w:ilvl="0">
      <w:lvlJc w:val="left"/>
      <w:lvlText w:val="(%1)"/>
      <w:numFmt w:val="lowerRoman"/>
      <w:start w:val="20"/>
    </w:lvl>
  </w:abstractNum>
  <w:abstractNum w:abstractNumId="17">
    <w:nsid w:val="836C40E"/>
    <w:multiLevelType w:val="hybridMultilevel"/>
    <w:lvl w:ilvl="0">
      <w:lvlJc w:val="left"/>
      <w:lvlText w:val="%1."/>
      <w:numFmt w:val="decimal"/>
      <w:start w:val="2"/>
    </w:lvl>
  </w:abstractNum>
  <w:abstractNum w:abstractNumId="18">
    <w:nsid w:val="2901D82"/>
    <w:multiLevelType w:val="hybridMultilevel"/>
    <w:lvl w:ilvl="0">
      <w:lvlJc w:val="left"/>
      <w:lvlText w:val="%1."/>
      <w:numFmt w:val="decimal"/>
      <w:start w:val="3"/>
    </w:lvl>
  </w:abstractNum>
  <w:abstractNum w:abstractNumId="19">
    <w:nsid w:val="3A95F874"/>
    <w:multiLevelType w:val="hybridMultilevel"/>
    <w:lvl w:ilvl="0">
      <w:lvlJc w:val="left"/>
      <w:lvlText w:val="(%1)"/>
      <w:numFmt w:val="lowerLetter"/>
      <w:start w:val="2"/>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1)"/>
      <w:numFmt w:val="lowerLetter"/>
      <w:start w:val="4"/>
    </w:lvl>
  </w:abstractNum>
  <w:abstractNum w:abstractNumId="22">
    <w:nsid w:val="7C3DBD3D"/>
    <w:multiLevelType w:val="hybridMultilevel"/>
    <w:lvl w:ilvl="0">
      <w:lvlJc w:val="left"/>
      <w:lvlText w:val="(%1)"/>
      <w:numFmt w:val="lowerLetter"/>
      <w:start w:val="2"/>
    </w:lvl>
  </w:abstractNum>
  <w:abstractNum w:abstractNumId="23">
    <w:nsid w:val="737B8DDC"/>
    <w:multiLevelType w:val="hybridMultilevel"/>
    <w:lvl w:ilvl="0">
      <w:lvlJc w:val="left"/>
      <w:lvlText w:val="%1."/>
      <w:numFmt w:val="decimal"/>
      <w:start w:val="7"/>
    </w:lvl>
  </w:abstractNum>
  <w:abstractNum w:abstractNumId="24">
    <w:nsid w:val="6CEAF087"/>
    <w:multiLevelType w:val="hybridMultilevel"/>
    <w:lvl w:ilvl="0">
      <w:lvlJc w:val="left"/>
      <w:lvlText w:val="%1."/>
      <w:numFmt w:val="decimal"/>
      <w:start w:val="8"/>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6"/>
    </w:lvl>
  </w:abstractNum>
  <w:abstractNum w:abstractNumId="27">
    <w:nsid w:val="3006C83E"/>
    <w:multiLevelType w:val="hybridMultilevel"/>
    <w:lvl w:ilvl="0">
      <w:lvlJc w:val="left"/>
      <w:lvlText w:val="%1"/>
      <w:numFmt w:val="lowerLetter"/>
      <w:start w:val="1"/>
    </w:lvl>
    <w:lvl w:ilvl="1">
      <w:lvlJc w:val="left"/>
      <w:lvlText w:val="(%2)"/>
      <w:numFmt w:val="lowerLetter"/>
      <w:start w:val="7"/>
    </w:lvl>
  </w:abstractNum>
  <w:abstractNum w:abstractNumId="28">
    <w:nsid w:val="614FD4A1"/>
    <w:multiLevelType w:val="hybridMultilevel"/>
    <w:lvl w:ilvl="0">
      <w:lvlJc w:val="left"/>
      <w:lvlText w:val="(%1)"/>
      <w:numFmt w:val="lowerLetter"/>
      <w:start w:val="61"/>
    </w:lvl>
    <w:lvl w:ilvl="1">
      <w:lvlJc w:val="left"/>
      <w:lvlText w:val="(%2)"/>
      <w:numFmt w:val="lowerLetter"/>
      <w:start w:val="8"/>
    </w:lvl>
  </w:abstractNum>
  <w:abstractNum w:abstractNumId="29">
    <w:nsid w:val="419AC241"/>
    <w:multiLevelType w:val="hybridMultilevel"/>
    <w:lvl w:ilvl="0">
      <w:lvlJc w:val="left"/>
      <w:lvlText w:val="(%1)"/>
      <w:numFmt w:val="lowerLetter"/>
      <w:start w:val="5"/>
    </w:lvl>
    <w:lvl w:ilvl="1">
      <w:lvlJc w:val="left"/>
      <w:lvlText w:val="(%2)"/>
      <w:numFmt w:val="lowerLetter"/>
      <w:start w:val="12"/>
    </w:lvl>
  </w:abstractNum>
  <w:abstractNum w:abstractNumId="30">
    <w:nsid w:val="5577F8E1"/>
    <w:multiLevelType w:val="hybridMultilevel"/>
    <w:lvl w:ilvl="0">
      <w:lvlJc w:val="left"/>
      <w:lvlText w:val="%1"/>
      <w:numFmt w:val="lowerLetter"/>
      <w:start w:val="1"/>
    </w:lvl>
    <w:lvl w:ilvl="1">
      <w:lvlJc w:val="left"/>
      <w:lvlText w:val="(%2)"/>
      <w:numFmt w:val="lowerLetter"/>
      <w:start w:val="2"/>
    </w:lvl>
  </w:abstractNum>
  <w:abstractNum w:abstractNumId="31">
    <w:nsid w:val="440BADFC"/>
    <w:multiLevelType w:val="hybridMultilevel"/>
    <w:lvl w:ilvl="0">
      <w:lvlJc w:val="left"/>
      <w:lvlText w:val="(%1)"/>
      <w:numFmt w:val="lowerLetter"/>
      <w:start w:val="35"/>
    </w:lvl>
    <w:lvl w:ilvl="1">
      <w:lvlJc w:val="left"/>
      <w:lvlText w:val="%2"/>
      <w:numFmt w:val="lowerLetter"/>
      <w:start w:val="1"/>
    </w:lvl>
  </w:abstractNum>
  <w:abstractNum w:abstractNumId="32">
    <w:nsid w:val="5072367"/>
    <w:multiLevelType w:val="hybridMultilevel"/>
    <w:lvl w:ilvl="0">
      <w:lvlJc w:val="left"/>
      <w:lvlText w:val="%1"/>
      <w:numFmt w:val="lowerLetter"/>
      <w:start w:val="1"/>
    </w:lvl>
    <w:lvl w:ilvl="1">
      <w:lvlJc w:val="left"/>
      <w:lvlText w:val="(%2)"/>
      <w:numFmt w:val="lowerLetter"/>
      <w:start w:val="4"/>
    </w:lvl>
  </w:abstractNum>
  <w:abstractNum w:abstractNumId="33">
    <w:nsid w:val="3804823E"/>
    <w:multiLevelType w:val="hybridMultilevel"/>
    <w:lvl w:ilvl="0">
      <w:lvlJc w:val="left"/>
      <w:lvlText w:val="(%1)"/>
      <w:numFmt w:val="lowerLetter"/>
      <w:start w:val="2"/>
    </w:lvl>
    <w:lvl w:ilvl="1">
      <w:lvlJc w:val="left"/>
      <w:lvlText w:val="(%2)"/>
      <w:numFmt w:val="lowerLetter"/>
      <w:start w:val="5"/>
    </w:lvl>
  </w:abstractNum>
  <w:abstractNum w:abstractNumId="34">
    <w:nsid w:val="77465F01"/>
    <w:multiLevelType w:val="hybridMultilevel"/>
    <w:lvl w:ilvl="0">
      <w:lvlJc w:val="left"/>
      <w:lvlText w:val="(%1)"/>
      <w:numFmt w:val="lowerLetter"/>
      <w:start w:val="2"/>
    </w:lvl>
  </w:abstractNum>
  <w:abstractNum w:abstractNumId="35">
    <w:nsid w:val="7724C67E"/>
    <w:multiLevelType w:val="hybridMultilevel"/>
    <w:lvl w:ilvl="0">
      <w:lvlJc w:val="left"/>
      <w:lvlText w:val="%1."/>
      <w:numFmt w:val="decimal"/>
      <w:start w:val="11"/>
    </w:lvl>
  </w:abstractNum>
  <w:abstractNum w:abstractNumId="36">
    <w:nsid w:val="5C482A97"/>
    <w:multiLevelType w:val="hybridMultilevel"/>
    <w:lvl w:ilvl="0">
      <w:lvlJc w:val="left"/>
      <w:lvlText w:val="%1."/>
      <w:numFmt w:val="decimal"/>
      <w:start w:val="14"/>
    </w:lvl>
  </w:abstractNum>
  <w:abstractNum w:abstractNumId="37">
    <w:nsid w:val="2463B9EA"/>
    <w:multiLevelType w:val="hybridMultilevel"/>
    <w:lvl w:ilvl="0">
      <w:lvlJc w:val="left"/>
      <w:lvlText w:val="%1."/>
      <w:numFmt w:val="decimal"/>
      <w:start w:val="21"/>
    </w:lvl>
  </w:abstractNum>
  <w:abstractNum w:abstractNumId="38">
    <w:nsid w:val="5E884AD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2020-01-09T14:59:15Z</dcterms:created>
  <dcterms:modified xsi:type="dcterms:W3CDTF">2020-01-09T14:59:15Z</dcterms:modified>
</cp:coreProperties>
</file>