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2024</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11, 2024, Vistagen Therapeutics,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issued a press release announcing financial results for its fiscal year ended March 31,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being furnished as Exhibit 99.1 to this Current Report on Form 8-K.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and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 Index</w:t>
            </w:r>
          </w:p>
        </w:tc>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53"/>
        </w:trPr>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64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14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7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Vistagen Therapeutics, Inc., dated June 11, 2024, furnished herewith.</w:t>
            </w:r>
          </w:p>
        </w:tc>
        <w:tc>
          <w:tcPr>
            <w:tcW w:w="2920" w:type="dxa"/>
            <w:vAlign w:val="bottom"/>
            <w:tcBorders>
              <w:top w:val="single" w:sz="8" w:color="auto"/>
            </w:tcBorders>
          </w:tcPr>
          <w:p>
            <w:pPr>
              <w:spacing w:after="0"/>
              <w:rPr>
                <w:sz w:val="24"/>
                <w:szCs w:val="24"/>
                <w:color w:val="auto"/>
              </w:rPr>
            </w:pPr>
          </w:p>
        </w:tc>
      </w:tr>
      <w:tr>
        <w:trPr>
          <w:trHeight w:val="277"/>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920"/>
          </w:cols>
          <w:pgMar w:left="320" w:top="1103" w:right="659" w:bottom="1440" w:gutter="0" w:footer="0" w:header="0"/>
        </w:sectPr>
      </w:pPr>
    </w:p>
    <w:bookmarkStart w:id="3" w:name="page4"/>
    <w:bookmarkEnd w:id="3"/>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24269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26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Reports Fiscal Year 2024 Financial Results and Provides Corporate Update</w:t>
      </w:r>
    </w:p>
    <w:p>
      <w:pPr>
        <w:spacing w:after="0" w:line="231" w:lineRule="exact"/>
        <w:rPr>
          <w:sz w:val="20"/>
          <w:szCs w:val="20"/>
          <w:color w:val="auto"/>
        </w:rPr>
      </w:pPr>
    </w:p>
    <w:p>
      <w:pPr>
        <w:ind w:right="1700"/>
        <w:spacing w:after="0" w:line="429" w:lineRule="auto"/>
        <w:rPr>
          <w:sz w:val="20"/>
          <w:szCs w:val="20"/>
          <w:color w:val="auto"/>
        </w:rPr>
      </w:pPr>
      <w:r>
        <w:rPr>
          <w:rFonts w:ascii="Times New Roman" w:cs="Times New Roman" w:eastAsia="Times New Roman" w:hAnsi="Times New Roman"/>
          <w:sz w:val="18"/>
          <w:szCs w:val="18"/>
          <w:i w:val="1"/>
          <w:iCs w:val="1"/>
          <w:color w:val="auto"/>
        </w:rPr>
        <w:t>Registration-directed fasedienol PALISADE Phase 3 program for the acute treatment of social anxiety disorder progressing on track PALISADE-3 Phase 3 trial recently initiated; PALISADE-4 Phase 3 trial initiation anticipated in 2H 2024</w:t>
      </w:r>
    </w:p>
    <w:p>
      <w:pPr>
        <w:spacing w:after="0" w:line="1"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18"/>
          <w:szCs w:val="18"/>
          <w:b w:val="1"/>
          <w:bCs w:val="1"/>
          <w:color w:val="auto"/>
        </w:rPr>
        <w:t>SOUTH SAN FRANCISCO, Calif.--(BUSINESS WIRE)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February 13, 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E32E1"/>
        </w:rPr>
        <w:t>Vistagen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neuroscience-focused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dedicated to pursuing a pioneering approach to the development of groundbreaking therapies for psychiatric and neurological disorders based on nose-to-brain neurocircuitry, today reported financial results for its fiscal year ended March 31, 2024, and provided a corporate update.</w:t>
      </w:r>
    </w:p>
    <w:p>
      <w:pPr>
        <w:spacing w:after="0" w:line="126"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18"/>
          <w:szCs w:val="18"/>
          <w:color w:val="auto"/>
        </w:rPr>
        <w:t>“Vistagen’s fiscal 2024 proved to be a year full of remarkable accomplishments. Most notably, with our PALISADE-2 trial of fasedienol, we became the first company to report positive results of a Phase 3 trial for the acute treatment of social anxiety disorder, a mental health disorder affecting the lives of over 30 million adults in the U.S for which there is no FDA-approved acute treatment option. In addition, we recently initiated our PALISADE-3 Phase 3 trial, which, if successful, has the potential to complement PALISADE-2 in support of a fasedienol U.S. New Drug Application submission,” said Shawn Singh, Chief Executive Officer of Vistagen. “Our primary focus is on the high-quality execution of our registration-directed PALISADE Phase 3 program for fasedienol in social anxiety disorder, as well as the further progression of our non-systemic, neurocircuitry-focused pherine development programs involving itruvone for major depressive disorder and hormone-free PH80 for menopausal hot flashes. We are well-positioned on a path toward achieving multiple potential value-creating catalysts during the year ahead as we pursue our mission to develop and commercialize differentiated neuroscience therapies to improve patients' lives worldwide.”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Fasedienol for the Acute Treatment of Social Anxiety Disorder (SAD)</w:t>
      </w:r>
    </w:p>
    <w:p>
      <w:pPr>
        <w:spacing w:after="0" w:line="171" w:lineRule="exact"/>
        <w:rPr>
          <w:sz w:val="20"/>
          <w:szCs w:val="20"/>
          <w:color w:val="auto"/>
        </w:rPr>
      </w:pPr>
    </w:p>
    <w:p>
      <w:pPr>
        <w:ind w:left="660" w:right="20" w:hanging="328"/>
        <w:spacing w:after="0" w:line="244"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Reported Positive PALISADE-2 Phase 3 Trial Results</w:t>
      </w:r>
      <w:r>
        <w:rPr>
          <w:rFonts w:ascii="Times New Roman" w:cs="Times New Roman" w:eastAsia="Times New Roman" w:hAnsi="Times New Roman"/>
          <w:sz w:val="17"/>
          <w:szCs w:val="17"/>
          <w:color w:val="auto"/>
        </w:rPr>
        <w:t>. In the second quarter of fiscal 2024, Vistagen announced positive top-line results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PALISADE-2, a U.S. multi-center, randomized, double-blind, placebo-controlled Phase 3 trial designed to evaluate the efficacy, safety, and tolerability of fasedienol for the acute treatment of SAD after a single dose of fasedienol during a simulated, anxiety-provoking public speaking challenge in a clinical setting, as measured using the patient-reported Subjective Units of Distress Scale (SUDS) as the primary efficacy endpoint. Fasedienol is Vistagen’s lead investigational neuroactive pherine formulated as a rapid-onset nasal spray to activate olfactory and brain neural circuits without requiring systemic uptake or binding to neurons in the brain. Fasedienol’s proposed MOA is fundamentally differentiated from the MOA of all currently approved treatments for anxiety disorders. Currently, there is no FDA-approved drug therapy for the acute treatment of SAD. With PALISADE-2, Vistagen became the first company to report a positive Phase 3 trial of a drug candidate for the acute treatment of SAD.</w:t>
      </w:r>
    </w:p>
    <w:p>
      <w:pPr>
        <w:spacing w:after="0" w:line="19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Initiated PALISADE-3 Phase 3 Trial; Preparation for PALISADE-4 Phase 3 Trial Underway.</w:t>
      </w:r>
    </w:p>
    <w:p>
      <w:pPr>
        <w:spacing w:after="0" w:line="19" w:lineRule="exact"/>
        <w:rPr>
          <w:rFonts w:ascii="Times New Roman" w:cs="Times New Roman" w:eastAsia="Times New Roman" w:hAnsi="Times New Roman"/>
          <w:sz w:val="18"/>
          <w:szCs w:val="18"/>
          <w:color w:val="auto"/>
        </w:rPr>
      </w:pPr>
    </w:p>
    <w:p>
      <w:pPr>
        <w:ind w:left="660" w:right="6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fiscal 2024, Vistagen launched its PALISADE-3 Phase 3 trial of fasedienol for the acute treatment of SAD. With PALISADE-3 initiated, the Company is now preparing to launch its PALISADE-4 Phase 3 trial in the second half of calendar 2024. PALISADE-3 and PALISADE-4 are designed similarly to PALISADE-2, including an open-label extension for a period of up to 12 months with subjects able to use fasedienol up to 6 times per day in their everyday lives prior to anxiety-provoking social and performance stressors.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Itruvone for Major Depressive Disorder (MDD)</w:t>
      </w:r>
    </w:p>
    <w:p>
      <w:pPr>
        <w:spacing w:after="0" w:line="171" w:lineRule="exact"/>
        <w:rPr>
          <w:sz w:val="20"/>
          <w:szCs w:val="20"/>
          <w:color w:val="auto"/>
        </w:rPr>
      </w:pPr>
    </w:p>
    <w:p>
      <w:pPr>
        <w:ind w:left="660" w:right="60" w:hanging="328"/>
        <w:spacing w:after="0" w:line="237" w:lineRule="auto"/>
        <w:tabs>
          <w:tab w:leader="none" w:pos="655"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color w:val="auto"/>
        </w:rPr>
        <w:t>Completed Successful U.S. Phase 1 Trial to Enable U.S. Phase 2B Development</w:t>
      </w:r>
      <w:r>
        <w:rPr>
          <w:rFonts w:ascii="Times New Roman" w:cs="Times New Roman" w:eastAsia="Times New Roman" w:hAnsi="Times New Roman"/>
          <w:sz w:val="18"/>
          <w:szCs w:val="18"/>
          <w:color w:val="auto"/>
        </w:rPr>
        <w:t>. In the first quarter of fiscal 2024, Vistagen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safety and tolerability data from its U.S. Phase 1 clinical trial of itruvone to build on successful Phase 1 and Phase 2A clinical studies of itruvone previously conducted outside the U.S. Leveraging positive results from an exploratory Phase 2A trial in MDD, preparations and planning are underway for U.S. Phase 2B development of itruvone as a novel, non-systemic stand-alone treatment for MDD.</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r>
    </w:p>
    <w:p>
      <w:pPr>
        <w:ind w:left="660" w:right="180" w:hanging="328"/>
        <w:spacing w:after="0" w:line="23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Reported Key Pherine Mechanism of Action (MOA) Data</w:t>
      </w:r>
      <w:r>
        <w:rPr>
          <w:rFonts w:ascii="Times New Roman" w:cs="Times New Roman" w:eastAsia="Times New Roman" w:hAnsi="Times New Roman"/>
          <w:sz w:val="18"/>
          <w:szCs w:val="18"/>
          <w:color w:val="auto"/>
        </w:rPr>
        <w:t>. In the second quarter of fiscal 2024, the Company reported preclinical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demonstrating that a single intranasal administration of radiolabeled itruvone ([14C]PH10) was essentially undetectable in the brain and most other tissues, including blood and plasma. Similar to previously reported preclinical MOA data of fasedienol, these new preclinical data for itruvone further support its unique proposed MOA as involving binding to receptors of peripheral chemosensory neurons in the nasal cavity, but not to neuronal receptors in the central nervous system, and thereby limiting transport of molecules to the circulatory system and minimizing potential systemic exposure. Itruvone’s proposed MOA is fundamentally differentiated from the MOA of all currently approved treatments for depression disorders.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PH80 for Women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Health Indications</w:t>
      </w:r>
    </w:p>
    <w:p>
      <w:pPr>
        <w:spacing w:after="0" w:line="171" w:lineRule="exact"/>
        <w:rPr>
          <w:sz w:val="20"/>
          <w:szCs w:val="20"/>
          <w:color w:val="auto"/>
        </w:rPr>
      </w:pPr>
    </w:p>
    <w:p>
      <w:pPr>
        <w:ind w:left="660" w:right="20" w:hanging="328"/>
        <w:spacing w:after="0" w:line="23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Positive Exploratory Phase 2A Data Study for the Treatment of Vasomotor Symptoms (Hot Flashes) due to Menopause.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fiscal 2024, Vistagen announced positive data from a previously unreported exploratory Phase 2A clinical trial conducted outside the U.S. in which PH80, Vistagen’s rapid-onset, hormone-free neuroactive pherine nasal spray, demonstrated statistically significant efficacy versus placebo for the treatment of vasomotor symptoms (hot flashes) due to menopause. Potential U.S. IND-enabling studies are underway to facilitate further Phase 2 development of PH80 in the U.S. for the treatment of menopausal hot flashes. PH80’s proposed MOA is fundamentally differentiated from the MOA of all currently approved treatments for menopausal hot flashes.</w:t>
      </w:r>
    </w:p>
    <w:p>
      <w:pPr>
        <w:spacing w:after="0" w:line="195" w:lineRule="exact"/>
        <w:rPr>
          <w:rFonts w:ascii="Times New Roman" w:cs="Times New Roman" w:eastAsia="Times New Roman" w:hAnsi="Times New Roman"/>
          <w:sz w:val="18"/>
          <w:szCs w:val="18"/>
          <w:color w:val="auto"/>
        </w:rPr>
      </w:pPr>
    </w:p>
    <w:p>
      <w:pPr>
        <w:jc w:val="both"/>
        <w:ind w:left="660" w:right="8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Positive Exploratory Phase 2A Data Study for Treatment of Premenstrual Dysphoric Disorder (PMDD). </w:t>
      </w:r>
      <w:r>
        <w:rPr>
          <w:rFonts w:ascii="Times New Roman" w:cs="Times New Roman" w:eastAsia="Times New Roman" w:hAnsi="Times New Roman"/>
          <w:sz w:val="18"/>
          <w:szCs w:val="18"/>
          <w:color w:val="auto"/>
        </w:rPr>
        <w:t>In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fiscal 2024, the Company announced positive data from a previously unreported exploratory Phase 2A clinical trial conducted outside the U.S. in which PH80 demonstrated statistically significant efficacy versus placebo for the treatment of PMDD.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Updates</w:t>
      </w:r>
    </w:p>
    <w:p>
      <w:pPr>
        <w:spacing w:after="0" w:line="162" w:lineRule="exact"/>
        <w:rPr>
          <w:sz w:val="20"/>
          <w:szCs w:val="20"/>
          <w:color w:val="auto"/>
        </w:rPr>
      </w:pPr>
    </w:p>
    <w:p>
      <w:pPr>
        <w:ind w:left="660" w:right="18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fiscal 2024, Vistagen was awarded Mental Health America’s Platinum Bell Seal for workplace mental health, an award the Company received again in the first quarter of fiscal 2025. Receipt of this prestigious award demonstrates Vistagen’s ongoing commitment to bringing mental health awareness and action to the forefront of its workplace and corporate objectives.</w:t>
      </w:r>
    </w:p>
    <w:p>
      <w:pPr>
        <w:spacing w:after="0" w:line="197"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2024, Vistagen announced the appointment of Cindy Anderson as Chief Financial Officer. Ms. Anderson brings almost two decades of financial and operating strength from her experiences in the biopharmaceutical sector.</w:t>
      </w:r>
    </w:p>
    <w:p>
      <w:pPr>
        <w:spacing w:after="0" w:line="189" w:lineRule="exact"/>
        <w:rPr>
          <w:rFonts w:ascii="Times New Roman" w:cs="Times New Roman" w:eastAsia="Times New Roman" w:hAnsi="Times New Roman"/>
          <w:sz w:val="18"/>
          <w:szCs w:val="18"/>
          <w:color w:val="auto"/>
        </w:rPr>
      </w:pPr>
    </w:p>
    <w:p>
      <w:pPr>
        <w:ind w:left="660" w:right="480" w:hanging="328"/>
        <w:spacing w:after="0" w:line="23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2024, Vistagen entered into an Exclusive Negotiation Agreement with Fuji Pharma Co., Ltd. (Fuji Pharma), a leading company in Japan focused on women’s health, to negotiate exclusively with Fuji Pharma for a potential agreement to develop and commercialize Vistagen’s hormone-free pherine nasal spray, PH80, in Japan for the treatment of vasomotor symptoms (hot flashes) due to menopause.</w:t>
      </w:r>
    </w:p>
    <w:p>
      <w:pPr>
        <w:spacing w:after="0" w:line="211" w:lineRule="exact"/>
        <w:rPr>
          <w:rFonts w:ascii="Times New Roman" w:cs="Times New Roman" w:eastAsia="Times New Roman" w:hAnsi="Times New Roman"/>
          <w:sz w:val="18"/>
          <w:szCs w:val="18"/>
          <w:color w:val="auto"/>
        </w:rPr>
      </w:pPr>
    </w:p>
    <w:p>
      <w:pPr>
        <w:ind w:left="660" w:right="100" w:hanging="328"/>
        <w:spacing w:after="0" w:line="279"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third quarter of fiscal 2024, Vistagen closed an underwritten public offering, providing the Company with cash runway to execute critical milestones in its registration-directed PALISADE Phase 3 program for fasedienol in SAD and across other programs in its neuroscience pipeline.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Fiscal Year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ind w:left="66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were $20.0 million for the year ended March 31, 2024, as compared to $44.4 million for the year ended March 31, 2023. The decrease in R&amp;D expenses was primarily due to a decrease in clinical and development expenses related to the timing of expenses incurred for the Company’s Phase 3 trials of fasedienol in SAD.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(G&amp;A) expenses</w:t>
      </w:r>
    </w:p>
    <w:p>
      <w:pPr>
        <w:spacing w:after="0" w:line="227" w:lineRule="exact"/>
        <w:rPr>
          <w:sz w:val="20"/>
          <w:szCs w:val="20"/>
          <w:color w:val="auto"/>
        </w:rPr>
      </w:pPr>
    </w:p>
    <w:p>
      <w:pPr>
        <w:ind w:left="660" w:right="220" w:hanging="328"/>
        <w:spacing w:after="0" w:line="24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G&amp;A expenses were $14.1 million for the year ended March 31, 2024, as compared to $14.7 million for the year ended March 31, 2023. The decrease in G&amp;A expenses was primarily due to a decrease in professional fees and stock-based compensation expense, offset by an increase in compensation and related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ectPr>
          <w:pgSz w:w="11900" w:h="16838" w:orient="portrait"/>
          <w:cols w:equalWidth="0" w:num="1">
            <w:col w:w="11200"/>
          </w:cols>
          <w:pgMar w:left="320" w:top="1440" w:right="379" w:bottom="1440" w:gutter="0" w:footer="0" w:header="0"/>
        </w:sectPr>
      </w:pPr>
    </w:p>
    <w:bookmarkStart w:id="5" w:name="page6"/>
    <w:bookmarkEnd w:id="5"/>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Net loss was $29.4 million for the year ended March 31, 2024, as compared to $59.2 million for the year ended March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highlights</w:t>
      </w:r>
    </w:p>
    <w:p>
      <w:pPr>
        <w:spacing w:after="0" w:line="24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$119.2 million as of March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10, 2024, the Company had 27,029,731 shares of common stock issued and 3,577,240 pre-funded warrants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will host a conference call and live audio webcast this afternoon at 5:00 p.m. Eastern Time to provide a corporate update.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Dial-in (Toll-Free): </w:t>
      </w:r>
      <w:r>
        <w:rPr>
          <w:rFonts w:ascii="Times New Roman" w:cs="Times New Roman" w:eastAsia="Times New Roman" w:hAnsi="Times New Roman"/>
          <w:sz w:val="18"/>
          <w:szCs w:val="18"/>
          <w:color w:val="auto"/>
        </w:rPr>
        <w:t>1-877-407-9716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International Dial-in Number (Toll): </w:t>
      </w:r>
      <w:r>
        <w:rPr>
          <w:rFonts w:ascii="Times New Roman" w:cs="Times New Roman" w:eastAsia="Times New Roman" w:hAnsi="Times New Roman"/>
          <w:sz w:val="18"/>
          <w:szCs w:val="18"/>
          <w:color w:val="auto"/>
        </w:rPr>
        <w:t>1-201-493-6779</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Conference ID: </w:t>
      </w:r>
      <w:r>
        <w:rPr>
          <w:rFonts w:ascii="Times New Roman" w:cs="Times New Roman" w:eastAsia="Times New Roman" w:hAnsi="Times New Roman"/>
          <w:sz w:val="18"/>
          <w:szCs w:val="18"/>
          <w:color w:val="auto"/>
        </w:rPr>
        <w:t>13746589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b w:val="1"/>
          <w:bCs w:val="1"/>
          <w:color w:val="0E32E1"/>
        </w:rPr>
        <w:t>https://viavid.webcasts.com/starthere.jsp?ei=1670447&amp;tp_key=0236806001</w:t>
      </w:r>
    </w:p>
    <w:p>
      <w:pPr>
        <w:spacing w:after="0" w:line="15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A live audio conference call webcast will also be available via the above link. Participants should access this webcast site 10 minutes before the start of the call. In addition, a telephone playback of the call will be available after approximately 8:00 p.m. Eastern Time on Tuesday, June 11, 2024. To listen to the replay, call toll-free 1-844-512-2921 within the United States or 1-412-317-6671 when calling internationally (toll). Please use the replay access ID number: 13746589.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17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 xml:space="preserve">Headquartered in South San Francisco, CA, </w:t>
      </w:r>
      <w:r>
        <w:rPr>
          <w:rFonts w:ascii="Times New Roman" w:cs="Times New Roman" w:eastAsia="Times New Roman" w:hAnsi="Times New Roman"/>
          <w:sz w:val="18"/>
          <w:szCs w:val="18"/>
          <w:u w:val="single" w:color="auto"/>
          <w:color w:val="0E32E1"/>
        </w:rPr>
        <w:t>Vistagen</w:t>
      </w:r>
      <w:r>
        <w:rPr>
          <w:rFonts w:ascii="Times New Roman" w:cs="Times New Roman" w:eastAsia="Times New Roman" w:hAnsi="Times New Roman"/>
          <w:sz w:val="18"/>
          <w:szCs w:val="18"/>
          <w:color w:val="auto"/>
        </w:rPr>
        <w:t xml:space="preserve"> (Nasdaq: VTGN) is a neuroscience-focused biopharmaceutical company dedicated to pursuing a pioneering approach to the development and commercialization of groundbreaking therapies for psychiatric and neurological disorders based on its deep understanding of nose-to-brain neurocircuitry. Designed exclusively as nasal sprays, Vistagen’s diversified pipeline of pherine product candidates rapidly activate chemosensory neurons in the nasal cavity to impact fundamental neurocircuitry in the olfactory system and the brain, with favorable safety profiles observed in all clinical studies completed to date. Vistagen’s pipeline also includes an oral prodrug with potential to modulate NMDA receptor activity. At Vistagen, we are passionate about creating novel and differentiated treatments that set new standards of care for millions of people living with anxiety, depression, and other neurological disorders. Connect at </w:t>
      </w:r>
      <w:r>
        <w:rPr>
          <w:rFonts w:ascii="Times New Roman" w:cs="Times New Roman" w:eastAsia="Times New Roman" w:hAnsi="Times New Roman"/>
          <w:sz w:val="18"/>
          <w:szCs w:val="18"/>
          <w:u w:val="single" w:color="auto"/>
          <w:color w:val="0E32E1"/>
        </w:rPr>
        <w:t>www.Vistagen.com</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04" w:right="359" w:bottom="1440" w:gutter="0" w:footer="0" w:header="0"/>
        </w:sectPr>
      </w:pPr>
    </w:p>
    <w:bookmarkStart w:id="6" w:name="page7"/>
    <w:bookmarkEnd w:id="6"/>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7"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Company’s drug candidates will successfully complete ongoing or, if initiated, future clinical trials, receive regulatory approval or be commercially successful, or that the Company will be able to successfully replicate the result of past studies of its product candidates, including fasedienol, itruvone, PH80 or its other drug candidates. Other factors that may cause such a difference include, without limitation, risks and uncertainties relating to delays in launching, conducting and/or completing ongoing and planned nonclinical studies and clinical trials, including PALISADE-3 and PALISADE-4 or additional Phase 2 clinical trials of itruvone or PH80; the period over which the Company anticipates its available financial resources will fund its operating expense; the timing of completion of preclinical studies and clinical trials and related preparatory work required to apply for an maintain regulatory approval for any of our product candidates; the scope and enforceability of the Company’s patents, including patents related to the Company’s pherine drug candidates and AV-101; fluctuating costs of materials and other resources and services required to conduct the Company’s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Company’s product candidates. These risks are more fully discussed in the section entitled “Risk Factors” in the Company’s most recent Annual Report on Form 10-K for the fiscal year ended March 31, 2024, as well as discussions of potential risks, uncertainties, and other important factors in our other filings with the U.S. Securities and Exchange Commission (SEC). The Company’s SEC filings are available on the SEC’s website at </w:t>
      </w:r>
      <w:r>
        <w:rPr>
          <w:rFonts w:ascii="Times New Roman" w:cs="Times New Roman" w:eastAsia="Times New Roman" w:hAnsi="Times New Roman"/>
          <w:sz w:val="18"/>
          <w:szCs w:val="18"/>
          <w:i w:val="1"/>
          <w:iCs w:val="1"/>
          <w:color w:val="0563C1"/>
        </w:rPr>
        <w:t>www.sec.gov</w:t>
      </w:r>
      <w:r>
        <w:rPr>
          <w:rFonts w:ascii="Times New Roman" w:cs="Times New Roman" w:eastAsia="Times New Roman" w:hAnsi="Times New Roman"/>
          <w:sz w:val="18"/>
          <w:szCs w:val="18"/>
          <w:i w:val="1"/>
          <w:iCs w:val="1"/>
          <w:color w:val="auto"/>
        </w:rPr>
        <w:t>.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McPartland</w:t>
      </w:r>
    </w:p>
    <w:p>
      <w:pPr>
        <w:spacing w:after="0" w:line="9" w:lineRule="exact"/>
        <w:rPr>
          <w:sz w:val="20"/>
          <w:szCs w:val="20"/>
          <w:color w:val="auto"/>
        </w:rPr>
      </w:pPr>
    </w:p>
    <w:p>
      <w:pPr>
        <w:ind w:right="9440" w:firstLine="8"/>
        <w:spacing w:after="0" w:line="290" w:lineRule="auto"/>
        <w:tabs>
          <w:tab w:leader="none" w:pos="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577-3606 </w:t>
      </w:r>
      <w:r>
        <w:rPr>
          <w:rFonts w:ascii="Times New Roman" w:cs="Times New Roman" w:eastAsia="Times New Roman" w:hAnsi="Times New Roman"/>
          <w:sz w:val="17"/>
          <w:szCs w:val="17"/>
          <w:u w:val="single" w:color="auto"/>
          <w:color w:val="auto"/>
        </w:rPr>
        <w:t>markmcp@vistagen.com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Caren Scannell</w:t>
      </w:r>
    </w:p>
    <w:p>
      <w:pPr>
        <w:spacing w:after="0" w:line="9" w:lineRule="exact"/>
        <w:rPr>
          <w:sz w:val="20"/>
          <w:szCs w:val="20"/>
          <w:color w:val="auto"/>
        </w:rPr>
      </w:pPr>
    </w:p>
    <w:p>
      <w:pPr>
        <w:ind w:right="9440" w:firstLine="8"/>
        <w:spacing w:after="0" w:line="260"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577-3601 </w:t>
      </w:r>
      <w:r>
        <w:rPr>
          <w:rFonts w:ascii="Times New Roman" w:cs="Times New Roman" w:eastAsia="Times New Roman" w:hAnsi="Times New Roman"/>
          <w:sz w:val="18"/>
          <w:szCs w:val="18"/>
          <w:u w:val="single" w:color="auto"/>
          <w:color w:val="auto"/>
        </w:rPr>
        <w:t>cscannell@vistagen.com</w:t>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1"/>
                <w:szCs w:val="21"/>
                <w:color w:val="auto"/>
              </w:rPr>
            </w:pPr>
          </w:p>
        </w:tc>
      </w:tr>
      <w:tr>
        <w:trPr>
          <w:trHeight w:val="250"/>
        </w:trPr>
        <w:tc>
          <w:tcPr>
            <w:tcW w:w="8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80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57"/>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6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6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 non-current portion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5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6"/>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123,653</w:t>
            </w:r>
          </w:p>
        </w:tc>
        <w:tc>
          <w:tcPr>
            <w:tcW w:w="2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8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0"/>
        </w:trPr>
        <w:tc>
          <w:tcPr>
            <w:tcW w:w="806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payable</w:t>
            </w:r>
          </w:p>
        </w:tc>
        <w:tc>
          <w:tcPr>
            <w:tcW w:w="34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50"/>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5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5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w:t>
            </w:r>
          </w:p>
        </w:tc>
      </w:tr>
      <w:tr>
        <w:trPr>
          <w:trHeight w:val="26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2024 and March 31, 2023; no</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outstanding at March 31, 2024 and March 31, 2023</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$0.001 par value; 325,000,000 shares authorized at March 31, 2024 and March 31, 2023;</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27,029,731 and 7,315,583 shares issued at March 31, 2024 and March 31, 2023, respectively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474,441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342,893</w:t>
            </w: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March 31, 2024 and March 31, 2023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57"/>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(356,214)</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(326,852)</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114,286</w:t>
            </w:r>
          </w:p>
        </w:tc>
        <w:tc>
          <w:tcPr>
            <w:tcW w:w="2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w:t>
            </w:r>
          </w:p>
        </w:tc>
      </w:tr>
      <w:tr>
        <w:trPr>
          <w:trHeight w:val="28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123,653</w:t>
            </w: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VISTAGEN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1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14605</wp:posOffset>
            </wp:positionV>
            <wp:extent cx="21170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56"/>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44,377</w:t>
            </w: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50"/>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2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59,041</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(59,268)</w:t>
            </w:r>
          </w:p>
        </w:tc>
      </w:tr>
      <w:tr>
        <w:trPr>
          <w:trHeight w:val="26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(59,242)</w:t>
            </w: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19,354,500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6,958,749</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650"/>
    </w:lvl>
  </w:abstractNum>
  <w:abstractNum w:abstractNumId="10">
    <w:nsid w:val="1F16E9E8"/>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2024-06-11T15:29:10Z</dcterms:created>
  <dcterms:modified xsi:type="dcterms:W3CDTF">2024-06-11T15:29:10Z</dcterms:modified>
</cp:coreProperties>
</file>