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1300" w:hanging="995"/>
        <w:spacing w:after="0"/>
        <w:tabs>
          <w:tab w:leader="none" w:pos="13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1300" w:hanging="959"/>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1460"/>
        <w:spacing w:after="0"/>
        <w:tabs>
          <w:tab w:leader="none" w:pos="4760" w:val="left"/>
          <w:tab w:leader="none" w:pos="5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-7620</wp:posOffset>
            </wp:positionV>
            <wp:extent cx="1295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000-54014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VistaGen Therapeutics,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544" w:right="2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ind w:left="1700"/>
        <w:spacing w:after="0"/>
        <w:rPr>
          <w:sz w:val="20"/>
          <w:szCs w:val="20"/>
          <w:color w:val="auto"/>
        </w:rPr>
      </w:pPr>
      <w:r>
        <w:rPr>
          <w:rFonts w:ascii="Arial" w:cs="Arial" w:eastAsia="Arial" w:hAnsi="Arial"/>
          <w:sz w:val="17"/>
          <w:szCs w:val="17"/>
          <w:i w:val="1"/>
          <w:iCs w:val="1"/>
          <w:color w:val="auto"/>
        </w:rPr>
        <w:t>(State or other jurisdiction of</w:t>
      </w:r>
    </w:p>
    <w:p>
      <w:pPr>
        <w:spacing w:after="0" w:line="21" w:lineRule="exact"/>
        <w:rPr>
          <w:sz w:val="24"/>
          <w:szCs w:val="24"/>
          <w:color w:val="auto"/>
        </w:rPr>
      </w:pPr>
    </w:p>
    <w:p>
      <w:pPr>
        <w:ind w:left="1640"/>
        <w:spacing w:after="0"/>
        <w:rPr>
          <w:sz w:val="20"/>
          <w:szCs w:val="20"/>
          <w:color w:val="auto"/>
        </w:rPr>
      </w:pPr>
      <w:r>
        <w:rPr>
          <w:rFonts w:ascii="Arial" w:cs="Arial" w:eastAsia="Arial" w:hAnsi="Arial"/>
          <w:sz w:val="17"/>
          <w:szCs w:val="17"/>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20-5093315</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7"/>
          <w:szCs w:val="17"/>
          <w:i w:val="1"/>
          <w:iCs w:val="1"/>
          <w:color w:val="auto"/>
        </w:rPr>
        <w:t>Identification No.)</w:t>
      </w:r>
    </w:p>
    <w:p>
      <w:pPr>
        <w:spacing w:after="0" w:line="200" w:lineRule="exact"/>
        <w:rPr>
          <w:sz w:val="24"/>
          <w:szCs w:val="24"/>
          <w:color w:val="auto"/>
        </w:rPr>
      </w:pPr>
    </w:p>
    <w:p>
      <w:pPr>
        <w:sectPr>
          <w:pgSz w:w="11900" w:h="16838" w:orient="portrait"/>
          <w:cols w:equalWidth="0" w:num="2">
            <w:col w:w="7520" w:space="720"/>
            <w:col w:w="3180"/>
          </w:cols>
          <w:pgMar w:left="240" w:top="544" w:right="2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(Address of principal executive offices including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(Registrant’s telephone number, including area code)</w:t>
      </w:r>
    </w:p>
    <w:p>
      <w:pPr>
        <w:sectPr>
          <w:pgSz w:w="11900" w:h="16838" w:orient="portrait"/>
          <w:cols w:equalWidth="0" w:num="1">
            <w:col w:w="11420"/>
          </w:cols>
          <w:pgMar w:left="240" w:top="544" w:right="239" w:bottom="1440" w:gutter="0" w:footer="0" w:header="0"/>
          <w:type w:val="continuous"/>
        </w:sectPr>
      </w:pPr>
    </w:p>
    <w:p>
      <w:pPr>
        <w:spacing w:after="0" w:line="22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44" w:right="239" w:bottom="1440" w:gutter="0" w:footer="0" w:header="0"/>
          <w:type w:val="continuous"/>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9" w:lineRule="exact"/>
        <w:rPr>
          <w:sz w:val="24"/>
          <w:szCs w:val="24"/>
          <w:color w:val="auto"/>
        </w:rPr>
      </w:pPr>
    </w:p>
    <w:p>
      <w:pPr>
        <w:sectPr>
          <w:pgSz w:w="11900" w:h="16838" w:orient="portrait"/>
          <w:cols w:equalWidth="0" w:num="4">
            <w:col w:w="2620" w:space="720"/>
            <w:col w:w="2900" w:space="720"/>
            <w:col w:w="2680" w:space="720"/>
            <w:col w:w="1060"/>
          </w:cols>
          <w:pgMar w:left="240" w:top="544" w:right="239" w:bottom="1440" w:gutter="0" w:footer="0" w:header="0"/>
          <w:type w:val="continuous"/>
        </w:sectPr>
      </w:pPr>
    </w:p>
    <w:p>
      <w:pPr>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544" w:right="239" w:bottom="1440" w:gutter="0" w:footer="0" w:header="0"/>
          <w:type w:val="continuous"/>
        </w:sectPr>
      </w:pPr>
    </w:p>
    <w:p>
      <w:pPr>
        <w:spacing w:after="0" w:line="23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As of August 8, 2014, 25,561,877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2014</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940" w:type="dxa"/>
            <w:vAlign w:val="bottom"/>
            <w:gridSpan w:val="7"/>
          </w:tcPr>
          <w:p>
            <w:pPr>
              <w:ind w:left="340"/>
              <w:spacing w:after="0"/>
              <w:rPr>
                <w:sz w:val="20"/>
                <w:szCs w:val="20"/>
                <w:color w:val="auto"/>
              </w:rPr>
            </w:pPr>
            <w:r>
              <w:rPr>
                <w:rFonts w:ascii="Arial" w:cs="Arial" w:eastAsia="Arial" w:hAnsi="Arial"/>
                <w:sz w:val="18"/>
                <w:szCs w:val="18"/>
                <w:b w:val="1"/>
                <w:bCs w:val="1"/>
                <w:color w:val="auto"/>
              </w:rPr>
              <w:t>TABLE OF CONTENTS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0" w:type="dxa"/>
            <w:vAlign w:val="bottom"/>
            <w:gridSpan w:val="8"/>
          </w:tcPr>
          <w:p>
            <w:pPr>
              <w:jc w:val="center"/>
              <w:ind w:right="3540"/>
              <w:spacing w:after="0"/>
              <w:rPr>
                <w:sz w:val="20"/>
                <w:szCs w:val="20"/>
                <w:color w:val="auto"/>
              </w:rPr>
            </w:pPr>
            <w:r>
              <w:rPr>
                <w:rFonts w:ascii="Arial" w:cs="Arial" w:eastAsia="Arial" w:hAnsi="Arial"/>
                <w:sz w:val="18"/>
                <w:szCs w:val="18"/>
                <w:b w:val="1"/>
                <w:bCs w:val="1"/>
                <w:color w:val="auto"/>
              </w:rPr>
              <w:t>PART I. FINANCIAL INFORMATION</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40" w:type="dxa"/>
            <w:vAlign w:val="bottom"/>
            <w:gridSpan w:val="1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Condensed Consolidated Financial Statements (Unaudited)</w:t>
              </w:r>
            </w:hyperlink>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180" w:type="dxa"/>
            <w:vAlign w:val="bottom"/>
            <w:gridSpan w:val="15"/>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at June 30, 2014 and March 31, 2014</w:t>
              </w:r>
            </w:hyperlink>
          </w:p>
        </w:tc>
        <w:tc>
          <w:tcPr>
            <w:tcW w:w="1060" w:type="dxa"/>
            <w:vAlign w:val="bottom"/>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80" w:type="dxa"/>
            <w:vAlign w:val="bottom"/>
            <w:gridSpan w:val="15"/>
            <w:shd w:val="clear" w:color="auto" w:fill="CCEEFF"/>
          </w:tcPr>
          <w:p>
            <w:pPr>
              <w:spacing w:after="0" w:line="17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Condensed Consolidated Statements of Operations and Comprehensive Loss for the three months ended June 30, 2014 and 2013</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24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three months ended June 30, 2014 and 2013</w:t>
              </w:r>
            </w:hyperlink>
          </w:p>
        </w:tc>
        <w:tc>
          <w:tcPr>
            <w:tcW w:w="94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180" w:type="dxa"/>
            <w:vAlign w:val="bottom"/>
            <w:gridSpan w:val="15"/>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the Condensed Consolidated Financial Statements</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40" w:type="dxa"/>
            <w:vAlign w:val="bottom"/>
            <w:gridSpan w:val="16"/>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2. Management’s Discussion and Analysis of Financial Condition and Results of Operations</w:t>
              </w:r>
            </w:hyperlink>
          </w:p>
        </w:tc>
        <w:tc>
          <w:tcPr>
            <w:tcW w:w="1060" w:type="dxa"/>
            <w:vAlign w:val="bottom"/>
          </w:tcPr>
          <w:p>
            <w:pPr>
              <w:jc w:val="center"/>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40" w:type="dxa"/>
            <w:vAlign w:val="bottom"/>
            <w:gridSpan w:val="16"/>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4. Controls and Procedures</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0" w:type="dxa"/>
            <w:vAlign w:val="bottom"/>
            <w:gridSpan w:val="8"/>
            <w:shd w:val="clear" w:color="auto" w:fill="CCEEFF"/>
          </w:tcPr>
          <w:p>
            <w:pPr>
              <w:jc w:val="center"/>
              <w:ind w:right="3540"/>
              <w:spacing w:after="0"/>
              <w:rPr>
                <w:sz w:val="20"/>
                <w:szCs w:val="20"/>
                <w:color w:val="auto"/>
              </w:rPr>
            </w:pPr>
            <w:r>
              <w:rPr>
                <w:rFonts w:ascii="Arial" w:cs="Arial" w:eastAsia="Arial" w:hAnsi="Arial"/>
                <w:sz w:val="18"/>
                <w:szCs w:val="18"/>
                <w:b w:val="1"/>
                <w:bCs w:val="1"/>
                <w:color w:val="auto"/>
              </w:rPr>
              <w:t>PART II. OTHER INFORMATION</w:t>
            </w: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 w:type="dxa"/>
            <w:vAlign w:val="bottom"/>
            <w:gridSpan w:val="2"/>
            <w:shd w:val="clear" w:color="auto" w:fill="CCEEFF"/>
          </w:tcPr>
          <w:p>
            <w:pPr>
              <w:spacing w:after="0" w:line="17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Item 1.</w:t>
              </w:r>
            </w:hyperlink>
          </w:p>
        </w:tc>
        <w:tc>
          <w:tcPr>
            <w:tcW w:w="9800" w:type="dxa"/>
            <w:vAlign w:val="bottom"/>
            <w:gridSpan w:val="14"/>
            <w:shd w:val="clear" w:color="auto" w:fill="CCEEFF"/>
          </w:tcPr>
          <w:p>
            <w:pPr>
              <w:ind w:left="4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2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1A. Risk Factors</w:t>
              </w:r>
            </w:hyperlink>
          </w:p>
        </w:tc>
        <w:tc>
          <w:tcPr>
            <w:tcW w:w="8420" w:type="dxa"/>
            <w:vAlign w:val="bottom"/>
            <w:tcBorders>
              <w:top w:val="single" w:sz="8" w:color="CCEEFF"/>
            </w:tcBorders>
            <w:gridSpan w:val="10"/>
          </w:tcPr>
          <w:p>
            <w:pPr>
              <w:spacing w:after="0"/>
              <w:rPr>
                <w:sz w:val="15"/>
                <w:szCs w:val="15"/>
                <w:color w:val="auto"/>
              </w:rPr>
            </w:pPr>
          </w:p>
        </w:tc>
        <w:tc>
          <w:tcPr>
            <w:tcW w:w="10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Item 2.</w:t>
              </w:r>
            </w:hyperlink>
          </w:p>
        </w:tc>
        <w:tc>
          <w:tcPr>
            <w:tcW w:w="4400" w:type="dxa"/>
            <w:vAlign w:val="bottom"/>
            <w:tcBorders>
              <w:bottom w:val="single" w:sz="8" w:color="0000EE"/>
            </w:tcBorders>
            <w:gridSpan w:val="9"/>
            <w:shd w:val="clear" w:color="auto" w:fill="CCEEFF"/>
          </w:tcPr>
          <w:p>
            <w:pPr>
              <w:ind w:left="40"/>
              <w:spacing w:after="0" w:line="17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Unregistered Sales of Equity Securities and Use of Proceeds</w:t>
              </w:r>
            </w:hyperlink>
          </w:p>
        </w:tc>
        <w:tc>
          <w:tcPr>
            <w:tcW w:w="5400" w:type="dxa"/>
            <w:vAlign w:val="bottom"/>
            <w:tcBorders>
              <w:bottom w:val="single" w:sz="8" w:color="CCEEFF"/>
            </w:tcBorders>
            <w:gridSpan w:val="5"/>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 w:type="dxa"/>
            <w:vAlign w:val="bottom"/>
            <w:gridSpan w:val="2"/>
          </w:tcPr>
          <w:p>
            <w:pPr>
              <w:spacing w:after="0" w:line="17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Item 3.</w:t>
              </w:r>
            </w:hyperlink>
          </w:p>
        </w:tc>
        <w:tc>
          <w:tcPr>
            <w:tcW w:w="9800" w:type="dxa"/>
            <w:vAlign w:val="bottom"/>
            <w:gridSpan w:val="14"/>
          </w:tcPr>
          <w:p>
            <w:pPr>
              <w:ind w:left="4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Defaults Upon Senior Secured Securities</w:t>
              </w:r>
            </w:hyperlink>
          </w:p>
        </w:tc>
        <w:tc>
          <w:tcPr>
            <w:tcW w:w="1060" w:type="dxa"/>
            <w:vAlign w:val="bottom"/>
          </w:tcPr>
          <w:p>
            <w:pPr>
              <w:jc w:val="center"/>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 w:type="dxa"/>
            <w:vAlign w:val="bottom"/>
            <w:gridSpan w:val="2"/>
            <w:shd w:val="clear" w:color="auto" w:fill="CCEEFF"/>
          </w:tcPr>
          <w:p>
            <w:pPr>
              <w:spacing w:after="0" w:line="17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Item 6.</w:t>
              </w:r>
            </w:hyperlink>
          </w:p>
        </w:tc>
        <w:tc>
          <w:tcPr>
            <w:tcW w:w="9800" w:type="dxa"/>
            <w:vAlign w:val="bottom"/>
            <w:gridSpan w:val="14"/>
            <w:shd w:val="clear" w:color="auto" w:fill="CCEEFF"/>
          </w:tcPr>
          <w:p>
            <w:pPr>
              <w:ind w:left="4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gridSpan w:val="2"/>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40" w:type="dxa"/>
            <w:vAlign w:val="bottom"/>
            <w:gridSpan w:val="16"/>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1060" w:type="dxa"/>
            <w:vAlign w:val="bottom"/>
            <w:shd w:val="clear" w:color="auto" w:fill="CCEEFF"/>
          </w:tcPr>
          <w:p>
            <w:pPr>
              <w:jc w:val="right"/>
              <w:ind w:right="330"/>
              <w:spacing w:after="0" w:line="17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8700" w:type="dxa"/>
            <w:vAlign w:val="bottom"/>
            <w:gridSpan w:val="2"/>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7560" w:type="dxa"/>
            <w:vAlign w:val="bottom"/>
          </w:tcPr>
          <w:p>
            <w:pPr>
              <w:jc w:val="center"/>
              <w:ind w:left="1490"/>
              <w:spacing w:after="0"/>
              <w:rPr>
                <w:sz w:val="20"/>
                <w:szCs w:val="20"/>
                <w:color w:val="auto"/>
              </w:rPr>
            </w:pPr>
            <w:r>
              <w:rPr>
                <w:rFonts w:ascii="Arial" w:cs="Arial" w:eastAsia="Arial" w:hAnsi="Arial"/>
                <w:sz w:val="18"/>
                <w:szCs w:val="18"/>
                <w:b w:val="1"/>
                <w:bCs w:val="1"/>
                <w:color w:val="auto"/>
              </w:rPr>
              <w:t>VISTAGEN THERAPEUTICS, INC.</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140" w:type="dxa"/>
            <w:vAlign w:val="bottom"/>
          </w:tcPr>
          <w:p>
            <w:pPr>
              <w:spacing w:after="0"/>
              <w:rPr>
                <w:sz w:val="24"/>
                <w:szCs w:val="24"/>
                <w:color w:val="auto"/>
              </w:rPr>
            </w:pPr>
          </w:p>
        </w:tc>
        <w:tc>
          <w:tcPr>
            <w:tcW w:w="7560" w:type="dxa"/>
            <w:vAlign w:val="bottom"/>
          </w:tcPr>
          <w:p>
            <w:pPr>
              <w:jc w:val="center"/>
              <w:ind w:left="14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7560" w:type="dxa"/>
            <w:vAlign w:val="bottom"/>
          </w:tcPr>
          <w:p>
            <w:pPr>
              <w:jc w:val="center"/>
              <w:ind w:left="1510"/>
              <w:spacing w:after="0"/>
              <w:rPr>
                <w:sz w:val="20"/>
                <w:szCs w:val="20"/>
                <w:color w:val="auto"/>
              </w:rPr>
            </w:pPr>
            <w:r>
              <w:rPr>
                <w:rFonts w:ascii="Arial" w:cs="Arial" w:eastAsia="Arial" w:hAnsi="Arial"/>
                <w:sz w:val="18"/>
                <w:szCs w:val="18"/>
                <w:b w:val="1"/>
                <w:bCs w:val="1"/>
                <w:color w:val="auto"/>
                <w:w w:val="89"/>
              </w:rPr>
              <w:t>(Amounts in Dollars, except share amounts)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14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560" w:type="dxa"/>
            <w:vAlign w:val="bottom"/>
            <w:vMerge w:val="restart"/>
          </w:tcPr>
          <w:p>
            <w:pPr>
              <w:jc w:val="center"/>
              <w:ind w:left="1390"/>
              <w:spacing w:after="0"/>
              <w:rPr>
                <w:sz w:val="20"/>
                <w:szCs w:val="20"/>
                <w:color w:val="auto"/>
              </w:rPr>
            </w:pPr>
            <w:r>
              <w:rPr>
                <w:rFonts w:ascii="Arial" w:cs="Arial" w:eastAsia="Arial" w:hAnsi="Arial"/>
                <w:sz w:val="18"/>
                <w:szCs w:val="18"/>
                <w:b w:val="1"/>
                <w:bCs w:val="1"/>
                <w:color w:val="auto"/>
                <w:w w:val="94"/>
              </w:rPr>
              <w:t>ASSETS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91"/>
              </w:rPr>
              <w:t>(Unaudited)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2"/>
              </w:rPr>
              <w:t>(Note 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7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400,700</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153,900</w:t>
            </w:r>
          </w:p>
        </w:tc>
        <w:tc>
          <w:tcPr>
            <w:tcW w:w="140" w:type="dxa"/>
            <w:vAlign w:val="bottom"/>
            <w:tcBorders>
              <w:left w:val="single" w:sz="8" w:color="CCEEFF"/>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ind w:left="10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554,600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40,500</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163,200</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176,300</w:t>
            </w:r>
          </w:p>
        </w:tc>
        <w:tc>
          <w:tcPr>
            <w:tcW w:w="0" w:type="dxa"/>
            <w:vAlign w:val="bottom"/>
          </w:tcPr>
          <w:p>
            <w:pPr>
              <w:spacing w:after="0"/>
              <w:rPr>
                <w:sz w:val="1"/>
                <w:szCs w:val="1"/>
                <w:color w:val="auto"/>
              </w:rPr>
            </w:pPr>
          </w:p>
        </w:tc>
      </w:tr>
      <w:tr>
        <w:trPr>
          <w:trHeight w:val="216"/>
        </w:trPr>
        <w:tc>
          <w:tcPr>
            <w:tcW w:w="8700" w:type="dxa"/>
            <w:vAlign w:val="bottom"/>
            <w:gridSpan w:val="2"/>
          </w:tcPr>
          <w:p>
            <w:pPr>
              <w:ind w:left="60"/>
              <w:spacing w:after="0"/>
              <w:rPr>
                <w:sz w:val="20"/>
                <w:szCs w:val="20"/>
                <w:color w:val="auto"/>
              </w:rPr>
            </w:pPr>
            <w:r>
              <w:rPr>
                <w:rFonts w:ascii="Arial" w:cs="Arial" w:eastAsia="Arial" w:hAnsi="Arial"/>
                <w:sz w:val="18"/>
                <w:szCs w:val="18"/>
                <w:color w:val="auto"/>
              </w:rPr>
              <w:t>Security deposits and other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46,900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46,900</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7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Total assets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764,700</w:t>
            </w:r>
          </w:p>
        </w:tc>
        <w:tc>
          <w:tcPr>
            <w:tcW w:w="140" w:type="dxa"/>
            <w:vAlign w:val="bottom"/>
            <w:tcBorders>
              <w:left w:val="single" w:sz="8" w:color="CCEEFF"/>
            </w:tcBorders>
            <w:shd w:val="clear" w:color="auto" w:fill="CCEEFF"/>
          </w:tcPr>
          <w:p>
            <w:pPr>
              <w:spacing w:after="0"/>
              <w:rPr>
                <w:sz w:val="22"/>
                <w:szCs w:val="2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263,700</w:t>
            </w:r>
          </w:p>
        </w:tc>
        <w:tc>
          <w:tcPr>
            <w:tcW w:w="0" w:type="dxa"/>
            <w:vAlign w:val="bottom"/>
          </w:tcPr>
          <w:p>
            <w:pPr>
              <w:spacing w:after="0"/>
              <w:rPr>
                <w:sz w:val="1"/>
                <w:szCs w:val="1"/>
                <w:color w:val="auto"/>
              </w:rPr>
            </w:pPr>
          </w:p>
        </w:tc>
      </w:tr>
      <w:tr>
        <w:trPr>
          <w:trHeight w:val="210"/>
        </w:trPr>
        <w:tc>
          <w:tcPr>
            <w:tcW w:w="1140" w:type="dxa"/>
            <w:vAlign w:val="bottom"/>
            <w:tcBorders>
              <w:top w:val="single" w:sz="8" w:color="CCEEFF"/>
            </w:tcBorders>
          </w:tcPr>
          <w:p>
            <w:pPr>
              <w:spacing w:after="0"/>
              <w:rPr>
                <w:sz w:val="18"/>
                <w:szCs w:val="18"/>
                <w:color w:val="auto"/>
              </w:rPr>
            </w:pPr>
          </w:p>
        </w:tc>
        <w:tc>
          <w:tcPr>
            <w:tcW w:w="7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7560" w:type="dxa"/>
            <w:vAlign w:val="bottom"/>
            <w:shd w:val="clear" w:color="auto" w:fill="CCEEFF"/>
          </w:tcPr>
          <w:p>
            <w:pPr>
              <w:jc w:val="center"/>
              <w:ind w:left="1390"/>
              <w:spacing w:after="0"/>
              <w:rPr>
                <w:sz w:val="20"/>
                <w:szCs w:val="20"/>
                <w:color w:val="auto"/>
              </w:rPr>
            </w:pPr>
            <w:r>
              <w:rPr>
                <w:rFonts w:ascii="Arial" w:cs="Arial" w:eastAsia="Arial" w:hAnsi="Arial"/>
                <w:sz w:val="18"/>
                <w:szCs w:val="18"/>
                <w:b w:val="1"/>
                <w:bCs w:val="1"/>
                <w:color w:val="auto"/>
              </w:rPr>
              <w:t>LIABILITIES AND STOCKHOLDERS’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ind w:left="6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1,900,800</w:t>
            </w: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2,443,900</w:t>
            </w:r>
          </w:p>
        </w:tc>
        <w:tc>
          <w:tcPr>
            <w:tcW w:w="0" w:type="dxa"/>
            <w:vAlign w:val="bottom"/>
          </w:tcPr>
          <w:p>
            <w:pPr>
              <w:spacing w:after="0"/>
              <w:rPr>
                <w:sz w:val="1"/>
                <w:szCs w:val="1"/>
                <w:color w:val="auto"/>
              </w:rPr>
            </w:pPr>
          </w:p>
        </w:tc>
      </w:tr>
      <w:tr>
        <w:trPr>
          <w:trHeight w:val="216"/>
        </w:trPr>
        <w:tc>
          <w:tcPr>
            <w:tcW w:w="8700" w:type="dxa"/>
            <w:vAlign w:val="bottom"/>
            <w:gridSpan w:val="2"/>
          </w:tcPr>
          <w:p>
            <w:pPr>
              <w:ind w:left="36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810,200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625,600</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Advance from officer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16"/>
        </w:trPr>
        <w:tc>
          <w:tcPr>
            <w:tcW w:w="8700" w:type="dxa"/>
            <w:vAlign w:val="bottom"/>
            <w:gridSpan w:val="2"/>
          </w:tcPr>
          <w:p>
            <w:pPr>
              <w:ind w:left="380"/>
              <w:spacing w:after="0"/>
              <w:rPr>
                <w:sz w:val="20"/>
                <w:szCs w:val="20"/>
                <w:color w:val="auto"/>
              </w:rPr>
            </w:pPr>
            <w:r>
              <w:rPr>
                <w:rFonts w:ascii="Arial" w:cs="Arial" w:eastAsia="Arial" w:hAnsi="Arial"/>
                <w:sz w:val="18"/>
                <w:szCs w:val="18"/>
                <w:color w:val="auto"/>
              </w:rPr>
              <w:t>Current portion of notes payable and accrued interest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1,844,300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1,442,300</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Current portion of notes payable to related parties and accrued interest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291,300</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290,400</w:t>
            </w:r>
          </w:p>
        </w:tc>
        <w:tc>
          <w:tcPr>
            <w:tcW w:w="0" w:type="dxa"/>
            <w:vAlign w:val="bottom"/>
          </w:tcPr>
          <w:p>
            <w:pPr>
              <w:spacing w:after="0"/>
              <w:rPr>
                <w:sz w:val="1"/>
                <w:szCs w:val="1"/>
                <w:color w:val="auto"/>
              </w:rPr>
            </w:pPr>
          </w:p>
        </w:tc>
      </w:tr>
      <w:tr>
        <w:trPr>
          <w:trHeight w:val="202"/>
        </w:trPr>
        <w:tc>
          <w:tcPr>
            <w:tcW w:w="8700" w:type="dxa"/>
            <w:vAlign w:val="bottom"/>
            <w:gridSpan w:val="2"/>
          </w:tcPr>
          <w:p>
            <w:pPr>
              <w:ind w:left="400"/>
              <w:spacing w:after="0" w:line="201" w:lineRule="exact"/>
              <w:rPr>
                <w:sz w:val="20"/>
                <w:szCs w:val="20"/>
                <w:color w:val="auto"/>
              </w:rPr>
            </w:pPr>
            <w:r>
              <w:rPr>
                <w:rFonts w:ascii="Arial" w:cs="Arial" w:eastAsia="Arial" w:hAnsi="Arial"/>
                <w:sz w:val="18"/>
                <w:szCs w:val="18"/>
                <w:color w:val="auto"/>
                <w:w w:val="92"/>
              </w:rPr>
              <w:t>Convertible promissory notes and accrued interest, net of discount of $1,236,900 and $697,400 at June 30, 2014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ind w:left="660"/>
              <w:spacing w:after="0"/>
              <w:rPr>
                <w:sz w:val="20"/>
                <w:szCs w:val="20"/>
                <w:color w:val="auto"/>
              </w:rPr>
            </w:pPr>
            <w:r>
              <w:rPr>
                <w:rFonts w:ascii="Arial" w:cs="Arial" w:eastAsia="Arial" w:hAnsi="Arial"/>
                <w:sz w:val="18"/>
                <w:szCs w:val="18"/>
                <w:color w:val="auto"/>
              </w:rPr>
              <w:t>and March 31, 2014, respectively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1,347,900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396,000</w:t>
            </w:r>
          </w:p>
        </w:tc>
        <w:tc>
          <w:tcPr>
            <w:tcW w:w="0" w:type="dxa"/>
            <w:vAlign w:val="bottom"/>
          </w:tcPr>
          <w:p>
            <w:pPr>
              <w:spacing w:after="0"/>
              <w:rPr>
                <w:sz w:val="1"/>
                <w:szCs w:val="1"/>
                <w:color w:val="auto"/>
              </w:rPr>
            </w:pPr>
          </w:p>
        </w:tc>
      </w:tr>
      <w:tr>
        <w:trPr>
          <w:trHeight w:val="237"/>
        </w:trPr>
        <w:tc>
          <w:tcPr>
            <w:tcW w:w="8700" w:type="dxa"/>
            <w:vAlign w:val="bottom"/>
            <w:gridSpan w:val="2"/>
          </w:tcPr>
          <w:p>
            <w:pPr>
              <w:ind w:left="380"/>
              <w:spacing w:after="0"/>
              <w:rPr>
                <w:sz w:val="20"/>
                <w:szCs w:val="20"/>
                <w:color w:val="auto"/>
              </w:rPr>
            </w:pPr>
            <w:r>
              <w:rPr>
                <w:rFonts w:ascii="Arial" w:cs="Arial" w:eastAsia="Arial" w:hAnsi="Arial"/>
                <w:sz w:val="18"/>
                <w:szCs w:val="18"/>
                <w:color w:val="auto"/>
              </w:rPr>
              <w:t>Capital lease obligations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7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6,196,600</w:t>
            </w:r>
          </w:p>
        </w:tc>
        <w:tc>
          <w:tcPr>
            <w:tcW w:w="14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5,205,700</w:t>
            </w:r>
          </w:p>
        </w:tc>
        <w:tc>
          <w:tcPr>
            <w:tcW w:w="0" w:type="dxa"/>
            <w:vAlign w:val="bottom"/>
          </w:tcPr>
          <w:p>
            <w:pPr>
              <w:spacing w:after="0"/>
              <w:rPr>
                <w:sz w:val="1"/>
                <w:szCs w:val="1"/>
                <w:color w:val="auto"/>
              </w:rPr>
            </w:pPr>
          </w:p>
        </w:tc>
      </w:tr>
      <w:tr>
        <w:trPr>
          <w:trHeight w:val="216"/>
        </w:trPr>
        <w:tc>
          <w:tcPr>
            <w:tcW w:w="8700" w:type="dxa"/>
            <w:vAlign w:val="bottom"/>
            <w:tcBorders>
              <w:top w:val="single" w:sz="8" w:color="CCEEFF"/>
            </w:tcBorders>
            <w:gridSpan w:val="2"/>
          </w:tcPr>
          <w:p>
            <w:pPr>
              <w:ind w:left="60"/>
              <w:spacing w:after="0"/>
              <w:rPr>
                <w:sz w:val="20"/>
                <w:szCs w:val="20"/>
                <w:color w:val="auto"/>
              </w:rPr>
            </w:pPr>
            <w:r>
              <w:rPr>
                <w:rFonts w:ascii="Arial" w:cs="Arial" w:eastAsia="Arial" w:hAnsi="Arial"/>
                <w:sz w:val="18"/>
                <w:szCs w:val="18"/>
                <w:color w:val="auto"/>
              </w:rPr>
              <w:t>Non-current liabilities:</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Senior secured convertible promissory notes, net of discount of $2,014,100 at June 30, 2014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$2,085,900 at March 31, 2014 and accrued interest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2,104,000</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1,929,800</w:t>
            </w:r>
          </w:p>
        </w:tc>
        <w:tc>
          <w:tcPr>
            <w:tcW w:w="0" w:type="dxa"/>
            <w:vAlign w:val="bottom"/>
          </w:tcPr>
          <w:p>
            <w:pPr>
              <w:spacing w:after="0"/>
              <w:rPr>
                <w:sz w:val="1"/>
                <w:szCs w:val="1"/>
                <w:color w:val="auto"/>
              </w:rPr>
            </w:pPr>
          </w:p>
        </w:tc>
      </w:tr>
      <w:tr>
        <w:trPr>
          <w:trHeight w:val="202"/>
        </w:trPr>
        <w:tc>
          <w:tcPr>
            <w:tcW w:w="87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Notes payable, net of discount of $762,700 at June 30, 2014 and $848,100 at March 31, 2014 and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600"/>
              <w:spacing w:after="0"/>
              <w:rPr>
                <w:sz w:val="20"/>
                <w:szCs w:val="20"/>
                <w:color w:val="auto"/>
              </w:rPr>
            </w:pPr>
            <w:r>
              <w:rPr>
                <w:rFonts w:ascii="Arial" w:cs="Arial" w:eastAsia="Arial" w:hAnsi="Arial"/>
                <w:sz w:val="18"/>
                <w:szCs w:val="18"/>
                <w:color w:val="auto"/>
              </w:rPr>
              <w:t>accrued interest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1,960,400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1,797,600</w:t>
            </w:r>
          </w:p>
        </w:tc>
        <w:tc>
          <w:tcPr>
            <w:tcW w:w="0" w:type="dxa"/>
            <w:vAlign w:val="bottom"/>
          </w:tcPr>
          <w:p>
            <w:pPr>
              <w:spacing w:after="0"/>
              <w:rPr>
                <w:sz w:val="1"/>
                <w:szCs w:val="1"/>
                <w:color w:val="auto"/>
              </w:rPr>
            </w:pPr>
          </w:p>
        </w:tc>
      </w:tr>
      <w:tr>
        <w:trPr>
          <w:trHeight w:val="202"/>
        </w:trPr>
        <w:tc>
          <w:tcPr>
            <w:tcW w:w="87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Notes payable to related parties, net of discount of $91,400 at June 30, 2014 and $103,200 at March 31,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2014 and accrued interest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1,095,300</w:t>
            </w:r>
          </w:p>
        </w:tc>
        <w:tc>
          <w:tcPr>
            <w:tcW w:w="14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1,057,100</w:t>
            </w:r>
          </w:p>
        </w:tc>
        <w:tc>
          <w:tcPr>
            <w:tcW w:w="0" w:type="dxa"/>
            <w:vAlign w:val="bottom"/>
          </w:tcPr>
          <w:p>
            <w:pPr>
              <w:spacing w:after="0"/>
              <w:rPr>
                <w:sz w:val="1"/>
                <w:szCs w:val="1"/>
                <w:color w:val="auto"/>
              </w:rPr>
            </w:pPr>
          </w:p>
        </w:tc>
      </w:tr>
      <w:tr>
        <w:trPr>
          <w:trHeight w:val="216"/>
        </w:trPr>
        <w:tc>
          <w:tcPr>
            <w:tcW w:w="8700" w:type="dxa"/>
            <w:vAlign w:val="bottom"/>
            <w:gridSpan w:val="2"/>
          </w:tcPr>
          <w:p>
            <w:pPr>
              <w:ind w:left="380"/>
              <w:spacing w:after="0"/>
              <w:rPr>
                <w:sz w:val="20"/>
                <w:szCs w:val="20"/>
                <w:color w:val="auto"/>
              </w:rPr>
            </w:pPr>
            <w:r>
              <w:rPr>
                <w:rFonts w:ascii="Arial" w:cs="Arial" w:eastAsia="Arial" w:hAnsi="Arial"/>
                <w:sz w:val="18"/>
                <w:szCs w:val="18"/>
                <w:color w:val="auto"/>
              </w:rPr>
              <w:t>Warrant liability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4,701,200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2,973,900</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Deferred rent liability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95,900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97,400</w:t>
            </w:r>
          </w:p>
        </w:tc>
        <w:tc>
          <w:tcPr>
            <w:tcW w:w="0" w:type="dxa"/>
            <w:vAlign w:val="bottom"/>
          </w:tcPr>
          <w:p>
            <w:pPr>
              <w:spacing w:after="0"/>
              <w:rPr>
                <w:sz w:val="1"/>
                <w:szCs w:val="1"/>
                <w:color w:val="auto"/>
              </w:rPr>
            </w:pPr>
          </w:p>
        </w:tc>
      </w:tr>
      <w:tr>
        <w:trPr>
          <w:trHeight w:val="223"/>
        </w:trPr>
        <w:tc>
          <w:tcPr>
            <w:tcW w:w="8700" w:type="dxa"/>
            <w:vAlign w:val="bottom"/>
            <w:gridSpan w:val="2"/>
          </w:tcPr>
          <w:p>
            <w:pPr>
              <w:ind w:left="380"/>
              <w:spacing w:after="0"/>
              <w:rPr>
                <w:sz w:val="20"/>
                <w:szCs w:val="20"/>
                <w:color w:val="auto"/>
              </w:rPr>
            </w:pPr>
            <w:r>
              <w:rPr>
                <w:rFonts w:ascii="Arial" w:cs="Arial" w:eastAsia="Arial" w:hAnsi="Arial"/>
                <w:sz w:val="18"/>
                <w:szCs w:val="18"/>
                <w:color w:val="auto"/>
              </w:rPr>
              <w:t>Capital lease obligations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9,958,700</w:t>
            </w:r>
          </w:p>
        </w:tc>
        <w:tc>
          <w:tcPr>
            <w:tcW w:w="140" w:type="dxa"/>
            <w:vAlign w:val="bottom"/>
            <w:tcBorders>
              <w:left w:val="single" w:sz="8" w:color="CCEEFF"/>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7,857,900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00" w:type="dxa"/>
            <w:vAlign w:val="bottom"/>
            <w:gridSpan w:val="2"/>
          </w:tcPr>
          <w:p>
            <w:pPr>
              <w:ind w:left="70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16,155,300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13,063,600</w:t>
            </w:r>
          </w:p>
        </w:tc>
        <w:tc>
          <w:tcPr>
            <w:tcW w:w="0" w:type="dxa"/>
            <w:vAlign w:val="bottom"/>
          </w:tcPr>
          <w:p>
            <w:pPr>
              <w:spacing w:after="0"/>
              <w:rPr>
                <w:sz w:val="1"/>
                <w:szCs w:val="1"/>
                <w:color w:val="auto"/>
              </w:rPr>
            </w:pPr>
          </w:p>
        </w:tc>
      </w:tr>
      <w:tr>
        <w:trPr>
          <w:trHeight w:val="223"/>
        </w:trPr>
        <w:tc>
          <w:tcPr>
            <w:tcW w:w="1140" w:type="dxa"/>
            <w:vAlign w:val="bottom"/>
            <w:tcBorders>
              <w:bottom w:val="single" w:sz="8" w:color="CCEEFF"/>
            </w:tcBorders>
            <w:shd w:val="clear" w:color="auto" w:fill="CCEEFF"/>
          </w:tcPr>
          <w:p>
            <w:pPr>
              <w:spacing w:after="0"/>
              <w:rPr>
                <w:sz w:val="19"/>
                <w:szCs w:val="19"/>
                <w:color w:val="auto"/>
              </w:rPr>
            </w:pPr>
          </w:p>
        </w:tc>
        <w:tc>
          <w:tcPr>
            <w:tcW w:w="7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left w:val="single" w:sz="8" w:color="CCEEFF"/>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ind w:left="60"/>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ind w:left="60"/>
              <w:spacing w:after="0"/>
              <w:rPr>
                <w:sz w:val="20"/>
                <w:szCs w:val="20"/>
                <w:color w:val="auto"/>
              </w:rPr>
            </w:pPr>
            <w:r>
              <w:rPr>
                <w:rFonts w:ascii="Arial" w:cs="Arial" w:eastAsia="Arial" w:hAnsi="Arial"/>
                <w:sz w:val="18"/>
                <w:szCs w:val="18"/>
                <w:color w:val="auto"/>
              </w:rPr>
              <w:t>Stockholders’ deficit: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Preferred stock, $0.001 par value; 10,000,000 shares, including 500,000 Series A shares, authorized at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June 30, 2014 and March 31, 2014; 500,000 Series A shares issued and outstanding at June 30, 2014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and March 31, 2014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2"/>
        </w:trPr>
        <w:tc>
          <w:tcPr>
            <w:tcW w:w="8700" w:type="dxa"/>
            <w:vAlign w:val="bottom"/>
            <w:gridSpan w:val="2"/>
          </w:tcPr>
          <w:p>
            <w:pPr>
              <w:ind w:left="380"/>
              <w:spacing w:after="0" w:line="201" w:lineRule="exact"/>
              <w:rPr>
                <w:sz w:val="20"/>
                <w:szCs w:val="20"/>
                <w:color w:val="auto"/>
              </w:rPr>
            </w:pPr>
            <w:r>
              <w:rPr>
                <w:rFonts w:ascii="Arial" w:cs="Arial" w:eastAsia="Arial" w:hAnsi="Arial"/>
                <w:sz w:val="18"/>
                <w:szCs w:val="18"/>
                <w:color w:val="auto"/>
                <w:w w:val="99"/>
              </w:rPr>
              <w:t>Common stock, $0.001 par value; 200,000,000 shares authorized at June 30, 2014 and March 31, 2014;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600"/>
              <w:spacing w:after="0"/>
              <w:rPr>
                <w:sz w:val="20"/>
                <w:szCs w:val="20"/>
                <w:color w:val="auto"/>
              </w:rPr>
            </w:pPr>
            <w:r>
              <w:rPr>
                <w:rFonts w:ascii="Arial" w:cs="Arial" w:eastAsia="Arial" w:hAnsi="Arial"/>
                <w:sz w:val="18"/>
                <w:szCs w:val="18"/>
                <w:color w:val="auto"/>
              </w:rPr>
              <w:t>28,220,185 and 26,200,185 shares issued at June 30, 2014 and March 31, 2014, respectively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28,200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26,200</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63,937,100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61,976,500</w:t>
            </w:r>
          </w:p>
        </w:tc>
        <w:tc>
          <w:tcPr>
            <w:tcW w:w="0" w:type="dxa"/>
            <w:vAlign w:val="bottom"/>
          </w:tcPr>
          <w:p>
            <w:pPr>
              <w:spacing w:after="0"/>
              <w:rPr>
                <w:sz w:val="1"/>
                <w:szCs w:val="1"/>
                <w:color w:val="auto"/>
              </w:rPr>
            </w:pPr>
          </w:p>
        </w:tc>
      </w:tr>
      <w:tr>
        <w:trPr>
          <w:trHeight w:val="216"/>
        </w:trPr>
        <w:tc>
          <w:tcPr>
            <w:tcW w:w="8700" w:type="dxa"/>
            <w:vAlign w:val="bottom"/>
            <w:gridSpan w:val="2"/>
          </w:tcPr>
          <w:p>
            <w:pPr>
              <w:ind w:left="380"/>
              <w:spacing w:after="0"/>
              <w:rPr>
                <w:sz w:val="20"/>
                <w:szCs w:val="20"/>
                <w:color w:val="auto"/>
              </w:rPr>
            </w:pPr>
            <w:r>
              <w:rPr>
                <w:rFonts w:ascii="Arial" w:cs="Arial" w:eastAsia="Arial" w:hAnsi="Arial"/>
                <w:sz w:val="18"/>
                <w:szCs w:val="18"/>
                <w:color w:val="auto"/>
              </w:rPr>
              <w:t>Treasury stock, at cost, 2,713,308 shares of common stock held at June 30, 2014 and March 31, 2014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(3,968,100)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(3,968,100)</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Note receivable from sale of common stock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(198,100)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(198,100)</w:t>
            </w:r>
          </w:p>
        </w:tc>
        <w:tc>
          <w:tcPr>
            <w:tcW w:w="0" w:type="dxa"/>
            <w:vAlign w:val="bottom"/>
          </w:tcPr>
          <w:p>
            <w:pPr>
              <w:spacing w:after="0"/>
              <w:rPr>
                <w:sz w:val="1"/>
                <w:szCs w:val="1"/>
                <w:color w:val="auto"/>
              </w:rPr>
            </w:pPr>
          </w:p>
        </w:tc>
      </w:tr>
      <w:tr>
        <w:trPr>
          <w:trHeight w:val="216"/>
        </w:trPr>
        <w:tc>
          <w:tcPr>
            <w:tcW w:w="870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(75,190,200)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(70,636,900)</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Total stockholders’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(15,390,600)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(12,799,900)</w:t>
            </w:r>
          </w:p>
        </w:tc>
        <w:tc>
          <w:tcPr>
            <w:tcW w:w="0" w:type="dxa"/>
            <w:vAlign w:val="bottom"/>
          </w:tcPr>
          <w:p>
            <w:pPr>
              <w:spacing w:after="0"/>
              <w:rPr>
                <w:sz w:val="1"/>
                <w:szCs w:val="1"/>
                <w:color w:val="auto"/>
              </w:rPr>
            </w:pPr>
          </w:p>
        </w:tc>
      </w:tr>
      <w:tr>
        <w:trPr>
          <w:trHeight w:val="27"/>
        </w:trPr>
        <w:tc>
          <w:tcPr>
            <w:tcW w:w="114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gridSpan w:val="2"/>
          </w:tcPr>
          <w:p>
            <w:pPr>
              <w:ind w:left="1020"/>
              <w:spacing w:after="0"/>
              <w:rPr>
                <w:sz w:val="20"/>
                <w:szCs w:val="20"/>
                <w:color w:val="auto"/>
              </w:rPr>
            </w:pPr>
            <w:r>
              <w:rPr>
                <w:rFonts w:ascii="Arial" w:cs="Arial" w:eastAsia="Arial" w:hAnsi="Arial"/>
                <w:sz w:val="18"/>
                <w:szCs w:val="18"/>
                <w:color w:val="auto"/>
              </w:rPr>
              <w:t>Total liabilities and stockholders’ deficit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764,700</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263,700</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473,600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797,200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604,600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1,270,800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(1,270,800)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(1,300,100)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(784,900)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warrant liability</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(1,727,200)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0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(768,000)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(4,550,900)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(2,400)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Net income (loss)</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(4,553,300)</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185,700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Basic net income (loss) per common share</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Diluted net loss per common share</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Weighted average shares used in computing:</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common share</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24,588,086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20,839,941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common share</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24,588,086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21,229,190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(4,553,300)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185,700</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600" w:type="dxa"/>
            <w:vAlign w:val="bottom"/>
            <w:tcBorders>
              <w:top w:val="single" w:sz="8" w:color="CCEEFF"/>
            </w:tcBorders>
          </w:tcPr>
          <w:p>
            <w:pPr>
              <w:jc w:val="center"/>
              <w:ind w:left="2710"/>
              <w:spacing w:after="0"/>
              <w:rPr>
                <w:sz w:val="20"/>
                <w:szCs w:val="20"/>
                <w:color w:val="auto"/>
              </w:rPr>
            </w:pPr>
            <w:r>
              <w:rPr>
                <w:rFonts w:ascii="Arial" w:cs="Arial" w:eastAsia="Arial" w:hAnsi="Arial"/>
                <w:sz w:val="18"/>
                <w:szCs w:val="18"/>
                <w:color w:val="auto"/>
                <w:w w:val="88"/>
              </w:rPr>
              <w:t>See accompanying notes to Condensed Consolidated Financial Statements.</w:t>
            </w: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8620" w:type="dxa"/>
            <w:vAlign w:val="bottom"/>
            <w:gridSpan w:val="2"/>
          </w:tcPr>
          <w:p>
            <w:pPr>
              <w:jc w:val="right"/>
              <w:ind w:right="271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8620" w:type="dxa"/>
            <w:vAlign w:val="bottom"/>
            <w:gridSpan w:val="2"/>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80"/>
        </w:trPr>
        <w:tc>
          <w:tcPr>
            <w:tcW w:w="1140" w:type="dxa"/>
            <w:vAlign w:val="bottom"/>
            <w:tcBorders>
              <w:top w:val="single" w:sz="8" w:color="0000EE"/>
            </w:tcBorders>
          </w:tcPr>
          <w:p>
            <w:pPr>
              <w:spacing w:after="0"/>
              <w:rPr>
                <w:sz w:val="24"/>
                <w:szCs w:val="24"/>
                <w:color w:val="auto"/>
              </w:rPr>
            </w:pPr>
          </w:p>
        </w:tc>
        <w:tc>
          <w:tcPr>
            <w:tcW w:w="7480" w:type="dxa"/>
            <w:vAlign w:val="bottom"/>
          </w:tcPr>
          <w:p>
            <w:pPr>
              <w:jc w:val="center"/>
              <w:ind w:left="1570"/>
              <w:spacing w:after="0"/>
              <w:rPr>
                <w:sz w:val="20"/>
                <w:szCs w:val="20"/>
                <w:color w:val="auto"/>
              </w:rPr>
            </w:pPr>
            <w:r>
              <w:rPr>
                <w:rFonts w:ascii="Arial" w:cs="Arial" w:eastAsia="Arial" w:hAnsi="Arial"/>
                <w:sz w:val="18"/>
                <w:szCs w:val="18"/>
                <w:b w:val="1"/>
                <w:bCs w:val="1"/>
                <w:color w:val="auto"/>
              </w:rPr>
              <w:t>VISTAGEN THERAPEUTICS, INC.</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140" w:type="dxa"/>
            <w:vAlign w:val="bottom"/>
          </w:tcPr>
          <w:p>
            <w:pPr>
              <w:spacing w:after="0"/>
              <w:rPr>
                <w:sz w:val="24"/>
                <w:szCs w:val="24"/>
                <w:color w:val="auto"/>
              </w:rPr>
            </w:pPr>
          </w:p>
        </w:tc>
        <w:tc>
          <w:tcPr>
            <w:tcW w:w="7480" w:type="dxa"/>
            <w:vAlign w:val="bottom"/>
          </w:tcPr>
          <w:p>
            <w:pPr>
              <w:jc w:val="center"/>
              <w:ind w:left="15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7480" w:type="dxa"/>
            <w:vAlign w:val="bottom"/>
          </w:tcPr>
          <w:p>
            <w:pPr>
              <w:jc w:val="center"/>
              <w:ind w:left="157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7480" w:type="dxa"/>
            <w:vAlign w:val="bottom"/>
          </w:tcPr>
          <w:p>
            <w:pPr>
              <w:jc w:val="center"/>
              <w:ind w:left="1570"/>
              <w:spacing w:after="0"/>
              <w:rPr>
                <w:sz w:val="20"/>
                <w:szCs w:val="20"/>
                <w:color w:val="auto"/>
              </w:rPr>
            </w:pPr>
            <w:r>
              <w:rPr>
                <w:rFonts w:ascii="Arial" w:cs="Arial" w:eastAsia="Arial" w:hAnsi="Arial"/>
                <w:sz w:val="18"/>
                <w:szCs w:val="18"/>
                <w:b w:val="1"/>
                <w:bCs w:val="1"/>
                <w:color w:val="auto"/>
                <w:w w:val="91"/>
              </w:rPr>
              <w:t>(Amounts in Dollars)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114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0"/>
              </w:rPr>
              <w:t>Three Months Ended June 30,</w:t>
            </w:r>
          </w:p>
        </w:tc>
      </w:tr>
      <w:tr>
        <w:trPr>
          <w:trHeight w:val="223"/>
        </w:trPr>
        <w:tc>
          <w:tcPr>
            <w:tcW w:w="114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r>
      <w:tr>
        <w:trPr>
          <w:trHeight w:val="216"/>
        </w:trPr>
        <w:tc>
          <w:tcPr>
            <w:tcW w:w="8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20" w:type="dxa"/>
            <w:vAlign w:val="bottom"/>
            <w:gridSpan w:val="2"/>
          </w:tcPr>
          <w:p>
            <w:pPr>
              <w:ind w:left="580"/>
              <w:spacing w:after="0"/>
              <w:rPr>
                <w:sz w:val="20"/>
                <w:szCs w:val="20"/>
                <w:color w:val="auto"/>
              </w:rPr>
            </w:pPr>
            <w:r>
              <w:rPr>
                <w:rFonts w:ascii="Arial" w:cs="Arial" w:eastAsia="Arial" w:hAnsi="Arial"/>
                <w:sz w:val="18"/>
                <w:szCs w:val="18"/>
                <w:color w:val="auto"/>
              </w:rPr>
              <w:t>Net income (loss)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(4,553,300)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185,700</w:t>
            </w:r>
          </w:p>
        </w:tc>
      </w:tr>
      <w:tr>
        <w:trPr>
          <w:trHeight w:val="216"/>
        </w:trPr>
        <w:tc>
          <w:tcPr>
            <w:tcW w:w="86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20" w:type="dxa"/>
            <w:vAlign w:val="bottom"/>
            <w:gridSpan w:val="2"/>
          </w:tcPr>
          <w:p>
            <w:pPr>
              <w:ind w:left="9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12,200</w:t>
            </w:r>
          </w:p>
        </w:tc>
      </w:tr>
      <w:tr>
        <w:trPr>
          <w:trHeight w:val="216"/>
        </w:trPr>
        <w:tc>
          <w:tcPr>
            <w:tcW w:w="86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Amortization of discounts on convertible and promissory notes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481,900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94,000</w:t>
            </w:r>
          </w:p>
        </w:tc>
      </w:tr>
      <w:tr>
        <w:trPr>
          <w:trHeight w:val="216"/>
        </w:trPr>
        <w:tc>
          <w:tcPr>
            <w:tcW w:w="8620" w:type="dxa"/>
            <w:vAlign w:val="bottom"/>
            <w:gridSpan w:val="2"/>
          </w:tcPr>
          <w:p>
            <w:pPr>
              <w:ind w:left="960"/>
              <w:spacing w:after="0"/>
              <w:rPr>
                <w:sz w:val="20"/>
                <w:szCs w:val="20"/>
                <w:color w:val="auto"/>
              </w:rPr>
            </w:pPr>
            <w:r>
              <w:rPr>
                <w:rFonts w:ascii="Arial" w:cs="Arial" w:eastAsia="Arial" w:hAnsi="Arial"/>
                <w:sz w:val="18"/>
                <w:szCs w:val="18"/>
                <w:color w:val="auto"/>
              </w:rPr>
              <w:t>Change in warrant liability</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1,727,200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(1,804,900)</w:t>
            </w:r>
          </w:p>
        </w:tc>
      </w:tr>
      <w:tr>
        <w:trPr>
          <w:trHeight w:val="216"/>
        </w:trPr>
        <w:tc>
          <w:tcPr>
            <w:tcW w:w="86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203,400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198,100</w:t>
            </w:r>
          </w:p>
        </w:tc>
      </w:tr>
      <w:tr>
        <w:trPr>
          <w:trHeight w:val="216"/>
        </w:trPr>
        <w:tc>
          <w:tcPr>
            <w:tcW w:w="8620" w:type="dxa"/>
            <w:vAlign w:val="bottom"/>
            <w:gridSpan w:val="2"/>
          </w:tcPr>
          <w:p>
            <w:pPr>
              <w:ind w:left="960"/>
              <w:spacing w:after="0"/>
              <w:rPr>
                <w:sz w:val="20"/>
                <w:szCs w:val="20"/>
                <w:color w:val="auto"/>
              </w:rPr>
            </w:pPr>
            <w:r>
              <w:rPr>
                <w:rFonts w:ascii="Arial" w:cs="Arial" w:eastAsia="Arial" w:hAnsi="Arial"/>
                <w:sz w:val="18"/>
                <w:szCs w:val="18"/>
                <w:color w:val="auto"/>
              </w:rPr>
              <w:t>Expense related to modification of warrants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(34,500)</w:t>
            </w:r>
          </w:p>
        </w:tc>
      </w:tr>
      <w:tr>
        <w:trPr>
          <w:trHeight w:val="216"/>
        </w:trPr>
        <w:tc>
          <w:tcPr>
            <w:tcW w:w="86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Non-cash rent and relocation expense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20" w:type="dxa"/>
            <w:vAlign w:val="bottom"/>
            <w:gridSpan w:val="2"/>
          </w:tcPr>
          <w:p>
            <w:pPr>
              <w:ind w:left="960"/>
              <w:spacing w:after="0"/>
              <w:rPr>
                <w:sz w:val="20"/>
                <w:szCs w:val="20"/>
                <w:color w:val="auto"/>
              </w:rPr>
            </w:pPr>
            <w:r>
              <w:rPr>
                <w:rFonts w:ascii="Arial" w:cs="Arial" w:eastAsia="Arial" w:hAnsi="Arial"/>
                <w:sz w:val="18"/>
                <w:szCs w:val="18"/>
                <w:color w:val="auto"/>
              </w:rPr>
              <w:t>Interest income on note receivable for stock purchase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(2,500)</w:t>
            </w:r>
          </w:p>
        </w:tc>
      </w:tr>
      <w:tr>
        <w:trPr>
          <w:trHeight w:val="216"/>
        </w:trPr>
        <w:tc>
          <w:tcPr>
            <w:tcW w:w="86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Fair value of common stock granted for services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20" w:type="dxa"/>
            <w:vAlign w:val="bottom"/>
            <w:gridSpan w:val="2"/>
          </w:tcPr>
          <w:p>
            <w:pPr>
              <w:ind w:left="960"/>
              <w:spacing w:after="0"/>
              <w:rPr>
                <w:sz w:val="20"/>
                <w:szCs w:val="20"/>
                <w:color w:val="auto"/>
              </w:rPr>
            </w:pPr>
            <w:r>
              <w:rPr>
                <w:rFonts w:ascii="Arial" w:cs="Arial" w:eastAsia="Arial" w:hAnsi="Arial"/>
                <w:sz w:val="18"/>
                <w:szCs w:val="18"/>
                <w:color w:val="auto"/>
              </w:rPr>
              <w:t>Fair value of warrants granted for services and interest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22,500</w:t>
            </w:r>
          </w:p>
        </w:tc>
      </w:tr>
      <w:tr>
        <w:trPr>
          <w:trHeight w:val="216"/>
        </w:trPr>
        <w:tc>
          <w:tcPr>
            <w:tcW w:w="86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Loss (gain) on currency fluctuation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17,400</w:t>
            </w:r>
          </w:p>
        </w:tc>
      </w:tr>
      <w:tr>
        <w:trPr>
          <w:trHeight w:val="216"/>
        </w:trPr>
        <w:tc>
          <w:tcPr>
            <w:tcW w:w="8620" w:type="dxa"/>
            <w:vAlign w:val="bottom"/>
            <w:gridSpan w:val="2"/>
          </w:tcPr>
          <w:p>
            <w:pPr>
              <w:ind w:left="96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768,000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(11,900)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(36,100)</w:t>
            </w:r>
          </w:p>
        </w:tc>
      </w:tr>
      <w:tr>
        <w:trPr>
          <w:trHeight w:val="216"/>
        </w:trPr>
        <w:tc>
          <w:tcPr>
            <w:tcW w:w="1140" w:type="dxa"/>
            <w:vAlign w:val="bottom"/>
            <w:shd w:val="clear" w:color="auto" w:fill="CCEEFF"/>
          </w:tcPr>
          <w:p>
            <w:pPr>
              <w:spacing w:after="0"/>
              <w:rPr>
                <w:sz w:val="18"/>
                <w:szCs w:val="18"/>
                <w:color w:val="auto"/>
              </w:rPr>
            </w:pP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Security deposits and other assets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tcPr>
          <w:p>
            <w:pPr>
              <w:spacing w:after="0"/>
              <w:rPr>
                <w:sz w:val="18"/>
                <w:szCs w:val="18"/>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Accounts payable and accrued expenses, including accrued interest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193,400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616,300</w:t>
            </w:r>
          </w:p>
        </w:tc>
      </w:tr>
      <w:tr>
        <w:trPr>
          <w:trHeight w:val="27"/>
        </w:trPr>
        <w:tc>
          <w:tcPr>
            <w:tcW w:w="11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6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(1,011,800)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(731,800)</w:t>
            </w:r>
          </w:p>
        </w:tc>
      </w:tr>
      <w:tr>
        <w:trPr>
          <w:trHeight w:val="223"/>
        </w:trPr>
        <w:tc>
          <w:tcPr>
            <w:tcW w:w="1140" w:type="dxa"/>
            <w:vAlign w:val="bottom"/>
            <w:tcBorders>
              <w:top w:val="single" w:sz="8" w:color="CCEEFF"/>
            </w:tcBorders>
          </w:tcPr>
          <w:p>
            <w:pPr>
              <w:spacing w:after="0"/>
              <w:rPr>
                <w:sz w:val="19"/>
                <w:szCs w:val="19"/>
                <w:color w:val="auto"/>
              </w:rPr>
            </w:pPr>
          </w:p>
        </w:tc>
        <w:tc>
          <w:tcPr>
            <w:tcW w:w="74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16"/>
        </w:trPr>
        <w:tc>
          <w:tcPr>
            <w:tcW w:w="8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20" w:type="dxa"/>
            <w:vAlign w:val="bottom"/>
            <w:gridSpan w:val="2"/>
          </w:tcPr>
          <w:p>
            <w:pPr>
              <w:ind w:left="580"/>
              <w:spacing w:after="0"/>
              <w:rPr>
                <w:sz w:val="20"/>
                <w:szCs w:val="20"/>
                <w:color w:val="auto"/>
              </w:rPr>
            </w:pPr>
            <w:r>
              <w:rPr>
                <w:rFonts w:ascii="Arial" w:cs="Arial" w:eastAsia="Arial" w:hAnsi="Arial"/>
                <w:sz w:val="18"/>
                <w:szCs w:val="18"/>
                <w:color w:val="auto"/>
              </w:rPr>
              <w:t>Purchases of equipment, net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(9,600)</w:t>
            </w:r>
          </w:p>
        </w:tc>
      </w:tr>
      <w:tr>
        <w:trPr>
          <w:trHeight w:val="27"/>
        </w:trPr>
        <w:tc>
          <w:tcPr>
            <w:tcW w:w="11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6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(9,600)</w:t>
            </w:r>
          </w:p>
        </w:tc>
      </w:tr>
      <w:tr>
        <w:trPr>
          <w:trHeight w:val="216"/>
        </w:trPr>
        <w:tc>
          <w:tcPr>
            <w:tcW w:w="1140" w:type="dxa"/>
            <w:vAlign w:val="bottom"/>
            <w:tcBorders>
              <w:top w:val="single" w:sz="8" w:color="CCEEFF"/>
            </w:tcBorders>
          </w:tcPr>
          <w:p>
            <w:pPr>
              <w:spacing w:after="0"/>
              <w:rPr>
                <w:sz w:val="18"/>
                <w:szCs w:val="18"/>
                <w:color w:val="auto"/>
              </w:rPr>
            </w:pPr>
          </w:p>
        </w:tc>
        <w:tc>
          <w:tcPr>
            <w:tcW w:w="7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20" w:type="dxa"/>
            <w:vAlign w:val="bottom"/>
            <w:gridSpan w:val="2"/>
          </w:tcPr>
          <w:p>
            <w:pPr>
              <w:ind w:left="580"/>
              <w:spacing w:after="0"/>
              <w:rPr>
                <w:sz w:val="20"/>
                <w:szCs w:val="20"/>
                <w:color w:val="auto"/>
              </w:rPr>
            </w:pPr>
            <w:r>
              <w:rPr>
                <w:rFonts w:ascii="Arial" w:cs="Arial" w:eastAsia="Arial" w:hAnsi="Arial"/>
                <w:sz w:val="18"/>
                <w:szCs w:val="18"/>
                <w:color w:val="auto"/>
              </w:rPr>
              <w:t>Net proceeds from issuance of common stock and warrants, including Units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1,520,000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57,000</w:t>
            </w:r>
          </w:p>
        </w:tc>
      </w:tr>
      <w:tr>
        <w:trPr>
          <w:trHeight w:val="216"/>
        </w:trPr>
        <w:tc>
          <w:tcPr>
            <w:tcW w:w="86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Proceeds from exercise of modified warrants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178,700</w:t>
            </w:r>
          </w:p>
        </w:tc>
      </w:tr>
      <w:tr>
        <w:trPr>
          <w:trHeight w:val="216"/>
        </w:trPr>
        <w:tc>
          <w:tcPr>
            <w:tcW w:w="8620" w:type="dxa"/>
            <w:vAlign w:val="bottom"/>
            <w:gridSpan w:val="2"/>
          </w:tcPr>
          <w:p>
            <w:pPr>
              <w:ind w:left="580"/>
              <w:spacing w:after="0"/>
              <w:rPr>
                <w:sz w:val="20"/>
                <w:szCs w:val="20"/>
                <w:color w:val="auto"/>
              </w:rPr>
            </w:pPr>
            <w:r>
              <w:rPr>
                <w:rFonts w:ascii="Arial" w:cs="Arial" w:eastAsia="Arial" w:hAnsi="Arial"/>
                <w:sz w:val="18"/>
                <w:szCs w:val="18"/>
                <w:color w:val="auto"/>
              </w:rPr>
              <w:t>Repayment of capital lease obligations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(1,900)</w:t>
            </w:r>
          </w:p>
        </w:tc>
      </w:tr>
      <w:tr>
        <w:trPr>
          <w:trHeight w:val="216"/>
        </w:trPr>
        <w:tc>
          <w:tcPr>
            <w:tcW w:w="86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Repayment of notes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(105,500)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(40,700)</w:t>
            </w:r>
          </w:p>
        </w:tc>
      </w:tr>
      <w:tr>
        <w:trPr>
          <w:trHeight w:val="27"/>
        </w:trPr>
        <w:tc>
          <w:tcPr>
            <w:tcW w:w="1140" w:type="dxa"/>
            <w:vAlign w:val="bottom"/>
            <w:shd w:val="clear" w:color="auto" w:fill="CCEEFF"/>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20" w:type="dxa"/>
            <w:vAlign w:val="bottom"/>
            <w:gridSpan w:val="2"/>
          </w:tcPr>
          <w:p>
            <w:pPr>
              <w:ind w:left="104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1,412,500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193,100</w:t>
            </w:r>
          </w:p>
        </w:tc>
      </w:tr>
      <w:tr>
        <w:trPr>
          <w:trHeight w:val="27"/>
        </w:trPr>
        <w:tc>
          <w:tcPr>
            <w:tcW w:w="11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Net (decrease) increase in cash and cash equivalents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400,700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(548,300)</w:t>
            </w:r>
          </w:p>
        </w:tc>
      </w:tr>
      <w:tr>
        <w:trPr>
          <w:trHeight w:val="216"/>
        </w:trPr>
        <w:tc>
          <w:tcPr>
            <w:tcW w:w="8620" w:type="dxa"/>
            <w:vAlign w:val="bottom"/>
            <w:gridSpan w:val="2"/>
          </w:tcPr>
          <w:p>
            <w:pPr>
              <w:ind w:left="6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638,100</w:t>
            </w:r>
          </w:p>
        </w:tc>
      </w:tr>
      <w:tr>
        <w:trPr>
          <w:trHeight w:val="27"/>
        </w:trPr>
        <w:tc>
          <w:tcPr>
            <w:tcW w:w="11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8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400,700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89,800</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History and Organization</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are a stem cell company headquartered in South San Francisco, California, focused on drug discovery, drug rescue and regenerative medicine. We believe </w:t>
      </w:r>
      <w:r>
        <w:rPr>
          <w:rFonts w:ascii="Arial" w:cs="Arial" w:eastAsia="Arial" w:hAnsi="Arial"/>
          <w:sz w:val="17"/>
          <w:szCs w:val="17"/>
          <w:i w:val="1"/>
          <w:iCs w:val="1"/>
          <w:color w:val="auto"/>
        </w:rPr>
        <w:t>better cells lead to better medicines</w:t>
      </w:r>
      <w:r>
        <w:rPr>
          <w:rFonts w:ascii="Arial" w:cs="Arial" w:eastAsia="Arial" w:hAnsi="Arial"/>
          <w:sz w:val="17"/>
          <w:szCs w:val="17"/>
          <w:color w:val="auto"/>
        </w:rPr>
        <w:t>™ and that the key to making better cells is precisely controlling the differentiation of human pluripotent stem cells,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which are the building blocks of all cells of the human body. Our stem cell technology platform, which we refer to as </w:t>
      </w:r>
      <w:r>
        <w:rPr>
          <w:rFonts w:ascii="Arial" w:cs="Arial" w:eastAsia="Arial" w:hAnsi="Arial"/>
          <w:sz w:val="17"/>
          <w:szCs w:val="17"/>
          <w:i w:val="1"/>
          <w:iCs w:val="1"/>
          <w:color w:val="auto"/>
        </w:rPr>
        <w:t>Human Clinical Trials in a Test Tube</w:t>
      </w:r>
      <w:r>
        <w:rPr>
          <w:rFonts w:ascii="Arial" w:cs="Arial" w:eastAsia="Arial" w:hAnsi="Arial"/>
          <w:sz w:val="17"/>
          <w:szCs w:val="17"/>
          <w:color w:val="auto"/>
        </w:rPr>
        <w:t xml:space="preserve">, is based on a combination of proprietary and exclusively licensed technologies for controlling the differentiation of human pluripotent stem cells and producing the multiple types of mature, non-transformed, functional, adult human cells that we use, or plan to use, to reproduce complex human biology and disease and assess, </w:t>
      </w:r>
      <w:r>
        <w:rPr>
          <w:rFonts w:ascii="Arial" w:cs="Arial" w:eastAsia="Arial" w:hAnsi="Arial"/>
          <w:sz w:val="17"/>
          <w:szCs w:val="17"/>
          <w:i w:val="1"/>
          <w:iCs w:val="1"/>
          <w:color w:val="auto"/>
        </w:rPr>
        <w:t>in vitro</w:t>
      </w:r>
      <w:r>
        <w:rPr>
          <w:rFonts w:ascii="Arial" w:cs="Arial" w:eastAsia="Arial" w:hAnsi="Arial"/>
          <w:sz w:val="17"/>
          <w:szCs w:val="17"/>
          <w:color w:val="auto"/>
        </w:rPr>
        <w:t>, the potential therapeutic benefits and safety risks of new drug candidates.</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used our stem cell-derived human cardiomyocytes (</w:t>
      </w:r>
      <w:r>
        <w:rPr>
          <w:rFonts w:ascii="Arial" w:cs="Arial" w:eastAsia="Arial" w:hAnsi="Arial"/>
          <w:sz w:val="17"/>
          <w:szCs w:val="17"/>
          <w:i w:val="1"/>
          <w:iCs w:val="1"/>
          <w:color w:val="auto"/>
        </w:rPr>
        <w:t>VSTA-CMs</w:t>
      </w:r>
      <w:r>
        <w:rPr>
          <w:rFonts w:ascii="Arial" w:cs="Arial" w:eastAsia="Arial" w:hAnsi="Arial"/>
          <w:sz w:val="17"/>
          <w:szCs w:val="17"/>
          <w:color w:val="auto"/>
        </w:rPr>
        <w:t xml:space="preserve">™) to design and develop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our novel, customized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bioassay system for predicting potential heart toxicity of new drug candidates, including drug rescue candidates. We believe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is more comprehensive and clinically predictive than the hERG assay, currently the only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cardiac safety assay required by FDA guidelines. Our stem cell-derived hepatocytes (</w:t>
      </w:r>
      <w:r>
        <w:rPr>
          <w:rFonts w:ascii="Arial" w:cs="Arial" w:eastAsia="Arial" w:hAnsi="Arial"/>
          <w:sz w:val="17"/>
          <w:szCs w:val="17"/>
          <w:i w:val="1"/>
          <w:iCs w:val="1"/>
          <w:color w:val="auto"/>
        </w:rPr>
        <w:t>VSTA-heps™)</w:t>
      </w:r>
      <w:r>
        <w:rPr>
          <w:rFonts w:ascii="Arial" w:cs="Arial" w:eastAsia="Arial" w:hAnsi="Arial"/>
          <w:sz w:val="17"/>
          <w:szCs w:val="17"/>
          <w:color w:val="auto"/>
        </w:rPr>
        <w:t xml:space="preserve">, highly-functional, non-transformed, mature human liver cells, are the foundation of </w:t>
      </w:r>
      <w:r>
        <w:rPr>
          <w:rFonts w:ascii="Arial" w:cs="Arial" w:eastAsia="Arial" w:hAnsi="Arial"/>
          <w:sz w:val="17"/>
          <w:szCs w:val="17"/>
          <w:i w:val="1"/>
          <w:iCs w:val="1"/>
          <w:color w:val="auto"/>
        </w:rPr>
        <w:t>LiverSafe</w:t>
      </w:r>
      <w:r>
        <w:rPr>
          <w:rFonts w:ascii="Arial" w:cs="Arial" w:eastAsia="Arial" w:hAnsi="Arial"/>
          <w:sz w:val="17"/>
          <w:szCs w:val="17"/>
          <w:color w:val="auto"/>
        </w:rPr>
        <w:t xml:space="preserve"> 3D™, our novel, customized bioassay system for predicting potential liver toxicity of new drug candidates, including potential drug metabolism issues and adverse drug-drug interactions. We believe our </w:t>
      </w:r>
      <w:r>
        <w:rPr>
          <w:rFonts w:ascii="Arial" w:cs="Arial" w:eastAsia="Arial" w:hAnsi="Arial"/>
          <w:sz w:val="17"/>
          <w:szCs w:val="17"/>
          <w:i w:val="1"/>
          <w:iCs w:val="1"/>
          <w:color w:val="auto"/>
        </w:rPr>
        <w:t xml:space="preserve">VSTA-heps </w:t>
      </w:r>
      <w:r>
        <w:rPr>
          <w:rFonts w:ascii="Arial" w:cs="Arial" w:eastAsia="Arial" w:hAnsi="Arial"/>
          <w:sz w:val="17"/>
          <w:szCs w:val="17"/>
          <w:color w:val="auto"/>
        </w:rPr>
        <w:t>have more functionally useful life-span in culture than primary (cadaver) hepatocytes used in FDA-required drug metabolism studies. We also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believe our </w:t>
      </w:r>
      <w:r>
        <w:rPr>
          <w:rFonts w:ascii="Arial" w:cs="Arial" w:eastAsia="Arial" w:hAnsi="Arial"/>
          <w:sz w:val="17"/>
          <w:szCs w:val="17"/>
          <w:i w:val="1"/>
          <w:iCs w:val="1"/>
          <w:color w:val="auto"/>
        </w:rPr>
        <w:t>VSTA-heps</w:t>
      </w:r>
      <w:r>
        <w:rPr>
          <w:rFonts w:ascii="Arial" w:cs="Arial" w:eastAsia="Arial" w:hAnsi="Arial"/>
          <w:sz w:val="17"/>
          <w:szCs w:val="17"/>
          <w:color w:val="auto"/>
        </w:rPr>
        <w:t xml:space="preserve"> overcome numerous problems related to commercially-available primary hepatocytes currently used in FDA-required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hepatocyte assays for drug metabolism, such as limited supply, unknown health status of the donor, and genetic differences among donors. We believe our </w:t>
      </w:r>
      <w:r>
        <w:rPr>
          <w:rFonts w:ascii="Arial" w:cs="Arial" w:eastAsia="Arial" w:hAnsi="Arial"/>
          <w:sz w:val="17"/>
          <w:szCs w:val="17"/>
          <w:i w:val="1"/>
          <w:iCs w:val="1"/>
          <w:color w:val="auto"/>
        </w:rPr>
        <w:t xml:space="preserve">Human Clinical Trials in a Test Tube </w:t>
      </w:r>
      <w:r>
        <w:rPr>
          <w:rFonts w:ascii="Arial" w:cs="Arial" w:eastAsia="Arial" w:hAnsi="Arial"/>
          <w:sz w:val="17"/>
          <w:szCs w:val="17"/>
          <w:color w:val="auto"/>
        </w:rPr>
        <w:t>platform, anchored by</w:t>
      </w:r>
      <w:r>
        <w:rPr>
          <w:rFonts w:ascii="Arial" w:cs="Arial" w:eastAsia="Arial" w:hAnsi="Arial"/>
          <w:sz w:val="17"/>
          <w:szCs w:val="17"/>
          <w:i w:val="1"/>
          <w:iCs w:val="1"/>
          <w:color w:val="auto"/>
        </w:rPr>
        <w:t xml:space="preserve"> VSTA-CMs</w:t>
      </w:r>
      <w:r>
        <w:rPr>
          <w:rFonts w:ascii="Arial" w:cs="Arial" w:eastAsia="Arial" w:hAnsi="Arial"/>
          <w:sz w:val="17"/>
          <w:szCs w:val="17"/>
          <w:color w:val="auto"/>
        </w:rPr>
        <w:t>,</w:t>
      </w:r>
      <w:r>
        <w:rPr>
          <w:rFonts w:ascii="Arial" w:cs="Arial" w:eastAsia="Arial" w:hAnsi="Arial"/>
          <w:sz w:val="17"/>
          <w:szCs w:val="17"/>
          <w:i w:val="1"/>
          <w:iCs w:val="1"/>
          <w:color w:val="auto"/>
        </w:rPr>
        <w:t xml:space="preserve"> VSTA-heps</w:t>
      </w:r>
      <w:r>
        <w:rPr>
          <w:rFonts w:ascii="Arial" w:cs="Arial" w:eastAsia="Arial" w:hAnsi="Arial"/>
          <w:sz w:val="17"/>
          <w:szCs w:val="17"/>
          <w:color w:val="auto"/>
        </w:rPr>
        <w:t>,</w:t>
      </w:r>
      <w:r>
        <w:rPr>
          <w:rFonts w:ascii="Arial" w:cs="Arial" w:eastAsia="Arial" w:hAnsi="Arial"/>
          <w:sz w:val="17"/>
          <w:szCs w:val="17"/>
          <w:i w:val="1"/>
          <w:iCs w:val="1"/>
          <w:color w:val="auto"/>
        </w:rPr>
        <w:t xml:space="preserve"> CardioSafe </w:t>
      </w:r>
      <w:r>
        <w:rPr>
          <w:rFonts w:ascii="Arial" w:cs="Arial" w:eastAsia="Arial" w:hAnsi="Arial"/>
          <w:sz w:val="17"/>
          <w:szCs w:val="17"/>
          <w:color w:val="auto"/>
        </w:rPr>
        <w:t>3D and</w:t>
      </w:r>
      <w:r>
        <w:rPr>
          <w:rFonts w:ascii="Arial" w:cs="Arial" w:eastAsia="Arial" w:hAnsi="Arial"/>
          <w:sz w:val="17"/>
          <w:szCs w:val="17"/>
          <w:i w:val="1"/>
          <w:iCs w:val="1"/>
          <w:color w:val="auto"/>
        </w:rPr>
        <w:t xml:space="preserve"> LiverSafe </w:t>
      </w:r>
      <w:r>
        <w:rPr>
          <w:rFonts w:ascii="Arial" w:cs="Arial" w:eastAsia="Arial" w:hAnsi="Arial"/>
          <w:sz w:val="17"/>
          <w:szCs w:val="17"/>
          <w:color w:val="auto"/>
        </w:rPr>
        <w:t>3D, offers a new drug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paradigm and provides us unique advantages for evaluating and predicting potential heart and liver toxicity of new drug candidates, including drug rescue candidates, early in development, long before costly, high risk human clinical trials.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We believe using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for our drug rescue programs is the highest-value near term commercial application of the human cells we produce and the novel, customized bioassay systems we have designed and developed. Our drug rescue activities are focused on producing new, safer variants of still-promising new drug candidates previously discovered, optimized and tested for efficacy by pharmaceutical companies and others but terminated before FDA approval due to unexpected heart toxicity or liver toxicity. We refer to these still-promising new drug candidates as </w:t>
      </w:r>
      <w:r>
        <w:rPr>
          <w:rFonts w:ascii="Arial" w:cs="Arial" w:eastAsia="Arial" w:hAnsi="Arial"/>
          <w:sz w:val="16"/>
          <w:szCs w:val="16"/>
          <w:i w:val="1"/>
          <w:iCs w:val="1"/>
          <w:color w:val="auto"/>
        </w:rPr>
        <w:t>Drug Rescue</w:t>
      </w:r>
      <w:r>
        <w:rPr>
          <w:rFonts w:ascii="Arial" w:cs="Arial" w:eastAsia="Arial" w:hAnsi="Arial"/>
          <w:sz w:val="16"/>
          <w:szCs w:val="16"/>
          <w:color w:val="auto"/>
        </w:rPr>
        <w:t xml:space="preserve"> </w:t>
      </w:r>
      <w:r>
        <w:rPr>
          <w:rFonts w:ascii="Arial" w:cs="Arial" w:eastAsia="Arial" w:hAnsi="Arial"/>
          <w:sz w:val="16"/>
          <w:szCs w:val="16"/>
          <w:i w:val="1"/>
          <w:iCs w:val="1"/>
          <w:color w:val="auto"/>
        </w:rPr>
        <w:t>Candidates</w:t>
      </w:r>
      <w:r>
        <w:rPr>
          <w:rFonts w:ascii="Arial" w:cs="Arial" w:eastAsia="Arial" w:hAnsi="Arial"/>
          <w:sz w:val="16"/>
          <w:szCs w:val="16"/>
          <w:color w:val="auto"/>
        </w:rPr>
        <w:t>™. Our drug rescue strategy involves leveraging</w:t>
      </w:r>
      <w:r>
        <w:rPr>
          <w:rFonts w:ascii="Arial" w:cs="Arial" w:eastAsia="Arial" w:hAnsi="Arial"/>
          <w:sz w:val="16"/>
          <w:szCs w:val="16"/>
          <w:i w:val="1"/>
          <w:iCs w:val="1"/>
          <w:color w:val="auto"/>
        </w:rPr>
        <w:t xml:space="preserve"> CardioSafe </w:t>
      </w:r>
      <w:r>
        <w:rPr>
          <w:rFonts w:ascii="Arial" w:cs="Arial" w:eastAsia="Arial" w:hAnsi="Arial"/>
          <w:sz w:val="16"/>
          <w:szCs w:val="16"/>
          <w:color w:val="auto"/>
        </w:rPr>
        <w:t>3D and</w:t>
      </w:r>
      <w:r>
        <w:rPr>
          <w:rFonts w:ascii="Arial" w:cs="Arial" w:eastAsia="Arial" w:hAnsi="Arial"/>
          <w:sz w:val="16"/>
          <w:szCs w:val="16"/>
          <w:i w:val="1"/>
          <w:iCs w:val="1"/>
          <w:color w:val="auto"/>
        </w:rPr>
        <w:t xml:space="preserve"> LiverSafe </w:t>
      </w:r>
      <w:r>
        <w:rPr>
          <w:rFonts w:ascii="Arial" w:cs="Arial" w:eastAsia="Arial" w:hAnsi="Arial"/>
          <w:sz w:val="16"/>
          <w:szCs w:val="16"/>
          <w:color w:val="auto"/>
        </w:rPr>
        <w:t>3D to attempt to significantly reduce the toxicity that caused</w:t>
      </w:r>
      <w:r>
        <w:rPr>
          <w:rFonts w:ascii="Arial" w:cs="Arial" w:eastAsia="Arial" w:hAnsi="Arial"/>
          <w:sz w:val="16"/>
          <w:szCs w:val="16"/>
          <w:i w:val="1"/>
          <w:iCs w:val="1"/>
          <w:color w:val="auto"/>
        </w:rPr>
        <w:t xml:space="preserve"> Drug Rescue Candidates </w:t>
      </w:r>
      <w:r>
        <w:rPr>
          <w:rFonts w:ascii="Arial" w:cs="Arial" w:eastAsia="Arial" w:hAnsi="Arial"/>
          <w:sz w:val="16"/>
          <w:szCs w:val="16"/>
          <w:color w:val="auto"/>
        </w:rPr>
        <w:t>to be terminated, and bring new, proprietary and safer versions of them back into development as promising new drug candidates. We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refer to the new, proprietary and safer versions of </w:t>
      </w:r>
      <w:r>
        <w:rPr>
          <w:rFonts w:ascii="Arial" w:cs="Arial" w:eastAsia="Arial" w:hAnsi="Arial"/>
          <w:sz w:val="16"/>
          <w:szCs w:val="16"/>
          <w:i w:val="1"/>
          <w:iCs w:val="1"/>
          <w:color w:val="auto"/>
        </w:rPr>
        <w:t>Drug Rescue Candidates</w:t>
      </w:r>
      <w:r>
        <w:rPr>
          <w:rFonts w:ascii="Arial" w:cs="Arial" w:eastAsia="Arial" w:hAnsi="Arial"/>
          <w:sz w:val="16"/>
          <w:szCs w:val="16"/>
          <w:color w:val="auto"/>
        </w:rPr>
        <w:t xml:space="preserve"> we are focused on producing as </w:t>
      </w:r>
      <w:r>
        <w:rPr>
          <w:rFonts w:ascii="Arial" w:cs="Arial" w:eastAsia="Arial" w:hAnsi="Arial"/>
          <w:sz w:val="16"/>
          <w:szCs w:val="16"/>
          <w:i w:val="1"/>
          <w:iCs w:val="1"/>
          <w:color w:val="auto"/>
        </w:rPr>
        <w:t>Drug Rescue Variants</w:t>
      </w:r>
      <w:r>
        <w:rPr>
          <w:rFonts w:ascii="Arial" w:cs="Arial" w:eastAsia="Arial" w:hAnsi="Arial"/>
          <w:sz w:val="16"/>
          <w:szCs w:val="16"/>
          <w:color w:val="auto"/>
        </w:rPr>
        <w:t xml:space="preserve">™. We anticipate that the lead </w:t>
      </w:r>
      <w:r>
        <w:rPr>
          <w:rFonts w:ascii="Arial" w:cs="Arial" w:eastAsia="Arial" w:hAnsi="Arial"/>
          <w:sz w:val="16"/>
          <w:szCs w:val="16"/>
          <w:i w:val="1"/>
          <w:iCs w:val="1"/>
          <w:color w:val="auto"/>
        </w:rPr>
        <w:t>Drug Rescue Variants</w:t>
      </w:r>
      <w:r>
        <w:rPr>
          <w:rFonts w:ascii="Arial" w:cs="Arial" w:eastAsia="Arial" w:hAnsi="Arial"/>
          <w:sz w:val="16"/>
          <w:szCs w:val="16"/>
          <w:color w:val="auto"/>
        </w:rPr>
        <w:t xml:space="preserve"> we optimize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for safety and efficacy will be suitable as a new drug development programs, either internally or under revenue-generating out-license arrangements with pharmaceutical or biotechnology companies. We have identified and screened using our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assays multiple </w:t>
      </w:r>
      <w:r>
        <w:rPr>
          <w:rFonts w:ascii="Arial" w:cs="Arial" w:eastAsia="Arial" w:hAnsi="Arial"/>
          <w:sz w:val="16"/>
          <w:szCs w:val="16"/>
          <w:i w:val="1"/>
          <w:iCs w:val="1"/>
          <w:color w:val="auto"/>
        </w:rPr>
        <w:t>Drug Rescue Candidates</w:t>
      </w:r>
      <w:r>
        <w:rPr>
          <w:rFonts w:ascii="Arial" w:cs="Arial" w:eastAsia="Arial" w:hAnsi="Arial"/>
          <w:sz w:val="16"/>
          <w:szCs w:val="16"/>
          <w:color w:val="auto"/>
        </w:rPr>
        <w:t xml:space="preserve">. Together with our preexisting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validation data, we believe the results of our assessments demonstrate that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can correctly distinguish varying levels of cardiotoxicity between new drug candidates, including </w:t>
      </w:r>
      <w:r>
        <w:rPr>
          <w:rFonts w:ascii="Arial" w:cs="Arial" w:eastAsia="Arial" w:hAnsi="Arial"/>
          <w:sz w:val="16"/>
          <w:szCs w:val="16"/>
          <w:i w:val="1"/>
          <w:iCs w:val="1"/>
          <w:color w:val="auto"/>
        </w:rPr>
        <w:t>Drug Rescue Candidates</w:t>
      </w:r>
      <w:r>
        <w:rPr>
          <w:rFonts w:ascii="Arial" w:cs="Arial" w:eastAsia="Arial" w:hAnsi="Arial"/>
          <w:sz w:val="16"/>
          <w:szCs w:val="16"/>
          <w:color w:val="auto"/>
        </w:rPr>
        <w:t xml:space="preserve"> and </w:t>
      </w:r>
      <w:r>
        <w:rPr>
          <w:rFonts w:ascii="Arial" w:cs="Arial" w:eastAsia="Arial" w:hAnsi="Arial"/>
          <w:sz w:val="16"/>
          <w:szCs w:val="16"/>
          <w:i w:val="1"/>
          <w:iCs w:val="1"/>
          <w:color w:val="auto"/>
        </w:rPr>
        <w:t>Drug</w:t>
      </w:r>
      <w:r>
        <w:rPr>
          <w:rFonts w:ascii="Arial" w:cs="Arial" w:eastAsia="Arial" w:hAnsi="Arial"/>
          <w:sz w:val="16"/>
          <w:szCs w:val="16"/>
          <w:color w:val="auto"/>
        </w:rPr>
        <w:t xml:space="preserve"> </w:t>
      </w:r>
      <w:r>
        <w:rPr>
          <w:rFonts w:ascii="Arial" w:cs="Arial" w:eastAsia="Arial" w:hAnsi="Arial"/>
          <w:sz w:val="16"/>
          <w:szCs w:val="16"/>
          <w:i w:val="1"/>
          <w:iCs w:val="1"/>
          <w:color w:val="auto"/>
        </w:rPr>
        <w:t>Rescue Variants</w:t>
      </w:r>
      <w:r>
        <w:rPr>
          <w:rFonts w:ascii="Arial" w:cs="Arial" w:eastAsia="Arial" w:hAnsi="Arial"/>
          <w:sz w:val="16"/>
          <w:szCs w:val="16"/>
          <w:color w:val="auto"/>
        </w:rPr>
        <w:t>. Subject to obtaining sufficient financing, we are now prepared to launch multiple</w:t>
      </w:r>
      <w:r>
        <w:rPr>
          <w:rFonts w:ascii="Arial" w:cs="Arial" w:eastAsia="Arial" w:hAnsi="Arial"/>
          <w:sz w:val="16"/>
          <w:szCs w:val="16"/>
          <w:i w:val="1"/>
          <w:iCs w:val="1"/>
          <w:color w:val="auto"/>
        </w:rPr>
        <w:t xml:space="preserve"> CardioSafe </w:t>
      </w:r>
      <w:r>
        <w:rPr>
          <w:rFonts w:ascii="Arial" w:cs="Arial" w:eastAsia="Arial" w:hAnsi="Arial"/>
          <w:sz w:val="16"/>
          <w:szCs w:val="16"/>
          <w:color w:val="auto"/>
        </w:rPr>
        <w:t>3D drug rescue programs.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 $8.8 million of grant funding awarded from the U.S. National Institutes of Health (</w:t>
      </w:r>
      <w:r>
        <w:rPr>
          <w:rFonts w:ascii="Arial" w:cs="Arial" w:eastAsia="Arial" w:hAnsi="Arial"/>
          <w:sz w:val="17"/>
          <w:szCs w:val="17"/>
          <w:i w:val="1"/>
          <w:iCs w:val="1"/>
          <w:color w:val="auto"/>
        </w:rPr>
        <w:t>NIH</w:t>
      </w:r>
      <w:r>
        <w:rPr>
          <w:rFonts w:ascii="Arial" w:cs="Arial" w:eastAsia="Arial" w:hAnsi="Arial"/>
          <w:sz w:val="17"/>
          <w:szCs w:val="17"/>
          <w:color w:val="auto"/>
        </w:rPr>
        <w:t>), we have successfully completed Phase 1 clinical development of AV-101. AV-101, also known as “L-4-chlorokynurenine” and “4-Cl-KYN”, is an orally-available, non-sedating small molecule prodrug candidate aimed at the multi-billion dollar neurological disease and disorders market, including depression, epilepsy, neuropathic pain and Parkinson’s disease. Our AV-101 IND application on file at the FDA covers clinical development for neuropathic pain. However, we believe the Phase 1 AV-101 safety studies we have completed to date will support development of AV-101 for multiple neurologicial indications. We intend to seek potential opportunities for further clinical development and commercialization of AV-101, either on our own or through strategic partnering arrangements.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VistaGen Therapeutics, Inc., a California corporation incorporated on May 26, 1998 (</w:t>
      </w:r>
      <w:r>
        <w:rPr>
          <w:rFonts w:ascii="Arial" w:cs="Arial" w:eastAsia="Arial" w:hAnsi="Arial"/>
          <w:sz w:val="18"/>
          <w:szCs w:val="18"/>
          <w:i w:val="1"/>
          <w:iCs w:val="1"/>
          <w:color w:val="auto"/>
        </w:rPr>
        <w:t>VistaGen California</w:t>
      </w:r>
      <w:r>
        <w:rPr>
          <w:rFonts w:ascii="Arial" w:cs="Arial" w:eastAsia="Arial" w:hAnsi="Arial"/>
          <w:sz w:val="18"/>
          <w:szCs w:val="18"/>
          <w:color w:val="auto"/>
        </w:rPr>
        <w:t>), is our wholly-owned subsidiary. As described more completely in our Annual Report on Form 10-K for the fiscal year ended March 31, 2014, pursuant to a strategic merger transaction on May 11, 2011, we acquired all outstanding shares of VistaGen California in exchange for 6,836,452 shares of our common stock (</w:t>
      </w:r>
      <w:r>
        <w:rPr>
          <w:rFonts w:ascii="Arial" w:cs="Arial" w:eastAsia="Arial" w:hAnsi="Arial"/>
          <w:sz w:val="18"/>
          <w:szCs w:val="18"/>
          <w:i w:val="1"/>
          <w:iCs w:val="1"/>
          <w:color w:val="auto"/>
        </w:rPr>
        <w:t>Merger</w:t>
      </w:r>
      <w:r>
        <w:rPr>
          <w:rFonts w:ascii="Arial" w:cs="Arial" w:eastAsia="Arial" w:hAnsi="Arial"/>
          <w:sz w:val="18"/>
          <w:szCs w:val="18"/>
          <w:color w:val="auto"/>
        </w:rPr>
        <w:t>), and assumed all of VistaGen California’s pre-Merger obligations. Our Condensed Consolidated Financial Statements in this report also include the accounts of VistaGen California’s two wholly-owned subsidiaries, Artemis Neuroscience, Inc., a Maryland corporation, and VistaStem Canada, Inc., a corporation organized under the laws of Ontario, Canada.</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Going Concern</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w:t>
      </w:r>
      <w:r>
        <w:rPr>
          <w:rFonts w:ascii="Arial" w:cs="Arial" w:eastAsia="Arial" w:hAnsi="Arial"/>
          <w:sz w:val="18"/>
          <w:szCs w:val="18"/>
          <w:i w:val="1"/>
          <w:iCs w:val="1"/>
          <w:color w:val="auto"/>
        </w:rPr>
        <w:t>U.S. GAAP</w:t>
      </w:r>
      <w:r>
        <w:rPr>
          <w:rFonts w:ascii="Arial" w:cs="Arial" w:eastAsia="Arial" w:hAnsi="Arial"/>
          <w:sz w:val="18"/>
          <w:szCs w:val="18"/>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2014 has been derived from our audited consolidated financial statements at that date but does not include all disclosures required by U.S. GAAP. The operating results for the three months ended June 30, 2014 are not necessarily indicative of the operating results to be expected for our fiscal year ending March 31, 2015 or for any other interim period or any other future period.</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accompanying unaudited Condensed Consolidated Financial Statements and notes to Condensed Consolidated Financial Statements should be read in conjunction with our audited Consolidated Financial Statements for the fiscal year ended March 31, 2014 contained in our Annual Report on Form 10-K, as filed with the United States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accompanying Condensed Consolidated Financial Statements have been prepared assuming we will continue as a going concern. As an entity having not yet achieved sustainable revenues, we have experienced recurring losses and negative cash flows from operations resulting in a deficit of $74.7 million accumulated from inception through June 30, 2014. We expect losses and negative cash flows from operations to continue for the foreseeable future as we launch and execute our drug rescue programs and pursue potential drug discovery, drug development and regenerative medicine opportunities.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inception in May 1998 through June 30, 2014, we have financed our operations and technology acquisitions primarily through the issuance and sale of equity and debt securities, including convertible promissory notes and short-term promissory notes, for cash proceeds of approximately $27.5 million, as well as from an aggregate of approximately $16.4 million of government research grant awards, strategic collaboration payments and other revenues. Additionally, we have issued equity securities with an approximate value at issuance of $13.0 million in non-cash settlements of certain liabilities, including liabilities for professional services rendered to us or as compensation for such services. At June 30, 2014, we had approximately $400,700 in cash and cash equivalents, which is not sufficient to enable us to fund our planned operations, including expected cash expenditures of approximately $7.5 million through the next 12 to 15 months.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To meet our cash needs and fund our working capital requirements after June 30, 2014 and prior to a debt or equity-based financing, from July 1, 2014 through August 8, 2014, we entered into securities purchase agreements with accredited investors and institutions pursuant to which we sold to such accredited investors in private placement transactions units of our securities, for aggregate proceeds of $55,000 consisting of: (i) 10% subordinate convertible promissory notes in the aggregate face amount of $55,000 maturing on March 31, 2015; (ii) an aggregate of 55,000 restricted shares of our common stock; and (iii) warrants exercisable through December 31, 2016 to purchase an aggregate of 55,000 restricted shares of our common stock at an exercise price of $0.50 per share. See Note 10, </w:t>
      </w:r>
      <w:r>
        <w:rPr>
          <w:rFonts w:ascii="Arial" w:cs="Arial" w:eastAsia="Arial" w:hAnsi="Arial"/>
          <w:sz w:val="18"/>
          <w:szCs w:val="18"/>
          <w:i w:val="1"/>
          <w:iCs w:val="1"/>
          <w:color w:val="auto"/>
        </w:rPr>
        <w:t>Subsequent Events</w:t>
      </w:r>
      <w:r>
        <w:rPr>
          <w:rFonts w:ascii="Arial" w:cs="Arial" w:eastAsia="Arial" w:hAnsi="Arial"/>
          <w:sz w:val="18"/>
          <w:szCs w:val="18"/>
          <w:color w:val="auto"/>
        </w:rPr>
        <w:t>, for additional information.</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April 2013, we entered into a Securities Purchase Agreement (as amended, </w:t>
      </w:r>
      <w:r>
        <w:rPr>
          <w:rFonts w:ascii="Arial" w:cs="Arial" w:eastAsia="Arial" w:hAnsi="Arial"/>
          <w:sz w:val="16"/>
          <w:szCs w:val="16"/>
          <w:i w:val="1"/>
          <w:iCs w:val="1"/>
          <w:color w:val="auto"/>
        </w:rPr>
        <w:t>Securities Purchase Agreement</w:t>
      </w:r>
      <w:r>
        <w:rPr>
          <w:rFonts w:ascii="Arial" w:cs="Arial" w:eastAsia="Arial" w:hAnsi="Arial"/>
          <w:sz w:val="16"/>
          <w:szCs w:val="16"/>
          <w:color w:val="auto"/>
        </w:rPr>
        <w:t>) with Autilion AG, a company organized and existing under the laws of Switzerland (</w:t>
      </w:r>
      <w:r>
        <w:rPr>
          <w:rFonts w:ascii="Arial" w:cs="Arial" w:eastAsia="Arial" w:hAnsi="Arial"/>
          <w:sz w:val="16"/>
          <w:szCs w:val="16"/>
          <w:i w:val="1"/>
          <w:iCs w:val="1"/>
          <w:color w:val="auto"/>
        </w:rPr>
        <w:t>Autilion</w:t>
      </w:r>
      <w:r>
        <w:rPr>
          <w:rFonts w:ascii="Arial" w:cs="Arial" w:eastAsia="Arial" w:hAnsi="Arial"/>
          <w:sz w:val="16"/>
          <w:szCs w:val="16"/>
          <w:color w:val="auto"/>
        </w:rPr>
        <w:t>), under which Autilion remains contractually obligated to purchase an aggregate of 72.0 million restricted shares of our common stock at a purchase price of $0.50 per share for aggregate cash proceeds to us of $36.0 million (</w:t>
      </w:r>
      <w:r>
        <w:rPr>
          <w:rFonts w:ascii="Arial" w:cs="Arial" w:eastAsia="Arial" w:hAnsi="Arial"/>
          <w:sz w:val="16"/>
          <w:szCs w:val="16"/>
          <w:i w:val="1"/>
          <w:iCs w:val="1"/>
          <w:color w:val="auto"/>
        </w:rPr>
        <w:t>Autilion Financing</w:t>
      </w:r>
      <w:r>
        <w:rPr>
          <w:rFonts w:ascii="Arial" w:cs="Arial" w:eastAsia="Arial" w:hAnsi="Arial"/>
          <w:sz w:val="16"/>
          <w:szCs w:val="16"/>
          <w:color w:val="auto"/>
        </w:rPr>
        <w:t>). To date, Autilion has completed only a nominal closing of the Autilion Financing and is currently in default under the Securities Purchase Agreement. No assurances can be provided that Autilion will complete any additional closings under the Securities Purchase Agreement. In the event that Autilion does not complete a material portion of the Autilion Financing pursuant to the Securities Purchase Agreement in the near term, we will need to obtain approximately $7.5 million from alternative financing sources to execute our business plan over the next 12 to 15 months. On May 12, 2014, we filed a Registration Statement on Form S-1 with the SEC (File No. 333-195901) (</w:t>
      </w:r>
      <w:r>
        <w:rPr>
          <w:rFonts w:ascii="Arial" w:cs="Arial" w:eastAsia="Arial" w:hAnsi="Arial"/>
          <w:sz w:val="16"/>
          <w:szCs w:val="16"/>
          <w:i w:val="1"/>
          <w:iCs w:val="1"/>
          <w:color w:val="auto"/>
        </w:rPr>
        <w:t>Registration Statement</w:t>
      </w:r>
      <w:r>
        <w:rPr>
          <w:rFonts w:ascii="Arial" w:cs="Arial" w:eastAsia="Arial" w:hAnsi="Arial"/>
          <w:sz w:val="16"/>
          <w:szCs w:val="16"/>
          <w:color w:val="auto"/>
        </w:rPr>
        <w:t>) to register up to 30 million shares of our common stock, and warrants to purchase up to 30 million shares of our common stock, in a public offering (</w:t>
      </w:r>
      <w:r>
        <w:rPr>
          <w:rFonts w:ascii="Arial" w:cs="Arial" w:eastAsia="Arial" w:hAnsi="Arial"/>
          <w:sz w:val="16"/>
          <w:szCs w:val="16"/>
          <w:i w:val="1"/>
          <w:iCs w:val="1"/>
          <w:color w:val="auto"/>
        </w:rPr>
        <w:t>Public Offering)</w:t>
      </w:r>
      <w:r>
        <w:rPr>
          <w:rFonts w:ascii="Arial" w:cs="Arial" w:eastAsia="Arial" w:hAnsi="Arial"/>
          <w:sz w:val="16"/>
          <w:szCs w:val="16"/>
          <w:color w:val="auto"/>
        </w:rPr>
        <w:t>. The Registration Statement was declared effective on August 7, 2014. No assurances can be provided, however, that we will complete our Public Offering in the near term, on acceptable terms, or at all.</w:t>
      </w:r>
    </w:p>
    <w:p>
      <w:pPr>
        <w:spacing w:after="0" w:line="19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the extent necessary, we may also seek to meet our future cash needs and fund our working capital requirements through a combination of additional private placements of our securities, which may include both debt and equity securities, research and development collaborations, license fees, and government grant awards. Additionally, we believe that our participation in potential strategic collaborations, including potential licensing transactions, may provide additional cash in support of our future working capital requirements. Notwithstanding the foregoing, substantial additional financing may not be available to us on a timely basis, on acceptable terms, or at all. If we are unable to complete our Public Offering, the Autilion Financing or otherwise obtain substantial additional financing from alternative sources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 The accompanying Condensed Consolidated Financial Statements do not include any adjustments that might result from the outcome of this uncertainty.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and assumptions that have been used to value warrants, warrant modifications, and previous put option and note term extension liabilities.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 w:name="page9"/>
    <w:bookmarkEnd w:id="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we do not currently have any such arrangements, we have historically generated revenue principally from collaborative research and development arrangements, technology access fees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 revenue when the four basic criteria of revenue recognition are met: (1) a contractual agreement exists; (2) the transfer of technology has been completed or services have been rendered; (3) the fee is fixed or determinable; and (4) collectability is reasonably assured. For each source of revenue, we comply with the above revenue recognition criteria in the following manner:</w:t>
      </w:r>
    </w:p>
    <w:p>
      <w:pPr>
        <w:spacing w:after="0" w:line="208" w:lineRule="exact"/>
        <w:rPr>
          <w:sz w:val="20"/>
          <w:szCs w:val="20"/>
          <w:color w:val="auto"/>
        </w:rPr>
      </w:pPr>
    </w:p>
    <w:p>
      <w:pPr>
        <w:jc w:val="both"/>
        <w:ind w:left="840" w:hanging="319"/>
        <w:spacing w:after="0" w:line="269" w:lineRule="auto"/>
        <w:tabs>
          <w:tab w:leader="none" w:pos="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209" w:lineRule="exact"/>
        <w:rPr>
          <w:rFonts w:ascii="Arial" w:cs="Arial" w:eastAsia="Arial" w:hAnsi="Arial"/>
          <w:sz w:val="17"/>
          <w:szCs w:val="17"/>
          <w:color w:val="auto"/>
        </w:rPr>
      </w:pPr>
    </w:p>
    <w:p>
      <w:pPr>
        <w:jc w:val="both"/>
        <w:ind w:left="840" w:hanging="319"/>
        <w:spacing w:after="0" w:line="279" w:lineRule="auto"/>
        <w:tabs>
          <w:tab w:leader="none" w:pos="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p>
      <w:pPr>
        <w:spacing w:after="0" w:line="198" w:lineRule="exact"/>
        <w:rPr>
          <w:rFonts w:ascii="Arial" w:cs="Arial" w:eastAsia="Arial" w:hAnsi="Arial"/>
          <w:sz w:val="17"/>
          <w:szCs w:val="17"/>
          <w:color w:val="auto"/>
        </w:rPr>
      </w:pPr>
    </w:p>
    <w:p>
      <w:pPr>
        <w:ind w:left="840" w:right="20" w:hanging="319"/>
        <w:spacing w:after="0" w:line="277"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grants, which have supported our research efforts on specific projects, generally provide for reimbursement of approved costs as defined in the terms of grant awards. Grant revenue is recognized when associated project costs are incurred.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Research and development expenses are composed of both internal and external costs. Internal costs include salaries and employment-related expenses of scientific personnel and direct project costs. External research and development expenses consist primarily of sponsored stem cell research and development costs, costs associated with clinical and non-clinical development of AV-101, our small molecule prodrug candidate for neuropathic pain, depression and potentially other neurological conditions, and costs related to the application and prosecution of patents related to the Company’s stem cell technology platform, </w:t>
      </w:r>
      <w:r>
        <w:rPr>
          <w:rFonts w:ascii="Arial" w:cs="Arial" w:eastAsia="Arial" w:hAnsi="Arial"/>
          <w:sz w:val="17"/>
          <w:szCs w:val="17"/>
          <w:i w:val="1"/>
          <w:iCs w:val="1"/>
          <w:color w:val="auto"/>
        </w:rPr>
        <w:t>Human Clinical Trials in a Test Tube</w:t>
      </w:r>
      <w:r>
        <w:rPr>
          <w:rFonts w:ascii="Arial" w:cs="Arial" w:eastAsia="Arial" w:hAnsi="Arial"/>
          <w:sz w:val="17"/>
          <w:szCs w:val="17"/>
          <w:color w:val="auto"/>
        </w:rPr>
        <w:t>™, and AV-101. All such costs are charged to expense as incurred.</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recognize compensation cost for all stock-based awards to employees based on the grant date fair value of the award. Non-cash, stock-based compensation expense is recognized over the period during which the employee is required to perform services in exchange for the award, which generally represents the scheduled vesting period. We have no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stock-based compensation expense included in the accompanying Condensed Consolidated Statements of Operations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(Loss) for the three months ended June 30, 2014 and 2013: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8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Research and development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280"/>
              <w:spacing w:after="0"/>
              <w:rPr>
                <w:sz w:val="20"/>
                <w:szCs w:val="20"/>
                <w:color w:val="auto"/>
              </w:rPr>
            </w:pPr>
            <w:r>
              <w:rPr>
                <w:rFonts w:ascii="Arial" w:cs="Arial" w:eastAsia="Arial" w:hAnsi="Arial"/>
                <w:sz w:val="18"/>
                <w:szCs w:val="18"/>
                <w:color w:val="auto"/>
              </w:rPr>
              <w:t>Stock option grants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61,500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54,300</w:t>
            </w:r>
          </w:p>
        </w:tc>
      </w:tr>
      <w:tr>
        <w:trPr>
          <w:trHeight w:val="216"/>
        </w:trPr>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Warrants granted to officer in March 2014 and 2013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33,400</w:t>
            </w:r>
          </w:p>
        </w:tc>
      </w:tr>
      <w:tr>
        <w:trPr>
          <w:trHeight w:val="27"/>
        </w:trPr>
        <w:tc>
          <w:tcPr>
            <w:tcW w:w="8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97,800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87,700</w:t>
            </w: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280"/>
              <w:spacing w:after="0"/>
              <w:rPr>
                <w:sz w:val="20"/>
                <w:szCs w:val="20"/>
                <w:color w:val="auto"/>
              </w:rPr>
            </w:pPr>
            <w:r>
              <w:rPr>
                <w:rFonts w:ascii="Arial" w:cs="Arial" w:eastAsia="Arial" w:hAnsi="Arial"/>
                <w:sz w:val="18"/>
                <w:szCs w:val="18"/>
                <w:color w:val="auto"/>
              </w:rPr>
              <w:t>Stock option grants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34,800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43,500</w:t>
            </w:r>
          </w:p>
        </w:tc>
      </w:tr>
      <w:tr>
        <w:trPr>
          <w:trHeight w:val="216"/>
        </w:trPr>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Warrants granted to officers and directors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820" w:type="dxa"/>
            <w:vAlign w:val="bottom"/>
          </w:tcPr>
          <w:p>
            <w:pPr>
              <w:ind w:left="500"/>
              <w:spacing w:after="0"/>
              <w:rPr>
                <w:sz w:val="20"/>
                <w:szCs w:val="20"/>
                <w:color w:val="auto"/>
              </w:rPr>
            </w:pPr>
            <w:r>
              <w:rPr>
                <w:rFonts w:ascii="Arial" w:cs="Arial" w:eastAsia="Arial" w:hAnsi="Arial"/>
                <w:sz w:val="18"/>
                <w:szCs w:val="18"/>
                <w:color w:val="auto"/>
              </w:rPr>
              <w:t>in March 2014 and 2013</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70,800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66,900</w:t>
            </w:r>
          </w:p>
        </w:tc>
      </w:tr>
      <w:tr>
        <w:trPr>
          <w:trHeight w:val="223"/>
        </w:trPr>
        <w:tc>
          <w:tcPr>
            <w:tcW w:w="88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203,400</w:t>
            </w:r>
          </w:p>
        </w:tc>
        <w:tc>
          <w:tcPr>
            <w:tcW w:w="1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198,100</w:t>
            </w: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did not grant options to employees or consultants during the three months ended June 30, 2014. During the three months ended June 30, 2013, we granted options to purchase an aggregate of 80,000 shares of our common stock at exercise prices from $0.80 per share to $0.82 per share (the quoted market price on the grant dates) to two new employees and a consultant. At June 30, 2014, there were options outstanding to purchase 4,227,357 shares of our common stock at a weighted average exercise price of $0.50 per share. In May 2014, we issued 200,000 shares of restricted common stock having a grant date fair value of $134,000 to a consultant in partial payment for strategic business development services. The fair value of the stock issued is included in general and administrative expense in the accompanying Condensed Consolidated Statements of Operations and Comprehensive Loss.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Liability</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issued certain warrants to Platinum Long Term Growth VII, LLC, our largest investor (</w:t>
      </w:r>
      <w:r>
        <w:rPr>
          <w:rFonts w:ascii="Arial" w:cs="Arial" w:eastAsia="Arial" w:hAnsi="Arial"/>
          <w:sz w:val="16"/>
          <w:szCs w:val="16"/>
          <w:i w:val="1"/>
          <w:iCs w:val="1"/>
          <w:color w:val="auto"/>
        </w:rPr>
        <w:t>Platinum</w:t>
      </w:r>
      <w:r>
        <w:rPr>
          <w:rFonts w:ascii="Arial" w:cs="Arial" w:eastAsia="Arial" w:hAnsi="Arial"/>
          <w:sz w:val="16"/>
          <w:szCs w:val="16"/>
          <w:color w:val="auto"/>
        </w:rPr>
        <w:t xml:space="preserve">), and, subject to Platinum’s exercise of its rights to exchange shares of our Series A Preferred Stock that it holds, we are also obligated to issue an additional warrant to Platinum, that contain an exercise price adjustment feature in the event we subsequently issue additional equity instruments at a price lower than the exercise price of the warrants. We account for these warrants as non-cash liabilities and estimate their fair value as described in Note 4,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Note 7, </w:t>
      </w:r>
      <w:r>
        <w:rPr>
          <w:rFonts w:ascii="Arial" w:cs="Arial" w:eastAsia="Arial" w:hAnsi="Arial"/>
          <w:sz w:val="16"/>
          <w:szCs w:val="16"/>
          <w:i w:val="1"/>
          <w:iCs w:val="1"/>
          <w:color w:val="auto"/>
        </w:rPr>
        <w:t>Convertible Promissory Notes</w:t>
      </w:r>
      <w:r>
        <w:rPr>
          <w:rFonts w:ascii="Arial" w:cs="Arial" w:eastAsia="Arial" w:hAnsi="Arial"/>
          <w:sz w:val="16"/>
          <w:szCs w:val="16"/>
          <w:color w:val="auto"/>
        </w:rPr>
        <w:t xml:space="preserve"> </w:t>
      </w:r>
      <w:r>
        <w:rPr>
          <w:rFonts w:ascii="Arial" w:cs="Arial" w:eastAsia="Arial" w:hAnsi="Arial"/>
          <w:sz w:val="16"/>
          <w:szCs w:val="16"/>
          <w:i w:val="1"/>
          <w:iCs w:val="1"/>
          <w:color w:val="auto"/>
        </w:rPr>
        <w:t>and Other Notes Payable</w:t>
      </w:r>
      <w:r>
        <w:rPr>
          <w:rFonts w:ascii="Arial" w:cs="Arial" w:eastAsia="Arial" w:hAnsi="Arial"/>
          <w:sz w:val="16"/>
          <w:szCs w:val="16"/>
          <w:color w:val="auto"/>
        </w:rPr>
        <w:t>, and Note 9</w:t>
      </w:r>
      <w:r>
        <w:rPr>
          <w:rFonts w:ascii="Arial" w:cs="Arial" w:eastAsia="Arial" w:hAnsi="Arial"/>
          <w:sz w:val="16"/>
          <w:szCs w:val="16"/>
          <w:i w:val="1"/>
          <w:iCs w:val="1"/>
          <w:color w:val="auto"/>
        </w:rPr>
        <w:t>, Capital Stock</w:t>
      </w:r>
      <w:r>
        <w:rPr>
          <w:rFonts w:ascii="Arial" w:cs="Arial" w:eastAsia="Arial" w:hAnsi="Arial"/>
          <w:sz w:val="16"/>
          <w:szCs w:val="16"/>
          <w:color w:val="auto"/>
        </w:rPr>
        <w:t>. We compute the fair value of the warrant liability at each reporting period and record the change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as non-cash expense or non-cash income. The key component in determining the fair value of the warrant and the related liability is the market price of our common stock, which is subject to significant fluctuation and is not under our control. The resulting change in the fair value of the warrant liability on our net income or loss is therefore also subject to significant fluctuation and will continue to be so until all of the warrants are issued and exercised, amended or expire. Assuming all other fair value inputs remain generally constant, we will record an increase in the warrant liability and non-cash expense when our stock price increases and a decrease in the warrant liability and non-cash income when our stock price decreases.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components of other comprehensive income (loss) other than net income (loss), and accordingly our comprehensive income (loss) is equivalent to our net income (loss) for the periods presented.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per Common Share</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 (loss) per share, we adjust the numerator for the change in the fair value of the warrant liability attributable to outstanding warrants, only if dilutive, and increase the denominator to include the number of potentially dilutive common shares assumed to be outstanding during the period using the treasury stock method. For loss periods, potentially dilutive securities have been excluded from the computation as their effect would be antidilutive.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Basic net income (loss) and diluted net loss attributable to common stockholders per share was computed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6"/>
          </w:tcPr>
          <w:p>
            <w:pPr>
              <w:jc w:val="right"/>
              <w:ind w:right="280"/>
              <w:spacing w:after="0"/>
              <w:rPr>
                <w:sz w:val="20"/>
                <w:szCs w:val="20"/>
                <w:color w:val="auto"/>
              </w:rPr>
            </w:pPr>
            <w:r>
              <w:rPr>
                <w:rFonts w:ascii="Arial" w:cs="Arial" w:eastAsia="Arial" w:hAnsi="Arial"/>
                <w:sz w:val="18"/>
                <w:szCs w:val="18"/>
                <w:color w:val="auto"/>
                <w:w w:val="90"/>
              </w:rPr>
              <w:t>Three Months Ended June 30,</w:t>
            </w:r>
          </w:p>
        </w:tc>
      </w:tr>
      <w:tr>
        <w:trPr>
          <w:trHeight w:val="223"/>
        </w:trPr>
        <w:tc>
          <w:tcPr>
            <w:tcW w:w="55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r>
      <w:tr>
        <w:trPr>
          <w:trHeight w:val="216"/>
        </w:trPr>
        <w:tc>
          <w:tcPr>
            <w:tcW w:w="55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Numerator:</w:t>
            </w: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460"/>
              <w:spacing w:after="0"/>
              <w:rPr>
                <w:sz w:val="20"/>
                <w:szCs w:val="20"/>
                <w:color w:val="auto"/>
              </w:rPr>
            </w:pPr>
            <w:r>
              <w:rPr>
                <w:rFonts w:ascii="Arial" w:cs="Arial" w:eastAsia="Arial" w:hAnsi="Arial"/>
                <w:sz w:val="18"/>
                <w:szCs w:val="18"/>
                <w:color w:val="auto"/>
              </w:rPr>
              <w:t>Net income (loss) for basic earnings per share</w:t>
            </w:r>
          </w:p>
        </w:tc>
        <w:tc>
          <w:tcPr>
            <w:tcW w:w="3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(4,553,300)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185,700</w:t>
            </w: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less: change in fair value of warrant liability attributable to Exchange</w:t>
            </w: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and Investment Warrants issued to Platinum</w:t>
            </w:r>
          </w:p>
        </w:tc>
        <w:tc>
          <w:tcPr>
            <w:tcW w:w="3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(649,300)</w:t>
            </w:r>
          </w:p>
        </w:tc>
      </w:tr>
      <w:tr>
        <w:trPr>
          <w:trHeight w:val="216"/>
        </w:trPr>
        <w:tc>
          <w:tcPr>
            <w:tcW w:w="5520" w:type="dxa"/>
            <w:vAlign w:val="bottom"/>
            <w:tcBorders>
              <w:top w:val="single" w:sz="8" w:color="CCEEFF"/>
            </w:tcBorders>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loss for diluted earnings per share</w:t>
            </w:r>
          </w:p>
        </w:tc>
        <w:tc>
          <w:tcPr>
            <w:tcW w:w="3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(4,553,300)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(463,600)</w:t>
            </w:r>
          </w:p>
        </w:tc>
      </w:tr>
      <w:tr>
        <w:trPr>
          <w:trHeight w:val="210"/>
        </w:trPr>
        <w:tc>
          <w:tcPr>
            <w:tcW w:w="5520" w:type="dxa"/>
            <w:vAlign w:val="bottom"/>
            <w:tcBorders>
              <w:top w:val="single" w:sz="8" w:color="CCEEFF"/>
            </w:tcBorders>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Denominator:</w:t>
            </w: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500"/>
              <w:spacing w:after="0"/>
              <w:rPr>
                <w:sz w:val="20"/>
                <w:szCs w:val="20"/>
                <w:color w:val="auto"/>
              </w:rPr>
            </w:pPr>
            <w:r>
              <w:rPr>
                <w:rFonts w:ascii="Arial" w:cs="Arial" w:eastAsia="Arial" w:hAnsi="Arial"/>
                <w:sz w:val="18"/>
                <w:szCs w:val="18"/>
                <w:color w:val="auto"/>
              </w:rPr>
              <w:t>Weighted average basic common shares outstanding</w:t>
            </w: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24,588,086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20,839,941</w:t>
            </w:r>
          </w:p>
        </w:tc>
      </w:tr>
      <w:tr>
        <w:trPr>
          <w:trHeight w:val="216"/>
        </w:trPr>
        <w:tc>
          <w:tcPr>
            <w:tcW w:w="5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Assumed conversion of dilutive securities:</w:t>
            </w: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840"/>
              <w:spacing w:after="0"/>
              <w:rPr>
                <w:sz w:val="20"/>
                <w:szCs w:val="20"/>
                <w:color w:val="auto"/>
              </w:rPr>
            </w:pPr>
            <w:r>
              <w:rPr>
                <w:rFonts w:ascii="Arial" w:cs="Arial" w:eastAsia="Arial" w:hAnsi="Arial"/>
                <w:sz w:val="18"/>
                <w:szCs w:val="18"/>
                <w:color w:val="auto"/>
              </w:rPr>
              <w:t>Warrants to purchase common stock</w:t>
            </w: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Potentially dilutive common shares</w:t>
            </w:r>
          </w:p>
        </w:tc>
        <w:tc>
          <w:tcPr>
            <w:tcW w:w="3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Borders>
              <w:top w:val="single" w:sz="8" w:color="CCEEFF"/>
            </w:tcBorders>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Denominator for diluted earnings per share - adjusted</w:t>
            </w: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552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weighted average shares</w:t>
            </w:r>
          </w:p>
        </w:tc>
        <w:tc>
          <w:tcPr>
            <w:tcW w:w="3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24,588,086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20,839,941</w:t>
            </w:r>
          </w:p>
        </w:tc>
      </w:tr>
      <w:tr>
        <w:trPr>
          <w:trHeight w:val="210"/>
        </w:trPr>
        <w:tc>
          <w:tcPr>
            <w:tcW w:w="5520" w:type="dxa"/>
            <w:vAlign w:val="bottom"/>
            <w:tcBorders>
              <w:top w:val="single" w:sz="8" w:color="CCEEFF"/>
            </w:tcBorders>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Basic net income (loss) per share</w:t>
            </w:r>
          </w:p>
        </w:tc>
        <w:tc>
          <w:tcPr>
            <w:tcW w:w="3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r>
      <w:tr>
        <w:trPr>
          <w:trHeight w:val="210"/>
        </w:trPr>
        <w:tc>
          <w:tcPr>
            <w:tcW w:w="5520" w:type="dxa"/>
            <w:vAlign w:val="bottom"/>
            <w:tcBorders>
              <w:top w:val="single" w:sz="8" w:color="CCEEFF"/>
            </w:tcBorders>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Diluted net loss per share</w:t>
            </w:r>
          </w:p>
        </w:tc>
        <w:tc>
          <w:tcPr>
            <w:tcW w:w="3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r>
      <w:tr>
        <w:trPr>
          <w:trHeight w:val="601"/>
        </w:trPr>
        <w:tc>
          <w:tcPr>
            <w:tcW w:w="5520" w:type="dxa"/>
            <w:vAlign w:val="bottom"/>
            <w:tcBorders>
              <w:top w:val="single" w:sz="8" w:color="CCEEFF"/>
            </w:tcBorders>
          </w:tcPr>
          <w:p>
            <w:pPr>
              <w:spacing w:after="0"/>
              <w:rPr>
                <w:sz w:val="24"/>
                <w:szCs w:val="24"/>
                <w:color w:val="auto"/>
              </w:rPr>
            </w:pPr>
          </w:p>
        </w:tc>
        <w:tc>
          <w:tcPr>
            <w:tcW w:w="3300" w:type="dxa"/>
            <w:vAlign w:val="bottom"/>
            <w:tcBorders>
              <w:top w:val="single" w:sz="8" w:color="CCEEFF"/>
            </w:tcBorders>
          </w:tcPr>
          <w:p>
            <w:pPr>
              <w:jc w:val="right"/>
              <w:ind w:right="2910"/>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55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8700" w:type="dxa"/>
            <w:vAlign w:val="bottom"/>
            <w:gridSpan w:val="3"/>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700" w:type="dxa"/>
            <w:vAlign w:val="bottom"/>
            <w:gridSpan w:val="3"/>
          </w:tcPr>
          <w:p>
            <w:pPr>
              <w:spacing w:after="0"/>
              <w:rPr>
                <w:sz w:val="20"/>
                <w:szCs w:val="20"/>
                <w:color w:val="auto"/>
              </w:rPr>
            </w:pPr>
            <w:r>
              <w:rPr>
                <w:rFonts w:ascii="Arial" w:cs="Arial" w:eastAsia="Arial" w:hAnsi="Arial"/>
                <w:sz w:val="18"/>
                <w:szCs w:val="18"/>
                <w:color w:val="auto"/>
              </w:rPr>
              <w:t>Potentially dilutive securities excluded in determining diluted net loss per common share are as follows: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4"/>
          </w:tcPr>
          <w:p>
            <w:pPr>
              <w:ind w:left="7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A preferred stock issued and outstanding </w:t>
            </w:r>
            <w:r>
              <w:rPr>
                <w:rFonts w:ascii="Arial" w:cs="Arial" w:eastAsia="Arial" w:hAnsi="Arial"/>
                <w:sz w:val="25"/>
                <w:szCs w:val="25"/>
                <w:color w:val="auto"/>
                <w:vertAlign w:val="superscript"/>
              </w:rPr>
              <w:t>(1)</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15,000,000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shares issuable to Platinum upon exercise of common stock warrants by Platinum</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upon exchange of Series A Preferred under the terms of the October 11, 2012 Note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 and Exchnge Agreement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options under the 2008 and 1999 Stock Incentive Plans</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4,277,357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4,816,771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18,981,490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11,031,029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convertible Exchange Note and Investment Notes issued to Platinum in October 2012,</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February 2013 and March 2013, including accrued interest through June 30, 2014 and 2013</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2013, respectively </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7,687,039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6,948,841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convertible note issued to Platinum on July 26, 2013, including accrued interest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through June 30, 2014</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549,157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convertible notes issued as a component of Unit Private Placements, including accrued interest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ind w:left="160"/>
              <w:spacing w:after="0" w:line="216" w:lineRule="exact"/>
              <w:rPr>
                <w:sz w:val="20"/>
                <w:szCs w:val="20"/>
                <w:color w:val="auto"/>
              </w:rPr>
            </w:pPr>
            <w:r>
              <w:rPr>
                <w:rFonts w:ascii="Arial" w:cs="Arial" w:eastAsia="Arial" w:hAnsi="Arial"/>
                <w:sz w:val="18"/>
                <w:szCs w:val="18"/>
                <w:color w:val="auto"/>
              </w:rPr>
              <w:t xml:space="preserve">accrued interest through June 30, 2014 </w:t>
            </w:r>
            <w:r>
              <w:rPr>
                <w:rFonts w:ascii="Arial" w:cs="Arial" w:eastAsia="Arial" w:hAnsi="Arial"/>
                <w:sz w:val="25"/>
                <w:szCs w:val="25"/>
                <w:color w:val="auto"/>
                <w:vertAlign w:val="superscript"/>
              </w:rPr>
              <w:t>(3)</w:t>
            </w: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5,169,441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59,114,484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45,296,641</w:t>
            </w:r>
          </w:p>
        </w:tc>
        <w:tc>
          <w:tcPr>
            <w:tcW w:w="0" w:type="dxa"/>
            <w:vAlign w:val="bottom"/>
          </w:tcPr>
          <w:p>
            <w:pPr>
              <w:spacing w:after="0"/>
              <w:rPr>
                <w:sz w:val="1"/>
                <w:szCs w:val="1"/>
                <w:color w:val="auto"/>
              </w:rPr>
            </w:pPr>
          </w:p>
        </w:tc>
      </w:tr>
      <w:tr>
        <w:trPr>
          <w:trHeight w:val="21"/>
        </w:trPr>
        <w:tc>
          <w:tcPr>
            <w:tcW w:w="1140" w:type="dxa"/>
            <w:vAlign w:val="bottom"/>
            <w:gridSpan w:val="2"/>
            <w:vMerge w:val="restart"/>
          </w:tcPr>
          <w:p>
            <w:pPr>
              <w:spacing w:after="0"/>
              <w:rPr>
                <w:sz w:val="20"/>
                <w:szCs w:val="20"/>
                <w:color w:val="auto"/>
              </w:rPr>
            </w:pPr>
            <w:r>
              <w:rPr>
                <w:rFonts w:ascii="Arial" w:cs="Arial" w:eastAsia="Arial" w:hAnsi="Arial"/>
                <w:sz w:val="18"/>
                <w:szCs w:val="18"/>
                <w:color w:val="auto"/>
                <w:w w:val="93"/>
              </w:rPr>
              <w:t>____________</w:t>
            </w:r>
          </w:p>
        </w:tc>
        <w:tc>
          <w:tcPr>
            <w:tcW w:w="75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1140" w:type="dxa"/>
            <w:vAlign w:val="bottom"/>
            <w:gridSpan w:val="2"/>
            <w:vMerge w:val="continue"/>
          </w:tcPr>
          <w:p>
            <w:pPr>
              <w:spacing w:after="0"/>
              <w:rPr>
                <w:sz w:val="17"/>
                <w:szCs w:val="17"/>
                <w:color w:val="auto"/>
              </w:rPr>
            </w:pPr>
          </w:p>
        </w:tc>
        <w:tc>
          <w:tcPr>
            <w:tcW w:w="7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40" w:hanging="232"/>
        <w:spacing w:after="0" w:line="183" w:lineRule="auto"/>
        <w:tabs>
          <w:tab w:leader="none" w:pos="24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Assumes exchange under the terms of the October 11, 2012 Note Exchange and Purchase Agreement with Platinum</w:t>
      </w:r>
    </w:p>
    <w:p>
      <w:pPr>
        <w:spacing w:after="0" w:line="2" w:lineRule="exact"/>
        <w:rPr>
          <w:rFonts w:ascii="Arial" w:cs="Arial" w:eastAsia="Arial" w:hAnsi="Arial"/>
          <w:sz w:val="25"/>
          <w:szCs w:val="25"/>
          <w:color w:val="auto"/>
          <w:vertAlign w:val="superscript"/>
        </w:rPr>
      </w:pPr>
    </w:p>
    <w:p>
      <w:pPr>
        <w:ind w:left="240" w:hanging="232"/>
        <w:spacing w:after="0" w:line="203" w:lineRule="auto"/>
        <w:tabs>
          <w:tab w:leader="none" w:pos="24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Assumes conversion under the terms of the October 11, 2012 Note Exchange and Purchase Agreement with Platinum and the terms of the individual notes</w:t>
      </w:r>
    </w:p>
    <w:p>
      <w:pPr>
        <w:spacing w:after="0" w:line="2" w:lineRule="exact"/>
        <w:rPr>
          <w:rFonts w:ascii="Arial" w:cs="Arial" w:eastAsia="Arial" w:hAnsi="Arial"/>
          <w:sz w:val="22"/>
          <w:szCs w:val="22"/>
          <w:color w:val="auto"/>
          <w:vertAlign w:val="superscript"/>
        </w:rPr>
      </w:pPr>
    </w:p>
    <w:p>
      <w:pPr>
        <w:ind w:left="200" w:hanging="192"/>
        <w:spacing w:after="0" w:line="194" w:lineRule="auto"/>
        <w:tabs>
          <w:tab w:leader="none" w:pos="200"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Excludes effect of conversion premium upon conversion into securities which may be issued in a Qualified Financing, as defined in 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May 2014, the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issued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xml:space="preserve">)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which supersedes the revenue recognition requirements in ASC 605, Revenue Recognition. This ASU is based on the principle that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effective date will be the first quarter of our fiscal year ending March 31, 2018, using one of two retrospective application methods. We have not determined the potential effects of adopting this ASU on our consolidated financial statements.</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June 2014, the FASB issued ASU No. 2014-10, </w:t>
      </w:r>
      <w:r>
        <w:rPr>
          <w:rFonts w:ascii="Arial" w:cs="Arial" w:eastAsia="Arial" w:hAnsi="Arial"/>
          <w:sz w:val="16"/>
          <w:szCs w:val="16"/>
          <w:i w:val="1"/>
          <w:iCs w:val="1"/>
          <w:color w:val="auto"/>
        </w:rPr>
        <w:t>Development Stage Entities (Topic 915): Elimination of Certain Financial Reporting Requirements,</w:t>
      </w:r>
      <w:r>
        <w:rPr>
          <w:rFonts w:ascii="Arial" w:cs="Arial" w:eastAsia="Arial" w:hAnsi="Arial"/>
          <w:sz w:val="16"/>
          <w:szCs w:val="16"/>
          <w:color w:val="auto"/>
        </w:rPr>
        <w:t xml:space="preserve"> </w:t>
      </w:r>
      <w:r>
        <w:rPr>
          <w:rFonts w:ascii="Arial" w:cs="Arial" w:eastAsia="Arial" w:hAnsi="Arial"/>
          <w:sz w:val="16"/>
          <w:szCs w:val="16"/>
          <w:i w:val="1"/>
          <w:iCs w:val="1"/>
          <w:color w:val="auto"/>
        </w:rPr>
        <w:t>Including an Amendment to Variable Interest Entities Guidance in Topic 810, Consolidation</w:t>
      </w:r>
      <w:r>
        <w:rPr>
          <w:rFonts w:ascii="Arial" w:cs="Arial" w:eastAsia="Arial" w:hAnsi="Arial"/>
          <w:sz w:val="16"/>
          <w:szCs w:val="16"/>
          <w:color w:val="auto"/>
        </w:rPr>
        <w:t>. The amendments in this ASU remove all incremental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requirements for development stage entities. Among other changes, this ASU no longer requires development stage entities to present inception-to-date information about income statement line items, cash flows, and equity transactions. The presentation and disclosure requirements in Topic 915 will no longer be required for the first annual period beginning after December 15, 2014, with early adoption permitted. We have adopted ASU 2014-10 effective with our fiscal year beginning April 1, 2014 and, accordingly, have eliminated inception-to-date information in the accompanying Condensed Consolidated Statements of Operations and Comprehensive Income (Loss) and Condensed Consolidated Statements of Cash Flows.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follow the principles of fair value accounting as they relate to our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and classify fair value into three broad levels is described as follows:</w:t>
      </w:r>
    </w:p>
    <w:p>
      <w:pPr>
        <w:spacing w:after="0" w:line="192" w:lineRule="exact"/>
        <w:rPr>
          <w:sz w:val="20"/>
          <w:szCs w:val="20"/>
          <w:color w:val="auto"/>
        </w:rPr>
      </w:pPr>
    </w:p>
    <w:p>
      <w:pPr>
        <w:ind w:left="840" w:hanging="319"/>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(unadjusted) in active markets that are accessible at the measurement date for assets or liabilities.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gives the highest priority to Level 1 inputs.</w:t>
      </w:r>
    </w:p>
    <w:p>
      <w:pPr>
        <w:spacing w:after="0" w:line="197" w:lineRule="exact"/>
        <w:rPr>
          <w:rFonts w:ascii="Arial" w:cs="Arial" w:eastAsia="Arial" w:hAnsi="Arial"/>
          <w:sz w:val="18"/>
          <w:szCs w:val="18"/>
          <w:color w:val="auto"/>
        </w:rPr>
      </w:pPr>
    </w:p>
    <w:p>
      <w:pPr>
        <w:jc w:val="both"/>
        <w:ind w:left="840" w:hanging="319"/>
        <w:spacing w:after="0" w:line="264"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that are observable, either directly or indirectly, such as quoted prices for similar assets or liabilities;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markets that are not active; or other inputs that are observable or can be corroborated by observable market data for substantially the full term of the assets or liabilities.</w:t>
      </w:r>
    </w:p>
    <w:p>
      <w:pPr>
        <w:spacing w:after="0" w:line="208" w:lineRule="exact"/>
        <w:rPr>
          <w:rFonts w:ascii="Arial" w:cs="Arial" w:eastAsia="Arial" w:hAnsi="Arial"/>
          <w:sz w:val="18"/>
          <w:szCs w:val="18"/>
          <w:color w:val="auto"/>
        </w:rPr>
      </w:pPr>
    </w:p>
    <w:p>
      <w:pPr>
        <w:jc w:val="both"/>
        <w:ind w:left="840" w:hanging="319"/>
        <w:spacing w:after="0" w:line="264"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w:t>
      </w:r>
      <w:r>
        <w:rPr>
          <w:rFonts w:ascii="Arial" w:cs="Arial" w:eastAsia="Arial" w:hAnsi="Arial"/>
          <w:sz w:val="18"/>
          <w:szCs w:val="18"/>
          <w:i w:val="1"/>
          <w:iCs w:val="1"/>
          <w:color w:val="auto"/>
        </w:rPr>
        <w:t xml:space="preserve">i.e., </w:t>
      </w:r>
      <w:r>
        <w:rPr>
          <w:rFonts w:ascii="Arial" w:cs="Arial" w:eastAsia="Arial" w:hAnsi="Arial"/>
          <w:sz w:val="18"/>
          <w:szCs w:val="18"/>
          <w:color w:val="auto"/>
        </w:rPr>
        <w:t>inputs that reflect the reporting entity’s own assumptions about the assumptions that market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would use in estimating the fair value of an asset or liability) are used when little or no market data is available. The fair value hierarchy gives the lowest priority to Level 3 inputs.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we estimate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We do not use derivative instruments for hedging of market risks or for trading or speculative purposes. In conjunction with the issuance of the Senior Secured Convertible Promissory Notes and related Exchange Warrant and Investment Warrants to Platinum in October 2012, February 2013, March 2013, and the potential issuance of the Series A Exchange Warrant (see Note 9,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all pursuant to the Note Exchange and Purchase Agreement of October 2012 between the Company and Platinum (see Note 7, </w:t>
      </w:r>
      <w:r>
        <w:rPr>
          <w:rFonts w:ascii="Arial" w:cs="Arial" w:eastAsia="Arial" w:hAnsi="Arial"/>
          <w:sz w:val="16"/>
          <w:szCs w:val="16"/>
          <w:i w:val="1"/>
          <w:iCs w:val="1"/>
          <w:color w:val="auto"/>
        </w:rPr>
        <w:t>Convertible Promissory Notes and Other Notes Payable</w:t>
      </w:r>
      <w:r>
        <w:rPr>
          <w:rFonts w:ascii="Arial" w:cs="Arial" w:eastAsia="Arial" w:hAnsi="Arial"/>
          <w:sz w:val="16"/>
          <w:szCs w:val="16"/>
          <w:color w:val="auto"/>
        </w:rPr>
        <w:t>), and the issuance of the warrant related to the Senior Secured Convertible Promissory Note issued to Platinum in July 2013, we determined that the warrants included certain exercise price adjustment features requiring the warrants to be treated as non-cash liabilities, which were recorded at their estimated fair value. We determined the initial fair value of the warrant liability using a Monte Carlo simulation model with Level 3 inputs or the Black-Scholes Option Pricing model. Inputs used to determine fair value include the remaining contractual term of the warrants, risk-free interest rates, expected volatility of the price of the underlying common stock, and the probability of a financing transaction or other equity issuance that would trigger a reset in the warrant exercise price, and, in the case of the Series A Exchange Warrant, the probability of Platinum’s exchange of the shares of Series A preferred stock it holds into shares of common stock. We have recognized the change in the fair value of these warrant liabilities since March 31, 2014 and 2013, respectively, as a non-cash component of other expense, net in the Condensed Consolidated Statements of Operations and Comprehensive Income (Loss) for the three months ended June 30, 2014 and 2013.</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3820" w:type="dxa"/>
            <w:vAlign w:val="bottom"/>
            <w:gridSpan w:val="3"/>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6440" w:type="dxa"/>
            <w:vAlign w:val="bottom"/>
            <w:gridSpan w:val="7"/>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7580" w:type="dxa"/>
            <w:vAlign w:val="bottom"/>
            <w:gridSpan w:val="9"/>
          </w:tcPr>
          <w:p>
            <w:pPr>
              <w:spacing w:after="0"/>
              <w:rPr>
                <w:sz w:val="20"/>
                <w:szCs w:val="20"/>
                <w:color w:val="auto"/>
              </w:rPr>
            </w:pPr>
            <w:r>
              <w:rPr>
                <w:rFonts w:ascii="Arial" w:cs="Arial" w:eastAsia="Arial" w:hAnsi="Arial"/>
                <w:sz w:val="18"/>
                <w:szCs w:val="18"/>
                <w:color w:val="auto"/>
                <w:w w:val="92"/>
              </w:rPr>
              <w:t>The fair value hierarchy for the warrant liability measured at fair value on a recurring basis is as follows: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gridSpan w:val="9"/>
          </w:tcPr>
          <w:p>
            <w:pPr>
              <w:jc w:val="center"/>
              <w:ind w:right="200"/>
              <w:spacing w:after="0"/>
              <w:rPr>
                <w:sz w:val="20"/>
                <w:szCs w:val="20"/>
                <w:color w:val="auto"/>
              </w:rPr>
            </w:pPr>
            <w:r>
              <w:rPr>
                <w:rFonts w:ascii="Arial" w:cs="Arial" w:eastAsia="Arial" w:hAnsi="Arial"/>
                <w:sz w:val="18"/>
                <w:szCs w:val="18"/>
                <w:b w:val="1"/>
                <w:bCs w:val="1"/>
                <w:color w:val="auto"/>
                <w:w w:val="91"/>
              </w:rPr>
              <w:t>Fair Value Measurements at Reporting Date</w:t>
            </w:r>
          </w:p>
        </w:tc>
      </w:tr>
      <w:tr>
        <w:trPr>
          <w:trHeight w:val="241"/>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87"/>
              </w:rPr>
              <w:t>Using</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Quoted Prices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in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Active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Markets for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Identical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(Level 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3)</w:t>
            </w:r>
          </w:p>
        </w:tc>
      </w:tr>
      <w:tr>
        <w:trPr>
          <w:trHeight w:val="216"/>
        </w:trPr>
        <w:tc>
          <w:tcPr>
            <w:tcW w:w="3820" w:type="dxa"/>
            <w:vAlign w:val="bottom"/>
            <w:gridSpan w:val="3"/>
          </w:tcPr>
          <w:p>
            <w:pPr>
              <w:spacing w:after="0"/>
              <w:rPr>
                <w:sz w:val="20"/>
                <w:szCs w:val="20"/>
                <w:color w:val="auto"/>
              </w:rPr>
            </w:pPr>
            <w:r>
              <w:rPr>
                <w:rFonts w:ascii="Arial" w:cs="Arial" w:eastAsia="Arial" w:hAnsi="Arial"/>
                <w:sz w:val="18"/>
                <w:szCs w:val="18"/>
                <w:color w:val="auto"/>
              </w:rPr>
              <w:t>June 30, 2014:</w:t>
            </w:r>
          </w:p>
        </w:tc>
        <w:tc>
          <w:tcPr>
            <w:tcW w:w="2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Warrant liability</w:t>
            </w:r>
          </w:p>
        </w:tc>
        <w:tc>
          <w:tcPr>
            <w:tcW w:w="2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4,701,200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4,701,200</w:t>
            </w:r>
          </w:p>
        </w:tc>
      </w:tr>
      <w:tr>
        <w:trPr>
          <w:trHeight w:val="216"/>
        </w:trPr>
        <w:tc>
          <w:tcPr>
            <w:tcW w:w="20" w:type="dxa"/>
            <w:vAlign w:val="bottom"/>
          </w:tcPr>
          <w:p>
            <w:pPr>
              <w:spacing w:after="0"/>
              <w:rPr>
                <w:sz w:val="18"/>
                <w:szCs w:val="18"/>
                <w:color w:val="auto"/>
              </w:rPr>
            </w:pPr>
          </w:p>
        </w:tc>
        <w:tc>
          <w:tcPr>
            <w:tcW w:w="38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March 31, 2014:</w:t>
            </w:r>
          </w:p>
        </w:tc>
        <w:tc>
          <w:tcPr>
            <w:tcW w:w="2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Warrant liability</w:t>
            </w:r>
          </w:p>
        </w:tc>
        <w:tc>
          <w:tcPr>
            <w:tcW w:w="2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2,973,900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2,973,900</w:t>
            </w: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 period ended June 30, 2014, there was no significant change to the valuation models used for purposes of determining the fair value of the Level 3 warrant liability. The increase in the market price of our common stock since March 31, 2014 is the primary factor resulting in the increase in the warrant liability.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gridSpan w:val="2"/>
          </w:tcPr>
          <w:p>
            <w:pPr>
              <w:spacing w:after="0"/>
              <w:rPr>
                <w:sz w:val="20"/>
                <w:szCs w:val="20"/>
                <w:color w:val="auto"/>
              </w:rPr>
            </w:pPr>
            <w:r>
              <w:rPr>
                <w:rFonts w:ascii="Arial" w:cs="Arial" w:eastAsia="Arial" w:hAnsi="Arial"/>
                <w:sz w:val="18"/>
                <w:szCs w:val="18"/>
                <w:color w:val="auto"/>
              </w:rPr>
              <w:t>The changes in Level 3 liabilities measured at fair value on a recurring basis are as follows: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1"/>
              </w:rPr>
              <w:t>Fair Value Measurements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9"/>
              </w:rPr>
              <w:t>Using 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9"/>
              </w:rPr>
              <w:t>Unobservable Inputs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center"/>
              <w:ind w:right="90"/>
              <w:spacing w:after="0"/>
              <w:rPr>
                <w:sz w:val="20"/>
                <w:szCs w:val="20"/>
                <w:color w:val="auto"/>
              </w:rPr>
            </w:pPr>
            <w:r>
              <w:rPr>
                <w:rFonts w:ascii="Arial" w:cs="Arial" w:eastAsia="Arial" w:hAnsi="Arial"/>
                <w:sz w:val="18"/>
                <w:szCs w:val="18"/>
                <w:b w:val="1"/>
                <w:bCs w:val="1"/>
                <w:color w:val="auto"/>
                <w:w w:val="93"/>
              </w:rPr>
              <w:t>(Level 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7"/>
              </w:rPr>
              <w:t>Warrant Liability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2014</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2,973,900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Mark to market loss included in net loss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2014</w:t>
            </w: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4,701,200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8800" w:type="dxa"/>
            <w:vAlign w:val="bottom"/>
            <w:gridSpan w:val="2"/>
          </w:tcPr>
          <w:p>
            <w:pPr>
              <w:spacing w:after="0"/>
              <w:rPr>
                <w:sz w:val="20"/>
                <w:szCs w:val="20"/>
                <w:color w:val="auto"/>
              </w:rPr>
            </w:pPr>
            <w:r>
              <w:rPr>
                <w:rFonts w:ascii="Arial" w:cs="Arial" w:eastAsia="Arial" w:hAnsi="Arial"/>
                <w:sz w:val="18"/>
                <w:szCs w:val="18"/>
                <w:color w:val="auto"/>
              </w:rPr>
              <w:t>We carried no assets or other liabilities at fair value at June 30, 2014 or March 31, 2014.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Note 5. Prepaid Expenses and Other Current Assets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00" w:type="dxa"/>
            <w:vAlign w:val="bottom"/>
            <w:gridSpan w:val="2"/>
          </w:tcPr>
          <w:p>
            <w:pPr>
              <w:spacing w:after="0"/>
              <w:rPr>
                <w:sz w:val="20"/>
                <w:szCs w:val="20"/>
                <w:color w:val="auto"/>
              </w:rPr>
            </w:pPr>
            <w:r>
              <w:rPr>
                <w:rFonts w:ascii="Arial" w:cs="Arial" w:eastAsia="Arial" w:hAnsi="Arial"/>
                <w:sz w:val="18"/>
                <w:szCs w:val="18"/>
                <w:color w:val="auto"/>
                <w:w w:val="97"/>
              </w:rPr>
              <w:t>Prepaid expenses and other current assets are composed of the following at June 30, 2014 and March 31, 2014: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June 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Insurance</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
              <w:spacing w:after="0"/>
              <w:rPr>
                <w:sz w:val="20"/>
                <w:szCs w:val="20"/>
                <w:color w:val="auto"/>
              </w:rPr>
            </w:pPr>
            <w:r>
              <w:rPr>
                <w:rFonts w:ascii="Arial" w:cs="Arial" w:eastAsia="Arial" w:hAnsi="Arial"/>
                <w:sz w:val="18"/>
                <w:szCs w:val="18"/>
                <w:color w:val="auto"/>
              </w:rPr>
              <w:t>Legal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23,400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receivable on note receivable from sale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of common stock</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license fees and all other</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40,500</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8780" w:type="dxa"/>
            <w:vAlign w:val="bottom"/>
            <w:tcBorders>
              <w:top w:val="single" w:sz="8" w:color="CCEEFF"/>
            </w:tcBorders>
          </w:tcPr>
          <w:p>
            <w:pPr>
              <w:ind w:left="5540"/>
              <w:spacing w:after="0"/>
              <w:rPr>
                <w:sz w:val="20"/>
                <w:szCs w:val="20"/>
                <w:color w:val="auto"/>
              </w:rPr>
            </w:pPr>
            <w:r>
              <w:rPr>
                <w:rFonts w:ascii="Arial" w:cs="Arial" w:eastAsia="Arial" w:hAnsi="Arial"/>
                <w:sz w:val="18"/>
                <w:szCs w:val="18"/>
                <w:color w:val="auto"/>
              </w:rPr>
              <w:t>-12-</w:t>
            </w: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7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8820" w:type="dxa"/>
            <w:vAlign w:val="bottom"/>
            <w:gridSpan w:val="2"/>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Note 6. Accrued Expenses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8820" w:type="dxa"/>
            <w:vAlign w:val="bottom"/>
            <w:gridSpan w:val="2"/>
          </w:tcPr>
          <w:p>
            <w:pPr>
              <w:spacing w:after="0"/>
              <w:rPr>
                <w:sz w:val="20"/>
                <w:szCs w:val="20"/>
                <w:color w:val="auto"/>
              </w:rPr>
            </w:pPr>
            <w:r>
              <w:rPr>
                <w:rFonts w:ascii="Arial" w:cs="Arial" w:eastAsia="Arial" w:hAnsi="Arial"/>
                <w:sz w:val="18"/>
                <w:szCs w:val="18"/>
                <w:color w:val="auto"/>
              </w:rPr>
              <w:t>Accrued expenses are composed of the following at June 30, 2014 and March 31, 2014:</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114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w w:val="95"/>
              </w:rPr>
              <w:t>June 30,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March 31,</w:t>
            </w:r>
          </w:p>
        </w:tc>
      </w:tr>
      <w:tr>
        <w:trPr>
          <w:trHeight w:val="237"/>
        </w:trPr>
        <w:tc>
          <w:tcPr>
            <w:tcW w:w="114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2014</w:t>
            </w:r>
          </w:p>
        </w:tc>
      </w:tr>
      <w:tr>
        <w:trPr>
          <w:trHeight w:val="216"/>
        </w:trPr>
        <w:tc>
          <w:tcPr>
            <w:tcW w:w="114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Accrued professional services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273,700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135,700</w:t>
            </w:r>
          </w:p>
        </w:tc>
      </w:tr>
      <w:tr>
        <w:trPr>
          <w:trHeight w:val="223"/>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536,500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489,900</w:t>
            </w:r>
          </w:p>
        </w:tc>
      </w:tr>
      <w:tr>
        <w:trPr>
          <w:trHeight w:val="216"/>
        </w:trPr>
        <w:tc>
          <w:tcPr>
            <w:tcW w:w="114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810,200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625,600</w:t>
            </w:r>
          </w:p>
        </w:tc>
      </w:tr>
      <w:tr>
        <w:trPr>
          <w:trHeight w:val="21"/>
        </w:trPr>
        <w:tc>
          <w:tcPr>
            <w:tcW w:w="114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Convertible Promissory Notes and Other Notes Payable</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summarizes our secured and unsecured promissory notes and other notes payable at June 30, 2014 and March 31,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w w:val="88"/>
              </w:rPr>
              <w:t>June 30, 2014</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3"/>
              </w:rPr>
              <w:t>March 31, 2014</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400"/>
              <w:spacing w:after="0" w:line="201" w:lineRule="exact"/>
              <w:rPr>
                <w:sz w:val="20"/>
                <w:szCs w:val="20"/>
                <w:color w:val="auto"/>
              </w:rPr>
            </w:pPr>
            <w:r>
              <w:rPr>
                <w:rFonts w:ascii="Arial" w:cs="Arial" w:eastAsia="Arial" w:hAnsi="Arial"/>
                <w:sz w:val="18"/>
                <w:szCs w:val="18"/>
                <w:color w:val="auto"/>
                <w:w w:val="95"/>
              </w:rPr>
              <w:t>Principal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90"/>
              </w:rPr>
              <w:t>Accrued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Principal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93"/>
              </w:rPr>
              <w:t>Accrued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Balance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Balance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Interest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2"/>
        </w:trPr>
        <w:tc>
          <w:tcPr>
            <w:tcW w:w="3340" w:type="dxa"/>
            <w:vAlign w:val="bottom"/>
            <w:gridSpan w:val="3"/>
          </w:tcPr>
          <w:p>
            <w:pPr>
              <w:spacing w:after="0" w:line="201" w:lineRule="exact"/>
              <w:rPr>
                <w:sz w:val="20"/>
                <w:szCs w:val="20"/>
                <w:color w:val="auto"/>
              </w:rPr>
            </w:pPr>
            <w:r>
              <w:rPr>
                <w:rFonts w:ascii="Arial" w:cs="Arial" w:eastAsia="Arial" w:hAnsi="Arial"/>
                <w:sz w:val="18"/>
                <w:szCs w:val="18"/>
                <w:b w:val="1"/>
                <w:bCs w:val="1"/>
                <w:i w:val="1"/>
                <w:iCs w:val="1"/>
                <w:color w:val="auto"/>
                <w:w w:val="87"/>
              </w:rPr>
              <w:t>Senior Secured 10% Convertible Promissory</w:t>
            </w:r>
          </w:p>
        </w:tc>
        <w:tc>
          <w:tcPr>
            <w:tcW w:w="1160" w:type="dxa"/>
            <w:vAlign w:val="bottom"/>
            <w:tcBorders>
              <w:top w:val="single" w:sz="8" w:color="auto"/>
            </w:tcBorders>
            <w:gridSpan w:val="2"/>
          </w:tcPr>
          <w:p>
            <w:pPr>
              <w:ind w:left="20"/>
              <w:spacing w:after="0" w:line="201" w:lineRule="exact"/>
              <w:rPr>
                <w:sz w:val="20"/>
                <w:szCs w:val="20"/>
                <w:color w:val="auto"/>
              </w:rPr>
            </w:pPr>
            <w:r>
              <w:rPr>
                <w:rFonts w:ascii="Arial" w:cs="Arial" w:eastAsia="Arial" w:hAnsi="Arial"/>
                <w:sz w:val="18"/>
                <w:szCs w:val="18"/>
                <w:b w:val="1"/>
                <w:bCs w:val="1"/>
                <w:i w:val="1"/>
                <w:iCs w:val="1"/>
                <w:color w:val="auto"/>
              </w:rPr>
              <w:t>Notes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line="230" w:lineRule="exact"/>
              <w:rPr>
                <w:sz w:val="20"/>
                <w:szCs w:val="20"/>
                <w:color w:val="auto"/>
              </w:rPr>
            </w:pPr>
            <w:r>
              <w:rPr>
                <w:rFonts w:ascii="Arial" w:cs="Arial" w:eastAsia="Arial" w:hAnsi="Arial"/>
                <w:sz w:val="18"/>
                <w:szCs w:val="18"/>
                <w:b w:val="1"/>
                <w:bCs w:val="1"/>
                <w:i w:val="1"/>
                <w:iCs w:val="1"/>
                <w:color w:val="auto"/>
              </w:rPr>
              <w:t xml:space="preserve">issued to Platinum: </w:t>
            </w:r>
            <w:r>
              <w:rPr>
                <w:rFonts w:ascii="Arial" w:cs="Arial" w:eastAsia="Arial" w:hAnsi="Arial"/>
                <w:sz w:val="25"/>
                <w:szCs w:val="25"/>
                <w:b w:val="1"/>
                <w:bCs w:val="1"/>
                <w:i w:val="1"/>
                <w:iCs w:val="1"/>
                <w:color w:val="auto"/>
                <w:vertAlign w:val="superscript"/>
              </w:rPr>
              <w:t>(2)</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Exchange Note issued on October 11,</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2012</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1,272,600</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1,513,600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1,272,600</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203,400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Investment Note issued on October 11,</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94,700</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594,700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79,900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579,900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Investment Note issued on October 19,</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2012</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93,400</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593,400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78,600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578,600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8"/>
              </w:rPr>
              <w:t>Investment Note issued on February 22,</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36,500</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286,500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29,400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279,400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Investment Note issued on March 12,</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2013</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105,300</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855,300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84,100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3,272,600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570,900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3,843,500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3,272,600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475,400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Convertible promissory note issued on</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July 26, 2013</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24,600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274,600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17,700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267,700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Senior notes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4,118,100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3,522,600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493,100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Aggregate note discount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(2,014,100)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(2,014,100)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(2,085,900)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(2,085,900)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340"/>
              <w:spacing w:after="0"/>
              <w:rPr>
                <w:sz w:val="20"/>
                <w:szCs w:val="20"/>
                <w:color w:val="auto"/>
              </w:rPr>
            </w:pPr>
            <w:r>
              <w:rPr>
                <w:rFonts w:ascii="Arial" w:cs="Arial" w:eastAsia="Arial" w:hAnsi="Arial"/>
                <w:sz w:val="18"/>
                <w:szCs w:val="18"/>
                <w:color w:val="auto"/>
              </w:rPr>
              <w:t>Net Senior notes (non-current)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1,508,500</w:t>
            </w:r>
          </w:p>
        </w:tc>
        <w:tc>
          <w:tcPr>
            <w:tcW w:w="14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595,500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2,104,000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1,436,700</w:t>
            </w:r>
          </w:p>
        </w:tc>
        <w:tc>
          <w:tcPr>
            <w:tcW w:w="1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493,100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1,929,800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86"/>
              </w:rPr>
              <w:t>10% Convertible Promissory Notes (Unit Notes)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2013/2014 Unit Notes, due 7/31/14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41,700</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1,007,500</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1,043,200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2014 Unit Notes, including amended</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notes, due 3/31/15</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2,513,400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28,200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2,541,600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2,584,800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1,057,500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Note discounts</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(1,236,900)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(1,236,900)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(697,400)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(697,400)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7"/>
              </w:rPr>
              <w:t>Net convertible Unit Notes (all current)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1,318,200</w:t>
            </w:r>
          </w:p>
        </w:tc>
        <w:tc>
          <w:tcPr>
            <w:tcW w:w="1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1,347,900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360,100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8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Notes Payable to unrelated parties: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7.5% Notes payable to service providers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for accounts payable converted to notes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payable:</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380"/>
              <w:spacing w:after="0"/>
              <w:rPr>
                <w:sz w:val="20"/>
                <w:szCs w:val="20"/>
                <w:color w:val="auto"/>
              </w:rPr>
            </w:pPr>
            <w:r>
              <w:rPr>
                <w:rFonts w:ascii="Arial" w:cs="Arial" w:eastAsia="Arial" w:hAnsi="Arial"/>
                <w:sz w:val="18"/>
                <w:szCs w:val="18"/>
                <w:color w:val="auto"/>
              </w:rPr>
              <w:t>Burr, Pilger, Mayer</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90,400</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8,500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98,900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90,400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6,800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Desjardins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185,200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203,300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178,600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380"/>
              <w:spacing w:after="0"/>
              <w:rPr>
                <w:sz w:val="20"/>
                <w:szCs w:val="20"/>
                <w:color w:val="auto"/>
              </w:rPr>
            </w:pPr>
            <w:r>
              <w:rPr>
                <w:rFonts w:ascii="Arial" w:cs="Arial" w:eastAsia="Arial" w:hAnsi="Arial"/>
                <w:sz w:val="18"/>
                <w:szCs w:val="18"/>
                <w:color w:val="auto"/>
              </w:rPr>
              <w:t>McCarthy Tetrault</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374,200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32,800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407,000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360,900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24,800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385,700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August 2012 Morrison &amp; Foerster</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Note A</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918,200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113,100</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1,031,300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918,200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87,900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August 2012 Morrison &amp; Foerster</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line="230" w:lineRule="exact"/>
              <w:rPr>
                <w:sz w:val="20"/>
                <w:szCs w:val="20"/>
                <w:color w:val="auto"/>
              </w:rPr>
            </w:pPr>
            <w:r>
              <w:rPr>
                <w:rFonts w:ascii="Arial" w:cs="Arial" w:eastAsia="Arial" w:hAnsi="Arial"/>
                <w:sz w:val="18"/>
                <w:szCs w:val="18"/>
                <w:color w:val="auto"/>
              </w:rPr>
              <w:t xml:space="preserve">Note B </w:t>
            </w:r>
            <w:r>
              <w:rPr>
                <w:rFonts w:ascii="Arial" w:cs="Arial" w:eastAsia="Arial" w:hAnsi="Arial"/>
                <w:sz w:val="25"/>
                <w:szCs w:val="25"/>
                <w:color w:val="auto"/>
                <w:vertAlign w:val="superscript"/>
              </w:rPr>
              <w:t>(1)</w:t>
            </w: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1,379,400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229,600</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1,609,000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1,379,400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195,200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1,574,600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8"/>
                <w:szCs w:val="18"/>
                <w:color w:val="auto"/>
              </w:rPr>
              <w:t xml:space="preserve">University Health Network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620,400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549,500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3,496,900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473,000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3,969,900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3,477,000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389,400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3,866,400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Note discount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(762,700)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(762,700)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(848,100)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(848,100)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2,734,200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473,000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3,207,200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2,628,900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389,400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3,018,300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less: current portion</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(1,115,100)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(172,500)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(1,287,600)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(1,130,100)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(133,600)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(1,263,700)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380"/>
              <w:spacing w:after="0"/>
              <w:rPr>
                <w:sz w:val="20"/>
                <w:szCs w:val="20"/>
                <w:color w:val="auto"/>
              </w:rPr>
            </w:pPr>
            <w:r>
              <w:rPr>
                <w:rFonts w:ascii="Arial" w:cs="Arial" w:eastAsia="Arial" w:hAnsi="Arial"/>
                <w:sz w:val="18"/>
                <w:szCs w:val="18"/>
                <w:color w:val="auto"/>
              </w:rPr>
              <w:t>non-current portion and discount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1,619,100</w:t>
            </w:r>
          </w:p>
        </w:tc>
        <w:tc>
          <w:tcPr>
            <w:tcW w:w="14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300,500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1,919,600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1,498,800</w:t>
            </w:r>
          </w:p>
        </w:tc>
        <w:tc>
          <w:tcPr>
            <w:tcW w:w="1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255,800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1,754,600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5.75% and 10.25% Notes payable to</w:t>
            </w:r>
          </w:p>
        </w:tc>
        <w:tc>
          <w:tcPr>
            <w:tcW w:w="2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92,900</w:t>
            </w:r>
          </w:p>
        </w:tc>
        <w:tc>
          <w:tcPr>
            <w:tcW w:w="280" w:type="dxa"/>
            <w:vAlign w:val="bottom"/>
            <w:gridSpan w:val="2"/>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line="201"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92,900</w:t>
            </w:r>
          </w:p>
        </w:tc>
        <w:tc>
          <w:tcPr>
            <w:tcW w:w="24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4,900</w:t>
            </w:r>
          </w:p>
        </w:tc>
        <w:tc>
          <w:tcPr>
            <w:tcW w:w="26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insurance premium financing company</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(current)</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10% Notes payable to vendors for</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accounts payable converted to notes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payable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403,600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37,700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441,300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119,400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34,700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less: current portion</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(403,600)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(441,300)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(119,400)</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380"/>
              <w:spacing w:after="0"/>
              <w:rPr>
                <w:sz w:val="20"/>
                <w:szCs w:val="20"/>
                <w:color w:val="auto"/>
              </w:rPr>
            </w:pPr>
            <w:r>
              <w:rPr>
                <w:rFonts w:ascii="Arial" w:cs="Arial" w:eastAsia="Arial" w:hAnsi="Arial"/>
                <w:sz w:val="18"/>
                <w:szCs w:val="18"/>
                <w:color w:val="auto"/>
              </w:rPr>
              <w:t>non-current portion</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240"/>
              <w:spacing w:after="0"/>
              <w:rPr>
                <w:sz w:val="20"/>
                <w:szCs w:val="20"/>
                <w:color w:val="auto"/>
              </w:rPr>
            </w:pPr>
            <w:r>
              <w:rPr>
                <w:rFonts w:ascii="Arial" w:cs="Arial" w:eastAsia="Arial" w:hAnsi="Arial"/>
                <w:sz w:val="18"/>
                <w:szCs w:val="18"/>
                <w:color w:val="auto"/>
              </w:rPr>
              <w:t>7.0% Note payable (August 2012)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58,800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4,800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63,600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58,800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3,800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less: current portion</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(4,800)</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(15,800)</w:t>
            </w: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Borders>
              <w:top w:val="single" w:sz="8" w:color="CCEEFF"/>
            </w:tcBorders>
            <w:gridSpan w:val="2"/>
          </w:tcPr>
          <w:p>
            <w:pPr>
              <w:ind w:left="240"/>
              <w:spacing w:after="0" w:line="201" w:lineRule="exact"/>
              <w:rPr>
                <w:sz w:val="20"/>
                <w:szCs w:val="20"/>
                <w:color w:val="auto"/>
              </w:rPr>
            </w:pPr>
            <w:r>
              <w:rPr>
                <w:rFonts w:ascii="Arial" w:cs="Arial" w:eastAsia="Arial" w:hAnsi="Arial"/>
                <w:sz w:val="18"/>
                <w:szCs w:val="18"/>
                <w:color w:val="auto"/>
              </w:rPr>
              <w:t>7.0% Notes payable - non-current</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portion</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40,900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40,900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43,000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240"/>
              <w:spacing w:after="0"/>
              <w:rPr>
                <w:sz w:val="20"/>
                <w:szCs w:val="20"/>
                <w:color w:val="auto"/>
              </w:rPr>
            </w:pPr>
            <w:r>
              <w:rPr>
                <w:rFonts w:ascii="Arial" w:cs="Arial" w:eastAsia="Arial" w:hAnsi="Arial"/>
                <w:sz w:val="18"/>
                <w:szCs w:val="18"/>
                <w:color w:val="auto"/>
                <w:w w:val="96"/>
              </w:rPr>
              <w:t>Total notes payable to unrelated parties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4,052,200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515,500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4,567,700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3,660,100</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427,900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4,088,000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less: current portion</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(1,629,500)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(215,000)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(1,844,500)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(1,270,200)</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(172,100)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(1,442,300)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380"/>
              <w:spacing w:after="0"/>
              <w:rPr>
                <w:sz w:val="20"/>
                <w:szCs w:val="20"/>
                <w:color w:val="auto"/>
              </w:rPr>
            </w:pPr>
            <w:r>
              <w:rPr>
                <w:rFonts w:ascii="Arial" w:cs="Arial" w:eastAsia="Arial" w:hAnsi="Arial"/>
                <w:sz w:val="18"/>
                <w:szCs w:val="18"/>
                <w:color w:val="auto"/>
              </w:rPr>
              <w:t>non-current portion</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2,422,700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300,500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2,723,200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2,389,900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255,800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2,645,700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less: discount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(762,700)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(762,700)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(848,100)</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(848,100)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1,660,000</w:t>
            </w:r>
          </w:p>
        </w:tc>
        <w:tc>
          <w:tcPr>
            <w:tcW w:w="1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300,500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1,960,500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1,541,800</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255,800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1,797,600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Notes payable to related parties: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October 2012 7.5% Note to Cato</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Holding Co.</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293,600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36,900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330,500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293,600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30,800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324,400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October 2012 7.5% Note to Cato</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Research Ltd.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1,009,000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138,500</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1,147,500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1,009,000</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117,300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1,126,300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1,302,600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175,400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1,478,000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1,302,600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148,100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1,450,700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Note discount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(91,400)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(91,400)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(103,200)</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380"/>
              <w:spacing w:after="0"/>
              <w:rPr>
                <w:sz w:val="20"/>
                <w:szCs w:val="20"/>
                <w:color w:val="auto"/>
              </w:rPr>
            </w:pPr>
            <w:r>
              <w:rPr>
                <w:rFonts w:ascii="Arial" w:cs="Arial" w:eastAsia="Arial" w:hAnsi="Arial"/>
                <w:sz w:val="18"/>
                <w:szCs w:val="18"/>
                <w:color w:val="auto"/>
                <w:w w:val="98"/>
              </w:rPr>
              <w:t>Total notes payable to related parties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1,211,200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175,400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1,386,600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1,199,400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148,100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1,347,500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less: current portion</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(254,400)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(291,300)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(259,600)</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non-current portion and discount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956,800</w:t>
            </w:r>
          </w:p>
        </w:tc>
        <w:tc>
          <w:tcPr>
            <w:tcW w:w="1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138,500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1,095,300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939,800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117,300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1,057,100</w:t>
            </w:r>
          </w:p>
        </w:tc>
        <w:tc>
          <w:tcPr>
            <w:tcW w:w="0" w:type="dxa"/>
            <w:vAlign w:val="bottom"/>
          </w:tcPr>
          <w:p>
            <w:pPr>
              <w:spacing w:after="0"/>
              <w:rPr>
                <w:sz w:val="1"/>
                <w:szCs w:val="1"/>
                <w:color w:val="auto"/>
              </w:rPr>
            </w:pPr>
          </w:p>
        </w:tc>
      </w:tr>
      <w:tr>
        <w:trPr>
          <w:trHeight w:val="21"/>
        </w:trPr>
        <w:tc>
          <w:tcPr>
            <w:tcW w:w="3200" w:type="dxa"/>
            <w:vAlign w:val="bottom"/>
            <w:gridSpan w:val="2"/>
            <w:vMerge w:val="restart"/>
          </w:tcPr>
          <w:p>
            <w:pPr>
              <w:jc w:val="right"/>
              <w:ind w:right="1050"/>
              <w:spacing w:after="0"/>
              <w:rPr>
                <w:sz w:val="20"/>
                <w:szCs w:val="20"/>
                <w:color w:val="auto"/>
              </w:rPr>
            </w:pPr>
            <w:r>
              <w:rPr>
                <w:rFonts w:ascii="Arial" w:cs="Arial" w:eastAsia="Arial" w:hAnsi="Arial"/>
                <w:sz w:val="18"/>
                <w:szCs w:val="18"/>
                <w:color w:val="auto"/>
              </w:rPr>
              <w:t>____________</w:t>
            </w: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3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00" w:hanging="192"/>
        <w:spacing w:after="0" w:line="199" w:lineRule="auto"/>
        <w:tabs>
          <w:tab w:leader="none" w:pos="200" w:val="left"/>
        </w:tabs>
        <w:numPr>
          <w:ilvl w:val="0"/>
          <w:numId w:val="6"/>
        </w:numPr>
        <w:rPr>
          <w:rFonts w:ascii="Arial" w:cs="Arial" w:eastAsia="Arial" w:hAnsi="Arial"/>
          <w:sz w:val="23"/>
          <w:szCs w:val="23"/>
          <w:color w:val="auto"/>
          <w:vertAlign w:val="superscript"/>
        </w:rPr>
      </w:pPr>
      <w:r>
        <w:rPr>
          <w:rFonts w:ascii="Arial" w:cs="Arial" w:eastAsia="Arial" w:hAnsi="Arial"/>
          <w:sz w:val="17"/>
          <w:szCs w:val="17"/>
          <w:color w:val="auto"/>
        </w:rPr>
        <w:t>Note and interest payable solely in restricted shares of the Company's common stock.</w:t>
      </w:r>
    </w:p>
    <w:p>
      <w:pPr>
        <w:spacing w:after="0" w:line="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6"/>
        </w:numPr>
        <w:rPr>
          <w:rFonts w:ascii="Arial" w:cs="Arial" w:eastAsia="Arial" w:hAnsi="Arial"/>
          <w:sz w:val="23"/>
          <w:szCs w:val="23"/>
          <w:color w:val="auto"/>
          <w:vertAlign w:val="superscript"/>
        </w:rPr>
      </w:pPr>
      <w:r>
        <w:rPr>
          <w:rFonts w:ascii="Arial" w:cs="Arial" w:eastAsia="Arial" w:hAnsi="Arial"/>
          <w:sz w:val="17"/>
          <w:szCs w:val="17"/>
          <w:color w:val="auto"/>
        </w:rPr>
        <w:t xml:space="preserve">See Note 10, </w:t>
      </w:r>
      <w:r>
        <w:rPr>
          <w:rFonts w:ascii="Arial" w:cs="Arial" w:eastAsia="Arial" w:hAnsi="Arial"/>
          <w:sz w:val="17"/>
          <w:szCs w:val="17"/>
          <w:i w:val="1"/>
          <w:iCs w:val="1"/>
          <w:color w:val="auto"/>
        </w:rPr>
        <w:t>Subsequent Events,</w:t>
      </w:r>
      <w:r>
        <w:rPr>
          <w:rFonts w:ascii="Arial" w:cs="Arial" w:eastAsia="Arial" w:hAnsi="Arial"/>
          <w:sz w:val="17"/>
          <w:szCs w:val="17"/>
          <w:color w:val="auto"/>
        </w:rPr>
        <w:t>regarding Note Conversion and Warrant Amendment with Platinum</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our convertible promissory notes and other promissory notes since March 31, 2014 are described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Convertible Notes Issued in Connection with 2014 Unit Private Placement</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As described more completely in the section entitled </w:t>
      </w:r>
      <w:r>
        <w:rPr>
          <w:rFonts w:ascii="Arial" w:cs="Arial" w:eastAsia="Arial" w:hAnsi="Arial"/>
          <w:sz w:val="16"/>
          <w:szCs w:val="16"/>
          <w:i w:val="1"/>
          <w:iCs w:val="1"/>
          <w:color w:val="auto"/>
        </w:rPr>
        <w:t>2014 Unit Private Placement</w:t>
      </w:r>
      <w:r>
        <w:rPr>
          <w:rFonts w:ascii="Arial" w:cs="Arial" w:eastAsia="Arial" w:hAnsi="Arial"/>
          <w:sz w:val="16"/>
          <w:szCs w:val="16"/>
          <w:color w:val="auto"/>
        </w:rPr>
        <w:t xml:space="preserve"> in Note 8,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between late March 2014 and June 30, 2014, we issued to accredited investors 10% convertible notes (the </w:t>
      </w:r>
      <w:r>
        <w:rPr>
          <w:rFonts w:ascii="Arial" w:cs="Arial" w:eastAsia="Arial" w:hAnsi="Arial"/>
          <w:sz w:val="16"/>
          <w:szCs w:val="16"/>
          <w:i w:val="1"/>
          <w:iCs w:val="1"/>
          <w:color w:val="auto"/>
        </w:rPr>
        <w:t>2014 Unit Notes</w:t>
      </w:r>
      <w:r>
        <w:rPr>
          <w:rFonts w:ascii="Arial" w:cs="Arial" w:eastAsia="Arial" w:hAnsi="Arial"/>
          <w:sz w:val="16"/>
          <w:szCs w:val="16"/>
          <w:color w:val="auto"/>
        </w:rPr>
        <w:t xml:space="preserve">) in the aggregate face amount of $1,570,000, including an aggregate face amount of $750,000 of such notes issued to Platinum and 2014 Unit Notes in the aggregate principal amount of $50,000 issued prior to March 31, 2014, in connection with our private placement offering of Units. (See Note 10, </w:t>
      </w:r>
      <w:r>
        <w:rPr>
          <w:rFonts w:ascii="Arial" w:cs="Arial" w:eastAsia="Arial" w:hAnsi="Arial"/>
          <w:sz w:val="16"/>
          <w:szCs w:val="16"/>
          <w:i w:val="1"/>
          <w:iCs w:val="1"/>
          <w:color w:val="auto"/>
        </w:rPr>
        <w:t>Subsequent Events</w:t>
      </w:r>
      <w:r>
        <w:rPr>
          <w:rFonts w:ascii="Arial" w:cs="Arial" w:eastAsia="Arial" w:hAnsi="Arial"/>
          <w:sz w:val="16"/>
          <w:szCs w:val="16"/>
          <w:color w:val="auto"/>
        </w:rPr>
        <w:t>, for information regarding additional notes issued in connection with the 2014 Unit Private Placement after June 30, 2014.) The 2014 Unit Notes mature on March 31, 2015 (</w:t>
      </w:r>
      <w:r>
        <w:rPr>
          <w:rFonts w:ascii="Arial" w:cs="Arial" w:eastAsia="Arial" w:hAnsi="Arial"/>
          <w:sz w:val="16"/>
          <w:szCs w:val="16"/>
          <w:i w:val="1"/>
          <w:iCs w:val="1"/>
          <w:color w:val="auto"/>
        </w:rPr>
        <w:t>Maturity</w:t>
      </w:r>
      <w:r>
        <w:rPr>
          <w:rFonts w:ascii="Arial" w:cs="Arial" w:eastAsia="Arial" w:hAnsi="Arial"/>
          <w:sz w:val="16"/>
          <w:szCs w:val="16"/>
          <w:color w:val="auto"/>
        </w:rPr>
        <w:t xml:space="preserve">) and the outstanding principal of the 2014 Unit Notes and their related accrued interest (the </w:t>
      </w:r>
      <w:r>
        <w:rPr>
          <w:rFonts w:ascii="Arial" w:cs="Arial" w:eastAsia="Arial" w:hAnsi="Arial"/>
          <w:sz w:val="16"/>
          <w:szCs w:val="16"/>
          <w:i w:val="1"/>
          <w:iCs w:val="1"/>
          <w:color w:val="auto"/>
        </w:rPr>
        <w:t>Outstanding Balance</w:t>
      </w:r>
      <w:r>
        <w:rPr>
          <w:rFonts w:ascii="Arial" w:cs="Arial" w:eastAsia="Arial" w:hAnsi="Arial"/>
          <w:sz w:val="16"/>
          <w:szCs w:val="16"/>
          <w:color w:val="auto"/>
        </w:rPr>
        <w:t xml:space="preserve">) is convertible into shares of our common stock at a conversion price of $0.50 per share at or prior to Maturity, at the option of the investor. In addition, upon our consummation of either (i) an equity or equity-based public financing registered with the SEC, or (ii) an equity or equity-based private placement, or series of private placements, not registered with the SEC, in either case resulting in gross cash proceeds to us of at least $10.0 million prior to Maturity (a </w:t>
      </w:r>
      <w:r>
        <w:rPr>
          <w:rFonts w:ascii="Arial" w:cs="Arial" w:eastAsia="Arial" w:hAnsi="Arial"/>
          <w:sz w:val="16"/>
          <w:szCs w:val="16"/>
          <w:i w:val="1"/>
          <w:iCs w:val="1"/>
          <w:color w:val="auto"/>
        </w:rPr>
        <w:t>Qualified Financing</w:t>
      </w:r>
      <w:r>
        <w:rPr>
          <w:rFonts w:ascii="Arial" w:cs="Arial" w:eastAsia="Arial" w:hAnsi="Arial"/>
          <w:sz w:val="16"/>
          <w:szCs w:val="16"/>
          <w:color w:val="auto"/>
        </w:rPr>
        <w:t>), the Outstanding Balance of the 2014 Unit Notes will automatically convert into the securities sold in the Qualified Financing, based on the following formula: (the Outstanding Balance as of the closing of the Qualified Financing) x 1.25 / (the per security price of the securities sold in the Qualified Financing). This automatic conversion feature results in a contingent beneficial conversion feature which will be recorded upon the consummation of a Qualified Financing. Under certain circumstances, the holders of the 2014 Unit Notes may request payment in cash in lieu of automatic conversion into the securities of the Qualified Financing.</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allocated the proceeds from the sale of the units to the 2014 Unit Notes, the common stock and the warrants comprising the units based on the relative fair value of the individual securities in the unit on the date of the unit sale. Based on the short-duration of the 2014 Unit Notes and their other terms, we determined that the fair value of the 2014 Unit Notes at the date of issuance was equal to their face value. Accordingly, we recorded an initial discount attributable to each 2014 Unit Note for an amount representing the difference between the face value of the 2014 Unit Note and its allocated relative value. Additionally, the 2014 Unit Notes contain an embedded conversion feature, certain of which had an intrinsic value at the issuance date, which value we treated as an additional discount attributable to those 2014 Unit Notes, subject to limitations on the absolute amount of discount attributable to each 2014 Unit Note. We recorded a corresponding credit to additional paid-in capital, an equity account, attributable to the beneficial conversion feature. We amortize the aggregate discount attributable to the 2014 Unit Notes using the effective interest method over the respective term of each 2014 Unit Note. Based on their respective discounts, the effective interest rates attributable to the 2014 Unit Notes range from 38.7% to 701.9%, with a weighted average rate of 193.5%.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2013/2014 Unit Notes and Warrants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Effective May 31, 2014, we entered into note and warrant amendment agreements with substantially all holders of our 2013/2014 Unit Notes and 2013/2014 Unit Warrants, each of whom agreed to (i) modify certain terms of their 2013/2014 Unit Note to conform to the corresponding terms of the 2014 Unit Notes, including an extension of the maturity date of their 2013/2014 Unit Note from July 30, 2014 to March 31, 2015, as well as adoption of the automatic conversion and 25% conversion premium features related to consummation of a Qualified Financing, as described above (</w:t>
      </w:r>
      <w:r>
        <w:rPr>
          <w:rFonts w:ascii="Arial" w:cs="Arial" w:eastAsia="Arial" w:hAnsi="Arial"/>
          <w:sz w:val="17"/>
          <w:szCs w:val="17"/>
          <w:i w:val="1"/>
          <w:iCs w:val="1"/>
          <w:color w:val="auto"/>
        </w:rPr>
        <w:t>Amended 2013 Unit Notes</w:t>
      </w:r>
      <w:r>
        <w:rPr>
          <w:rFonts w:ascii="Arial" w:cs="Arial" w:eastAsia="Arial" w:hAnsi="Arial"/>
          <w:sz w:val="17"/>
          <w:szCs w:val="17"/>
          <w:color w:val="auto"/>
        </w:rPr>
        <w:t>), and (ii) modify certain terms of their 2013/2014 Unit Warrants, including the exercise price and expiration date, to conform to the corresponding terms of the 2014 Unit Warrants (</w:t>
      </w:r>
      <w:r>
        <w:rPr>
          <w:rFonts w:ascii="Arial" w:cs="Arial" w:eastAsia="Arial" w:hAnsi="Arial"/>
          <w:sz w:val="17"/>
          <w:szCs w:val="17"/>
          <w:i w:val="1"/>
          <w:iCs w:val="1"/>
          <w:color w:val="auto"/>
        </w:rPr>
        <w:t>Amended 2013 Unit Warrants</w:t>
      </w:r>
      <w:r>
        <w:rPr>
          <w:rFonts w:ascii="Arial" w:cs="Arial" w:eastAsia="Arial" w:hAnsi="Arial"/>
          <w:sz w:val="17"/>
          <w:szCs w:val="17"/>
          <w:color w:val="auto"/>
        </w:rPr>
        <w:t>). Holders of 2013/2014 Unit Notes having an aggregate initial face amount of $895,000 agreed to such amendments. The maturity date of the $41,700 face amount of 2013/2014 Unit Notes outstanding at June 30, 2014 and payable to holders who did not agree to amend their 2013/2014 Unit Note and 2013/2014 Unit Warrant remained July 30, 2014 and the $1.00 per share exercise price and July 30, 2016 expiration date of the 2013/2014 Unit Warrants held by such holders remains unchanged. Between April 1, 2014 and June 30, 2014, we repaid 2013/2014 Unit Notes having an initial face value of $70,800.</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We determined that the modification of the 2013/2014 Unit Notes and the 2013/2014 Unit Warrants should be accounted for as an extinguishment of debt. Considering the cash flows and the non-contingent and contingent beneficial conversion features of the Amended 2013 Notes and other factors, including market interest rates for unsecured debt of similar quality and the probability of their conversion to securities in a Qualified Financing, we determined that the fair values of the Amended 2013 Unit Notes, aggregating $1,394,000, represented a substantial premium over their aggregate $943,400 face values. In accordance with the provisions of ASC 470-20,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xml:space="preserve"> we recognized the premium in excess of the face value, $450,600, as a credit to additional paid-in capital, an equity account. Consequently, we recorded the liability for the Amended 2013 Unit Notes at their face values. We recognized the difference between the pre-modification carrying values of the notes and their fair values, an aggregate of $867,500, as a non-cash charge to loss on extinguishment of debt in the accompanying Condensed Consolidated Statement of Operations and Comprehensive Income (Loss) for the three months ended June 30, 2014. As described in greater detail in Note 8, </w:t>
      </w:r>
      <w:r>
        <w:rPr>
          <w:rFonts w:ascii="Arial" w:cs="Arial" w:eastAsia="Arial" w:hAnsi="Arial"/>
          <w:sz w:val="16"/>
          <w:szCs w:val="16"/>
          <w:i w:val="1"/>
          <w:iCs w:val="1"/>
          <w:color w:val="auto"/>
        </w:rPr>
        <w:t>Capital Stock</w:t>
      </w:r>
      <w:r>
        <w:rPr>
          <w:rFonts w:ascii="Arial" w:cs="Arial" w:eastAsia="Arial" w:hAnsi="Arial"/>
          <w:sz w:val="16"/>
          <w:szCs w:val="16"/>
          <w:color w:val="auto"/>
        </w:rPr>
        <w:t>, we determined the incremental fair value of the Amended 2013 Unit Warrants, which are treated as equity instruments, to be $272,900. We recognized this incremental fair value as an additional component of loss on extinguishment of debt in the accompanying Condensed Consolidated Statements of Operations and Comprehensive Income (Loss) for the three months ended June 30, 2014 and as a credit to additional paid-in capital. Certain of the 2013/2014 Unit Notes contained a beneficial conversion feature when they were originally issued. We have accounted for the repurchase of the beneficial conversion feature at the time of the modification, an aggregate of $614,200, as a reduction to the loss on extinguishment of debt in the accompanying Condensed Consolidated Statements of Operations and Comprehensive Income (Loss) for the three months ended June 30, 2014 with a corresponding reduction to additional paid-in capital. The net amount of the loss on extinguishment of debt related to the Amended 2013 Unit Notes and Amended 2013 Unit Warrants recognized in accompanying Condensed Consolidated Statements of Operations and Comprehensive Income (Loss) for the three months ended June 30, 2014 is $526,200. Since the Amended 2013 Unit Notes have the same features and maturity as the 2014 Unit Notes, the two sets of notes are aggregated in the summary table above. Only the 2013/2014 Unit Notes that were not amended and that reach maturity at July 30, 2014 are reported in the 2013/2014 Unit Note category in the summary table.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 of McCarthy Tetrault Note Maturity Date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June 11, 2014, we agreed with McCarthy Tetrault, our legal counsel in Ontario, Canada </w:t>
      </w:r>
      <w:r>
        <w:rPr>
          <w:rFonts w:ascii="Arial" w:cs="Arial" w:eastAsia="Arial" w:hAnsi="Arial"/>
          <w:sz w:val="18"/>
          <w:szCs w:val="18"/>
          <w:i w:val="1"/>
          <w:iCs w:val="1"/>
          <w:color w:val="auto"/>
        </w:rPr>
        <w:t>(McCarthy</w:t>
      </w:r>
      <w:r>
        <w:rPr>
          <w:rFonts w:ascii="Arial" w:cs="Arial" w:eastAsia="Arial" w:hAnsi="Arial"/>
          <w:sz w:val="18"/>
          <w:szCs w:val="18"/>
          <w:color w:val="auto"/>
        </w:rPr>
        <w:t>), to extend the maturity date of our promissory note payable to McCarthy from June 14, 2014 to the earlier of (i) September 30, 2014, (ii) consummation of a financing in which we receive gross cash proceeds of at least $15.0 million, or (iii) consummation of a change of control of the Company, as defined in the McCarthy note. McCarthy also agreed to forbear with respect to the requirement that we make monthly payments on the McCarthy note from the date of the agreement until maturity and granted us a waiver with respect to previously missed monthly payments.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on Notes Payable upon Exercise of Warrants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Between August 2012 and October 2012, we issued to Morrison &amp; Foerster, LLP, our intellectual property counsel (</w:t>
      </w:r>
      <w:r>
        <w:rPr>
          <w:rFonts w:ascii="Arial" w:cs="Arial" w:eastAsia="Arial" w:hAnsi="Arial"/>
          <w:sz w:val="17"/>
          <w:szCs w:val="17"/>
          <w:i w:val="1"/>
          <w:iCs w:val="1"/>
          <w:color w:val="auto"/>
        </w:rPr>
        <w:t>M&amp;F</w:t>
      </w:r>
      <w:r>
        <w:rPr>
          <w:rFonts w:ascii="Arial" w:cs="Arial" w:eastAsia="Arial" w:hAnsi="Arial"/>
          <w:sz w:val="17"/>
          <w:szCs w:val="17"/>
          <w:color w:val="auto"/>
        </w:rPr>
        <w:t>), Cato Research Ltd., our contract research organization for development of AV-101 (</w:t>
      </w:r>
      <w:r>
        <w:rPr>
          <w:rFonts w:ascii="Arial" w:cs="Arial" w:eastAsia="Arial" w:hAnsi="Arial"/>
          <w:sz w:val="17"/>
          <w:szCs w:val="17"/>
          <w:i w:val="1"/>
          <w:iCs w:val="1"/>
          <w:color w:val="auto"/>
        </w:rPr>
        <w:t>CRL</w:t>
      </w:r>
      <w:r>
        <w:rPr>
          <w:rFonts w:ascii="Arial" w:cs="Arial" w:eastAsia="Arial" w:hAnsi="Arial"/>
          <w:sz w:val="17"/>
          <w:szCs w:val="17"/>
          <w:color w:val="auto"/>
        </w:rPr>
        <w:t>), and University Health Network, our long-term stem cell research collaborator (</w:t>
      </w:r>
      <w:r>
        <w:rPr>
          <w:rFonts w:ascii="Arial" w:cs="Arial" w:eastAsia="Arial" w:hAnsi="Arial"/>
          <w:sz w:val="17"/>
          <w:szCs w:val="17"/>
          <w:i w:val="1"/>
          <w:iCs w:val="1"/>
          <w:color w:val="auto"/>
        </w:rPr>
        <w:t>UHN</w:t>
      </w:r>
      <w:r>
        <w:rPr>
          <w:rFonts w:ascii="Arial" w:cs="Arial" w:eastAsia="Arial" w:hAnsi="Arial"/>
          <w:sz w:val="17"/>
          <w:szCs w:val="17"/>
          <w:color w:val="auto"/>
        </w:rPr>
        <w:t>), certain unsecured promissory notes and related warrants. The respective notes are payable solely in restricted shares of our common stock pursuant to M&amp;F’s, CRL’s, and UHN’s surrender from time to time of all or a portion of the principal and interest balance due on their respective notes in connection with their concurrent exercise of their respective warrant. Between March 31, 2014 and June 30, 2014 we adjusted the M&amp;F warrant, the CRL warrant and the UHN warrant to increase the number of restricted shares available for purchase by 34,390 shares, 21,192 shares and 10,275 shares, respectively, based on interest accrued on the underlying notes through June 30, 2014. We have recorded the fair value of the additional warrant shares, an aggregate of $16,500, as a charge to interest expense and a corresponding credit to additional paid-in capital.</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Unit Private Placement</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Between late-March and June 30, 2014, we entered into securities purchase agreements with accredited investors, including Platinum, pursuant to which we sold units to such accredited investors in private placement transactions (</w:t>
      </w:r>
      <w:r>
        <w:rPr>
          <w:rFonts w:ascii="Arial" w:cs="Arial" w:eastAsia="Arial" w:hAnsi="Arial"/>
          <w:sz w:val="16"/>
          <w:szCs w:val="16"/>
          <w:i w:val="1"/>
          <w:iCs w:val="1"/>
          <w:color w:val="auto"/>
        </w:rPr>
        <w:t>2014 Units</w:t>
      </w:r>
      <w:r>
        <w:rPr>
          <w:rFonts w:ascii="Arial" w:cs="Arial" w:eastAsia="Arial" w:hAnsi="Arial"/>
          <w:sz w:val="16"/>
          <w:szCs w:val="16"/>
          <w:color w:val="auto"/>
        </w:rPr>
        <w:t>), for aggregate cash proceeds of $1,570,000, consisting of (i) 2014 Unit Notes in the aggregate face amount of $1,570,000 due on March 31, 2015 or automatically convertible into securities we may issue upon the consummation of a Qualified Financing, defined as (a) an equity-based public financing registered with the SEC, or (b) a private equity-based financing or series of private equity-based financings, in either case in which we receive at least $10 million in gross cash proceeds prior to March 31, 2015; (ii) an aggregate of 1,570,000 restricted shares of our common stock (</w:t>
      </w:r>
      <w:r>
        <w:rPr>
          <w:rFonts w:ascii="Arial" w:cs="Arial" w:eastAsia="Arial" w:hAnsi="Arial"/>
          <w:sz w:val="16"/>
          <w:szCs w:val="16"/>
          <w:i w:val="1"/>
          <w:iCs w:val="1"/>
          <w:color w:val="auto"/>
        </w:rPr>
        <w:t>2014 Unit Stock)</w:t>
      </w:r>
      <w:r>
        <w:rPr>
          <w:rFonts w:ascii="Arial" w:cs="Arial" w:eastAsia="Arial" w:hAnsi="Arial"/>
          <w:sz w:val="16"/>
          <w:szCs w:val="16"/>
          <w:color w:val="auto"/>
        </w:rPr>
        <w:t>; and (iii) warrants exercisable through December 31, 2016 to purchase an aggregate of 1,570,000 restricted shares of our common stock at an exercise price of $0.50 per share (</w:t>
      </w:r>
      <w:r>
        <w:rPr>
          <w:rFonts w:ascii="Arial" w:cs="Arial" w:eastAsia="Arial" w:hAnsi="Arial"/>
          <w:sz w:val="16"/>
          <w:szCs w:val="16"/>
          <w:i w:val="1"/>
          <w:iCs w:val="1"/>
          <w:color w:val="auto"/>
        </w:rPr>
        <w:t>2014 Unit Warrants</w:t>
      </w:r>
      <w:r>
        <w:rPr>
          <w:rFonts w:ascii="Arial" w:cs="Arial" w:eastAsia="Arial" w:hAnsi="Arial"/>
          <w:sz w:val="16"/>
          <w:szCs w:val="16"/>
          <w:color w:val="auto"/>
        </w:rPr>
        <w:t>). The Outstanding Balance of each 2014 Unit Notes is convertible into shares of our common stock at a conversion price of $0.50 per share at or prior to maturity, at the option of each investor. In addition, however, the Outstanding Balance is automatically convertible into securities substantially equivalent to those we may issue in a Qualified Financing at an amount determined by multiplying the Outstanding Balance by 1.25, and dividing the resulting number by the price per share of securities offered in the Qualified Financing. Under certain circumstances, the holders of the 2014 Unit Notes may request payment in cash in lieu of automatic conversion into the securities of the Qualified Financing. We sold $50,000 of Units prior to March 31, 2014, which Units are reflected in the figures above.</w:t>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allocated the proceeds from the sale of the 2014 Units to the various securities based on their relative fair values on the dates of the sales. As described in Note 7, </w:t>
      </w:r>
      <w:r>
        <w:rPr>
          <w:rFonts w:ascii="Arial" w:cs="Arial" w:eastAsia="Arial" w:hAnsi="Arial"/>
          <w:sz w:val="17"/>
          <w:szCs w:val="17"/>
          <w:i w:val="1"/>
          <w:iCs w:val="1"/>
          <w:color w:val="auto"/>
        </w:rPr>
        <w:t>Convertible PromissoryNotes and Other Notes Payable</w:t>
      </w:r>
      <w:r>
        <w:rPr>
          <w:rFonts w:ascii="Arial" w:cs="Arial" w:eastAsia="Arial" w:hAnsi="Arial"/>
          <w:sz w:val="17"/>
          <w:szCs w:val="17"/>
          <w:color w:val="auto"/>
        </w:rPr>
        <w:t>, based on the short-term nature of the Unit Notes, we determined that fair value of the 2014 Unit Notes was equal to their face value. We determined the fair value of the 2014 Unit Stock based on the quoted market price of our common stock on the date of the 2014 Unit sale. We calculated the fair value of the 2014 Unit Warrants using the Black Scholes Option Pricing Model and the weighted average assumptions indicated in the table below. The table below also presents the aggregate allocation of the 2014 Unit sales proceeds based on the relative fair values of the 2014 Unit Stock, 2014 Unit Warrants and 2014 Unit Notes at the 2014 Unit sales date.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60" w:type="dxa"/>
            <w:vAlign w:val="bottom"/>
            <w:gridSpan w:val="2"/>
          </w:tcPr>
          <w:p>
            <w:pPr>
              <w:jc w:val="center"/>
              <w:ind w:right="470"/>
              <w:spacing w:after="0"/>
              <w:rPr>
                <w:sz w:val="20"/>
                <w:szCs w:val="20"/>
                <w:color w:val="auto"/>
              </w:rPr>
            </w:pPr>
            <w:r>
              <w:rPr>
                <w:rFonts w:ascii="Arial" w:cs="Arial" w:eastAsia="Arial" w:hAnsi="Arial"/>
                <w:sz w:val="18"/>
                <w:szCs w:val="18"/>
                <w:color w:val="auto"/>
                <w:w w:val="90"/>
              </w:rPr>
              <w:t>Unit Warrants</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780" w:type="dxa"/>
            <w:vAlign w:val="bottom"/>
            <w:tcBorders>
              <w:bottom w:val="single" w:sz="8" w:color="auto"/>
            </w:tcBorders>
            <w:gridSpan w:val="6"/>
          </w:tcPr>
          <w:p>
            <w:pPr>
              <w:ind w:left="320"/>
              <w:spacing w:after="0"/>
              <w:rPr>
                <w:sz w:val="20"/>
                <w:szCs w:val="20"/>
                <w:color w:val="auto"/>
              </w:rPr>
            </w:pPr>
            <w:r>
              <w:rPr>
                <w:rFonts w:ascii="Arial" w:cs="Arial" w:eastAsia="Arial" w:hAnsi="Arial"/>
                <w:sz w:val="18"/>
                <w:szCs w:val="18"/>
                <w:color w:val="auto"/>
                <w:w w:val="97"/>
              </w:rPr>
              <w:t>Weighted Average Issuance Date Valuation Assumptions</w:t>
            </w:r>
          </w:p>
        </w:tc>
        <w:tc>
          <w:tcPr>
            <w:tcW w:w="40" w:type="dxa"/>
            <w:vAlign w:val="bottom"/>
          </w:tcPr>
          <w:p>
            <w:pPr>
              <w:spacing w:after="0"/>
              <w:rPr>
                <w:sz w:val="20"/>
                <w:szCs w:val="20"/>
                <w:color w:val="auto"/>
              </w:rPr>
            </w:pPr>
          </w:p>
        </w:tc>
        <w:tc>
          <w:tcPr>
            <w:tcW w:w="1760" w:type="dxa"/>
            <w:vAlign w:val="bottom"/>
            <w:gridSpan w:val="2"/>
          </w:tcPr>
          <w:p>
            <w:pPr>
              <w:jc w:val="right"/>
              <w:ind w:right="130"/>
              <w:spacing w:after="0"/>
              <w:rPr>
                <w:sz w:val="20"/>
                <w:szCs w:val="20"/>
                <w:color w:val="auto"/>
              </w:rPr>
            </w:pPr>
            <w:r>
              <w:rPr>
                <w:rFonts w:ascii="Arial" w:cs="Arial" w:eastAsia="Arial" w:hAnsi="Arial"/>
                <w:sz w:val="18"/>
                <w:szCs w:val="18"/>
                <w:color w:val="auto"/>
                <w:w w:val="89"/>
              </w:rPr>
              <w:t>Per Share Aggregate</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Aggregate</w:t>
            </w:r>
          </w:p>
        </w:tc>
        <w:tc>
          <w:tcPr>
            <w:tcW w:w="2900" w:type="dxa"/>
            <w:vAlign w:val="bottom"/>
            <w:gridSpan w:val="4"/>
          </w:tcPr>
          <w:p>
            <w:pPr>
              <w:jc w:val="center"/>
              <w:ind w:right="60"/>
              <w:spacing w:after="0"/>
              <w:rPr>
                <w:sz w:val="20"/>
                <w:szCs w:val="20"/>
                <w:color w:val="auto"/>
              </w:rPr>
            </w:pPr>
            <w:r>
              <w:rPr>
                <w:rFonts w:ascii="Arial" w:cs="Arial" w:eastAsia="Arial" w:hAnsi="Arial"/>
                <w:sz w:val="18"/>
                <w:szCs w:val="18"/>
                <w:color w:val="auto"/>
                <w:w w:val="91"/>
              </w:rPr>
              <w:t>Aggregate Allocation of Proceeds</w:t>
            </w:r>
          </w:p>
        </w:tc>
        <w:tc>
          <w:tcPr>
            <w:tcW w:w="0" w:type="dxa"/>
            <w:vAlign w:val="bottom"/>
          </w:tcPr>
          <w:p>
            <w:pPr>
              <w:spacing w:after="0"/>
              <w:rPr>
                <w:sz w:val="1"/>
                <w:szCs w:val="1"/>
                <w:color w:val="auto"/>
              </w:rPr>
            </w:pPr>
          </w:p>
        </w:tc>
      </w:tr>
      <w:tr>
        <w:trPr>
          <w:trHeight w:val="223"/>
        </w:trPr>
        <w:tc>
          <w:tcPr>
            <w:tcW w:w="960" w:type="dxa"/>
            <w:vAlign w:val="bottom"/>
            <w:gridSpan w:val="2"/>
          </w:tcPr>
          <w:p>
            <w:pPr>
              <w:jc w:val="center"/>
              <w:ind w:right="40"/>
              <w:spacing w:after="0"/>
              <w:rPr>
                <w:sz w:val="20"/>
                <w:szCs w:val="20"/>
                <w:color w:val="auto"/>
              </w:rPr>
            </w:pPr>
            <w:r>
              <w:rPr>
                <w:rFonts w:ascii="Arial" w:cs="Arial" w:eastAsia="Arial" w:hAnsi="Arial"/>
                <w:sz w:val="18"/>
                <w:szCs w:val="18"/>
                <w:color w:val="auto"/>
                <w:w w:val="87"/>
              </w:rPr>
              <w:t>Warrant</w:t>
            </w: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0"/>
              </w:rPr>
              <w:t>Risk free</w:t>
            </w: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Fair</w:t>
            </w: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90"/>
              </w:rPr>
              <w:t>Fair Value</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Proceeds</w:t>
            </w:r>
          </w:p>
        </w:tc>
        <w:tc>
          <w:tcPr>
            <w:tcW w:w="2900" w:type="dxa"/>
            <w:vAlign w:val="bottom"/>
            <w:gridSpan w:val="4"/>
          </w:tcPr>
          <w:p>
            <w:pPr>
              <w:jc w:val="center"/>
              <w:ind w:right="80"/>
              <w:spacing w:after="0"/>
              <w:rPr>
                <w:sz w:val="20"/>
                <w:szCs w:val="20"/>
                <w:color w:val="auto"/>
              </w:rPr>
            </w:pPr>
            <w:r>
              <w:rPr>
                <w:rFonts w:ascii="Arial" w:cs="Arial" w:eastAsia="Arial" w:hAnsi="Arial"/>
                <w:sz w:val="18"/>
                <w:szCs w:val="18"/>
                <w:color w:val="auto"/>
                <w:w w:val="90"/>
              </w:rPr>
              <w:t>Based on Relative Fair Value of:</w:t>
            </w:r>
          </w:p>
        </w:tc>
        <w:tc>
          <w:tcPr>
            <w:tcW w:w="0" w:type="dxa"/>
            <w:vAlign w:val="bottom"/>
          </w:tcPr>
          <w:p>
            <w:pPr>
              <w:spacing w:after="0"/>
              <w:rPr>
                <w:sz w:val="1"/>
                <w:szCs w:val="1"/>
                <w:color w:val="auto"/>
              </w:rPr>
            </w:pPr>
          </w:p>
        </w:tc>
      </w:tr>
      <w:tr>
        <w:trPr>
          <w:trHeight w:val="202"/>
        </w:trPr>
        <w:tc>
          <w:tcPr>
            <w:tcW w:w="960" w:type="dxa"/>
            <w:vAlign w:val="bottom"/>
            <w:gridSpan w:val="2"/>
          </w:tcPr>
          <w:p>
            <w:pPr>
              <w:jc w:val="center"/>
              <w:ind w:right="40"/>
              <w:spacing w:after="0" w:line="201" w:lineRule="exact"/>
              <w:rPr>
                <w:sz w:val="20"/>
                <w:szCs w:val="20"/>
                <w:color w:val="auto"/>
              </w:rPr>
            </w:pPr>
            <w:r>
              <w:rPr>
                <w:rFonts w:ascii="Arial" w:cs="Arial" w:eastAsia="Arial" w:hAnsi="Arial"/>
                <w:sz w:val="18"/>
                <w:szCs w:val="18"/>
                <w:color w:val="auto"/>
                <w:w w:val="84"/>
              </w:rPr>
              <w:t>Shares</w:t>
            </w: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4"/>
              </w:rPr>
              <w:t>Market</w:t>
            </w:r>
          </w:p>
        </w:tc>
        <w:tc>
          <w:tcPr>
            <w:tcW w:w="80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89"/>
              </w:rPr>
              <w:t>Exercise</w:t>
            </w:r>
          </w:p>
        </w:tc>
        <w:tc>
          <w:tcPr>
            <w:tcW w:w="700" w:type="dxa"/>
            <w:vAlign w:val="bottom"/>
          </w:tcPr>
          <w:p>
            <w:pPr>
              <w:jc w:val="center"/>
              <w:spacing w:after="0" w:line="201" w:lineRule="exact"/>
              <w:rPr>
                <w:sz w:val="20"/>
                <w:szCs w:val="20"/>
                <w:color w:val="auto"/>
              </w:rPr>
            </w:pPr>
            <w:r>
              <w:rPr>
                <w:rFonts w:ascii="Arial" w:cs="Arial" w:eastAsia="Arial" w:hAnsi="Arial"/>
                <w:sz w:val="18"/>
                <w:szCs w:val="18"/>
                <w:color w:val="auto"/>
                <w:w w:val="90"/>
              </w:rPr>
              <w:t>Term</w:t>
            </w:r>
          </w:p>
        </w:tc>
        <w:tc>
          <w:tcPr>
            <w:tcW w:w="86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Interest</w:t>
            </w:r>
          </w:p>
        </w:tc>
        <w:tc>
          <w:tcPr>
            <w:tcW w:w="900" w:type="dxa"/>
            <w:vAlign w:val="bottom"/>
          </w:tcPr>
          <w:p>
            <w:pPr>
              <w:spacing w:after="0"/>
              <w:rPr>
                <w:sz w:val="17"/>
                <w:szCs w:val="17"/>
                <w:color w:val="auto"/>
              </w:rPr>
            </w:pPr>
          </w:p>
        </w:tc>
        <w:tc>
          <w:tcPr>
            <w:tcW w:w="88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7"/>
              </w:rPr>
              <w:t>Dividend</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90"/>
              </w:rPr>
              <w:t>Value of</w:t>
            </w:r>
          </w:p>
        </w:tc>
        <w:tc>
          <w:tcPr>
            <w:tcW w:w="94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9"/>
              </w:rPr>
              <w:t>of Unit</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9"/>
              </w:rPr>
              <w:t>of Unit</w:t>
            </w:r>
          </w:p>
        </w:tc>
        <w:tc>
          <w:tcPr>
            <w:tcW w:w="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70"/>
              <w:spacing w:after="0" w:line="201" w:lineRule="exact"/>
              <w:rPr>
                <w:sz w:val="20"/>
                <w:szCs w:val="20"/>
                <w:color w:val="auto"/>
              </w:rPr>
            </w:pPr>
            <w:r>
              <w:rPr>
                <w:rFonts w:ascii="Arial" w:cs="Arial" w:eastAsia="Arial" w:hAnsi="Arial"/>
                <w:sz w:val="18"/>
                <w:szCs w:val="18"/>
                <w:color w:val="auto"/>
                <w:w w:val="99"/>
              </w:rPr>
              <w:t>Unit</w:t>
            </w: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6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Issued</w:t>
            </w:r>
          </w:p>
        </w:tc>
        <w:tc>
          <w:tcPr>
            <w:tcW w:w="680" w:type="dxa"/>
            <w:vAlign w:val="bottom"/>
          </w:tcPr>
          <w:p>
            <w:pPr>
              <w:jc w:val="center"/>
              <w:ind w:right="10"/>
              <w:spacing w:after="0"/>
              <w:rPr>
                <w:sz w:val="20"/>
                <w:szCs w:val="20"/>
                <w:color w:val="auto"/>
              </w:rPr>
            </w:pPr>
            <w:r>
              <w:rPr>
                <w:rFonts w:ascii="Arial" w:cs="Arial" w:eastAsia="Arial" w:hAnsi="Arial"/>
                <w:sz w:val="18"/>
                <w:szCs w:val="18"/>
                <w:color w:val="auto"/>
                <w:w w:val="92"/>
              </w:rPr>
              <w:t>Price</w:t>
            </w: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92"/>
              </w:rPr>
              <w:t>Price</w:t>
            </w:r>
          </w:p>
        </w:tc>
        <w:tc>
          <w:tcPr>
            <w:tcW w:w="700" w:type="dxa"/>
            <w:vAlign w:val="bottom"/>
          </w:tcPr>
          <w:p>
            <w:pPr>
              <w:jc w:val="center"/>
              <w:ind w:right="10"/>
              <w:spacing w:after="0"/>
              <w:rPr>
                <w:sz w:val="20"/>
                <w:szCs w:val="20"/>
                <w:color w:val="auto"/>
              </w:rPr>
            </w:pPr>
            <w:r>
              <w:rPr>
                <w:rFonts w:ascii="Arial" w:cs="Arial" w:eastAsia="Arial" w:hAnsi="Arial"/>
                <w:sz w:val="18"/>
                <w:szCs w:val="18"/>
                <w:color w:val="auto"/>
                <w:w w:val="88"/>
              </w:rPr>
              <w:t>(Years)</w:t>
            </w: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84"/>
              </w:rPr>
              <w:t>Rate</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Volatility</w:t>
            </w:r>
          </w:p>
        </w:tc>
        <w:tc>
          <w:tcPr>
            <w:tcW w:w="88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Rate</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Warrant</w:t>
            </w:r>
          </w:p>
        </w:tc>
        <w:tc>
          <w:tcPr>
            <w:tcW w:w="940" w:type="dxa"/>
            <w:vAlign w:val="bottom"/>
          </w:tcPr>
          <w:p>
            <w:pPr>
              <w:jc w:val="center"/>
              <w:ind w:right="10"/>
              <w:spacing w:after="0"/>
              <w:rPr>
                <w:sz w:val="20"/>
                <w:szCs w:val="20"/>
                <w:color w:val="auto"/>
              </w:rPr>
            </w:pPr>
            <w:r>
              <w:rPr>
                <w:rFonts w:ascii="Arial" w:cs="Arial" w:eastAsia="Arial" w:hAnsi="Arial"/>
                <w:sz w:val="18"/>
                <w:szCs w:val="18"/>
                <w:color w:val="auto"/>
                <w:w w:val="87"/>
              </w:rPr>
              <w:t>Warrants</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Sales</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w w:val="99"/>
              </w:rPr>
              <w:t>Unit Stock</w:t>
            </w:r>
          </w:p>
        </w:tc>
        <w:tc>
          <w:tcPr>
            <w:tcW w:w="920" w:type="dxa"/>
            <w:vAlign w:val="bottom"/>
          </w:tcPr>
          <w:p>
            <w:pPr>
              <w:jc w:val="center"/>
              <w:ind w:right="70"/>
              <w:spacing w:after="0"/>
              <w:rPr>
                <w:sz w:val="20"/>
                <w:szCs w:val="20"/>
                <w:color w:val="auto"/>
              </w:rPr>
            </w:pPr>
            <w:r>
              <w:rPr>
                <w:rFonts w:ascii="Arial" w:cs="Arial" w:eastAsia="Arial" w:hAnsi="Arial"/>
                <w:sz w:val="18"/>
                <w:szCs w:val="18"/>
                <w:color w:val="auto"/>
                <w:w w:val="87"/>
              </w:rPr>
              <w:t>Warrant</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Unit Note</w:t>
            </w:r>
          </w:p>
        </w:tc>
        <w:tc>
          <w:tcPr>
            <w:tcW w:w="0" w:type="dxa"/>
            <w:vAlign w:val="bottom"/>
          </w:tcPr>
          <w:p>
            <w:pPr>
              <w:spacing w:after="0"/>
              <w:rPr>
                <w:sz w:val="1"/>
                <w:szCs w:val="1"/>
                <w:color w:val="auto"/>
              </w:rPr>
            </w:pPr>
          </w:p>
        </w:tc>
      </w:tr>
      <w:tr>
        <w:trPr>
          <w:trHeight w:val="216"/>
        </w:trPr>
        <w:tc>
          <w:tcPr>
            <w:tcW w:w="9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1,570,000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76.06%</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$410,600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$1,570,000</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$463,600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Notes and Warrants issued in 2013/2014 Unit Private Placement</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indicated in Note 7</w:t>
      </w:r>
      <w:r>
        <w:rPr>
          <w:rFonts w:ascii="Arial" w:cs="Arial" w:eastAsia="Arial" w:hAnsi="Arial"/>
          <w:sz w:val="18"/>
          <w:szCs w:val="18"/>
          <w:i w:val="1"/>
          <w:iCs w:val="1"/>
          <w:color w:val="auto"/>
        </w:rPr>
        <w:t>, Convertible Promissory Notes and Other Notes Payable</w:t>
      </w:r>
      <w:r>
        <w:rPr>
          <w:rFonts w:ascii="Arial" w:cs="Arial" w:eastAsia="Arial" w:hAnsi="Arial"/>
          <w:sz w:val="18"/>
          <w:szCs w:val="18"/>
          <w:color w:val="auto"/>
        </w:rPr>
        <w:t>, effective May 31, 2014, we entered into note and warrant amendment agreements with substantially all holders of 2013/2014 Unit Notes and 2013/2014 Unit Warrants to (i) modify certain terms of their 2013/2014 Unit Notes, including the maturity date and certain conversion features, to conform to the corresponding terms of the 2014 Unit Notes and (ii) to modify certain terms of the 2013/2014 Unit Warrants, including the exercise price and expiration date, to conform to the corresponding terms of the 2014 Unit Warrants. Holders of 2013/2014 Unit Notes having an aggregate initial face amount of $895,000 and warrants to purchase an aggregate of 1,865,000 restricted shares of our common stock agreed to the amendments.</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calculated the fair value of the modified 2013/2014 Unit Warrants immediately before and after the modifications and determined that the fair value of the warrants increased by an aggregate of $272,900, which we treated as a component of loss on extinguishment of debt in the accompanying Condensed Consolidated Statements of Operations and Comprehensive Income (Loss) for the three months ended June 30, 2014, with a corresponding credit to additional paid-in capital, an equity account. The warrants subject to the exercise price modifications were valued using the Black-Scholes Option Pricing Model and the following assumptions: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80" w:type="dxa"/>
            <w:vAlign w:val="bottom"/>
            <w:gridSpan w:val="2"/>
          </w:tcPr>
          <w:p>
            <w:pPr>
              <w:ind w:left="220"/>
              <w:spacing w:after="0"/>
              <w:rPr>
                <w:sz w:val="20"/>
                <w:szCs w:val="20"/>
                <w:color w:val="auto"/>
              </w:rPr>
            </w:pPr>
            <w:r>
              <w:rPr>
                <w:rFonts w:ascii="Arial" w:cs="Arial" w:eastAsia="Arial" w:hAnsi="Arial"/>
                <w:sz w:val="18"/>
                <w:szCs w:val="18"/>
                <w:b w:val="1"/>
                <w:bCs w:val="1"/>
                <w:color w:val="auto"/>
              </w:rPr>
              <w:t>Pre-modification</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00" w:type="dxa"/>
            <w:vAlign w:val="bottom"/>
            <w:gridSpan w:val="2"/>
          </w:tcPr>
          <w:p>
            <w:pPr>
              <w:ind w:left="180"/>
              <w:spacing w:after="0"/>
              <w:rPr>
                <w:sz w:val="20"/>
                <w:szCs w:val="20"/>
                <w:color w:val="auto"/>
              </w:rPr>
            </w:pPr>
            <w:r>
              <w:rPr>
                <w:rFonts w:ascii="Arial" w:cs="Arial" w:eastAsia="Arial" w:hAnsi="Arial"/>
                <w:sz w:val="18"/>
                <w:szCs w:val="18"/>
                <w:b w:val="1"/>
                <w:bCs w:val="1"/>
                <w:color w:val="auto"/>
              </w:rPr>
              <w:t>Post-modification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Fair Value per share</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2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0.19</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2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0.33</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Satisfaction of Technology License and Maintenance Fees and Patent Expenses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April 2014, we issued (i) a 10% promissory note in the face amount of $300,000 due on the earlier of December 31, 2014, or the completion of a qualified financing, as defined, (ii) 300,000 restricted shares of our common stock and (iii) a warrant exercisable through March 31, 2019 to purchase 300,000 restricted shares of our common stock at an exercise price of $0.50 per share to Icahn School of Medicine at Mount Sinai, one of our long-term stem cell technology licensors, in satisfaction of $288,400 of stem cell technology license maintenance fees and reimbursable patent prosecution costs. Based on the short-duration of the note, its interest rate and other terms, we determined that the fair value of the note at the date of issuance was equal to its face value. We determined the fair value of stock to be $141,000, based on the $0.47 per share quoted market price of our common stock on the date of the agreement. We calculated the fair value of the warrant as $0.30 per share, or $89,200, using the Black Scholes Option Pricing Model and the following assumptions: market price per share: $0.47; exercise price per share: $0.50; risk-free interest rate: 1.59%; contractual term: 5.0 years; volatility: 80.3%; expected dividend rate: 0%. We recognized a loss on extinguishment of debt in the amount of $241,800 related to this settlement in the accompanying Statement of Operations and Comprehensive Income (Loss) for the three months ended June 30, 2014.</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Common Stock to Consultant</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May 2014, we entered into a consulting agreement for strategic advisory and business development services pursuant to which we issued 200,000 restricted shares of our common stock as partial compensation for such professional services. We determined the fair value of stock to be $134,000, based on the $0.67 per share quoted market price of our common stock on the date of the agreement. The agreement also requires us to pay $17,500 per month from May 2014 through October 2014 as additional compensation for professional services rendered by the strategic consultant.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Autilion AG Securities Purchase Agreement</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8, 2013, we entered into the Securities Purchase Agreement with Autilion, a company organized and existing under the laws of Switzerland. Under the terms of the Securities Purchase Agreement, Autilion remains contractually obligated to consummate the Autilion Financing and purchase an aggregate of 72.0 million restricted shares of our common stock at a purchase price of $0.50 per share for aggregate cash consideration of $36.0 million. Through our fiscal year ended March 31, 2014, Autilion had completed only a nominal initial closing under the Securities Purchase Agreement, in the amount of $25,000, and we had issued 50,000 restricted shares of our common stock. At June 30, 2014 and through the date of this report, Autilion has not yet completed a subsequent closing of the Autilion Financing. Therefore, Autilion remains in default under the Securities Purchase Agreement. No assurances can be provided that Autilion will complete an additional closing under the Securities Purchase Agreement.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Outstanding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the warrant issuances and modifications described above, at June 30, 2014, we had outstanding warrants to purchase shares of our restricted common stock at a weighted average exercise price of $0.79 per share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jc w:val="center"/>
              <w:ind w:left="581"/>
              <w:spacing w:after="0"/>
              <w:rPr>
                <w:sz w:val="20"/>
                <w:szCs w:val="20"/>
                <w:color w:val="auto"/>
              </w:rPr>
            </w:pPr>
            <w:r>
              <w:rPr>
                <w:rFonts w:ascii="Arial" w:cs="Arial" w:eastAsia="Arial" w:hAnsi="Arial"/>
                <w:sz w:val="18"/>
                <w:szCs w:val="18"/>
                <w:b w:val="1"/>
                <w:bCs w:val="1"/>
                <w:color w:val="auto"/>
                <w:w w:val="86"/>
              </w:rPr>
              <w:t>Exercise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Weighted Average</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Purchase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jc w:val="center"/>
              <w:ind w:left="581"/>
              <w:spacing w:after="0"/>
              <w:rPr>
                <w:sz w:val="20"/>
                <w:szCs w:val="20"/>
                <w:color w:val="auto"/>
              </w:rPr>
            </w:pPr>
            <w:r>
              <w:rPr>
                <w:rFonts w:ascii="Arial" w:cs="Arial" w:eastAsia="Arial" w:hAnsi="Arial"/>
                <w:sz w:val="18"/>
                <w:szCs w:val="18"/>
                <w:b w:val="1"/>
                <w:bCs w:val="1"/>
                <w:color w:val="auto"/>
                <w:w w:val="90"/>
              </w:rPr>
              <w:t>Price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1700"/>
              <w:spacing w:after="0"/>
              <w:rPr>
                <w:sz w:val="20"/>
                <w:szCs w:val="20"/>
                <w:color w:val="auto"/>
              </w:rPr>
            </w:pPr>
            <w:r>
              <w:rPr>
                <w:rFonts w:ascii="Arial" w:cs="Arial" w:eastAsia="Arial" w:hAnsi="Arial"/>
                <w:sz w:val="18"/>
                <w:szCs w:val="18"/>
                <w:b w:val="1"/>
                <w:bCs w:val="1"/>
                <w:color w:val="auto"/>
              </w:rPr>
              <w:t>Expiration</w:t>
            </w:r>
          </w:p>
        </w:tc>
        <w:tc>
          <w:tcPr>
            <w:tcW w:w="120" w:type="dxa"/>
            <w:vAlign w:val="bottom"/>
          </w:tcPr>
          <w:p>
            <w:pPr>
              <w:spacing w:after="0"/>
              <w:rPr>
                <w:sz w:val="18"/>
                <w:szCs w:val="18"/>
                <w:color w:val="auto"/>
              </w:rPr>
            </w:pPr>
          </w:p>
        </w:tc>
        <w:tc>
          <w:tcPr>
            <w:tcW w:w="2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Years to</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jc w:val="center"/>
              <w:ind w:left="581"/>
              <w:spacing w:after="0"/>
              <w:rPr>
                <w:sz w:val="20"/>
                <w:szCs w:val="20"/>
                <w:color w:val="auto"/>
              </w:rPr>
            </w:pPr>
            <w:r>
              <w:rPr>
                <w:rFonts w:ascii="Arial" w:cs="Arial" w:eastAsia="Arial" w:hAnsi="Arial"/>
                <w:sz w:val="18"/>
                <w:szCs w:val="18"/>
                <w:b w:val="1"/>
                <w:bCs w:val="1"/>
                <w:color w:val="auto"/>
                <w:w w:val="91"/>
              </w:rPr>
              <w:t>per Share</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tcPr>
          <w:p>
            <w:pPr>
              <w:ind w:left="1940"/>
              <w:spacing w:after="0"/>
              <w:rPr>
                <w:sz w:val="20"/>
                <w:szCs w:val="20"/>
                <w:color w:val="auto"/>
              </w:rPr>
            </w:pPr>
            <w:r>
              <w:rPr>
                <w:rFonts w:ascii="Arial" w:cs="Arial" w:eastAsia="Arial" w:hAnsi="Arial"/>
                <w:sz w:val="18"/>
                <w:szCs w:val="18"/>
                <w:b w:val="1"/>
                <w:bCs w:val="1"/>
                <w:color w:val="auto"/>
              </w:rPr>
              <w:t>Date</w:t>
            </w:r>
          </w:p>
        </w:tc>
        <w:tc>
          <w:tcPr>
            <w:tcW w:w="120" w:type="dxa"/>
            <w:vAlign w:val="bottom"/>
          </w:tcPr>
          <w:p>
            <w:pPr>
              <w:spacing w:after="0"/>
              <w:rPr>
                <w:sz w:val="20"/>
                <w:szCs w:val="20"/>
                <w:color w:val="auto"/>
              </w:rPr>
            </w:pPr>
          </w:p>
        </w:tc>
        <w:tc>
          <w:tcPr>
            <w:tcW w:w="2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Expiration</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jc w:val="right"/>
              <w:ind w:right="1781"/>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0.50</w:t>
            </w: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12/31/2014 to 3/19/2019</w:t>
            </w:r>
          </w:p>
        </w:tc>
        <w:tc>
          <w:tcPr>
            <w:tcW w:w="2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2.93</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jc w:val="right"/>
              <w:ind w:right="1781"/>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0.64</w:t>
            </w:r>
          </w:p>
        </w:tc>
        <w:tc>
          <w:tcPr>
            <w:tcW w:w="4240" w:type="dxa"/>
            <w:vAlign w:val="bottom"/>
          </w:tcPr>
          <w:p>
            <w:pPr>
              <w:spacing w:after="0"/>
              <w:rPr>
                <w:sz w:val="20"/>
                <w:szCs w:val="20"/>
                <w:color w:val="auto"/>
              </w:rPr>
            </w:pPr>
            <w:r>
              <w:rPr>
                <w:rFonts w:ascii="Arial" w:cs="Arial" w:eastAsia="Arial" w:hAnsi="Arial"/>
                <w:sz w:val="18"/>
                <w:szCs w:val="18"/>
                <w:color w:val="auto"/>
              </w:rPr>
              <w:t>3/3/2023</w:t>
            </w:r>
          </w:p>
        </w:tc>
        <w:tc>
          <w:tcPr>
            <w:tcW w:w="2620" w:type="dxa"/>
            <w:vAlign w:val="bottom"/>
            <w:gridSpan w:val="3"/>
          </w:tcPr>
          <w:p>
            <w:pPr>
              <w:jc w:val="right"/>
              <w:ind w:right="220"/>
              <w:spacing w:after="0"/>
              <w:rPr>
                <w:sz w:val="20"/>
                <w:szCs w:val="20"/>
                <w:color w:val="auto"/>
              </w:rPr>
            </w:pPr>
            <w:r>
              <w:rPr>
                <w:rFonts w:ascii="Arial" w:cs="Arial" w:eastAsia="Arial" w:hAnsi="Arial"/>
                <w:sz w:val="18"/>
                <w:szCs w:val="18"/>
                <w:color w:val="auto"/>
              </w:rPr>
              <w:t>8.67</w:t>
            </w:r>
          </w:p>
        </w:tc>
        <w:tc>
          <w:tcPr>
            <w:tcW w:w="1700" w:type="dxa"/>
            <w:vAlign w:val="bottom"/>
          </w:tcPr>
          <w:p>
            <w:pPr>
              <w:jc w:val="right"/>
              <w:spacing w:after="0"/>
              <w:rPr>
                <w:sz w:val="20"/>
                <w:szCs w:val="20"/>
                <w:color w:val="auto"/>
              </w:rPr>
            </w:pPr>
            <w:r>
              <w:rPr>
                <w:rFonts w:ascii="Arial" w:cs="Arial" w:eastAsia="Arial" w:hAnsi="Arial"/>
                <w:sz w:val="18"/>
                <w:szCs w:val="18"/>
                <w:color w:val="auto"/>
              </w:rPr>
              <w:t>2,940,000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jc w:val="right"/>
              <w:ind w:right="1781"/>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0.88</w:t>
            </w: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5/31/2015</w:t>
            </w:r>
          </w:p>
        </w:tc>
        <w:tc>
          <w:tcPr>
            <w:tcW w:w="2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0.92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jc w:val="right"/>
              <w:ind w:right="1781"/>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4240" w:type="dxa"/>
            <w:vAlign w:val="bottom"/>
          </w:tcPr>
          <w:p>
            <w:pPr>
              <w:spacing w:after="0"/>
              <w:rPr>
                <w:sz w:val="20"/>
                <w:szCs w:val="20"/>
                <w:color w:val="auto"/>
              </w:rPr>
            </w:pPr>
            <w:r>
              <w:rPr>
                <w:rFonts w:ascii="Arial" w:cs="Arial" w:eastAsia="Arial" w:hAnsi="Arial"/>
                <w:sz w:val="18"/>
                <w:szCs w:val="18"/>
                <w:color w:val="auto"/>
              </w:rPr>
              <w:t>7/30/2016 to 9/30/2017</w:t>
            </w:r>
          </w:p>
        </w:tc>
        <w:tc>
          <w:tcPr>
            <w:tcW w:w="2620" w:type="dxa"/>
            <w:vAlign w:val="bottom"/>
            <w:gridSpan w:val="3"/>
          </w:tcPr>
          <w:p>
            <w:pPr>
              <w:jc w:val="right"/>
              <w:ind w:right="220"/>
              <w:spacing w:after="0"/>
              <w:rPr>
                <w:sz w:val="20"/>
                <w:szCs w:val="20"/>
                <w:color w:val="auto"/>
              </w:rPr>
            </w:pPr>
            <w:r>
              <w:rPr>
                <w:rFonts w:ascii="Arial" w:cs="Arial" w:eastAsia="Arial" w:hAnsi="Arial"/>
                <w:sz w:val="18"/>
                <w:szCs w:val="18"/>
                <w:color w:val="auto"/>
              </w:rPr>
              <w:t>3.18</w:t>
            </w:r>
          </w:p>
        </w:tc>
        <w:tc>
          <w:tcPr>
            <w:tcW w:w="1700" w:type="dxa"/>
            <w:vAlign w:val="bottom"/>
          </w:tcPr>
          <w:p>
            <w:pPr>
              <w:jc w:val="right"/>
              <w:spacing w:after="0"/>
              <w:rPr>
                <w:sz w:val="20"/>
                <w:szCs w:val="20"/>
                <w:color w:val="auto"/>
              </w:rPr>
            </w:pPr>
            <w:r>
              <w:rPr>
                <w:rFonts w:ascii="Arial" w:cs="Arial" w:eastAsia="Arial" w:hAnsi="Arial"/>
                <w:sz w:val="18"/>
                <w:szCs w:val="18"/>
                <w:color w:val="auto"/>
              </w:rPr>
              <w:t>3,526,886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jc w:val="right"/>
              <w:ind w:right="1781"/>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12/31/2014 to 5/31/2015</w:t>
            </w:r>
          </w:p>
        </w:tc>
        <w:tc>
          <w:tcPr>
            <w:tcW w:w="2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0.55</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jc w:val="right"/>
              <w:ind w:right="1781"/>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4240" w:type="dxa"/>
            <w:vAlign w:val="bottom"/>
          </w:tcPr>
          <w:p>
            <w:pPr>
              <w:spacing w:after="0"/>
              <w:rPr>
                <w:sz w:val="20"/>
                <w:szCs w:val="20"/>
                <w:color w:val="auto"/>
              </w:rPr>
            </w:pPr>
            <w:r>
              <w:rPr>
                <w:rFonts w:ascii="Arial" w:cs="Arial" w:eastAsia="Arial" w:hAnsi="Arial"/>
                <w:sz w:val="18"/>
                <w:szCs w:val="18"/>
                <w:color w:val="auto"/>
              </w:rPr>
              <w:t>11/4/2014 to 3/4/2018</w:t>
            </w:r>
          </w:p>
        </w:tc>
        <w:tc>
          <w:tcPr>
            <w:tcW w:w="2620" w:type="dxa"/>
            <w:vAlign w:val="bottom"/>
            <w:gridSpan w:val="3"/>
          </w:tcPr>
          <w:p>
            <w:pPr>
              <w:jc w:val="right"/>
              <w:ind w:right="220"/>
              <w:spacing w:after="0"/>
              <w:rPr>
                <w:sz w:val="20"/>
                <w:szCs w:val="20"/>
                <w:color w:val="auto"/>
              </w:rPr>
            </w:pPr>
            <w:r>
              <w:rPr>
                <w:rFonts w:ascii="Arial" w:cs="Arial" w:eastAsia="Arial" w:hAnsi="Arial"/>
                <w:sz w:val="18"/>
                <w:szCs w:val="18"/>
                <w:color w:val="auto"/>
              </w:rPr>
              <w:t>2.2</w:t>
            </w:r>
          </w:p>
        </w:tc>
        <w:tc>
          <w:tcPr>
            <w:tcW w:w="1700" w:type="dxa"/>
            <w:vAlign w:val="bottom"/>
          </w:tcPr>
          <w:p>
            <w:pPr>
              <w:jc w:val="right"/>
              <w:spacing w:after="0"/>
              <w:rPr>
                <w:sz w:val="20"/>
                <w:szCs w:val="20"/>
                <w:color w:val="auto"/>
              </w:rPr>
            </w:pPr>
            <w:r>
              <w:rPr>
                <w:rFonts w:ascii="Arial" w:cs="Arial" w:eastAsia="Arial" w:hAnsi="Arial"/>
                <w:sz w:val="18"/>
                <w:szCs w:val="18"/>
                <w:color w:val="auto"/>
              </w:rPr>
              <w:t>2,353,052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jc w:val="right"/>
              <w:ind w:right="1781"/>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9/15/2017</w:t>
            </w:r>
          </w:p>
        </w:tc>
        <w:tc>
          <w:tcPr>
            <w:tcW w:w="2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3.21</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jc w:val="right"/>
              <w:ind w:right="1781"/>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4240" w:type="dxa"/>
            <w:vAlign w:val="bottom"/>
          </w:tcPr>
          <w:p>
            <w:pPr>
              <w:spacing w:after="0"/>
              <w:rPr>
                <w:sz w:val="20"/>
                <w:szCs w:val="20"/>
                <w:color w:val="auto"/>
              </w:rPr>
            </w:pPr>
            <w:r>
              <w:rPr>
                <w:rFonts w:ascii="Arial" w:cs="Arial" w:eastAsia="Arial" w:hAnsi="Arial"/>
                <w:sz w:val="18"/>
                <w:szCs w:val="18"/>
                <w:color w:val="auto"/>
              </w:rPr>
              <w:t>5/31/2015</w:t>
            </w:r>
          </w:p>
        </w:tc>
        <w:tc>
          <w:tcPr>
            <w:tcW w:w="2620" w:type="dxa"/>
            <w:vAlign w:val="bottom"/>
            <w:gridSpan w:val="3"/>
          </w:tcPr>
          <w:p>
            <w:pPr>
              <w:jc w:val="right"/>
              <w:ind w:right="220"/>
              <w:spacing w:after="0"/>
              <w:rPr>
                <w:sz w:val="20"/>
                <w:szCs w:val="20"/>
                <w:color w:val="auto"/>
              </w:rPr>
            </w:pPr>
            <w:r>
              <w:rPr>
                <w:rFonts w:ascii="Arial" w:cs="Arial" w:eastAsia="Arial" w:hAnsi="Arial"/>
                <w:sz w:val="18"/>
                <w:szCs w:val="18"/>
                <w:color w:val="auto"/>
              </w:rPr>
              <w:t>0.92</w:t>
            </w:r>
          </w:p>
        </w:tc>
        <w:tc>
          <w:tcPr>
            <w:tcW w:w="1700" w:type="dxa"/>
            <w:vAlign w:val="bottom"/>
          </w:tcPr>
          <w:p>
            <w:pPr>
              <w:jc w:val="right"/>
              <w:spacing w:after="0"/>
              <w:rPr>
                <w:sz w:val="20"/>
                <w:szCs w:val="20"/>
                <w:color w:val="auto"/>
              </w:rPr>
            </w:pPr>
            <w:r>
              <w:rPr>
                <w:rFonts w:ascii="Arial" w:cs="Arial" w:eastAsia="Arial" w:hAnsi="Arial"/>
                <w:sz w:val="18"/>
                <w:szCs w:val="18"/>
                <w:color w:val="auto"/>
              </w:rPr>
              <w:t>42,443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jc w:val="right"/>
              <w:ind w:right="1781"/>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2.625</w:t>
            </w: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1/31/2015</w:t>
            </w:r>
          </w:p>
        </w:tc>
        <w:tc>
          <w:tcPr>
            <w:tcW w:w="2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0.59</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60" w:type="dxa"/>
            <w:vAlign w:val="bottom"/>
            <w:gridSpan w:val="2"/>
          </w:tcPr>
          <w:p>
            <w:pPr>
              <w:jc w:val="right"/>
              <w:ind w:right="1781"/>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4240" w:type="dxa"/>
            <w:vAlign w:val="bottom"/>
          </w:tcPr>
          <w:p>
            <w:pPr>
              <w:spacing w:after="0"/>
              <w:rPr>
                <w:sz w:val="20"/>
                <w:szCs w:val="20"/>
                <w:color w:val="auto"/>
              </w:rPr>
            </w:pPr>
            <w:r>
              <w:rPr>
                <w:rFonts w:ascii="Arial" w:cs="Arial" w:eastAsia="Arial" w:hAnsi="Arial"/>
                <w:sz w:val="18"/>
                <w:szCs w:val="18"/>
                <w:color w:val="auto"/>
              </w:rPr>
              <w:t>2/13/2016</w:t>
            </w:r>
          </w:p>
        </w:tc>
        <w:tc>
          <w:tcPr>
            <w:tcW w:w="2620" w:type="dxa"/>
            <w:vAlign w:val="bottom"/>
            <w:gridSpan w:val="3"/>
          </w:tcPr>
          <w:p>
            <w:pPr>
              <w:jc w:val="right"/>
              <w:ind w:right="220"/>
              <w:spacing w:after="0"/>
              <w:rPr>
                <w:sz w:val="20"/>
                <w:szCs w:val="20"/>
                <w:color w:val="auto"/>
              </w:rPr>
            </w:pPr>
            <w:r>
              <w:rPr>
                <w:rFonts w:ascii="Arial" w:cs="Arial" w:eastAsia="Arial" w:hAnsi="Arial"/>
                <w:sz w:val="18"/>
                <w:szCs w:val="18"/>
                <w:color w:val="auto"/>
              </w:rPr>
              <w:t>1.62</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620" w:type="dxa"/>
            <w:vAlign w:val="bottom"/>
            <w:gridSpan w:val="3"/>
          </w:tcPr>
          <w:p>
            <w:pPr>
              <w:jc w:val="right"/>
              <w:ind w:right="220"/>
              <w:spacing w:after="0"/>
              <w:rPr>
                <w:sz w:val="20"/>
                <w:szCs w:val="20"/>
                <w:color w:val="auto"/>
              </w:rPr>
            </w:pPr>
            <w:r>
              <w:rPr>
                <w:rFonts w:ascii="Arial" w:cs="Arial" w:eastAsia="Arial" w:hAnsi="Arial"/>
                <w:sz w:val="18"/>
                <w:szCs w:val="18"/>
                <w:color w:val="auto"/>
              </w:rPr>
              <w:t>3.76</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18,981,490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Party Transactions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Between September and December 2013, one of our executive officers provided short-term cash advances aggregating $64,000 to meet our short-term working capital requirements. In lieu of our cash repayment of the advances, in December 2013, the officer elected to invest $50,000 in the 2013 Unit Private Placement. Since March 31, 2014, we have repaid the remaining $3,600 balance of the advances and $33,300 of the principal balance of the $50,000 promissory note issued in connection with the officer’s investment in the 2013 Unit Private Placement.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Cato Holding Company, doing business as Cato BioVentures (</w:t>
      </w:r>
      <w:r>
        <w:rPr>
          <w:rFonts w:ascii="Arial" w:cs="Arial" w:eastAsia="Arial" w:hAnsi="Arial"/>
          <w:sz w:val="18"/>
          <w:szCs w:val="18"/>
          <w:i w:val="1"/>
          <w:iCs w:val="1"/>
          <w:color w:val="auto"/>
        </w:rPr>
        <w:t>CBV</w:t>
      </w:r>
      <w:r>
        <w:rPr>
          <w:rFonts w:ascii="Arial" w:cs="Arial" w:eastAsia="Arial" w:hAnsi="Arial"/>
          <w:sz w:val="18"/>
          <w:szCs w:val="18"/>
          <w:color w:val="auto"/>
        </w:rPr>
        <w:t>), the parent of Cato Research Ltd. (</w:t>
      </w:r>
      <w:r>
        <w:rPr>
          <w:rFonts w:ascii="Arial" w:cs="Arial" w:eastAsia="Arial" w:hAnsi="Arial"/>
          <w:sz w:val="18"/>
          <w:szCs w:val="18"/>
          <w:i w:val="1"/>
          <w:iCs w:val="1"/>
          <w:color w:val="auto"/>
        </w:rPr>
        <w:t>CRL</w:t>
      </w:r>
      <w:r>
        <w:rPr>
          <w:rFonts w:ascii="Arial" w:cs="Arial" w:eastAsia="Arial" w:hAnsi="Arial"/>
          <w:sz w:val="18"/>
          <w:szCs w:val="18"/>
          <w:color w:val="auto"/>
        </w:rPr>
        <w:t>), is one of our largest institutional stockholders at June 30, 2014. In October 2012, we issued a 7.5% promissory note (</w:t>
      </w:r>
      <w:r>
        <w:rPr>
          <w:rFonts w:ascii="Arial" w:cs="Arial" w:eastAsia="Arial" w:hAnsi="Arial"/>
          <w:sz w:val="18"/>
          <w:szCs w:val="18"/>
          <w:i w:val="1"/>
          <w:iCs w:val="1"/>
          <w:color w:val="auto"/>
        </w:rPr>
        <w:t>CHC Note</w:t>
      </w:r>
      <w:r>
        <w:rPr>
          <w:rFonts w:ascii="Arial" w:cs="Arial" w:eastAsia="Arial" w:hAnsi="Arial"/>
          <w:sz w:val="18"/>
          <w:szCs w:val="18"/>
          <w:color w:val="auto"/>
        </w:rPr>
        <w:t>) and a warrant (</w:t>
      </w:r>
      <w:r>
        <w:rPr>
          <w:rFonts w:ascii="Arial" w:cs="Arial" w:eastAsia="Arial" w:hAnsi="Arial"/>
          <w:sz w:val="18"/>
          <w:szCs w:val="18"/>
          <w:i w:val="1"/>
          <w:iCs w:val="1"/>
          <w:color w:val="auto"/>
        </w:rPr>
        <w:t>CHC Warrant</w:t>
      </w:r>
      <w:r>
        <w:rPr>
          <w:rFonts w:ascii="Arial" w:cs="Arial" w:eastAsia="Arial" w:hAnsi="Arial"/>
          <w:sz w:val="18"/>
          <w:szCs w:val="18"/>
          <w:color w:val="auto"/>
        </w:rPr>
        <w:t>) to CHC in settlement of prior indebtedness. Total interest expense, including amortization of note discount, on the CHC Note was $7,600 and $16,100 in the three month periods ended June 30, 2014 and 2013, respectively.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fiscal year 2007, we entered into a contract research arrangement with CRL, a contract research organization, related to the development of AV-101, our prodrug candidate which has successfully completed Phase 1 clinical development, and subsequent other projects under which we incurred expenses of $7,500 and $30,000 in the three month periods ended June 30, 2014 and 2013, respectively.</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October 2012, we issued to CRL (i) a 7.5% promissory note (</w:t>
      </w:r>
      <w:r>
        <w:rPr>
          <w:rFonts w:ascii="Arial" w:cs="Arial" w:eastAsia="Arial" w:hAnsi="Arial"/>
          <w:sz w:val="16"/>
          <w:szCs w:val="16"/>
          <w:i w:val="1"/>
          <w:iCs w:val="1"/>
          <w:color w:val="auto"/>
        </w:rPr>
        <w:t>CRL Note</w:t>
      </w:r>
      <w:r>
        <w:rPr>
          <w:rFonts w:ascii="Arial" w:cs="Arial" w:eastAsia="Arial" w:hAnsi="Arial"/>
          <w:sz w:val="16"/>
          <w:szCs w:val="16"/>
          <w:color w:val="auto"/>
        </w:rPr>
        <w:t>) as payment in full for all contract research and development services and regulatory advice (</w:t>
      </w:r>
      <w:r>
        <w:rPr>
          <w:rFonts w:ascii="Arial" w:cs="Arial" w:eastAsia="Arial" w:hAnsi="Arial"/>
          <w:sz w:val="16"/>
          <w:szCs w:val="16"/>
          <w:i w:val="1"/>
          <w:iCs w:val="1"/>
          <w:color w:val="auto"/>
        </w:rPr>
        <w:t>CRO Services</w:t>
      </w:r>
      <w:r>
        <w:rPr>
          <w:rFonts w:ascii="Arial" w:cs="Arial" w:eastAsia="Arial" w:hAnsi="Arial"/>
          <w:sz w:val="16"/>
          <w:szCs w:val="16"/>
          <w:color w:val="auto"/>
        </w:rPr>
        <w:t>) rendered by CRL to us through December 31, 2012 with respect to the preclinical and clinical development of AV-101, and</w:t>
      </w:r>
    </w:p>
    <w:p>
      <w:pPr>
        <w:jc w:val="both"/>
        <w:ind w:right="20" w:firstLine="8"/>
        <w:spacing w:after="0" w:line="277" w:lineRule="auto"/>
        <w:tabs>
          <w:tab w:leader="none" w:pos="274" w:val="left"/>
        </w:tabs>
        <w:numPr>
          <w:ilvl w:val="0"/>
          <w:numId w:val="7"/>
        </w:numPr>
        <w:rPr>
          <w:rFonts w:ascii="Arial" w:cs="Arial" w:eastAsia="Arial" w:hAnsi="Arial"/>
          <w:sz w:val="17"/>
          <w:szCs w:val="17"/>
          <w:color w:val="auto"/>
        </w:rPr>
      </w:pPr>
      <w:r>
        <w:rPr>
          <w:rFonts w:ascii="Arial" w:cs="Arial" w:eastAsia="Arial" w:hAnsi="Arial"/>
          <w:sz w:val="17"/>
          <w:szCs w:val="17"/>
          <w:color w:val="auto"/>
        </w:rPr>
        <w:t>a warrant (</w:t>
      </w:r>
      <w:r>
        <w:rPr>
          <w:rFonts w:ascii="Arial" w:cs="Arial" w:eastAsia="Arial" w:hAnsi="Arial"/>
          <w:sz w:val="17"/>
          <w:szCs w:val="17"/>
          <w:i w:val="1"/>
          <w:iCs w:val="1"/>
          <w:color w:val="auto"/>
        </w:rPr>
        <w:t>CRL Warrant</w:t>
      </w:r>
      <w:r>
        <w:rPr>
          <w:rFonts w:ascii="Arial" w:cs="Arial" w:eastAsia="Arial" w:hAnsi="Arial"/>
          <w:sz w:val="17"/>
          <w:szCs w:val="17"/>
          <w:color w:val="auto"/>
        </w:rPr>
        <w:t>). The CRL Note is payable solely by CRL's surrender from time to time of all or a portion of the principal and interest balance due on the CRL Note in connection with its concurrent exercise of the CRL Warrant. Total interest expense, including amortization of the note discount, on the CRL Note for the three month periods ended June 30, 2014 and 2013 was $36,800 and $27,900,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Unit Private Placement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July 1, 2014 to August 8, 2014, we entered into additional securities purchase agreements with accredited investors pursuant to which we sold units to such accredited investors in private placement transactions consisting of (i) one-year 10% convertible 2014 Unit Notes in the aggregate face amount of $55,000; (ii) an aggregate of 55,000 shares of our restricted common stock; and (iii) warrants exercisable through December 31, 2016 to purchase an aggregate of 55,000 restricted shares of our common stock at an exercise price of $0.50 per share. We received cash proceeds of $55,000 from the sales of the Units.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16, 2014, our Board of Directors authorized a reverse split of both our authorized, and issued and outstanding shares of common stock at a ratio of one-for-twenty (</w:t>
      </w:r>
      <w:r>
        <w:rPr>
          <w:rFonts w:ascii="Arial" w:cs="Arial" w:eastAsia="Arial" w:hAnsi="Arial"/>
          <w:sz w:val="18"/>
          <w:szCs w:val="18"/>
          <w:i w:val="1"/>
          <w:iCs w:val="1"/>
          <w:color w:val="auto"/>
        </w:rPr>
        <w:t>Stock Consolidation</w:t>
      </w:r>
      <w:r>
        <w:rPr>
          <w:rFonts w:ascii="Arial" w:cs="Arial" w:eastAsia="Arial" w:hAnsi="Arial"/>
          <w:sz w:val="18"/>
          <w:szCs w:val="18"/>
          <w:color w:val="auto"/>
        </w:rPr>
        <w:t>). We filed our notice of corporate action regarding the Stock Consolidation with the Financial Industry Regulatory Authority (</w:t>
      </w:r>
      <w:r>
        <w:rPr>
          <w:rFonts w:ascii="Arial" w:cs="Arial" w:eastAsia="Arial" w:hAnsi="Arial"/>
          <w:sz w:val="18"/>
          <w:szCs w:val="18"/>
          <w:i w:val="1"/>
          <w:iCs w:val="1"/>
          <w:color w:val="auto"/>
        </w:rPr>
        <w:t>FINRA</w:t>
      </w:r>
      <w:r>
        <w:rPr>
          <w:rFonts w:ascii="Arial" w:cs="Arial" w:eastAsia="Arial" w:hAnsi="Arial"/>
          <w:sz w:val="18"/>
          <w:szCs w:val="18"/>
          <w:color w:val="auto"/>
        </w:rPr>
        <w:t>) on August 8, 2014, however, the Stock Consolidation is not yet effective. We anticipate the Stock Consolidation to go into effect upon approval of the corporate action by FINRA. Each reference to shares of common stock in this report is pre-Stock Consolidation, and does not reflect the one-for-twenty adjustment that will occur as a result of the Stock Consolidation.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Conversion and Warrant Amendment Agreement with Platinum</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July 18, 2014, we entered into an Amended and Restated Note Conversion Agreement and Warrant Amendment with Platinum (</w:t>
      </w:r>
      <w:r>
        <w:rPr>
          <w:rFonts w:ascii="Arial" w:cs="Arial" w:eastAsia="Arial" w:hAnsi="Arial"/>
          <w:sz w:val="16"/>
          <w:szCs w:val="16"/>
          <w:i w:val="1"/>
          <w:iCs w:val="1"/>
          <w:color w:val="auto"/>
        </w:rPr>
        <w:t>Amendment</w:t>
      </w:r>
      <w:r>
        <w:rPr>
          <w:rFonts w:ascii="Arial" w:cs="Arial" w:eastAsia="Arial" w:hAnsi="Arial"/>
          <w:sz w:val="16"/>
          <w:szCs w:val="16"/>
          <w:color w:val="auto"/>
        </w:rPr>
        <w:t>), wherein Platinum agreed to convert into our unregistered equity securities all Senior Secured Convertible Promissory Notes (</w:t>
      </w:r>
      <w:r>
        <w:rPr>
          <w:rFonts w:ascii="Arial" w:cs="Arial" w:eastAsia="Arial" w:hAnsi="Arial"/>
          <w:sz w:val="16"/>
          <w:szCs w:val="16"/>
          <w:i w:val="1"/>
          <w:iCs w:val="1"/>
          <w:color w:val="auto"/>
        </w:rPr>
        <w:t>Senior Notes</w:t>
      </w:r>
      <w:r>
        <w:rPr>
          <w:rFonts w:ascii="Arial" w:cs="Arial" w:eastAsia="Arial" w:hAnsi="Arial"/>
          <w:sz w:val="16"/>
          <w:szCs w:val="16"/>
          <w:color w:val="auto"/>
        </w:rPr>
        <w:t>) currently held by Platinum, in the aggregate amount of approximately $4.1 million, including accrued but unpaid interest thereon (</w:t>
      </w:r>
      <w:r>
        <w:rPr>
          <w:rFonts w:ascii="Arial" w:cs="Arial" w:eastAsia="Arial" w:hAnsi="Arial"/>
          <w:sz w:val="16"/>
          <w:szCs w:val="16"/>
          <w:i w:val="1"/>
          <w:iCs w:val="1"/>
          <w:color w:val="auto"/>
        </w:rPr>
        <w:t>Outstanding Balance</w:t>
      </w:r>
      <w:r>
        <w:rPr>
          <w:rFonts w:ascii="Arial" w:cs="Arial" w:eastAsia="Arial" w:hAnsi="Arial"/>
          <w:sz w:val="16"/>
          <w:szCs w:val="16"/>
          <w:color w:val="auto"/>
        </w:rPr>
        <w:t>), upon our consummation on or before August 31, 2014 (</w:t>
      </w:r>
      <w:r>
        <w:rPr>
          <w:rFonts w:ascii="Arial" w:cs="Arial" w:eastAsia="Arial" w:hAnsi="Arial"/>
          <w:sz w:val="16"/>
          <w:szCs w:val="16"/>
          <w:i w:val="1"/>
          <w:iCs w:val="1"/>
          <w:color w:val="auto"/>
        </w:rPr>
        <w:t>Closing Date</w:t>
      </w:r>
      <w:r>
        <w:rPr>
          <w:rFonts w:ascii="Arial" w:cs="Arial" w:eastAsia="Arial" w:hAnsi="Arial"/>
          <w:sz w:val="16"/>
          <w:szCs w:val="16"/>
          <w:color w:val="auto"/>
        </w:rPr>
        <w:t>), of either (i) a private equity financing resulting in aggregate gross proceeds of at least $36.0 million (</w:t>
      </w:r>
      <w:r>
        <w:rPr>
          <w:rFonts w:ascii="Arial" w:cs="Arial" w:eastAsia="Arial" w:hAnsi="Arial"/>
          <w:sz w:val="16"/>
          <w:szCs w:val="16"/>
          <w:i w:val="1"/>
          <w:iCs w:val="1"/>
          <w:color w:val="auto"/>
        </w:rPr>
        <w:t>Private</w:t>
      </w:r>
      <w:r>
        <w:rPr>
          <w:rFonts w:ascii="Arial" w:cs="Arial" w:eastAsia="Arial" w:hAnsi="Arial"/>
          <w:sz w:val="16"/>
          <w:szCs w:val="16"/>
          <w:color w:val="auto"/>
        </w:rPr>
        <w:t xml:space="preserve"> </w:t>
      </w:r>
      <w:r>
        <w:rPr>
          <w:rFonts w:ascii="Arial" w:cs="Arial" w:eastAsia="Arial" w:hAnsi="Arial"/>
          <w:sz w:val="16"/>
          <w:szCs w:val="16"/>
          <w:i w:val="1"/>
          <w:iCs w:val="1"/>
          <w:color w:val="auto"/>
        </w:rPr>
        <w:t>Financing</w:t>
      </w:r>
      <w:r>
        <w:rPr>
          <w:rFonts w:ascii="Arial" w:cs="Arial" w:eastAsia="Arial" w:hAnsi="Arial"/>
          <w:sz w:val="16"/>
          <w:szCs w:val="16"/>
          <w:color w:val="auto"/>
        </w:rPr>
        <w:t>), or (ii) the Public Offering results in gross proceeds of $10.0 million or more (the Private Financing and Public Offering are referred to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discussion as a </w:t>
      </w:r>
      <w:r>
        <w:rPr>
          <w:rFonts w:ascii="Arial" w:cs="Arial" w:eastAsia="Arial" w:hAnsi="Arial"/>
          <w:sz w:val="16"/>
          <w:szCs w:val="16"/>
          <w:i w:val="1"/>
          <w:iCs w:val="1"/>
          <w:color w:val="auto"/>
        </w:rPr>
        <w:t>Platinum Qualified Financing</w:t>
      </w:r>
      <w:r>
        <w:rPr>
          <w:rFonts w:ascii="Arial" w:cs="Arial" w:eastAsia="Arial" w:hAnsi="Arial"/>
          <w:sz w:val="16"/>
          <w:szCs w:val="16"/>
          <w:color w:val="auto"/>
        </w:rPr>
        <w:t xml:space="preserve">). Upon consummation of a Private Financing, the Senior Notes will convert into that number of unregistered shares of our common stock equal to the Outstanding Balance on the Closing Date, divided by $0.50 per share. In the event we receive gross proceeds of at least $10 million from the Public Offering, the Senior Notes will convert into shares of newly created Series B Convertible Preferred Stock with an aggregate liquidation preference equal to the Outstanding Balance on the Closing Date (see below regarding </w:t>
      </w:r>
      <w:r>
        <w:rPr>
          <w:rFonts w:ascii="Arial" w:cs="Arial" w:eastAsia="Arial" w:hAnsi="Arial"/>
          <w:sz w:val="16"/>
          <w:szCs w:val="16"/>
          <w:i w:val="1"/>
          <w:iCs w:val="1"/>
          <w:color w:val="auto"/>
        </w:rPr>
        <w:t>Creation of Series B Preferred Stock</w:t>
      </w:r>
      <w:r>
        <w:rPr>
          <w:rFonts w:ascii="Arial" w:cs="Arial" w:eastAsia="Arial" w:hAnsi="Arial"/>
          <w:sz w:val="16"/>
          <w:szCs w:val="16"/>
          <w:color w:val="auto"/>
        </w:rPr>
        <w:t>).</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Additionally, pursuant to the terms and conditions of the Amendment, in the event we consummate a Platinum Qualified Financing on or before the Closing Date, the exercise price of all warrants we have issued to Platinum in connection with the Senior Notes, and warrants that we may still issue pursuant to the Note Exchange and Purchase Agreement between us and Platinum, dated October 11, 2012 (</w:t>
      </w:r>
      <w:r>
        <w:rPr>
          <w:rFonts w:ascii="Arial" w:cs="Arial" w:eastAsia="Arial" w:hAnsi="Arial"/>
          <w:sz w:val="17"/>
          <w:szCs w:val="17"/>
          <w:i w:val="1"/>
          <w:iCs w:val="1"/>
          <w:color w:val="auto"/>
        </w:rPr>
        <w:t>NEPA</w:t>
      </w:r>
      <w:r>
        <w:rPr>
          <w:rFonts w:ascii="Arial" w:cs="Arial" w:eastAsia="Arial" w:hAnsi="Arial"/>
          <w:sz w:val="17"/>
          <w:szCs w:val="17"/>
          <w:color w:val="auto"/>
        </w:rPr>
        <w:t xml:space="preserve">), if any (collectively, </w:t>
      </w:r>
      <w:r>
        <w:rPr>
          <w:rFonts w:ascii="Arial" w:cs="Arial" w:eastAsia="Arial" w:hAnsi="Arial"/>
          <w:sz w:val="17"/>
          <w:szCs w:val="17"/>
          <w:i w:val="1"/>
          <w:iCs w:val="1"/>
          <w:color w:val="auto"/>
        </w:rPr>
        <w:t>Warrants</w:t>
      </w:r>
      <w:r>
        <w:rPr>
          <w:rFonts w:ascii="Arial" w:cs="Arial" w:eastAsia="Arial" w:hAnsi="Arial"/>
          <w:sz w:val="17"/>
          <w:szCs w:val="17"/>
          <w:color w:val="auto"/>
        </w:rPr>
        <w:t>), will be fixed at $0.50 per share or the purchase price of Common Stock sold in the Platinum Qualified Financing, whichever is lower. Finally, the anti-dilutive provisions contained in the Warrants, other than typical adjustments for stock splits, combinations and dividends, will be terminated.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Platinum also agreed to terminate the Amended and Restated Security Agreement, Intellectual Property Security and Stock Pledge Agreement and Negative Covenant Agreement, each dated October 11, 2012, related to the Senior Notes and the NEPA, and to release all of its security interests in our assets in connection with our completion of a Platinum Qualified Financing and conversion of the Senior Notes.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Creation of Series B Preferred Stock</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17, 2014, our Board of Directors authorized the creation of a class of Series B Preferred Stock (</w:t>
      </w:r>
      <w:r>
        <w:rPr>
          <w:rFonts w:ascii="Arial" w:cs="Arial" w:eastAsia="Arial" w:hAnsi="Arial"/>
          <w:sz w:val="17"/>
          <w:szCs w:val="17"/>
          <w:i w:val="1"/>
          <w:iCs w:val="1"/>
          <w:color w:val="auto"/>
        </w:rPr>
        <w:t>Series B Preferred</w:t>
      </w:r>
      <w:r>
        <w:rPr>
          <w:rFonts w:ascii="Arial" w:cs="Arial" w:eastAsia="Arial" w:hAnsi="Arial"/>
          <w:sz w:val="17"/>
          <w:szCs w:val="17"/>
          <w:color w:val="auto"/>
        </w:rPr>
        <w:t>) to provide for the conversion of certain promissory notes held by Platinum totaling approximately $4.1 million in principal and accrued interest at June 30, 2014 (</w:t>
      </w:r>
      <w:r>
        <w:rPr>
          <w:rFonts w:ascii="Arial" w:cs="Arial" w:eastAsia="Arial" w:hAnsi="Arial"/>
          <w:sz w:val="17"/>
          <w:szCs w:val="17"/>
          <w:i w:val="1"/>
          <w:iCs w:val="1"/>
          <w:color w:val="auto"/>
        </w:rPr>
        <w:t>Outstanding Balance</w:t>
      </w:r>
      <w:r>
        <w:rPr>
          <w:rFonts w:ascii="Arial" w:cs="Arial" w:eastAsia="Arial" w:hAnsi="Arial"/>
          <w:sz w:val="17"/>
          <w:szCs w:val="17"/>
          <w:color w:val="auto"/>
        </w:rPr>
        <w:t>) into Series B Preferred upon consummation of the Public Offering referred to above. The number of shares of Series B Preferred to be issued will be calculated based on the liquidation preference for the Series B Preferred, which will equal the Outstanding Balance as of the date of consummation of the Public Offering, divided by the lesser of (i) $.50 and (ii) the per-share common stock price sold in the Public Offering. Each share of Series B Preferred will be exchangeable at the option of Platinum into shares of our common stock at the price per-share of common stock sold in the Public Offering. The Series B Preferred will rank prior to our common stock for purposes of liquidation preference.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Series B Preferred will have no separate dividend rights. However, whenever the Board of Directors declares a dividend on the common stock, each holder of record of a share of Series B Preferred, or any fraction of a share of Series B Preferred, on the date set by the Board of Directors to determine the owners of the common stock of record entitled to receive such dividend (</w:t>
      </w:r>
      <w:r>
        <w:rPr>
          <w:rFonts w:ascii="Arial" w:cs="Arial" w:eastAsia="Arial" w:hAnsi="Arial"/>
          <w:sz w:val="17"/>
          <w:szCs w:val="17"/>
          <w:i w:val="1"/>
          <w:iCs w:val="1"/>
          <w:color w:val="auto"/>
        </w:rPr>
        <w:t>Record Date</w:t>
      </w:r>
      <w:r>
        <w:rPr>
          <w:rFonts w:ascii="Arial" w:cs="Arial" w:eastAsia="Arial" w:hAnsi="Arial"/>
          <w:sz w:val="17"/>
          <w:szCs w:val="17"/>
          <w:color w:val="auto"/>
        </w:rPr>
        <w:t>) will be entitled to receive out of any assets at the time legally available therefor, an amount equal to such dividend declared on one share of common stock multiplied by the number of shares of common stock into which such share, or such fraction of a share, of Series B Preferred could be exchanged on the Record Date.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with respect to transactions upon which the Series B Preferred shall be entitled to vote separately as a class, the Series B Preferred will have no voting rights. The common stock into which the Series B Preferred shall be exchangeable will, upon issuance, have all of the same voting rights as other issued and outstanding shares of our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of the liquidation, dissolution or winding up of our affairs, after payment or provision for payment of our debts and other liabilities, the holders of Series B Preferred then outstanding will be entitled to receive, out of our remaining assets, if any, an amount per share of Series B Preferred calculated by taking the total amount available for distribution to holders of all of our outstanding common stock before deduction of any preference payments for the Series B Preferred, divided by the total of (x), all of the then outstanding shares of our common stock, plus (y) all of the shares of our common stock into which all of the outstanding shares of the Series B Preferred can be exchanged before any payment shall be made or any assets distributed to the holders of the common stock or any other junior stock.</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Quarterly Report on Form 10-Q includes forward-looking statements. All statements contained in this Quarterly Report on Form 10-Q other than statements of historical fact, including statements regarding our future results of operations and financial position, our business strategy and plans, and our objectives for future operations, are forward- looking statements. The words “believe,” “may,” “estimate,” “continue,” “anticipate,” “intend,” “expect” and similar expressions are intended to identify forward-looking statements. We have based these forward- 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additional financing, the results of our research and development efforts, the results of non-clinical and clinical testing, the effect of regulation by the United States Food and Drug Administration (FDA) and other agencies, the impact of competitive products, product development, commercialization and technological difficulties, the effect of our accounting policies, and other risks as detailed in the section entitled “Risk Factors” in our Annual Report on Form 10-K for the year ended March 31, 2014 and in our other filings with the SEC. Further, even if our product candidates appear promising at various stages of development, our share price may decrease such that we are unable to raise additional capital without significant dilution or other terms that may be unacceptable to our management, Board of Directors and stockholders.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Quarterly Report on Form 10-Q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are a stem cell company headquartered in South San Francisco, California, focused on drug discovery, drug rescue and regenerative medicine. We believe </w:t>
      </w:r>
      <w:r>
        <w:rPr>
          <w:rFonts w:ascii="Arial" w:cs="Arial" w:eastAsia="Arial" w:hAnsi="Arial"/>
          <w:sz w:val="17"/>
          <w:szCs w:val="17"/>
          <w:i w:val="1"/>
          <w:iCs w:val="1"/>
          <w:color w:val="auto"/>
        </w:rPr>
        <w:t>better cells lead to better medicines</w:t>
      </w:r>
      <w:r>
        <w:rPr>
          <w:rFonts w:ascii="Arial" w:cs="Arial" w:eastAsia="Arial" w:hAnsi="Arial"/>
          <w:sz w:val="17"/>
          <w:szCs w:val="17"/>
          <w:color w:val="auto"/>
        </w:rPr>
        <w:t>™ and that the key to making better cells is precisely controlling the differentiation of human pluripotent stem cells,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which are the building blocks of all cells of the human body. Our stem cell technology platform, which we refer to as </w:t>
      </w:r>
      <w:r>
        <w:rPr>
          <w:rFonts w:ascii="Arial" w:cs="Arial" w:eastAsia="Arial" w:hAnsi="Arial"/>
          <w:sz w:val="17"/>
          <w:szCs w:val="17"/>
          <w:i w:val="1"/>
          <w:iCs w:val="1"/>
          <w:color w:val="auto"/>
        </w:rPr>
        <w:t>Human Clinical Trials in a Test Tube</w:t>
      </w:r>
      <w:r>
        <w:rPr>
          <w:rFonts w:ascii="Arial" w:cs="Arial" w:eastAsia="Arial" w:hAnsi="Arial"/>
          <w:sz w:val="17"/>
          <w:szCs w:val="17"/>
          <w:color w:val="auto"/>
        </w:rPr>
        <w:t xml:space="preserve">, is based on a combination of proprietary and exclusively licensed technologies for controlling the differentiation of human pluripotent stem cells and producing the multiple types of mature, non-transformed, functional, adult human cells that we use, or plan to use, to reproduce complex human biology and disease and assess, </w:t>
      </w:r>
      <w:r>
        <w:rPr>
          <w:rFonts w:ascii="Arial" w:cs="Arial" w:eastAsia="Arial" w:hAnsi="Arial"/>
          <w:sz w:val="17"/>
          <w:szCs w:val="17"/>
          <w:i w:val="1"/>
          <w:iCs w:val="1"/>
          <w:color w:val="auto"/>
        </w:rPr>
        <w:t>in vitro</w:t>
      </w:r>
      <w:r>
        <w:rPr>
          <w:rFonts w:ascii="Arial" w:cs="Arial" w:eastAsia="Arial" w:hAnsi="Arial"/>
          <w:sz w:val="17"/>
          <w:szCs w:val="17"/>
          <w:color w:val="auto"/>
        </w:rPr>
        <w:t>, the potential therapeutic benefits and safety risks of new drug candidates.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used our stem cell-derived human cardiomyocytes (</w:t>
      </w:r>
      <w:r>
        <w:rPr>
          <w:rFonts w:ascii="Arial" w:cs="Arial" w:eastAsia="Arial" w:hAnsi="Arial"/>
          <w:sz w:val="17"/>
          <w:szCs w:val="17"/>
          <w:i w:val="1"/>
          <w:iCs w:val="1"/>
          <w:color w:val="auto"/>
        </w:rPr>
        <w:t>VSTA-CMs</w:t>
      </w:r>
      <w:r>
        <w:rPr>
          <w:rFonts w:ascii="Arial" w:cs="Arial" w:eastAsia="Arial" w:hAnsi="Arial"/>
          <w:sz w:val="17"/>
          <w:szCs w:val="17"/>
          <w:color w:val="auto"/>
        </w:rPr>
        <w:t xml:space="preserve">™) to design and develop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our novel, customized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bioassay system for predicting potential heart toxicity of new drug candidates, including drug rescue candidates. We believe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is more comprehensive and clinically predictive than the hERG assay, currently the only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cardiac safety assay required by FDA guidelines. Our stem cell-derived hepatocytes (</w:t>
      </w:r>
      <w:r>
        <w:rPr>
          <w:rFonts w:ascii="Arial" w:cs="Arial" w:eastAsia="Arial" w:hAnsi="Arial"/>
          <w:sz w:val="17"/>
          <w:szCs w:val="17"/>
          <w:i w:val="1"/>
          <w:iCs w:val="1"/>
          <w:color w:val="auto"/>
        </w:rPr>
        <w:t>VSTA-heps™)</w:t>
      </w:r>
      <w:r>
        <w:rPr>
          <w:rFonts w:ascii="Arial" w:cs="Arial" w:eastAsia="Arial" w:hAnsi="Arial"/>
          <w:sz w:val="17"/>
          <w:szCs w:val="17"/>
          <w:color w:val="auto"/>
        </w:rPr>
        <w:t xml:space="preserve">, highly-functional, non-transformed, mature human liver cells, are the foundation of </w:t>
      </w:r>
      <w:r>
        <w:rPr>
          <w:rFonts w:ascii="Arial" w:cs="Arial" w:eastAsia="Arial" w:hAnsi="Arial"/>
          <w:sz w:val="17"/>
          <w:szCs w:val="17"/>
          <w:i w:val="1"/>
          <w:iCs w:val="1"/>
          <w:color w:val="auto"/>
        </w:rPr>
        <w:t>LiverSafe</w:t>
      </w:r>
      <w:r>
        <w:rPr>
          <w:rFonts w:ascii="Arial" w:cs="Arial" w:eastAsia="Arial" w:hAnsi="Arial"/>
          <w:sz w:val="17"/>
          <w:szCs w:val="17"/>
          <w:color w:val="auto"/>
        </w:rPr>
        <w:t xml:space="preserve"> 3D™, our novel, customized bioassay system for predicting potential liver toxicity of new drug candidates, including potential drug metabolism issues and adverse drug-drug interactions. We believe our </w:t>
      </w:r>
      <w:r>
        <w:rPr>
          <w:rFonts w:ascii="Arial" w:cs="Arial" w:eastAsia="Arial" w:hAnsi="Arial"/>
          <w:sz w:val="17"/>
          <w:szCs w:val="17"/>
          <w:i w:val="1"/>
          <w:iCs w:val="1"/>
          <w:color w:val="auto"/>
        </w:rPr>
        <w:t xml:space="preserve">VSTA-heps </w:t>
      </w:r>
      <w:r>
        <w:rPr>
          <w:rFonts w:ascii="Arial" w:cs="Arial" w:eastAsia="Arial" w:hAnsi="Arial"/>
          <w:sz w:val="17"/>
          <w:szCs w:val="17"/>
          <w:color w:val="auto"/>
        </w:rPr>
        <w:t>have more functionally useful life-span in culture than primary (cadaver) hepatocytes used in FDA-required drug metabolism studies. We also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believe our </w:t>
      </w:r>
      <w:r>
        <w:rPr>
          <w:rFonts w:ascii="Arial" w:cs="Arial" w:eastAsia="Arial" w:hAnsi="Arial"/>
          <w:sz w:val="17"/>
          <w:szCs w:val="17"/>
          <w:i w:val="1"/>
          <w:iCs w:val="1"/>
          <w:color w:val="auto"/>
        </w:rPr>
        <w:t>VSTA-heps</w:t>
      </w:r>
      <w:r>
        <w:rPr>
          <w:rFonts w:ascii="Arial" w:cs="Arial" w:eastAsia="Arial" w:hAnsi="Arial"/>
          <w:sz w:val="17"/>
          <w:szCs w:val="17"/>
          <w:color w:val="auto"/>
        </w:rPr>
        <w:t xml:space="preserve"> overcome numerous problems related to commercially-available primary hepatocytes currently used in FDA-required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hepatocyte assays for drug metabolism, such as limited supply, unknown health status of the donor and genetic differences among donors. We believe our </w:t>
      </w:r>
      <w:r>
        <w:rPr>
          <w:rFonts w:ascii="Arial" w:cs="Arial" w:eastAsia="Arial" w:hAnsi="Arial"/>
          <w:sz w:val="17"/>
          <w:szCs w:val="17"/>
          <w:i w:val="1"/>
          <w:iCs w:val="1"/>
          <w:color w:val="auto"/>
        </w:rPr>
        <w:t xml:space="preserve">Human Clinical Trials in a Test Tube </w:t>
      </w:r>
      <w:r>
        <w:rPr>
          <w:rFonts w:ascii="Arial" w:cs="Arial" w:eastAsia="Arial" w:hAnsi="Arial"/>
          <w:sz w:val="17"/>
          <w:szCs w:val="17"/>
          <w:color w:val="auto"/>
        </w:rPr>
        <w:t>platform, anchored by</w:t>
      </w:r>
      <w:r>
        <w:rPr>
          <w:rFonts w:ascii="Arial" w:cs="Arial" w:eastAsia="Arial" w:hAnsi="Arial"/>
          <w:sz w:val="17"/>
          <w:szCs w:val="17"/>
          <w:i w:val="1"/>
          <w:iCs w:val="1"/>
          <w:color w:val="auto"/>
        </w:rPr>
        <w:t xml:space="preserve"> VSTA-CMs</w:t>
      </w:r>
      <w:r>
        <w:rPr>
          <w:rFonts w:ascii="Arial" w:cs="Arial" w:eastAsia="Arial" w:hAnsi="Arial"/>
          <w:sz w:val="17"/>
          <w:szCs w:val="17"/>
          <w:color w:val="auto"/>
        </w:rPr>
        <w:t>,</w:t>
      </w:r>
      <w:r>
        <w:rPr>
          <w:rFonts w:ascii="Arial" w:cs="Arial" w:eastAsia="Arial" w:hAnsi="Arial"/>
          <w:sz w:val="17"/>
          <w:szCs w:val="17"/>
          <w:i w:val="1"/>
          <w:iCs w:val="1"/>
          <w:color w:val="auto"/>
        </w:rPr>
        <w:t xml:space="preserve"> VSTA-heps</w:t>
      </w:r>
      <w:r>
        <w:rPr>
          <w:rFonts w:ascii="Arial" w:cs="Arial" w:eastAsia="Arial" w:hAnsi="Arial"/>
          <w:sz w:val="17"/>
          <w:szCs w:val="17"/>
          <w:color w:val="auto"/>
        </w:rPr>
        <w:t>,</w:t>
      </w:r>
      <w:r>
        <w:rPr>
          <w:rFonts w:ascii="Arial" w:cs="Arial" w:eastAsia="Arial" w:hAnsi="Arial"/>
          <w:sz w:val="17"/>
          <w:szCs w:val="17"/>
          <w:i w:val="1"/>
          <w:iCs w:val="1"/>
          <w:color w:val="auto"/>
        </w:rPr>
        <w:t xml:space="preserve"> CardioSafe </w:t>
      </w:r>
      <w:r>
        <w:rPr>
          <w:rFonts w:ascii="Arial" w:cs="Arial" w:eastAsia="Arial" w:hAnsi="Arial"/>
          <w:sz w:val="17"/>
          <w:szCs w:val="17"/>
          <w:color w:val="auto"/>
        </w:rPr>
        <w:t>3D and</w:t>
      </w:r>
      <w:r>
        <w:rPr>
          <w:rFonts w:ascii="Arial" w:cs="Arial" w:eastAsia="Arial" w:hAnsi="Arial"/>
          <w:sz w:val="17"/>
          <w:szCs w:val="17"/>
          <w:i w:val="1"/>
          <w:iCs w:val="1"/>
          <w:color w:val="auto"/>
        </w:rPr>
        <w:t xml:space="preserve"> LiverSafe </w:t>
      </w:r>
      <w:r>
        <w:rPr>
          <w:rFonts w:ascii="Arial" w:cs="Arial" w:eastAsia="Arial" w:hAnsi="Arial"/>
          <w:sz w:val="17"/>
          <w:szCs w:val="17"/>
          <w:color w:val="auto"/>
        </w:rPr>
        <w:t>3D, offers a new drug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paradigm and provides us unique advantages for evaluating and predicting potential heart and liver toxicity of new drug candidates, including drug rescue candidates, early in development, long before costly, high risk human clinical trials.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We believe using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and </w:t>
      </w:r>
      <w:r>
        <w:rPr>
          <w:rFonts w:ascii="Arial" w:cs="Arial" w:eastAsia="Arial" w:hAnsi="Arial"/>
          <w:sz w:val="17"/>
          <w:szCs w:val="17"/>
          <w:i w:val="1"/>
          <w:iCs w:val="1"/>
          <w:color w:val="auto"/>
        </w:rPr>
        <w:t>LiverSafe</w:t>
      </w:r>
      <w:r>
        <w:rPr>
          <w:rFonts w:ascii="Arial" w:cs="Arial" w:eastAsia="Arial" w:hAnsi="Arial"/>
          <w:sz w:val="17"/>
          <w:szCs w:val="17"/>
          <w:color w:val="auto"/>
        </w:rPr>
        <w:t xml:space="preserve"> 3D for our drug rescue programs is the highest-value near term commercial application of the human cells we produce and the novel, customized bioassay systems we have designed and developed. Our drug rescue activities are focused on producing new, safer variants of still-promising new drug candidates previously discovered, optimized and tested for efficacy by pharmaceutical companies and others but terminated before FDA approval due to unexpected heart toxicity or liver toxicity. We refer to these still-promising new drug candidates as </w:t>
      </w:r>
      <w:r>
        <w:rPr>
          <w:rFonts w:ascii="Arial" w:cs="Arial" w:eastAsia="Arial" w:hAnsi="Arial"/>
          <w:sz w:val="17"/>
          <w:szCs w:val="17"/>
          <w:i w:val="1"/>
          <w:iCs w:val="1"/>
          <w:color w:val="auto"/>
        </w:rPr>
        <w:t>Drug Rescue</w:t>
      </w:r>
      <w:r>
        <w:rPr>
          <w:rFonts w:ascii="Arial" w:cs="Arial" w:eastAsia="Arial" w:hAnsi="Arial"/>
          <w:sz w:val="17"/>
          <w:szCs w:val="17"/>
          <w:color w:val="auto"/>
        </w:rPr>
        <w:t xml:space="preserve"> </w:t>
      </w:r>
      <w:r>
        <w:rPr>
          <w:rFonts w:ascii="Arial" w:cs="Arial" w:eastAsia="Arial" w:hAnsi="Arial"/>
          <w:sz w:val="17"/>
          <w:szCs w:val="17"/>
          <w:i w:val="1"/>
          <w:iCs w:val="1"/>
          <w:color w:val="auto"/>
        </w:rPr>
        <w:t>Candidates</w:t>
      </w:r>
      <w:r>
        <w:rPr>
          <w:rFonts w:ascii="Arial" w:cs="Arial" w:eastAsia="Arial" w:hAnsi="Arial"/>
          <w:sz w:val="17"/>
          <w:szCs w:val="17"/>
          <w:color w:val="auto"/>
        </w:rPr>
        <w:t>™. Our drug rescue strategy involves leveraging</w:t>
      </w:r>
      <w:r>
        <w:rPr>
          <w:rFonts w:ascii="Arial" w:cs="Arial" w:eastAsia="Arial" w:hAnsi="Arial"/>
          <w:sz w:val="17"/>
          <w:szCs w:val="17"/>
          <w:i w:val="1"/>
          <w:iCs w:val="1"/>
          <w:color w:val="auto"/>
        </w:rPr>
        <w:t xml:space="preserve"> CardioSafe </w:t>
      </w:r>
      <w:r>
        <w:rPr>
          <w:rFonts w:ascii="Arial" w:cs="Arial" w:eastAsia="Arial" w:hAnsi="Arial"/>
          <w:sz w:val="17"/>
          <w:szCs w:val="17"/>
          <w:color w:val="auto"/>
        </w:rPr>
        <w:t>3D and</w:t>
      </w:r>
      <w:r>
        <w:rPr>
          <w:rFonts w:ascii="Arial" w:cs="Arial" w:eastAsia="Arial" w:hAnsi="Arial"/>
          <w:sz w:val="17"/>
          <w:szCs w:val="17"/>
          <w:i w:val="1"/>
          <w:iCs w:val="1"/>
          <w:color w:val="auto"/>
        </w:rPr>
        <w:t xml:space="preserve"> LiverSafe </w:t>
      </w:r>
      <w:r>
        <w:rPr>
          <w:rFonts w:ascii="Arial" w:cs="Arial" w:eastAsia="Arial" w:hAnsi="Arial"/>
          <w:sz w:val="17"/>
          <w:szCs w:val="17"/>
          <w:color w:val="auto"/>
        </w:rPr>
        <w:t>3D to attempt to significantly reduce the toxicity that caused</w:t>
      </w:r>
      <w:r>
        <w:rPr>
          <w:rFonts w:ascii="Arial" w:cs="Arial" w:eastAsia="Arial" w:hAnsi="Arial"/>
          <w:sz w:val="17"/>
          <w:szCs w:val="17"/>
          <w:i w:val="1"/>
          <w:iCs w:val="1"/>
          <w:color w:val="auto"/>
        </w:rPr>
        <w:t xml:space="preserve"> Drug Rescue Candidates </w:t>
      </w:r>
      <w:r>
        <w:rPr>
          <w:rFonts w:ascii="Arial" w:cs="Arial" w:eastAsia="Arial" w:hAnsi="Arial"/>
          <w:sz w:val="17"/>
          <w:szCs w:val="17"/>
          <w:color w:val="auto"/>
        </w:rPr>
        <w:t>to be terminated, and bring new, proprietary and safer versions of them back into development as promising proprietary new drug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candidates. We refer to the new, proprietary and safer versions of </w:t>
      </w:r>
      <w:r>
        <w:rPr>
          <w:rFonts w:ascii="Arial" w:cs="Arial" w:eastAsia="Arial" w:hAnsi="Arial"/>
          <w:sz w:val="17"/>
          <w:szCs w:val="17"/>
          <w:i w:val="1"/>
          <w:iCs w:val="1"/>
          <w:color w:val="auto"/>
        </w:rPr>
        <w:t>Drug Rescue Candidates</w:t>
      </w:r>
      <w:r>
        <w:rPr>
          <w:rFonts w:ascii="Arial" w:cs="Arial" w:eastAsia="Arial" w:hAnsi="Arial"/>
          <w:sz w:val="17"/>
          <w:szCs w:val="17"/>
          <w:color w:val="auto"/>
        </w:rPr>
        <w:t xml:space="preserve"> we are focused on producing as </w:t>
      </w:r>
      <w:r>
        <w:rPr>
          <w:rFonts w:ascii="Arial" w:cs="Arial" w:eastAsia="Arial" w:hAnsi="Arial"/>
          <w:sz w:val="17"/>
          <w:szCs w:val="17"/>
          <w:i w:val="1"/>
          <w:iCs w:val="1"/>
          <w:color w:val="auto"/>
        </w:rPr>
        <w:t>Drug Rescue Variants</w:t>
      </w:r>
      <w:r>
        <w:rPr>
          <w:rFonts w:ascii="Arial" w:cs="Arial" w:eastAsia="Arial" w:hAnsi="Arial"/>
          <w:sz w:val="17"/>
          <w:szCs w:val="17"/>
          <w:color w:val="auto"/>
        </w:rPr>
        <w:t xml:space="preserve">™. We anticipate that the lead </w:t>
      </w:r>
      <w:r>
        <w:rPr>
          <w:rFonts w:ascii="Arial" w:cs="Arial" w:eastAsia="Arial" w:hAnsi="Arial"/>
          <w:sz w:val="17"/>
          <w:szCs w:val="17"/>
          <w:i w:val="1"/>
          <w:iCs w:val="1"/>
          <w:color w:val="auto"/>
        </w:rPr>
        <w:t>Drug Rescue Variants</w:t>
      </w:r>
      <w:r>
        <w:rPr>
          <w:rFonts w:ascii="Arial" w:cs="Arial" w:eastAsia="Arial" w:hAnsi="Arial"/>
          <w:sz w:val="17"/>
          <w:szCs w:val="17"/>
          <w:color w:val="auto"/>
        </w:rPr>
        <w:t xml:space="preserve"> we optimize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for safety and efficacy will be suitable as a new drug development program, either internally or under revenue-generating out-license arrangements with pharmaceutical or biotechnology companies. We have identified and screened using our </w:t>
      </w:r>
      <w:r>
        <w:rPr>
          <w:rFonts w:ascii="Arial" w:cs="Arial" w:eastAsia="Arial" w:hAnsi="Arial"/>
          <w:sz w:val="17"/>
          <w:szCs w:val="17"/>
          <w:i w:val="1"/>
          <w:iCs w:val="1"/>
          <w:color w:val="auto"/>
        </w:rPr>
        <w:t xml:space="preserve">CardioSafe </w:t>
      </w:r>
      <w:r>
        <w:rPr>
          <w:rFonts w:ascii="Arial" w:cs="Arial" w:eastAsia="Arial" w:hAnsi="Arial"/>
          <w:sz w:val="17"/>
          <w:szCs w:val="17"/>
          <w:color w:val="auto"/>
        </w:rPr>
        <w:t>3D assays multiple</w:t>
      </w:r>
      <w:r>
        <w:rPr>
          <w:rFonts w:ascii="Arial" w:cs="Arial" w:eastAsia="Arial" w:hAnsi="Arial"/>
          <w:sz w:val="17"/>
          <w:szCs w:val="17"/>
          <w:i w:val="1"/>
          <w:iCs w:val="1"/>
          <w:color w:val="auto"/>
        </w:rPr>
        <w:t xml:space="preserve"> Drug Rescue Candidates</w:t>
      </w:r>
      <w:r>
        <w:rPr>
          <w:rFonts w:ascii="Arial" w:cs="Arial" w:eastAsia="Arial" w:hAnsi="Arial"/>
          <w:sz w:val="17"/>
          <w:szCs w:val="17"/>
          <w:color w:val="auto"/>
        </w:rPr>
        <w:t>. Together with our preexisting</w:t>
      </w:r>
      <w:r>
        <w:rPr>
          <w:rFonts w:ascii="Arial" w:cs="Arial" w:eastAsia="Arial" w:hAnsi="Arial"/>
          <w:sz w:val="17"/>
          <w:szCs w:val="17"/>
          <w:i w:val="1"/>
          <w:iCs w:val="1"/>
          <w:color w:val="auto"/>
        </w:rPr>
        <w:t xml:space="preserve"> CardioSafe </w:t>
      </w:r>
      <w:r>
        <w:rPr>
          <w:rFonts w:ascii="Arial" w:cs="Arial" w:eastAsia="Arial" w:hAnsi="Arial"/>
          <w:sz w:val="17"/>
          <w:szCs w:val="17"/>
          <w:color w:val="auto"/>
        </w:rPr>
        <w:t>3D validation data, we believe the results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assessments demonstrate that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can correctly distinguish varying levels of cardiotoxicity between new drug candidates, including </w:t>
      </w:r>
      <w:r>
        <w:rPr>
          <w:rFonts w:ascii="Arial" w:cs="Arial" w:eastAsia="Arial" w:hAnsi="Arial"/>
          <w:sz w:val="17"/>
          <w:szCs w:val="17"/>
          <w:i w:val="1"/>
          <w:iCs w:val="1"/>
          <w:color w:val="auto"/>
        </w:rPr>
        <w:t>Drug Rescue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Candidates </w:t>
      </w:r>
      <w:r>
        <w:rPr>
          <w:rFonts w:ascii="Arial" w:cs="Arial" w:eastAsia="Arial" w:hAnsi="Arial"/>
          <w:sz w:val="17"/>
          <w:szCs w:val="17"/>
          <w:color w:val="auto"/>
        </w:rPr>
        <w:t>and</w:t>
      </w:r>
      <w:r>
        <w:rPr>
          <w:rFonts w:ascii="Arial" w:cs="Arial" w:eastAsia="Arial" w:hAnsi="Arial"/>
          <w:sz w:val="17"/>
          <w:szCs w:val="17"/>
          <w:i w:val="1"/>
          <w:iCs w:val="1"/>
          <w:color w:val="auto"/>
        </w:rPr>
        <w:t xml:space="preserve"> Drug Rescue Variants</w:t>
      </w:r>
      <w:r>
        <w:rPr>
          <w:rFonts w:ascii="Arial" w:cs="Arial" w:eastAsia="Arial" w:hAnsi="Arial"/>
          <w:sz w:val="17"/>
          <w:szCs w:val="17"/>
          <w:color w:val="auto"/>
        </w:rPr>
        <w:t>. Subject to obtaining sufficient financing, we are now prepared to launch multiple</w:t>
      </w:r>
      <w:r>
        <w:rPr>
          <w:rFonts w:ascii="Arial" w:cs="Arial" w:eastAsia="Arial" w:hAnsi="Arial"/>
          <w:sz w:val="17"/>
          <w:szCs w:val="17"/>
          <w:i w:val="1"/>
          <w:iCs w:val="1"/>
          <w:color w:val="auto"/>
        </w:rPr>
        <w:t xml:space="preserve"> CardioSafe </w:t>
      </w:r>
      <w:r>
        <w:rPr>
          <w:rFonts w:ascii="Arial" w:cs="Arial" w:eastAsia="Arial" w:hAnsi="Arial"/>
          <w:sz w:val="17"/>
          <w:szCs w:val="17"/>
          <w:color w:val="auto"/>
        </w:rPr>
        <w:t>3D drug rescue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 and Results of Operations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critical accounting policies and estimates and recent accounting pronouncements are disclosed in our Form 10-K for the fiscal year ended March 31, 2014, as filed with the SEC, and in Note 3 to the accompanying unaudited Condensed Consolidated Financial Statements included in Part 1, Item 1 of this Quarterly Report on Form 10-Q.</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Throughout our fiscal year ended March 31, 2014 and during the three months ended June 30, 2014, our scientific personnel have successfully expanded the drug rescue capabilities of our novel, customized bioassay systems,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 </w:t>
      </w:r>
      <w:r>
        <w:rPr>
          <w:rFonts w:ascii="Arial" w:cs="Arial" w:eastAsia="Arial" w:hAnsi="Arial"/>
          <w:sz w:val="18"/>
          <w:szCs w:val="18"/>
          <w:i w:val="1"/>
          <w:iCs w:val="1"/>
          <w:color w:val="auto"/>
        </w:rPr>
        <w:t>LiverSafe</w:t>
      </w:r>
      <w:r>
        <w:rPr>
          <w:rFonts w:ascii="Arial" w:cs="Arial" w:eastAsia="Arial" w:hAnsi="Arial"/>
          <w:sz w:val="18"/>
          <w:szCs w:val="18"/>
          <w:color w:val="auto"/>
        </w:rPr>
        <w:t xml:space="preserve"> 3D™, and advanced our internal review and assessment in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of multiple prospective </w:t>
      </w:r>
      <w:r>
        <w:rPr>
          <w:rFonts w:ascii="Arial" w:cs="Arial" w:eastAsia="Arial" w:hAnsi="Arial"/>
          <w:sz w:val="18"/>
          <w:szCs w:val="18"/>
          <w:i w:val="1"/>
          <w:iCs w:val="1"/>
          <w:color w:val="auto"/>
        </w:rPr>
        <w:t>Drug Rescue Candidates</w:t>
      </w:r>
      <w:r>
        <w:rPr>
          <w:rFonts w:ascii="Arial" w:cs="Arial" w:eastAsia="Arial" w:hAnsi="Arial"/>
          <w:sz w:val="18"/>
          <w:szCs w:val="18"/>
          <w:color w:val="auto"/>
        </w:rPr>
        <w:t>.</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Throughout fiscal 2014 and during the first three months of fiscal 2015, our executive management has been significantly focused on providing sufficient operating capital to continue to advance our stem cell research and drug development objectives while meeting our continuing operational needs. To that end, in April 2013, we entered into a Securities Purchase Agreement (as amended, </w:t>
      </w:r>
      <w:r>
        <w:rPr>
          <w:rFonts w:ascii="Arial" w:cs="Arial" w:eastAsia="Arial" w:hAnsi="Arial"/>
          <w:sz w:val="18"/>
          <w:szCs w:val="18"/>
          <w:i w:val="1"/>
          <w:iCs w:val="1"/>
          <w:color w:val="auto"/>
        </w:rPr>
        <w:t>Securities Purchase Agreement</w:t>
      </w:r>
      <w:r>
        <w:rPr>
          <w:rFonts w:ascii="Arial" w:cs="Arial" w:eastAsia="Arial" w:hAnsi="Arial"/>
          <w:sz w:val="18"/>
          <w:szCs w:val="18"/>
          <w:color w:val="auto"/>
        </w:rPr>
        <w:t>) with Autilion AG, an institutional investor organized and existing under the laws of Switzerland (</w:t>
      </w:r>
      <w:r>
        <w:rPr>
          <w:rFonts w:ascii="Arial" w:cs="Arial" w:eastAsia="Arial" w:hAnsi="Arial"/>
          <w:sz w:val="18"/>
          <w:szCs w:val="18"/>
          <w:i w:val="1"/>
          <w:iCs w:val="1"/>
          <w:color w:val="auto"/>
        </w:rPr>
        <w:t>Autilion</w:t>
      </w:r>
      <w:r>
        <w:rPr>
          <w:rFonts w:ascii="Arial" w:cs="Arial" w:eastAsia="Arial" w:hAnsi="Arial"/>
          <w:sz w:val="18"/>
          <w:szCs w:val="18"/>
          <w:color w:val="auto"/>
        </w:rPr>
        <w:t>), under which Autilion remains contractually obligated to purchase an aggregate of 72.0 million restricted shares of our common stock at a purchase price of $0.50 per share for aggregate cash proceeds to us of $36.0 million (</w:t>
      </w:r>
      <w:r>
        <w:rPr>
          <w:rFonts w:ascii="Arial" w:cs="Arial" w:eastAsia="Arial" w:hAnsi="Arial"/>
          <w:sz w:val="18"/>
          <w:szCs w:val="18"/>
          <w:i w:val="1"/>
          <w:iCs w:val="1"/>
          <w:color w:val="auto"/>
        </w:rPr>
        <w:t>Autilion Financing</w:t>
      </w:r>
      <w:r>
        <w:rPr>
          <w:rFonts w:ascii="Arial" w:cs="Arial" w:eastAsia="Arial" w:hAnsi="Arial"/>
          <w:sz w:val="18"/>
          <w:szCs w:val="18"/>
          <w:color w:val="auto"/>
        </w:rPr>
        <w:t>). To date, Autilion has completed only a nominal closing under the Securities Purchase Agreement. Autilion is therefore in default under the Securities Purchase Agreement. As a result, no assurances can be given that Autilion will consummate any further investments under the Securities Purchase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meet our working capital needs for our current fiscal year as a result of Autilion’s continuing default under the Securities Purchase Agreement between late-March 2014 and June 30, 2014, we entered into subscription agreements with accredited investors, including Platinum, our largest investor, pursuant to which we sold to such investors, in private placement transactions, units consisting of: (i) 10% convertible notes maturing on March 31, 2015 in the aggregate face amount of $1,570,000; (ii) an aggregate of 1,570,000 restricted shares of our common stock; and (iii) warrants exercisable through December 31, 2016 to purchase an aggregate of 1,570,000 restricted shares of our common stock at an exercise price of $0.50 per share. We received cash proceeds of $1,570,000 from the sale of the Units. We have sold an additional $55,000 of Units in private placements to accredited investors between July 1, 2014 and August 8, 2014.</w:t>
      </w:r>
    </w:p>
    <w:p>
      <w:pPr>
        <w:spacing w:after="0" w:line="21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Given our working capital constraints throughout fiscal 2014 and thereafter, we have attempted to minimize to the greatest extent possible cash commitments and expenditures for external research and development and general and administrative services, particularly during the later portion of our fiscal year ended March 31, 2014 and the quarter ended June 30, 2014.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2014 and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three months ended June 30, 2014 and 2013 (amounts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797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Change in warrant liabilities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(1,727)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(4,553)</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reported no revenue for the quarter ended June 30, 2014 or 2013. We have successfully completed our Phase I development of AV-101, our novel, orally-available, non-sedating prodrug candidate for the treatment of depression, epilepsy, pain Parkinson’s disease. Our NIH grant related to AV-101 expired in its normal course on June 30, 2012 and has not been extended or renewed. We presently have no other revenue generating arrangements.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Research and development expense totaled $474,000 for the quarter ended June 30, 2014, a decrease of 32% compared to $695,000 for the quarter ended June 30, 2013. The following table indicates the primary components of research and development for each of the periods (amounts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ind w:left="40"/>
              <w:spacing w:after="0"/>
              <w:rPr>
                <w:sz w:val="20"/>
                <w:szCs w:val="20"/>
                <w:color w:val="auto"/>
              </w:rPr>
            </w:pPr>
            <w:r>
              <w:rPr>
                <w:rFonts w:ascii="Arial" w:cs="Arial" w:eastAsia="Arial" w:hAnsi="Arial"/>
                <w:sz w:val="18"/>
                <w:szCs w:val="18"/>
                <w:color w:val="auto"/>
                <w:w w:val="99"/>
              </w:rPr>
              <w:t>Three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UHN research under SRCA</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Consulting services</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licenses and royalties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Project-related third-party research and supplies:</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AV-101</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40"/>
              <w:spacing w:after="0"/>
              <w:rPr>
                <w:sz w:val="20"/>
                <w:szCs w:val="20"/>
                <w:color w:val="auto"/>
              </w:rPr>
            </w:pPr>
            <w:r>
              <w:rPr>
                <w:rFonts w:ascii="Arial" w:cs="Arial" w:eastAsia="Arial" w:hAnsi="Arial"/>
                <w:sz w:val="18"/>
                <w:szCs w:val="18"/>
                <w:color w:val="auto"/>
              </w:rPr>
              <w:t>All other including CardioSafe and LiverSafe</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Rent</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2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R&amp;D salaries and benefits are essentially even between the periods, reflecting stable headcount and pay rates between periods. To conserve cash resources, during both 2013 and 2014, our Chief Scientific Officer (</w:t>
      </w:r>
      <w:r>
        <w:rPr>
          <w:rFonts w:ascii="Arial" w:cs="Arial" w:eastAsia="Arial" w:hAnsi="Arial"/>
          <w:sz w:val="16"/>
          <w:szCs w:val="16"/>
          <w:i w:val="1"/>
          <w:iCs w:val="1"/>
          <w:color w:val="auto"/>
        </w:rPr>
        <w:t>CSO</w:t>
      </w:r>
      <w:r>
        <w:rPr>
          <w:rFonts w:ascii="Arial" w:cs="Arial" w:eastAsia="Arial" w:hAnsi="Arial"/>
          <w:sz w:val="16"/>
          <w:szCs w:val="16"/>
          <w:color w:val="auto"/>
        </w:rPr>
        <w:t>) has accepted a voluntary salary reduction to substantially less than his contractual pay rate. The increase in non-cash stock based compensation between periods reflects the ratable amortization of new option grants made to scientific staff and consultants in October 2013 and March 2014 as well as amortization of a grant of warrants to our CSO in March 2014. The stock options are being amortized over their four-year vesting period; the warrants granted to the CSO are being amortized over a three-year vesting period, but are subject to certain vesting acceleration events. Our 2013 sponsored research project budget under the collaboration agreement with Dr. Gordon Keller’s laboratory at UHN ended on September 30, 2013. We are currently in discussions with Dr. Keller and UHN regarding the scope of our 2014/2015 sponsored research projects and budget under the agreement, and we anticipate finalizing such project definitions and budgets in the near term. Consulting services reflects fees paid or accrued for scientific services rendered to us by third-parties. Stem cell technology license expense reflects both recurring annual fees as well as costs for patent prosecution and protection that we are required to fund under the terms of certain of our license agreements. We recognize these costs as they are invoiced to us by the licensors and they do not occur ratably throughout the year or between years. Certain of our technology licensors invoiced us for significant legal fees for patent protection and prosecution during 2013. We completed our Phase 1b clinical trial of AV-101 during mid-calendar 2012. AV-101 expenses in both periods presented reflect the costs associated with monitoring for and responding to potential feedback related to the clinical trial and preparing other reports required under the terms of our prior NIH grant, primarily through our contract research collaborator, Cato Research Ltd. The 2014 increase in rent expense reflects increased rental costs related to our relocation to expanded facilities in late-July 2013.</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 was $797,000 for the quarter ended June 30, 2014, an increase of 32% compared with $605,000 for the quarter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2013. The following table indicates the primary components of general and administrative expenses for each of the periods (amounts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6"/>
          </w:tcPr>
          <w:p>
            <w:pPr>
              <w:jc w:val="right"/>
              <w:ind w:right="280"/>
              <w:spacing w:after="0"/>
              <w:rPr>
                <w:sz w:val="20"/>
                <w:szCs w:val="20"/>
                <w:color w:val="auto"/>
              </w:rPr>
            </w:pPr>
            <w:r>
              <w:rPr>
                <w:rFonts w:ascii="Arial" w:cs="Arial" w:eastAsia="Arial" w:hAnsi="Arial"/>
                <w:sz w:val="18"/>
                <w:szCs w:val="18"/>
                <w:color w:val="auto"/>
                <w:w w:val="94"/>
              </w:rPr>
              <w:t>Three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3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800" w:type="dxa"/>
            <w:vAlign w:val="bottom"/>
            <w:gridSpan w:val="2"/>
            <w:shd w:val="clear" w:color="auto" w:fill="CCEEFF"/>
          </w:tcPr>
          <w:p>
            <w:pPr>
              <w:jc w:val="right"/>
              <w:ind w:right="63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Services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373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Insurance</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Travel and entertainment</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 and utilities</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expenses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General and Administrative Expense</w:t>
            </w:r>
          </w:p>
        </w:tc>
        <w:tc>
          <w:tcPr>
            <w:tcW w:w="800" w:type="dxa"/>
            <w:vAlign w:val="bottom"/>
            <w:gridSpan w:val="2"/>
          </w:tcPr>
          <w:p>
            <w:pPr>
              <w:jc w:val="right"/>
              <w:ind w:right="630"/>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797</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decrease in administrative salaries and benefits expense reflects the impact of the voluntary resignations of two administrative employees in August and November 2013 who have not been replaced. Pay rates for administrative employees remained stable between the periods presented. To conserve cash resources, during both 2013 and 2014, our Chief Executive Officer (</w:t>
      </w:r>
      <w:r>
        <w:rPr>
          <w:rFonts w:ascii="Arial" w:cs="Arial" w:eastAsia="Arial" w:hAnsi="Arial"/>
          <w:sz w:val="16"/>
          <w:szCs w:val="16"/>
          <w:i w:val="1"/>
          <w:iCs w:val="1"/>
          <w:color w:val="auto"/>
        </w:rPr>
        <w:t>CEO</w:t>
      </w:r>
      <w:r>
        <w:rPr>
          <w:rFonts w:ascii="Arial" w:cs="Arial" w:eastAsia="Arial" w:hAnsi="Arial"/>
          <w:sz w:val="16"/>
          <w:szCs w:val="16"/>
          <w:color w:val="auto"/>
        </w:rPr>
        <w:t>) has accepted a voluntary salary reduction to substantially less than his contractual pay rate. Stock compensation expense is essentially even between periods, reflecting the ratable amortization of non-cash stock-based compensation expense over the requisite service period of the grants. Amortization of expense related to certain option grants made during 2009 and 2010 ceased as the awards became fully-vested, partially offset by the amortization of expense related to option grants made in October 2013 and March 2014 and the impact of warrant grants made to the independent members of our Board of Directors and an officer in March 2014. Consulting services primarily reflects fees paid or accrued for independent members of our Board of Directors. The increase in legal, accounting and other professional fees primarily reflects the impact of (i) a consulting agreement for strategic advisory and business development services pursuant to which we issued 200,000 restricted shares of our common stock valued at $134,000 and have paid $35,000 in cash as compensation for such professional services through June 2014; and (ii) costs related to temporary employee fees for part-time administrative services. Outsourced investor relations service expenses are flat between periods. The 2014 increase in rent and utilities reflects increased costs related to our relocation to expanded facilities in late-July 2013. Warrant modification expense reflects the impact of a program of strategic reductions in certain warrant exercise prices as an incentive for the exercise of such warrants that we conducted in June 2013, and from which we used the proceeds of the warrant exercises as a source of short-term working capital.</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 Net</w:t>
      </w:r>
    </w:p>
    <w:p>
      <w:pPr>
        <w:spacing w:after="0" w:line="25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Interest expense, net totaled $800,000 for the quarter ended June 30, 2014, a 153% increase compared to the $316,000 reported for the quarter ended June 30, 2013. The following table summarizes the primary components of interest expense for each of the periods (amounts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jc w:val="right"/>
              <w:ind w:right="280"/>
              <w:spacing w:after="0"/>
              <w:rPr>
                <w:sz w:val="20"/>
                <w:szCs w:val="20"/>
                <w:color w:val="auto"/>
              </w:rPr>
            </w:pPr>
            <w:r>
              <w:rPr>
                <w:rFonts w:ascii="Arial" w:cs="Arial" w:eastAsia="Arial" w:hAnsi="Arial"/>
                <w:sz w:val="18"/>
                <w:szCs w:val="18"/>
                <w:color w:val="auto"/>
                <w:w w:val="90"/>
              </w:rPr>
              <w:t>Three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promissory notes, including discount amortization</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Other interest expense, including on capital leases and premium financing</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Effect of foreign currency fluctuations on notes payable</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interest expense between the periods is primarily attributable to the accrued interest and discount amortization recorded for the issuances between August 2013 and June 2014 of an aggregate of approximately $2.5 million of 10% convertible promissory notes pursuant to the 2013 Unit Private Placement and the 2014 Unit Private Placement. As a result of the significant inception-date discounts recorded in connection with the Unit Notes and the relatively short period between issuance and maturity over which the discount must be amortized, discount amortization increased by approximately $400,000 between the periods shown in the preceding table.</w:t>
      </w:r>
    </w:p>
    <w:p>
      <w:pPr>
        <w:spacing w:after="0" w:line="21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Under the terms of the October 2012 Note Exchange and Purchase Agreement we entered with Platinum, we issued certain Senior Secured Convertible Promissory Notes and a related Exchange Warrant and Investment Warrants in October 2012, February 2013 and March 2013. We also issued a similar senior secured promissory note and related warrant to Platinum in July 2013. Upon Platinum’s exchange of the shares of our Series A preferred stock held by Platinum into shares of our common stock, we will also be required to issue a Series A Exchange Warrant to Platinum. We determined that the various warrants included certain exercise price adjustment features requiring us to treat the warrants as liabilities. Accordingly, we recorded a non-cash warrant liability at its estimated fair value as of the date of warrant issuance or contract execution. During the quarter ended June 30, 2014 we recognized non-cash expense of $1,727,200 related to the net increase in the estimated fair value of these non-cash liabilities since March 31, 2014, which resulted primarily from the increase in the market price of our common stock in relation to the exercise price of the warrants. During the quarter ended June 30, 2013, we recognized non-cash income of $1,804,900 related to the net decrease in the estimated fair value of the warrant liabilities since March 31, 2013, which resulted primarily from the decrease in the market price of our common stock in relation to the exercise price of the warrants.</w:t>
      </w:r>
    </w:p>
    <w:p>
      <w:pPr>
        <w:spacing w:after="0" w:line="19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As described more fully in Note 7, </w:t>
      </w:r>
      <w:r>
        <w:rPr>
          <w:rFonts w:ascii="Arial" w:cs="Arial" w:eastAsia="Arial" w:hAnsi="Arial"/>
          <w:sz w:val="17"/>
          <w:szCs w:val="17"/>
          <w:i w:val="1"/>
          <w:iCs w:val="1"/>
          <w:color w:val="auto"/>
        </w:rPr>
        <w:t>Convertible Promissory Notes and Other Notes Payable</w:t>
      </w:r>
      <w:r>
        <w:rPr>
          <w:rFonts w:ascii="Arial" w:cs="Arial" w:eastAsia="Arial" w:hAnsi="Arial"/>
          <w:sz w:val="17"/>
          <w:szCs w:val="17"/>
          <w:color w:val="auto"/>
        </w:rPr>
        <w:t xml:space="preserve">, and Note 8, </w:t>
      </w:r>
      <w:r>
        <w:rPr>
          <w:rFonts w:ascii="Arial" w:cs="Arial" w:eastAsia="Arial" w:hAnsi="Arial"/>
          <w:sz w:val="17"/>
          <w:szCs w:val="17"/>
          <w:i w:val="1"/>
          <w:iCs w:val="1"/>
          <w:color w:val="auto"/>
        </w:rPr>
        <w:t>Capital Stock,</w:t>
      </w:r>
      <w:r>
        <w:rPr>
          <w:rFonts w:ascii="Arial" w:cs="Arial" w:eastAsia="Arial" w:hAnsi="Arial"/>
          <w:sz w:val="17"/>
          <w:szCs w:val="17"/>
          <w:color w:val="auto"/>
        </w:rPr>
        <w:t xml:space="preserve"> in the Condensed Consolidated Financial Statements included in Item 1 of this Quarterly Report on Form 10-Q, effective May 31, 2014, we entered into agreements with substantially all holders of our 2013/2014 Unit Notes and 2013/2014 Unit Warrants to amend certain terms of the notes and the warrants. We treated the amendments as an extinguishment of debt for accounting purposes. Accordingly, since the fair value of the amended notes and warrants exceeded the carrying amount of the original notes, we recognized non-cash losses on the extinguishment of debt in the aggregate amount of $526,200 attributable to the amendments. We recognized an additional $241,800 as a non-cash loss on extinguishment of debt as a result of the promissory note, shares of our common stock and warrants issued to Icahn School of Medicine at Mount Sinai in settlement of stem cell technology license maintenance fees and reimbursable patent prosecution costs, as described more completely in Note 8, </w:t>
      </w:r>
      <w:r>
        <w:rPr>
          <w:rFonts w:ascii="Arial" w:cs="Arial" w:eastAsia="Arial" w:hAnsi="Arial"/>
          <w:sz w:val="17"/>
          <w:szCs w:val="17"/>
          <w:i w:val="1"/>
          <w:iCs w:val="1"/>
          <w:color w:val="auto"/>
        </w:rPr>
        <w:t>Capital Stock,</w:t>
      </w:r>
      <w:r>
        <w:rPr>
          <w:rFonts w:ascii="Arial" w:cs="Arial" w:eastAsia="Arial" w:hAnsi="Arial"/>
          <w:sz w:val="17"/>
          <w:szCs w:val="17"/>
          <w:color w:val="auto"/>
        </w:rPr>
        <w:t xml:space="preserve"> in the Condensed Consolidated Financial Statements included in Item 1 of this Quarterly Report on Form 10-Q.</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Since our inception in May 1998 through June 30, 2014, we have financed our operations and technology acquisitions primarily through the issuance and sale of equity and debt securities, including convertible promissory notes and short-term promissory notes, for cash proceeds of approximately $27.5 million, as well as from an aggregate of approximately $16.4 million of government research grant awards, strategic collaboration payments and other revenues. Additionally, we have issued equity securities with an approximate value at issuance of $13.0 million in non-cash settlements of certain liabilities, including liabilities for professional services rendered to us or as compensation for such services. At June 30, 2014, we had approximately $400,700 in cash and cash equivalents, which is not sufficient to enable us to fund our planned operations, including expected cash expenditures of approximately $7.5 million through the next twelve months. In April 2013, we entered into a Securities Purchase Agreement (as amended, </w:t>
      </w:r>
      <w:r>
        <w:rPr>
          <w:rFonts w:ascii="Arial" w:cs="Arial" w:eastAsia="Arial" w:hAnsi="Arial"/>
          <w:sz w:val="17"/>
          <w:szCs w:val="17"/>
          <w:i w:val="1"/>
          <w:iCs w:val="1"/>
          <w:color w:val="auto"/>
        </w:rPr>
        <w:t>Securities Purchase Agreement</w:t>
      </w:r>
      <w:r>
        <w:rPr>
          <w:rFonts w:ascii="Arial" w:cs="Arial" w:eastAsia="Arial" w:hAnsi="Arial"/>
          <w:sz w:val="17"/>
          <w:szCs w:val="17"/>
          <w:color w:val="auto"/>
        </w:rPr>
        <w:t>) with Autilion AG, a company organized and existing under the laws of Switzerland (</w:t>
      </w:r>
      <w:r>
        <w:rPr>
          <w:rFonts w:ascii="Arial" w:cs="Arial" w:eastAsia="Arial" w:hAnsi="Arial"/>
          <w:sz w:val="17"/>
          <w:szCs w:val="17"/>
          <w:i w:val="1"/>
          <w:iCs w:val="1"/>
          <w:color w:val="auto"/>
        </w:rPr>
        <w:t>Autilion</w:t>
      </w:r>
      <w:r>
        <w:rPr>
          <w:rFonts w:ascii="Arial" w:cs="Arial" w:eastAsia="Arial" w:hAnsi="Arial"/>
          <w:sz w:val="17"/>
          <w:szCs w:val="17"/>
          <w:color w:val="auto"/>
        </w:rPr>
        <w:t>), under which Autilion remains contractually obligated to purchase an aggregate of 72.0 million restricted shares of our common stock at a purchase price of $0.50 per share for aggregate cash proceeds to us of $36.0 million (</w:t>
      </w:r>
      <w:r>
        <w:rPr>
          <w:rFonts w:ascii="Arial" w:cs="Arial" w:eastAsia="Arial" w:hAnsi="Arial"/>
          <w:sz w:val="17"/>
          <w:szCs w:val="17"/>
          <w:i w:val="1"/>
          <w:iCs w:val="1"/>
          <w:color w:val="auto"/>
        </w:rPr>
        <w:t>Autilion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Financing </w:t>
      </w:r>
      <w:r>
        <w:rPr>
          <w:rFonts w:ascii="Arial" w:cs="Arial" w:eastAsia="Arial" w:hAnsi="Arial"/>
          <w:sz w:val="17"/>
          <w:szCs w:val="17"/>
          <w:color w:val="auto"/>
        </w:rPr>
        <w:t>or</w:t>
      </w:r>
      <w:r>
        <w:rPr>
          <w:rFonts w:ascii="Arial" w:cs="Arial" w:eastAsia="Arial" w:hAnsi="Arial"/>
          <w:sz w:val="17"/>
          <w:szCs w:val="17"/>
          <w:i w:val="1"/>
          <w:iCs w:val="1"/>
          <w:color w:val="auto"/>
        </w:rPr>
        <w:t xml:space="preserve"> Private Financing</w:t>
      </w:r>
      <w:r>
        <w:rPr>
          <w:rFonts w:ascii="Arial" w:cs="Arial" w:eastAsia="Arial" w:hAnsi="Arial"/>
          <w:sz w:val="17"/>
          <w:szCs w:val="17"/>
          <w:color w:val="auto"/>
        </w:rPr>
        <w:t>). To date, Autilion has completed only a nominal closing under the Securities Purchase Agreement. Autilion is currently in</w:t>
      </w:r>
      <w:r>
        <w:rPr>
          <w:rFonts w:ascii="Arial" w:cs="Arial" w:eastAsia="Arial" w:hAnsi="Arial"/>
          <w:sz w:val="17"/>
          <w:szCs w:val="17"/>
          <w:i w:val="1"/>
          <w:iCs w:val="1"/>
          <w:color w:val="auto"/>
        </w:rPr>
        <w:t xml:space="preserve"> </w:t>
      </w:r>
      <w:r>
        <w:rPr>
          <w:rFonts w:ascii="Arial" w:cs="Arial" w:eastAsia="Arial" w:hAnsi="Arial"/>
          <w:sz w:val="17"/>
          <w:szCs w:val="17"/>
          <w:color w:val="auto"/>
        </w:rPr>
        <w:t>default under the Securities Purchase Agreement, and no assurances can be provided that Autilion will complete an additional closing under the Securities Purchase Agreement. In the event that Autilion does not complete a material portion of the Autilion Financing pursuant to the Securities Purchase Agreement in the near term, we will need to obtain approximately $7.5 million from alternative financing sources to execute our business plan over the next twelve to fifteen months. On May 12, 2014, we filed a Registration Statement on Form S-1 with the SEC (File No. 333-195901) (</w:t>
      </w:r>
      <w:r>
        <w:rPr>
          <w:rFonts w:ascii="Arial" w:cs="Arial" w:eastAsia="Arial" w:hAnsi="Arial"/>
          <w:sz w:val="17"/>
          <w:szCs w:val="17"/>
          <w:i w:val="1"/>
          <w:iCs w:val="1"/>
          <w:color w:val="auto"/>
        </w:rPr>
        <w:t>Registration Statement</w:t>
      </w:r>
      <w:r>
        <w:rPr>
          <w:rFonts w:ascii="Arial" w:cs="Arial" w:eastAsia="Arial" w:hAnsi="Arial"/>
          <w:sz w:val="17"/>
          <w:szCs w:val="17"/>
          <w:color w:val="auto"/>
        </w:rPr>
        <w:t>) to register up to 30 million shares of our common stock, and warrants to purchase up to 30 million shares of our common stock, in a public offering (</w:t>
      </w:r>
      <w:r>
        <w:rPr>
          <w:rFonts w:ascii="Arial" w:cs="Arial" w:eastAsia="Arial" w:hAnsi="Arial"/>
          <w:sz w:val="17"/>
          <w:szCs w:val="17"/>
          <w:i w:val="1"/>
          <w:iCs w:val="1"/>
          <w:color w:val="auto"/>
        </w:rPr>
        <w:t>Public Offering)</w:t>
      </w:r>
      <w:r>
        <w:rPr>
          <w:rFonts w:ascii="Arial" w:cs="Arial" w:eastAsia="Arial" w:hAnsi="Arial"/>
          <w:sz w:val="17"/>
          <w:szCs w:val="17"/>
          <w:color w:val="auto"/>
        </w:rPr>
        <w:t xml:space="preserve">. The Registration Statement was declared effective on August 7, 2014. No assurances can be provided, however, that we will complete our Public Offering in the near term, on acceptable terms, or at all. In the remainder of this discussion the Private Financing and Public Offering are referred to as a </w:t>
      </w:r>
      <w:r>
        <w:rPr>
          <w:rFonts w:ascii="Arial" w:cs="Arial" w:eastAsia="Arial" w:hAnsi="Arial"/>
          <w:sz w:val="17"/>
          <w:szCs w:val="17"/>
          <w:i w:val="1"/>
          <w:iCs w:val="1"/>
          <w:color w:val="auto"/>
        </w:rPr>
        <w:t>Qualified</w:t>
      </w:r>
      <w:r>
        <w:rPr>
          <w:rFonts w:ascii="Arial" w:cs="Arial" w:eastAsia="Arial" w:hAnsi="Arial"/>
          <w:sz w:val="17"/>
          <w:szCs w:val="17"/>
          <w:color w:val="auto"/>
        </w:rPr>
        <w:t xml:space="preserve"> </w:t>
      </w:r>
      <w:r>
        <w:rPr>
          <w:rFonts w:ascii="Arial" w:cs="Arial" w:eastAsia="Arial" w:hAnsi="Arial"/>
          <w:sz w:val="17"/>
          <w:szCs w:val="17"/>
          <w:i w:val="1"/>
          <w:iCs w:val="1"/>
          <w:color w:val="auto"/>
        </w:rPr>
        <w:t>Financing</w:t>
      </w:r>
      <w:r>
        <w:rPr>
          <w:rFonts w:ascii="Arial" w:cs="Arial" w:eastAsia="Arial" w:hAnsi="Arial"/>
          <w:sz w:val="17"/>
          <w:szCs w:val="17"/>
          <w:color w:val="auto"/>
        </w:rPr>
        <w:t>).</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continue to meet our cash needs and fund our working capital requirements after June 30, 2014 and prior to the completion of a Qualified Financing, through August 8, 2014, we entered into securities purchase agreements with accredited investors and institutions pursuant to which we sold to such accredited investors in private placement transactions units, for aggregate proceeds of $55,000, consisting of: (i) 10% subordinate convertible promissory notes in the aggregate face amount of $55,000 maturing on March 31, 2015; (ii) an aggregate of 55,000 restricted shares of our common stock; and (iii) warrants exercisable through December 31, 2016 to purchase an aggregate of 55,000 restricted shares of our common stock at an exercise price of $0.50 per share.</w:t>
      </w:r>
    </w:p>
    <w:p>
      <w:pPr>
        <w:spacing w:after="0" w:line="22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and as necessary, we may supplement the expected proceeds from a Qualified Financing through a combination of additional private placements of our securities, which may include both debt and equity securities, stem cell technology-based research and development collaborations, stem cell technology and drug candidate license fees, and government grant awards. Notwithstanding the foregoing, substantial additional financing may not be available to us on a timely basis, on acceptable terms, or at all. If we are unable to complete a Qualified Financing or otherwise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Further, in July 2014, we entered into an Amended and Restated Note Conversion Agreement and Warrant Amendment with Platinum (</w:t>
      </w:r>
      <w:r>
        <w:rPr>
          <w:rFonts w:ascii="Arial" w:cs="Arial" w:eastAsia="Arial" w:hAnsi="Arial"/>
          <w:sz w:val="17"/>
          <w:szCs w:val="17"/>
          <w:i w:val="1"/>
          <w:iCs w:val="1"/>
          <w:color w:val="auto"/>
        </w:rPr>
        <w:t>Amendment</w:t>
      </w:r>
      <w:r>
        <w:rPr>
          <w:rFonts w:ascii="Arial" w:cs="Arial" w:eastAsia="Arial" w:hAnsi="Arial"/>
          <w:sz w:val="17"/>
          <w:szCs w:val="17"/>
          <w:color w:val="auto"/>
        </w:rPr>
        <w:t>), wherein Platinum has agreed to convert into our unregistered equity securities all Senior Secured Convertible Promissory Notes (</w:t>
      </w:r>
      <w:r>
        <w:rPr>
          <w:rFonts w:ascii="Arial" w:cs="Arial" w:eastAsia="Arial" w:hAnsi="Arial"/>
          <w:sz w:val="17"/>
          <w:szCs w:val="17"/>
          <w:i w:val="1"/>
          <w:iCs w:val="1"/>
          <w:color w:val="auto"/>
        </w:rPr>
        <w:t>Senior Notes</w:t>
      </w:r>
      <w:r>
        <w:rPr>
          <w:rFonts w:ascii="Arial" w:cs="Arial" w:eastAsia="Arial" w:hAnsi="Arial"/>
          <w:sz w:val="17"/>
          <w:szCs w:val="17"/>
          <w:color w:val="auto"/>
        </w:rPr>
        <w:t>) currently held by Platinum, in the aggregate amount of approximately $4.1 million, including accrued but unpaid interest thereon (</w:t>
      </w:r>
      <w:r>
        <w:rPr>
          <w:rFonts w:ascii="Arial" w:cs="Arial" w:eastAsia="Arial" w:hAnsi="Arial"/>
          <w:sz w:val="17"/>
          <w:szCs w:val="17"/>
          <w:i w:val="1"/>
          <w:iCs w:val="1"/>
          <w:color w:val="auto"/>
        </w:rPr>
        <w:t>Outstanding Balance</w:t>
      </w:r>
      <w:r>
        <w:rPr>
          <w:rFonts w:ascii="Arial" w:cs="Arial" w:eastAsia="Arial" w:hAnsi="Arial"/>
          <w:sz w:val="17"/>
          <w:szCs w:val="17"/>
          <w:color w:val="auto"/>
        </w:rPr>
        <w:t>), upon our consummation on or before August 31, 2014 (</w:t>
      </w:r>
      <w:r>
        <w:rPr>
          <w:rFonts w:ascii="Arial" w:cs="Arial" w:eastAsia="Arial" w:hAnsi="Arial"/>
          <w:sz w:val="17"/>
          <w:szCs w:val="17"/>
          <w:i w:val="1"/>
          <w:iCs w:val="1"/>
          <w:color w:val="auto"/>
        </w:rPr>
        <w:t>Closing Date</w:t>
      </w:r>
      <w:r>
        <w:rPr>
          <w:rFonts w:ascii="Arial" w:cs="Arial" w:eastAsia="Arial" w:hAnsi="Arial"/>
          <w:sz w:val="17"/>
          <w:szCs w:val="17"/>
          <w:color w:val="auto"/>
        </w:rPr>
        <w:t>), of either (i) the Private Financing or (ii) the Public Offering results in gross proceeds of at least $10.0 million or more. Upon consummation of a Private Financing, the Senior Notes will convert into that number of unregistered shares of our Common Stock equal to the Outstanding Balance on the Closing Date, divided by $0.50 per share. In the event the Public Offering results in gross proceeds of at least $10 million, the Senior Notes will convert into shares of newly created Series B Convertible Preferred Stock with an aggregate liquidation preference equal to the Outstanding Balance on the Closing Date. Eliminating the necessity to repay in cash the Senior Notes otherwise maturing between October 2015 and July 2016 significantly improves our liquidity and reduces our intermediate-term cash requirements.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event the Autilion Financing is completed in an amount exceeding $13.0 million, and we issue over 26 million shares of our restricted common stock in connection with such funding, Autilion will control in excess of 50% of our issued and outstanding common stock, resulting in a change in control of the Company. The issuance of 30 million shares of our common stock in our proposed Public Offering pursuant to the Registration Statement may also result in a change in control of the Company, although we do not anticipate that a single investor would control all of the shares issued in connection with the Public Offering. In the event a Qualified Financing is consummated, our existing stockholders will experience significant dilution.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cash and cash equivalents for the periods stated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(1,012)</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top w:val="single" w:sz="8" w:color="CCEEFF"/>
            </w:tcBorders>
            <w:gridSpan w:val="2"/>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401</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
        </w:trPr>
        <w:tc>
          <w:tcPr>
            <w:tcW w:w="6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Off-Balance Sheet Arrangements</w:t>
            </w:r>
          </w:p>
        </w:tc>
        <w:tc>
          <w:tcPr>
            <w:tcW w:w="2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340" w:type="dxa"/>
            <w:vAlign w:val="bottom"/>
            <w:gridSpan w:val="3"/>
            <w:vMerge w:val="continue"/>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740" w:type="dxa"/>
            <w:vAlign w:val="bottom"/>
          </w:tcPr>
          <w:p>
            <w:pPr>
              <w:ind w:left="60"/>
              <w:spacing w:after="0"/>
              <w:rPr>
                <w:sz w:val="20"/>
                <w:szCs w:val="20"/>
                <w:color w:val="auto"/>
              </w:rPr>
            </w:pPr>
            <w:r>
              <w:rPr>
                <w:rFonts w:ascii="Arial" w:cs="Arial" w:eastAsia="Arial" w:hAnsi="Arial"/>
                <w:sz w:val="18"/>
                <w:szCs w:val="18"/>
                <w:color w:val="auto"/>
              </w:rPr>
              <w:t>We have no off-balance sheet arrangements.</w:t>
            </w: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5740" w:type="dxa"/>
            <w:vAlign w:val="bottom"/>
          </w:tcPr>
          <w:p>
            <w:pPr>
              <w:ind w:left="560"/>
              <w:spacing w:after="0"/>
              <w:rPr>
                <w:sz w:val="20"/>
                <w:szCs w:val="20"/>
                <w:color w:val="auto"/>
              </w:rPr>
            </w:pPr>
            <w:r>
              <w:rPr>
                <w:rFonts w:ascii="Arial" w:cs="Arial" w:eastAsia="Arial" w:hAnsi="Arial"/>
                <w:sz w:val="18"/>
                <w:szCs w:val="18"/>
                <w:b w:val="1"/>
                <w:bCs w:val="1"/>
                <w:color w:val="auto"/>
              </w:rPr>
              <w:t>CONTROLS AND PROCEDURES</w:t>
            </w: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340" w:type="dxa"/>
            <w:vAlign w:val="bottom"/>
            <w:gridSpan w:val="3"/>
          </w:tcPr>
          <w:p>
            <w:pPr>
              <w:spacing w:after="0"/>
              <w:rPr>
                <w:sz w:val="20"/>
                <w:szCs w:val="20"/>
                <w:color w:val="auto"/>
              </w:rPr>
            </w:pPr>
            <w:r>
              <w:rPr>
                <w:rFonts w:ascii="Arial" w:cs="Arial" w:eastAsia="Arial" w:hAnsi="Arial"/>
                <w:sz w:val="18"/>
                <w:szCs w:val="18"/>
                <w:b w:val="1"/>
                <w:bCs w:val="1"/>
                <w:color w:val="auto"/>
              </w:rPr>
              <w:t>Disclosure Controls and Procedures</w:t>
            </w: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 13a-15(f) of the Exchange Act) that occurred during the fiscal quarter to which this Quarterly Report on Form 10-Q relates that has materially affected, or is reasonably likely to materially affect, our internal control over financial reporting.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are not involved in any legal proceedings nor do we know of any legal proceedings which are threatened or contemplated.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set forth in our Annual Report on Form 10-K filed with the Securities and Exchange Commission for the fiscal year ended March 31, 2014, which could materially affect our business, financial condition or future results. The risks described in our Form 10-K are not the only risks facing our Company. Additional risks and uncertainties not currently known to us or that we currently deem to be immaterial may also materially adversely affect our business, financial condition and/or operating results.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Units in 2014 Unit Private Placement</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As discussed above in Note 8, </w:t>
      </w:r>
      <w:r>
        <w:rPr>
          <w:rFonts w:ascii="Arial" w:cs="Arial" w:eastAsia="Arial" w:hAnsi="Arial"/>
          <w:sz w:val="17"/>
          <w:szCs w:val="17"/>
          <w:i w:val="1"/>
          <w:iCs w:val="1"/>
          <w:color w:val="auto"/>
        </w:rPr>
        <w:t>Capital Stock</w:t>
      </w:r>
      <w:r>
        <w:rPr>
          <w:rFonts w:ascii="Arial" w:cs="Arial" w:eastAsia="Arial" w:hAnsi="Arial"/>
          <w:sz w:val="17"/>
          <w:szCs w:val="17"/>
          <w:color w:val="auto"/>
        </w:rPr>
        <w:t xml:space="preserve">, between July 1, 2014 and August 8, 2014, we entered into securities purchase agreements with accredited investors pursuant to which we sold to such investors additional 2014 Units consisting of (i) 2014 Unit Notes in the aggregate face amount of $55,000; (ii) an aggregate of 55,000 shares of 2014 Unit Stock; and (iii) 2014 Unit Warrants to purchase an aggregate of 55,000 restricted shares of our common stock at an exercise price of $0.50 per share. We received cash proceeds of $55,000 from the sales of these 2014 Units, which we expect to use for general corporate purposes. The 2014 Units were offered and sold in transactions exempt from registration under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in reliance on Section 4(2) thereof and Rule 506 of Regulation D thereunder.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280" w:type="dxa"/>
            <w:vAlign w:val="bottom"/>
          </w:tcPr>
          <w:p>
            <w:pPr>
              <w:ind w:left="46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7"/>
                <w:szCs w:val="17"/>
                <w:color w:val="auto"/>
              </w:rPr>
            </w:pPr>
          </w:p>
        </w:tc>
        <w:tc>
          <w:tcPr>
            <w:tcW w:w="102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6"/>
              </w:rPr>
              <w:t>Certification of the Principal Executive Officer required by Rule 13a-14(a) under the Securities Exchange Act of 1934, as amended,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31.2</w:t>
            </w:r>
          </w:p>
        </w:tc>
        <w:tc>
          <w:tcPr>
            <w:tcW w:w="104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0"/>
              </w:rPr>
              <w:t>Certification of the Principal Financial Officer required by Rule 13a-14(a) under the Securities Exchange Act of 1934, as amended, as adopted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40" w:right="20" w:hanging="1132"/>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Certification of the Principal Executive and Financial Officers required by Rule 13a-14(b) and Section 1350 of Chapter 63 of Title 18 of the United States Code,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XBRL Instance Document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500" w:type="dxa"/>
            <w:vAlign w:val="bottom"/>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50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50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Shawn K. Singh, J.D.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211"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Chief Financial Officer (Principal Financial and Accounting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August 12, 2014</w:t>
      </w:r>
    </w:p>
    <w:p>
      <w:pPr>
        <w:sectPr>
          <w:pgSz w:w="11900" w:h="16838" w:orient="portrait"/>
          <w:cols w:equalWidth="0" w:num="1">
            <w:col w:w="10520"/>
          </w:cols>
          <w:pgMar w:left="240" w:top="130" w:right="11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Shawn K. Singh, certify that;</w:t>
      </w:r>
    </w:p>
    <w:p>
      <w:pPr>
        <w:spacing w:after="0" w:line="252"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52" w:lineRule="exact"/>
        <w:rPr>
          <w:rFonts w:ascii="Arial" w:cs="Arial" w:eastAsia="Arial" w:hAnsi="Arial"/>
          <w:sz w:val="18"/>
          <w:szCs w:val="18"/>
          <w:color w:val="auto"/>
        </w:rPr>
      </w:pPr>
    </w:p>
    <w:p>
      <w:pPr>
        <w:ind w:firstLine="8"/>
        <w:spacing w:after="0" w:line="342" w:lineRule="auto"/>
        <w:tabs>
          <w:tab w:leader="none" w:pos="70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50" w:lineRule="exact"/>
        <w:rPr>
          <w:rFonts w:ascii="Arial" w:cs="Arial" w:eastAsia="Arial" w:hAnsi="Arial"/>
          <w:sz w:val="16"/>
          <w:szCs w:val="16"/>
          <w:color w:val="auto"/>
        </w:rPr>
      </w:pPr>
    </w:p>
    <w:p>
      <w:pPr>
        <w:ind w:firstLine="8"/>
        <w:spacing w:after="0" w:line="277" w:lineRule="auto"/>
        <w:tabs>
          <w:tab w:leader="none" w:pos="723"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74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right="20" w:firstLine="332"/>
        <w:spacing w:after="0" w:line="264" w:lineRule="auto"/>
        <w:tabs>
          <w:tab w:leader="none" w:pos="1043"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firstLine="332"/>
        <w:spacing w:after="0" w:line="264" w:lineRule="auto"/>
        <w:tabs>
          <w:tab w:leader="none" w:pos="1197"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firstLine="332"/>
        <w:spacing w:after="0" w:line="308" w:lineRule="auto"/>
        <w:tabs>
          <w:tab w:leader="none" w:pos="1241"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firstLine="332"/>
        <w:spacing w:after="0" w:line="264" w:lineRule="auto"/>
        <w:tabs>
          <w:tab w:leader="none" w:pos="1046"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627"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firstLine="332"/>
        <w:spacing w:after="0" w:line="277" w:lineRule="auto"/>
        <w:tabs>
          <w:tab w:leader="none" w:pos="1004"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firstLine="332"/>
        <w:spacing w:after="0" w:line="277" w:lineRule="auto"/>
        <w:tabs>
          <w:tab w:leader="none" w:pos="992"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August 12, 2014</w:t>
      </w:r>
    </w:p>
    <w:p>
      <w:pPr>
        <w:spacing w:after="0" w:line="225"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Shawn K. Singh, JD</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Jerrold D. Dotson, certify that:</w:t>
      </w:r>
    </w:p>
    <w:p>
      <w:pPr>
        <w:spacing w:after="0" w:line="252"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52" w:lineRule="exact"/>
        <w:rPr>
          <w:rFonts w:ascii="Arial" w:cs="Arial" w:eastAsia="Arial" w:hAnsi="Arial"/>
          <w:sz w:val="18"/>
          <w:szCs w:val="18"/>
          <w:color w:val="auto"/>
        </w:rPr>
      </w:pPr>
    </w:p>
    <w:p>
      <w:pPr>
        <w:ind w:firstLine="8"/>
        <w:spacing w:after="0" w:line="342" w:lineRule="auto"/>
        <w:tabs>
          <w:tab w:leader="none" w:pos="706"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50" w:lineRule="exact"/>
        <w:rPr>
          <w:rFonts w:ascii="Arial" w:cs="Arial" w:eastAsia="Arial" w:hAnsi="Arial"/>
          <w:sz w:val="16"/>
          <w:szCs w:val="16"/>
          <w:color w:val="auto"/>
        </w:rPr>
      </w:pPr>
    </w:p>
    <w:p>
      <w:pPr>
        <w:ind w:firstLine="8"/>
        <w:spacing w:after="0" w:line="277" w:lineRule="auto"/>
        <w:tabs>
          <w:tab w:leader="none" w:pos="7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7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right="20" w:firstLine="332"/>
        <w:spacing w:after="0" w:line="264" w:lineRule="auto"/>
        <w:tabs>
          <w:tab w:leader="none" w:pos="1043"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firstLine="332"/>
        <w:spacing w:after="0" w:line="264" w:lineRule="auto"/>
        <w:tabs>
          <w:tab w:leader="none" w:pos="119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firstLine="332"/>
        <w:spacing w:after="0" w:line="308" w:lineRule="auto"/>
        <w:tabs>
          <w:tab w:leader="none" w:pos="1241"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firstLine="332"/>
        <w:spacing w:after="0" w:line="264" w:lineRule="auto"/>
        <w:tabs>
          <w:tab w:leader="none" w:pos="1046"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627"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firstLine="332"/>
        <w:spacing w:after="0" w:line="277" w:lineRule="auto"/>
        <w:tabs>
          <w:tab w:leader="none" w:pos="100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firstLine="332"/>
        <w:spacing w:after="0" w:line="277" w:lineRule="auto"/>
        <w:tabs>
          <w:tab w:leader="none" w:pos="9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August 12, 2014</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for the quarter ended June 30, 2014 as filed with the Securities and Exchange Commission on the date hereof (the “</w:t>
      </w:r>
      <w:r>
        <w:rPr>
          <w:rFonts w:ascii="Arial" w:cs="Arial" w:eastAsia="Arial" w:hAnsi="Arial"/>
          <w:sz w:val="18"/>
          <w:szCs w:val="18"/>
          <w:i w:val="1"/>
          <w:iCs w:val="1"/>
          <w:color w:val="auto"/>
        </w:rPr>
        <w:t>Report</w:t>
      </w:r>
      <w:r>
        <w:rPr>
          <w:rFonts w:ascii="Arial" w:cs="Arial" w:eastAsia="Arial" w:hAnsi="Arial"/>
          <w:sz w:val="18"/>
          <w:szCs w:val="18"/>
          <w:color w:val="auto"/>
        </w:rPr>
        <w:t>”), Shawn K. Singh, JD, the Company’s Principal Executive Officer, and Jerrold D. Dotson, the Company’s Principal Financial Officer, certify, pursuant to 18 U.S.C. §1350, as adopted pursuant to §906 of the Sarbanes-Oxley Act of 2002, that to the best of their knowledge:</w:t>
      </w:r>
    </w:p>
    <w:p>
      <w:pPr>
        <w:spacing w:after="0" w:line="214" w:lineRule="exact"/>
        <w:rPr>
          <w:sz w:val="20"/>
          <w:szCs w:val="20"/>
          <w:color w:val="auto"/>
        </w:rPr>
      </w:pPr>
    </w:p>
    <w:p>
      <w:pPr>
        <w:ind w:left="660" w:hanging="22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Section 15 (d) of the Securities Exchange Act of 1934, and</w:t>
      </w:r>
    </w:p>
    <w:p>
      <w:pPr>
        <w:spacing w:after="0" w:line="252" w:lineRule="exact"/>
        <w:rPr>
          <w:rFonts w:ascii="Arial" w:cs="Arial" w:eastAsia="Arial" w:hAnsi="Arial"/>
          <w:sz w:val="18"/>
          <w:szCs w:val="18"/>
          <w:color w:val="auto"/>
        </w:rPr>
      </w:pPr>
    </w:p>
    <w:p>
      <w:pPr>
        <w:ind w:left="660" w:hanging="229"/>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August 12, 2014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Shawn K. Singh, JD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lowerRoman"/>
      <w:start w:val="2"/>
    </w:lvl>
  </w:abstractNum>
  <w:abstractNum w:abstractNumId="7">
    <w:nsid w:val="12200854"/>
    <w:multiLevelType w:val="hybridMultilevel"/>
    <w:lvl w:ilvl="0">
      <w:lvlJc w:val="left"/>
      <w:lvlText w:val="%1"/>
      <w:numFmt w:val="decimal"/>
      <w:start w:val="32"/>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2020-01-28T07:36:57Z</dcterms:created>
  <dcterms:modified xsi:type="dcterms:W3CDTF">2020-01-28T07:36:57Z</dcterms:modified>
</cp:coreProperties>
</file>