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9.jpeg" ContentType="image/jpeg"/>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37.jpeg" ContentType="image/jpeg"/>
  <Override PartName="/word/media/image12.jpeg" ContentType="image/jpeg"/>
  <Override PartName="/word/media/image13.jpeg" ContentType="image/jpeg"/>
  <Override PartName="/word/media/image40.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tbl>
      <w:tblPr>
        <w:tblW w:w="169" w:type="dxa"/>
        <w:jc w:val="left"/>
        <w:tblInd w:w="0" w:type="dxa"/>
        <w:tblCellMar>
          <w:top w:w="0" w:type="dxa"/>
          <w:left w:w="0" w:type="dxa"/>
          <w:bottom w:w="28" w:type="dxa"/>
          <w:right w:w="0" w:type="dxa"/>
        </w:tblCellMar>
      </w:tblPr>
      <w:tblGrid>
        <w:gridCol w:w="169"/>
      </w:tblGrid>
      <w:tr>
        <w:trPr/>
        <w:tc>
          <w:tcPr>
            <w:tcW w:w="169" w:type="dxa"/>
            <w:tcBorders>
              <w:bottom w:val="single" w:sz="30"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12"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 xml:space="preserve">UNITED STATES </w:t>
      </w:r>
    </w:p>
    <w:p>
      <w:pPr>
        <w:pStyle w:val="TextBody"/>
        <w:spacing w:before="0" w:after="0"/>
        <w:ind w:left="0" w:right="0" w:hanging="0"/>
        <w:jc w:val="center"/>
        <w:rPr/>
      </w:pPr>
      <w:r>
        <w:rPr>
          <w:rStyle w:val="StrongEmphasis"/>
          <w:rFonts w:ascii="times new roman" w:hAnsi="times new roman"/>
          <w:sz w:val="20"/>
        </w:rPr>
        <w:t xml:space="preserve">SECURITIES AND EXCHANGE COMMISSION </w:t>
      </w:r>
    </w:p>
    <w:p>
      <w:pPr>
        <w:pStyle w:val="TextBody"/>
        <w:spacing w:before="0" w:after="0"/>
        <w:ind w:left="0" w:right="0" w:hanging="0"/>
        <w:jc w:val="center"/>
        <w:rPr/>
      </w:pPr>
      <w:r>
        <w:rPr>
          <w:rStyle w:val="StrongEmphasis"/>
          <w:rFonts w:ascii="times new roman" w:hAnsi="times new roman"/>
          <w:sz w:val="20"/>
        </w:rPr>
        <w:t xml:space="preserve">Washington, D.C. 20549 </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36"/>
        </w:rPr>
        <w:t>FORM 8-K</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 xml:space="preserve">CURRENT REPORT </w:t>
      </w:r>
    </w:p>
    <w:p>
      <w:pPr>
        <w:pStyle w:val="TextBody"/>
        <w:spacing w:before="0" w:after="0"/>
        <w:ind w:left="0" w:right="0" w:hanging="0"/>
        <w:jc w:val="center"/>
        <w:rPr/>
      </w:pPr>
      <w:r>
        <w:rPr>
          <w:rStyle w:val="StrongEmphasis"/>
          <w:rFonts w:ascii="times new roman" w:hAnsi="times new roman"/>
          <w:sz w:val="20"/>
        </w:rPr>
        <w:t xml:space="preserve">PURSUANT TO SECTION 13 OR 15(d) of the SECURITIES EXCHANGE ACT OF 1934 </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 xml:space="preserve">Date of Report (Date of earliest event reported): </w:t>
      </w:r>
      <w:r>
        <w:rPr>
          <w:rStyle w:val="StrongEmphasis"/>
          <w:rFonts w:ascii="times new roman" w:hAnsi="times new roman"/>
          <w:sz w:val="20"/>
          <w:u w:val="single"/>
        </w:rPr>
        <w:t>August 12, 2021</w:t>
      </w:r>
    </w:p>
    <w:p>
      <w:pPr>
        <w:pStyle w:val="TextBody"/>
        <w:spacing w:before="0" w:after="0"/>
        <w:ind w:left="0" w:right="0" w:hanging="0"/>
        <w:jc w:val="center"/>
        <w:rPr/>
      </w:pPr>
      <w:r>
        <w:rPr/>
        <w:t> </w:t>
      </w:r>
    </w:p>
    <w:tbl>
      <w:tblPr>
        <w:tblW w:w="5015" w:type="dxa"/>
        <w:jc w:val="left"/>
        <w:tblInd w:w="0" w:type="dxa"/>
        <w:tblCellMar>
          <w:top w:w="0" w:type="dxa"/>
          <w:left w:w="0" w:type="dxa"/>
          <w:bottom w:w="28" w:type="dxa"/>
          <w:right w:w="0" w:type="dxa"/>
        </w:tblCellMar>
      </w:tblPr>
      <w:tblGrid>
        <w:gridCol w:w="5015"/>
      </w:tblGrid>
      <w:tr>
        <w:trPr/>
        <w:tc>
          <w:tcPr>
            <w:tcW w:w="5015" w:type="dxa"/>
            <w:tcBorders>
              <w:bottom w:val="single" w:sz="2" w:space="0" w:color="000000"/>
            </w:tcBorders>
            <w:shd w:fill="auto" w:val="clear"/>
            <w:vAlign w:val="center"/>
          </w:tcPr>
          <w:p>
            <w:pPr>
              <w:pStyle w:val="TableContents"/>
              <w:spacing w:before="0" w:after="0"/>
              <w:ind w:left="0" w:right="0" w:hanging="0"/>
              <w:jc w:val="center"/>
              <w:rPr/>
            </w:pPr>
            <w:r>
              <w:rPr>
                <w:rStyle w:val="StrongEmphasis"/>
                <w:sz w:val="36"/>
              </w:rPr>
              <w:t>VistaGen Therapeutics, Inc.</w:t>
            </w:r>
            <w:r>
              <w:rPr>
                <w:rStyle w:val="StrongEmphasis"/>
                <w:sz w:val="28"/>
              </w:rPr>
              <w:t xml:space="preserve"> </w:t>
            </w:r>
          </w:p>
        </w:tc>
      </w:tr>
      <w:tr>
        <w:trPr/>
        <w:tc>
          <w:tcPr>
            <w:tcW w:w="5015" w:type="dxa"/>
            <w:tcBorders/>
            <w:shd w:fill="auto" w:val="clear"/>
            <w:tcMar>
              <w:bottom w:w="0" w:type="dxa"/>
            </w:tcMar>
            <w:vAlign w:val="center"/>
          </w:tcPr>
          <w:p>
            <w:pPr>
              <w:pStyle w:val="TableContents"/>
              <w:spacing w:before="0" w:after="0"/>
              <w:ind w:left="0" w:right="0" w:hanging="0"/>
              <w:jc w:val="center"/>
              <w:rPr/>
            </w:pPr>
            <w:r>
              <w:rPr>
                <w:rStyle w:val="Emphasis"/>
              </w:rPr>
              <w:t>(Exact name of registrant as specified in its charter)</w:t>
            </w:r>
          </w:p>
        </w:tc>
      </w:tr>
    </w:tbl>
    <w:p>
      <w:pPr>
        <w:pStyle w:val="TextBody"/>
        <w:spacing w:before="0" w:after="0"/>
        <w:ind w:left="0" w:right="0" w:hanging="0"/>
        <w:rPr/>
      </w:pPr>
      <w:r>
        <w:rPr/>
        <w:t xml:space="preserve">  </w:t>
      </w:r>
    </w:p>
    <w:tbl>
      <w:tblPr>
        <w:tblW w:w="8070" w:type="dxa"/>
        <w:jc w:val="left"/>
        <w:tblInd w:w="0" w:type="dxa"/>
        <w:tblCellMar>
          <w:top w:w="0" w:type="dxa"/>
          <w:left w:w="0" w:type="dxa"/>
          <w:bottom w:w="28" w:type="dxa"/>
          <w:right w:w="0" w:type="dxa"/>
        </w:tblCellMar>
      </w:tblPr>
      <w:tblGrid>
        <w:gridCol w:w="2855"/>
        <w:gridCol w:w="90"/>
        <w:gridCol w:w="2720"/>
        <w:gridCol w:w="90"/>
        <w:gridCol w:w="2315"/>
      </w:tblGrid>
      <w:tr>
        <w:trPr/>
        <w:tc>
          <w:tcPr>
            <w:tcW w:w="285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Nevada</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720"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000-54014</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31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20-5093315</w:t>
            </w:r>
          </w:p>
        </w:tc>
      </w:tr>
      <w:tr>
        <w:trPr/>
        <w:tc>
          <w:tcPr>
            <w:tcW w:w="2855" w:type="dxa"/>
            <w:tcBorders/>
            <w:shd w:fill="auto" w:val="clear"/>
            <w:tcMar>
              <w:bottom w:w="0" w:type="dxa"/>
            </w:tcMar>
            <w:vAlign w:val="center"/>
          </w:tcPr>
          <w:p>
            <w:pPr>
              <w:pStyle w:val="TableContents"/>
              <w:spacing w:before="0" w:after="0"/>
              <w:ind w:left="0" w:right="0" w:hanging="0"/>
              <w:jc w:val="center"/>
              <w:rPr/>
            </w:pPr>
            <w:r>
              <w:rPr>
                <w:rStyle w:val="Emphasis"/>
              </w:rPr>
              <w:t xml:space="preserve">(State or other jurisdiction of </w:t>
              <w:br/>
              <w:t>incorporation)</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720" w:type="dxa"/>
            <w:tcBorders/>
            <w:shd w:fill="auto" w:val="clear"/>
            <w:tcMar>
              <w:bottom w:w="0" w:type="dxa"/>
            </w:tcMar>
            <w:vAlign w:val="center"/>
          </w:tcPr>
          <w:p>
            <w:pPr>
              <w:pStyle w:val="TableContents"/>
              <w:spacing w:before="0" w:after="0"/>
              <w:ind w:left="0" w:right="0" w:hanging="0"/>
              <w:jc w:val="center"/>
              <w:rPr/>
            </w:pPr>
            <w:r>
              <w:rPr>
                <w:rStyle w:val="Emphasis"/>
              </w:rPr>
              <w:t xml:space="preserve">(Commission File Number)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315" w:type="dxa"/>
            <w:tcBorders/>
            <w:shd w:fill="auto" w:val="clear"/>
            <w:tcMar>
              <w:bottom w:w="0" w:type="dxa"/>
            </w:tcMar>
            <w:vAlign w:val="center"/>
          </w:tcPr>
          <w:p>
            <w:pPr>
              <w:pStyle w:val="TableContents"/>
              <w:spacing w:before="0" w:after="0"/>
              <w:ind w:left="0" w:right="0" w:hanging="0"/>
              <w:jc w:val="center"/>
              <w:rPr/>
            </w:pPr>
            <w:r>
              <w:rPr>
                <w:rStyle w:val="Emphasis"/>
              </w:rPr>
              <w:t xml:space="preserve">(IRS Employer </w:t>
              <w:br/>
              <w:t xml:space="preserve">Identification Number) </w:t>
            </w:r>
          </w:p>
        </w:tc>
      </w:tr>
    </w:tbl>
    <w:p>
      <w:pPr>
        <w:pStyle w:val="TextBody"/>
        <w:spacing w:before="0" w:after="0"/>
        <w:ind w:left="0" w:right="0" w:hanging="0"/>
        <w:jc w:val="center"/>
        <w:rPr/>
      </w:pPr>
      <w:r>
        <w:rPr/>
        <w:t> </w:t>
      </w:r>
    </w:p>
    <w:tbl>
      <w:tblPr>
        <w:tblW w:w="4025" w:type="dxa"/>
        <w:jc w:val="left"/>
        <w:tblInd w:w="0" w:type="dxa"/>
        <w:tblCellMar>
          <w:top w:w="0" w:type="dxa"/>
          <w:left w:w="0" w:type="dxa"/>
          <w:bottom w:w="0" w:type="dxa"/>
          <w:right w:w="0" w:type="dxa"/>
        </w:tblCellMar>
      </w:tblPr>
      <w:tblGrid>
        <w:gridCol w:w="4025"/>
      </w:tblGrid>
      <w:tr>
        <w:trPr/>
        <w:tc>
          <w:tcPr>
            <w:tcW w:w="4025" w:type="dxa"/>
            <w:tcBorders/>
            <w:shd w:fill="auto" w:val="clear"/>
            <w:vAlign w:val="center"/>
          </w:tcPr>
          <w:p>
            <w:pPr>
              <w:pStyle w:val="TableContents"/>
              <w:spacing w:before="0" w:after="0"/>
              <w:ind w:left="0" w:right="0" w:hanging="0"/>
              <w:jc w:val="center"/>
              <w:rPr/>
            </w:pPr>
            <w:r>
              <w:rPr>
                <w:rStyle w:val="StrongEmphasis"/>
              </w:rPr>
              <w:t>343 Allerton Ave.</w:t>
            </w:r>
          </w:p>
          <w:p>
            <w:pPr>
              <w:pStyle w:val="TableContents"/>
              <w:spacing w:before="0" w:after="0"/>
              <w:ind w:left="0" w:right="0" w:hanging="0"/>
              <w:jc w:val="center"/>
              <w:rPr/>
            </w:pPr>
            <w:r>
              <w:rPr>
                <w:rStyle w:val="StrongEmphasis"/>
              </w:rPr>
              <w:t>South San Francisco, California 94090</w:t>
            </w:r>
          </w:p>
        </w:tc>
      </w:tr>
      <w:tr>
        <w:trPr/>
        <w:tc>
          <w:tcPr>
            <w:tcW w:w="4025" w:type="dxa"/>
            <w:tcBorders/>
            <w:shd w:fill="auto" w:val="clear"/>
            <w:vAlign w:val="center"/>
          </w:tcPr>
          <w:p>
            <w:pPr>
              <w:pStyle w:val="TableContents"/>
              <w:spacing w:before="0" w:after="0"/>
              <w:ind w:left="0" w:right="0" w:hanging="0"/>
              <w:jc w:val="center"/>
              <w:rPr/>
            </w:pPr>
            <w:r>
              <w:rPr>
                <w:rStyle w:val="Emphasis"/>
              </w:rPr>
              <w:t>(Address of principal executive offices)</w:t>
            </w:r>
          </w:p>
        </w:tc>
      </w:tr>
    </w:tbl>
    <w:p>
      <w:pPr>
        <w:pStyle w:val="TextBody"/>
        <w:spacing w:before="0" w:after="0"/>
        <w:ind w:left="0" w:right="0" w:hanging="0"/>
        <w:jc w:val="center"/>
        <w:rPr/>
      </w:pPr>
      <w:r>
        <w:rPr>
          <w:rStyle w:val="StrongEmphasis"/>
        </w:rPr>
        <w:t> </w:t>
      </w:r>
    </w:p>
    <w:p>
      <w:pPr>
        <w:pStyle w:val="TextBody"/>
        <w:spacing w:before="0" w:after="0"/>
        <w:ind w:left="0" w:right="0" w:hanging="0"/>
        <w:jc w:val="center"/>
        <w:rPr/>
      </w:pPr>
      <w:r>
        <w:rPr>
          <w:rStyle w:val="StrongEmphasis"/>
          <w:rFonts w:ascii="times new roman" w:hAnsi="times new roman"/>
          <w:sz w:val="20"/>
        </w:rPr>
        <w:t>(650) 577-3600</w:t>
      </w:r>
    </w:p>
    <w:p>
      <w:pPr>
        <w:pStyle w:val="TextBody"/>
        <w:spacing w:before="0" w:after="0"/>
        <w:ind w:left="0" w:right="0" w:hanging="0"/>
        <w:jc w:val="center"/>
        <w:rPr/>
      </w:pPr>
      <w:r>
        <w:rPr>
          <w:rStyle w:val="Emphasis"/>
          <w:rFonts w:ascii="times new roman" w:hAnsi="times new roman"/>
          <w:sz w:val="20"/>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Not Applicable</w:t>
      </w:r>
    </w:p>
    <w:p>
      <w:pPr>
        <w:pStyle w:val="TextBody"/>
        <w:spacing w:before="0" w:after="0"/>
        <w:ind w:left="0" w:right="0" w:hanging="0"/>
        <w:jc w:val="center"/>
        <w:rPr/>
      </w:pPr>
      <w:r>
        <w:rPr>
          <w:rStyle w:val="Emphasis"/>
          <w:rFonts w:ascii="times new roman" w:hAnsi="times new roman"/>
          <w:sz w:val="20"/>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20"/>
        </w:rPr>
        <w:t xml:space="preserve">Written communications pursuant to Rule 425 under the Securities Act (17 CFR 230.425) </w:t>
      </w:r>
    </w:p>
    <w:p>
      <w:pPr>
        <w:pStyle w:val="TextBody"/>
        <w:spacing w:before="0" w:after="0"/>
        <w:ind w:left="0" w:right="0" w:hanging="0"/>
        <w:rPr/>
      </w:pPr>
      <w:r>
        <w:rPr/>
        <w:t xml:space="preserve">☐ </w:t>
      </w:r>
      <w:r>
        <w:rPr>
          <w:rFonts w:ascii="times new roman" w:hAnsi="times new roman"/>
          <w:sz w:val="20"/>
        </w:rPr>
        <w:t xml:space="preserve">Soliciting material pursuant to Rule 14a-12 under the Exchange Act (17 CFR 240.14a -12) </w:t>
      </w:r>
    </w:p>
    <w:p>
      <w:pPr>
        <w:pStyle w:val="TextBody"/>
        <w:spacing w:before="0" w:after="0"/>
        <w:ind w:left="0" w:right="0" w:hanging="0"/>
        <w:rPr/>
      </w:pPr>
      <w:r>
        <w:rPr/>
        <w:t xml:space="preserve">☐ </w:t>
      </w:r>
      <w:r>
        <w:rPr>
          <w:rFonts w:ascii="times new roman" w:hAnsi="times new roman"/>
          <w:sz w:val="20"/>
        </w:rPr>
        <w:t xml:space="preserve">Pre-commencement communications pursuant to Rule 14d-2(b) under the Exchange Act (17 CFR 240.14d -2(b)) </w:t>
      </w:r>
    </w:p>
    <w:p>
      <w:pPr>
        <w:pStyle w:val="TextBody"/>
        <w:spacing w:before="0" w:after="0"/>
        <w:ind w:left="0" w:right="0" w:hanging="0"/>
        <w:rPr/>
      </w:pPr>
      <w:r>
        <w:rPr/>
        <w:t xml:space="preserve">☐ </w:t>
      </w:r>
      <w:r>
        <w:rPr>
          <w:rFonts w:ascii="times new roman" w:hAnsi="times new roman"/>
          <w:sz w:val="20"/>
        </w:rPr>
        <w:t xml:space="preserve">Pre-commencement communications pursuant to Rule 13e-4(c) under the Exchange Act (17 CFR 240.13e -4(c)) </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Securities registered pursuant to Section 12(b) of the Act:</w:t>
      </w:r>
    </w:p>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4054"/>
        <w:gridCol w:w="90"/>
        <w:gridCol w:w="1798"/>
        <w:gridCol w:w="90"/>
        <w:gridCol w:w="4173"/>
      </w:tblGrid>
      <w:tr>
        <w:trPr/>
        <w:tc>
          <w:tcPr>
            <w:tcW w:w="4054" w:type="dxa"/>
            <w:tcBorders>
              <w:bottom w:val="single" w:sz="2" w:space="0" w:color="000000"/>
            </w:tcBorders>
            <w:shd w:fill="auto" w:val="clear"/>
            <w:vAlign w:val="center"/>
          </w:tcPr>
          <w:p>
            <w:pPr>
              <w:pStyle w:val="TableContents"/>
              <w:spacing w:before="0" w:after="0"/>
              <w:ind w:left="0" w:right="0" w:hanging="0"/>
              <w:jc w:val="center"/>
              <w:rPr/>
            </w:pPr>
            <w:r>
              <w:rPr/>
              <w:t>Title of each class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798" w:type="dxa"/>
            <w:tcBorders>
              <w:bottom w:val="single" w:sz="2" w:space="0" w:color="000000"/>
            </w:tcBorders>
            <w:shd w:fill="auto" w:val="clear"/>
            <w:vAlign w:val="center"/>
          </w:tcPr>
          <w:p>
            <w:pPr>
              <w:pStyle w:val="TableContents"/>
              <w:spacing w:before="0" w:after="0"/>
              <w:ind w:left="0" w:right="0" w:hanging="0"/>
              <w:jc w:val="center"/>
              <w:rPr/>
            </w:pPr>
            <w:r>
              <w:rPr/>
              <w:t>Trading Symbol(s)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4173" w:type="dxa"/>
            <w:tcBorders>
              <w:bottom w:val="single" w:sz="2" w:space="0" w:color="000000"/>
            </w:tcBorders>
            <w:shd w:fill="auto" w:val="clear"/>
            <w:vAlign w:val="center"/>
          </w:tcPr>
          <w:p>
            <w:pPr>
              <w:pStyle w:val="TableContents"/>
              <w:spacing w:before="0" w:after="0"/>
              <w:ind w:left="0" w:right="0" w:hanging="0"/>
              <w:jc w:val="center"/>
              <w:rPr/>
            </w:pPr>
            <w:r>
              <w:rPr/>
              <w:t>Name of each exchange on which registered</w:t>
            </w:r>
          </w:p>
        </w:tc>
      </w:tr>
      <w:tr>
        <w:trPr/>
        <w:tc>
          <w:tcPr>
            <w:tcW w:w="4054" w:type="dxa"/>
            <w:tcBorders/>
            <w:shd w:fill="auto" w:val="clear"/>
            <w:tcMar>
              <w:bottom w:w="0" w:type="dxa"/>
            </w:tcMar>
            <w:vAlign w:val="center"/>
          </w:tcPr>
          <w:p>
            <w:pPr>
              <w:pStyle w:val="TableContents"/>
              <w:spacing w:before="0" w:after="0"/>
              <w:ind w:left="0" w:right="0" w:hanging="0"/>
              <w:jc w:val="center"/>
              <w:rPr/>
            </w:pPr>
            <w:r>
              <w:rPr/>
              <w:t>Common Stock, par value $0.001 per share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798" w:type="dxa"/>
            <w:tcBorders/>
            <w:shd w:fill="auto" w:val="clear"/>
            <w:tcMar>
              <w:bottom w:w="0" w:type="dxa"/>
            </w:tcMar>
            <w:vAlign w:val="center"/>
          </w:tcPr>
          <w:p>
            <w:pPr>
              <w:pStyle w:val="TableContents"/>
              <w:spacing w:before="0" w:after="0"/>
              <w:ind w:left="0" w:right="0" w:hanging="0"/>
              <w:jc w:val="center"/>
              <w:rPr/>
            </w:pPr>
            <w:r>
              <w:rPr/>
              <w:t>VTGN</w:t>
            </w:r>
          </w:p>
        </w:tc>
        <w:tc>
          <w:tcPr>
            <w:tcW w:w="90" w:type="dxa"/>
            <w:tcBorders/>
            <w:shd w:fill="auto" w:val="clear"/>
            <w:tcMar>
              <w:bottom w:w="0" w:type="dxa"/>
            </w:tcMar>
            <w:vAlign w:val="center"/>
          </w:tcPr>
          <w:p>
            <w:pPr>
              <w:pStyle w:val="TableContents"/>
              <w:spacing w:before="0" w:after="0"/>
              <w:ind w:left="0" w:right="0" w:hanging="0"/>
              <w:rPr/>
            </w:pPr>
            <w:r>
              <w:rPr/>
              <w:t> </w:t>
            </w:r>
          </w:p>
        </w:tc>
        <w:tc>
          <w:tcPr>
            <w:tcW w:w="4173" w:type="dxa"/>
            <w:tcBorders/>
            <w:shd w:fill="auto" w:val="clear"/>
            <w:tcMar>
              <w:bottom w:w="0" w:type="dxa"/>
            </w:tcMar>
            <w:vAlign w:val="center"/>
          </w:tcPr>
          <w:p>
            <w:pPr>
              <w:pStyle w:val="TableContents"/>
              <w:spacing w:before="0" w:after="0"/>
              <w:ind w:left="0" w:right="0" w:hanging="0"/>
              <w:jc w:val="center"/>
              <w:rPr/>
            </w:pPr>
            <w:r>
              <w:rPr/>
              <w:t>Nasdaq Capital Market</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sz w:val="20"/>
        </w:rPr>
      </w:pPr>
      <w:r>
        <w:rPr>
          <w:rFonts w:ascii="times new roman" w:hAnsi="times new roman"/>
          <w:sz w:val="20"/>
        </w:rPr>
        <w:t>Emerging Growth Company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pPr>
      <w:r>
        <w:rPr/>
        <w:t> </w:t>
      </w:r>
    </w:p>
    <w:tbl>
      <w:tblPr>
        <w:tblW w:w="169" w:type="dxa"/>
        <w:jc w:val="left"/>
        <w:tblInd w:w="0" w:type="dxa"/>
        <w:tblCellMar>
          <w:top w:w="0" w:type="dxa"/>
          <w:left w:w="0" w:type="dxa"/>
          <w:bottom w:w="28" w:type="dxa"/>
          <w:right w:w="0" w:type="dxa"/>
        </w:tblCellMar>
      </w:tblPr>
      <w:tblGrid>
        <w:gridCol w:w="169"/>
      </w:tblGrid>
      <w:tr>
        <w:trPr/>
        <w:tc>
          <w:tcPr>
            <w:tcW w:w="169" w:type="dxa"/>
            <w:tcBorders>
              <w:bottom w:val="single" w:sz="12"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30" w:space="0" w:color="000000"/>
            </w:tcBorders>
            <w:shd w:fill="auto" w:val="clear"/>
            <w:vAlign w:val="center"/>
          </w:tcPr>
          <w:p>
            <w:pPr>
              <w:pStyle w:val="TableContents"/>
              <w:spacing w:before="0" w:after="283"/>
              <w:rPr>
                <w:sz w:val="4"/>
                <w:szCs w:val="4"/>
              </w:rPr>
            </w:pPr>
            <w:r>
              <w:rPr>
                <w:sz w:val="4"/>
                <w:szCs w:val="4"/>
              </w:rPr>
            </w:r>
          </w:p>
        </w:tc>
      </w:tr>
    </w:tbl>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ind w:left="0" w:right="0" w:hanging="0"/>
              <w:rPr/>
            </w:pPr>
            <w:r>
              <w:rPr/>
              <w:t> </w:t>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pPr>
      <w:r>
        <w:rPr>
          <w:rStyle w:val="StrongEmphasis"/>
          <w:rFonts w:ascii="times new roman" w:hAnsi="times new roman"/>
          <w:sz w:val="20"/>
        </w:rPr>
        <w:t>Item 2.02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On August 12, 2021, VistaGen Therapeutics, Inc. (the “</w:t>
      </w:r>
      <w:r>
        <w:rPr>
          <w:rStyle w:val="Emphasis"/>
          <w:rFonts w:ascii="times new roman" w:hAnsi="times new roman"/>
          <w:sz w:val="20"/>
        </w:rPr>
        <w:t>Company</w:t>
      </w:r>
      <w:r>
        <w:rPr>
          <w:rFonts w:ascii="times new roman" w:hAnsi="times new roman"/>
          <w:sz w:val="20"/>
        </w:rPr>
        <w:t>”) issued a press release to announce the Company’s financial results for its fiscal year 2022 first quarter ended June 30, 2021. A copy of the press release is attached to this Current Report on Form 8-K as Exhibit 99.1.</w:t>
      </w:r>
    </w:p>
    <w:p>
      <w:pPr>
        <w:pStyle w:val="TextBody"/>
        <w:spacing w:before="0" w:after="0"/>
        <w:ind w:left="0" w:right="0" w:firstLine="720"/>
        <w:jc w:val="both"/>
        <w:rPr/>
      </w:pPr>
      <w:r>
        <w:rPr/>
        <w:t> </w:t>
      </w:r>
    </w:p>
    <w:p>
      <w:pPr>
        <w:pStyle w:val="TextBody"/>
        <w:spacing w:before="0" w:after="0"/>
        <w:ind w:left="0" w:right="0" w:hanging="0"/>
        <w:rPr/>
      </w:pPr>
      <w:r>
        <w:rPr>
          <w:rStyle w:val="StrongEmphasis"/>
          <w:rFonts w:ascii="times new roman" w:hAnsi="times new roman"/>
          <w:sz w:val="20"/>
        </w:rPr>
        <w:t>Item 7.01 Regulation FD Disclosure.</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August 12, 2021, the Company began utilizing a new corporate presentation, a copy of which is attached to this Current Report on Form 8-K as Exhibit 99.2.</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Disclaimer.</w:t>
      </w:r>
      <w:r>
        <w:rPr>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The information in this Current Report on Form 8-K, including the information set forth in Exhibits 99.1 and 99.2, are being furnished and shall not be deemed “filed” for purposes of Section 18 of the Securities Exchange Act of 1934, as amended (the “</w:t>
      </w:r>
      <w:r>
        <w:rPr>
          <w:rStyle w:val="Emphasis"/>
          <w:rFonts w:ascii="times new roman" w:hAnsi="times new roman"/>
          <w:sz w:val="20"/>
        </w:rPr>
        <w:t>Exchange Act</w:t>
      </w:r>
      <w:r>
        <w:rPr>
          <w:rFonts w:ascii="times new roman" w:hAnsi="times new roman"/>
          <w:sz w:val="20"/>
        </w:rPr>
        <w:t>”), nor shall Exhibit 99.1 filed herewith be deemed incorporated by reference in any filing under the Securities Act of 1933, as amended, or the Exchange Act, except as shall be expressly set forth by specific reference in such a filing.</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Item 9.01 Financial Statements and Exhibits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rPr/>
      </w:pPr>
      <w:r>
        <w:rPr>
          <w:rStyle w:val="StrongEmphasis"/>
          <w:rFonts w:ascii="times new roman" w:hAnsi="times new roman"/>
          <w:sz w:val="20"/>
        </w:rPr>
        <w:t>(d) Exhibits Index</w:t>
      </w:r>
    </w:p>
    <w:p>
      <w:pPr>
        <w:pStyle w:val="TextBody"/>
        <w:spacing w:before="0" w:after="0"/>
        <w:ind w:left="0" w:right="0" w:hanging="0"/>
        <w:jc w:val="both"/>
        <w:rPr/>
      </w:pPr>
      <w:r>
        <w:rPr/>
        <w:t> </w:t>
      </w:r>
    </w:p>
    <w:tbl>
      <w:tblPr>
        <w:tblW w:w="8650" w:type="dxa"/>
        <w:jc w:val="left"/>
        <w:tblInd w:w="0" w:type="dxa"/>
        <w:tblCellMar>
          <w:top w:w="0" w:type="dxa"/>
          <w:left w:w="0" w:type="dxa"/>
          <w:bottom w:w="28" w:type="dxa"/>
          <w:right w:w="0" w:type="dxa"/>
        </w:tblCellMar>
      </w:tblPr>
      <w:tblGrid>
        <w:gridCol w:w="1235"/>
        <w:gridCol w:w="90"/>
        <w:gridCol w:w="7325"/>
      </w:tblGrid>
      <w:tr>
        <w:trPr/>
        <w:tc>
          <w:tcPr>
            <w:tcW w:w="123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Pr>
              <w:t>Exhibit No.</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325" w:type="dxa"/>
            <w:tcBorders>
              <w:bottom w:val="single" w:sz="2" w:space="0" w:color="000000"/>
            </w:tcBorders>
            <w:shd w:fill="auto" w:val="clear"/>
            <w:vAlign w:val="center"/>
          </w:tcPr>
          <w:p>
            <w:pPr>
              <w:pStyle w:val="TableContents"/>
              <w:spacing w:before="0" w:after="0"/>
              <w:ind w:left="0" w:right="0" w:hanging="0"/>
              <w:jc w:val="left"/>
              <w:rPr/>
            </w:pPr>
            <w:r>
              <w:rPr>
                <w:rStyle w:val="StrongEmphasis"/>
              </w:rPr>
              <w:t>Description</w:t>
            </w:r>
          </w:p>
        </w:tc>
      </w:tr>
      <w:tr>
        <w:trPr/>
        <w:tc>
          <w:tcPr>
            <w:tcW w:w="1235" w:type="dxa"/>
            <w:tcBorders/>
            <w:shd w:fill="auto" w:val="clear"/>
            <w:tcMar>
              <w:bottom w:w="0" w:type="dxa"/>
            </w:tcMar>
            <w:vAlign w:val="center"/>
          </w:tcPr>
          <w:p>
            <w:pPr>
              <w:pStyle w:val="TableContents"/>
              <w:spacing w:before="0" w:after="0"/>
              <w:ind w:left="0" w:right="0" w:hanging="0"/>
              <w:jc w:val="center"/>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325" w:type="dxa"/>
            <w:tcBorders/>
            <w:shd w:fill="auto" w:val="clear"/>
            <w:tcMar>
              <w:bottom w:w="0" w:type="dxa"/>
            </w:tcMar>
            <w:vAlign w:val="center"/>
          </w:tcPr>
          <w:p>
            <w:pPr>
              <w:pStyle w:val="TableContents"/>
              <w:spacing w:before="0" w:after="0"/>
              <w:ind w:left="0" w:right="0" w:hanging="0"/>
              <w:rPr/>
            </w:pPr>
            <w:r>
              <w:rPr/>
              <w:t> </w:t>
            </w:r>
          </w:p>
        </w:tc>
      </w:tr>
      <w:tr>
        <w:trPr/>
        <w:tc>
          <w:tcPr>
            <w:tcW w:w="1235" w:type="dxa"/>
            <w:tcBorders/>
            <w:shd w:fill="CCEEFF" w:val="clear"/>
            <w:tcMar>
              <w:bottom w:w="0" w:type="dxa"/>
            </w:tcMar>
            <w:vAlign w:val="center"/>
          </w:tcPr>
          <w:p>
            <w:pPr>
              <w:pStyle w:val="TableContents"/>
              <w:spacing w:before="0" w:after="0"/>
              <w:ind w:left="0" w:right="0" w:hanging="0"/>
              <w:jc w:val="center"/>
              <w:rPr/>
            </w:pPr>
            <w:hyperlink w:anchor="vtgn_ex991.htm">
              <w:r>
                <w:rPr>
                  <w:rStyle w:val="InternetLink"/>
                </w:rPr>
                <w:t>99.1</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7325" w:type="dxa"/>
            <w:tcBorders/>
            <w:shd w:fill="CCEEFF" w:val="clear"/>
            <w:tcMar>
              <w:bottom w:w="0" w:type="dxa"/>
            </w:tcMar>
            <w:vAlign w:val="center"/>
          </w:tcPr>
          <w:p>
            <w:pPr>
              <w:pStyle w:val="TableContents"/>
              <w:spacing w:before="0" w:after="0"/>
              <w:ind w:left="0" w:right="0" w:hanging="0"/>
              <w:rPr/>
            </w:pPr>
            <w:hyperlink w:anchor="vtgn_ex991.htm">
              <w:r>
                <w:rPr>
                  <w:rStyle w:val="InternetLink"/>
                </w:rPr>
                <w:t>Press Release issued by VistaGen Therapeutics, Inc., dated August 12, 2021</w:t>
              </w:r>
            </w:hyperlink>
          </w:p>
        </w:tc>
      </w:tr>
      <w:tr>
        <w:trPr/>
        <w:tc>
          <w:tcPr>
            <w:tcW w:w="123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325" w:type="dxa"/>
            <w:tcBorders/>
            <w:shd w:fill="FFFFFF" w:val="clear"/>
            <w:tcMar>
              <w:bottom w:w="0" w:type="dxa"/>
            </w:tcMar>
            <w:vAlign w:val="center"/>
          </w:tcPr>
          <w:p>
            <w:pPr>
              <w:pStyle w:val="TableContents"/>
              <w:spacing w:before="0" w:after="0"/>
              <w:ind w:left="0" w:right="0" w:hanging="0"/>
              <w:rPr/>
            </w:pPr>
            <w:r>
              <w:rPr/>
              <w:t> </w:t>
            </w:r>
          </w:p>
        </w:tc>
      </w:tr>
      <w:tr>
        <w:trPr/>
        <w:tc>
          <w:tcPr>
            <w:tcW w:w="1235" w:type="dxa"/>
            <w:tcBorders/>
            <w:shd w:fill="CCEEFF" w:val="clear"/>
            <w:tcMar>
              <w:bottom w:w="0" w:type="dxa"/>
            </w:tcMar>
            <w:vAlign w:val="center"/>
          </w:tcPr>
          <w:p>
            <w:pPr>
              <w:pStyle w:val="TableContents"/>
              <w:spacing w:before="0" w:after="0"/>
              <w:ind w:left="0" w:right="0" w:hanging="0"/>
              <w:jc w:val="center"/>
              <w:rPr/>
            </w:pPr>
            <w:hyperlink w:anchor="vtgn_ex992.htm">
              <w:r>
                <w:rPr>
                  <w:rStyle w:val="InternetLink"/>
                </w:rPr>
                <w:t>99.2</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7325" w:type="dxa"/>
            <w:tcBorders/>
            <w:shd w:fill="CCEEFF" w:val="clear"/>
            <w:tcMar>
              <w:bottom w:w="0" w:type="dxa"/>
            </w:tcMar>
            <w:vAlign w:val="center"/>
          </w:tcPr>
          <w:p>
            <w:pPr>
              <w:pStyle w:val="TableContents"/>
              <w:spacing w:before="0" w:after="0"/>
              <w:ind w:left="0" w:right="0" w:hanging="0"/>
              <w:rPr/>
            </w:pPr>
            <w:hyperlink w:anchor="vtgn_ex992.htm">
              <w:r>
                <w:rPr>
                  <w:rStyle w:val="InternetLink"/>
                </w:rPr>
                <w:t>VistaGen Therapeutics, Inc. Corporate Presentation, dated August 2021.</w:t>
              </w:r>
            </w:hyperlink>
          </w:p>
        </w:tc>
      </w:tr>
    </w:tbl>
    <w:p>
      <w:pPr>
        <w:pStyle w:val="TextBody"/>
        <w:spacing w:before="0" w:after="0"/>
        <w:ind w:left="0" w:right="0" w:hanging="0"/>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2</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720"/>
        <w:jc w:val="center"/>
        <w:rPr/>
      </w:pPr>
      <w:r>
        <w:rPr>
          <w:rStyle w:val="StrongEmphasis"/>
          <w:rFonts w:ascii="times new roman" w:hAnsi="times new roman"/>
          <w:sz w:val="20"/>
        </w:rPr>
        <w:t>Signatures</w:t>
      </w:r>
    </w:p>
    <w:p>
      <w:pPr>
        <w:pStyle w:val="TextBody"/>
        <w:spacing w:before="0" w:after="0"/>
        <w:ind w:left="0" w:right="0" w:hanging="0"/>
        <w:jc w:val="center"/>
        <w:rPr/>
      </w:pPr>
      <w:r>
        <w:rPr/>
        <w:t> </w:t>
      </w:r>
    </w:p>
    <w:p>
      <w:pPr>
        <w:pStyle w:val="TextBody"/>
        <w:spacing w:before="0" w:after="0"/>
        <w:ind w:left="0" w:right="0" w:firstLine="720"/>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130" w:type="dxa"/>
        <w:jc w:val="left"/>
        <w:tblInd w:w="0" w:type="dxa"/>
        <w:tblCellMar>
          <w:top w:w="0" w:type="dxa"/>
          <w:left w:w="0" w:type="dxa"/>
          <w:bottom w:w="0" w:type="dxa"/>
          <w:right w:w="0" w:type="dxa"/>
        </w:tblCellMar>
      </w:tblPr>
      <w:tblGrid>
        <w:gridCol w:w="2285"/>
        <w:gridCol w:w="395"/>
        <w:gridCol w:w="2315"/>
        <w:gridCol w:w="135"/>
      </w:tblGrid>
      <w:tr>
        <w:trPr/>
        <w:tc>
          <w:tcPr>
            <w:tcW w:w="2285" w:type="dxa"/>
            <w:tcBorders/>
            <w:shd w:fill="auto" w:val="clear"/>
            <w:vAlign w:val="center"/>
          </w:tcPr>
          <w:p>
            <w:pPr>
              <w:pStyle w:val="TableContents"/>
              <w:spacing w:before="0" w:after="283"/>
              <w:rPr>
                <w:sz w:val="4"/>
                <w:szCs w:val="4"/>
              </w:rPr>
            </w:pPr>
            <w:r>
              <w:rPr>
                <w:sz w:val="4"/>
                <w:szCs w:val="4"/>
              </w:rPr>
            </w:r>
          </w:p>
        </w:tc>
        <w:tc>
          <w:tcPr>
            <w:tcW w:w="2710" w:type="dxa"/>
            <w:gridSpan w:val="2"/>
            <w:tcBorders/>
            <w:shd w:fill="auto" w:val="clear"/>
            <w:vAlign w:val="center"/>
          </w:tcPr>
          <w:p>
            <w:pPr>
              <w:pStyle w:val="TableContents"/>
              <w:spacing w:before="0" w:after="0"/>
              <w:ind w:left="0" w:right="0" w:hanging="0"/>
              <w:rPr/>
            </w:pPr>
            <w:r>
              <w:rPr/>
              <w:t>VistaGen Therapeutics, Inc.</w:t>
            </w:r>
          </w:p>
        </w:tc>
        <w:tc>
          <w:tcPr>
            <w:tcW w:w="135" w:type="dxa"/>
            <w:tcBorders/>
            <w:shd w:fill="auto" w:val="clear"/>
            <w:vAlign w:val="center"/>
          </w:tcPr>
          <w:p>
            <w:pPr>
              <w:pStyle w:val="TableContents"/>
              <w:spacing w:before="0" w:after="0"/>
              <w:ind w:left="0" w:right="0" w:hanging="0"/>
              <w:rPr/>
            </w:pPr>
            <w:r>
              <w:rPr/>
              <w:t> </w:t>
            </w:r>
          </w:p>
        </w:tc>
      </w:tr>
      <w:tr>
        <w:trPr/>
        <w:tc>
          <w:tcPr>
            <w:tcW w:w="2285" w:type="dxa"/>
            <w:tcBorders/>
            <w:shd w:fill="auto" w:val="clear"/>
            <w:vAlign w:val="center"/>
          </w:tcPr>
          <w:p>
            <w:pPr>
              <w:pStyle w:val="TableContents"/>
              <w:spacing w:before="0" w:after="0"/>
              <w:ind w:left="0" w:right="0" w:hanging="0"/>
              <w:rPr/>
            </w:pPr>
            <w:r>
              <w:rPr/>
              <w:t> </w:t>
            </w:r>
          </w:p>
        </w:tc>
        <w:tc>
          <w:tcPr>
            <w:tcW w:w="395" w:type="dxa"/>
            <w:tcBorders/>
            <w:shd w:fill="auto" w:val="clear"/>
            <w:vAlign w:val="center"/>
          </w:tcPr>
          <w:p>
            <w:pPr>
              <w:pStyle w:val="TableContents"/>
              <w:spacing w:before="0" w:after="0"/>
              <w:ind w:left="0" w:right="0" w:hanging="0"/>
              <w:rPr/>
            </w:pPr>
            <w:r>
              <w:rPr/>
              <w:t> </w:t>
            </w:r>
          </w:p>
        </w:tc>
        <w:tc>
          <w:tcPr>
            <w:tcW w:w="231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285" w:type="dxa"/>
            <w:tcBorders/>
            <w:shd w:fill="auto" w:val="clear"/>
            <w:vAlign w:val="center"/>
          </w:tcPr>
          <w:p>
            <w:pPr>
              <w:pStyle w:val="TableContents"/>
              <w:spacing w:before="0" w:after="0"/>
              <w:ind w:left="0" w:right="0" w:hanging="0"/>
              <w:rPr/>
            </w:pPr>
            <w:r>
              <w:rPr/>
              <w:t> </w:t>
            </w:r>
            <w:r>
              <w:rPr/>
              <w:t>Date: August 12, 2021</w:t>
            </w:r>
          </w:p>
        </w:tc>
        <w:tc>
          <w:tcPr>
            <w:tcW w:w="395" w:type="dxa"/>
            <w:tcBorders/>
            <w:shd w:fill="auto" w:val="clear"/>
            <w:vAlign w:val="center"/>
          </w:tcPr>
          <w:p>
            <w:pPr>
              <w:pStyle w:val="TableContents"/>
              <w:spacing w:before="0" w:after="0"/>
              <w:ind w:left="0" w:right="0" w:hanging="0"/>
              <w:rPr/>
            </w:pPr>
            <w:r>
              <w:rPr/>
              <w:t>By:</w:t>
            </w:r>
          </w:p>
        </w:tc>
        <w:tc>
          <w:tcPr>
            <w:tcW w:w="231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Emphasis"/>
              </w:rPr>
              <w:t>/s/ Shawn K. Singh</w:t>
            </w:r>
          </w:p>
        </w:tc>
        <w:tc>
          <w:tcPr>
            <w:tcW w:w="135" w:type="dxa"/>
            <w:tcBorders/>
            <w:shd w:fill="auto" w:val="clear"/>
            <w:vAlign w:val="center"/>
          </w:tcPr>
          <w:p>
            <w:pPr>
              <w:pStyle w:val="TableContents"/>
              <w:spacing w:before="0" w:after="0"/>
              <w:ind w:left="0" w:right="0" w:hanging="0"/>
              <w:rPr/>
            </w:pPr>
            <w:r>
              <w:rPr/>
              <w:t> </w:t>
            </w:r>
          </w:p>
        </w:tc>
      </w:tr>
      <w:tr>
        <w:trPr/>
        <w:tc>
          <w:tcPr>
            <w:tcW w:w="2285" w:type="dxa"/>
            <w:tcBorders/>
            <w:shd w:fill="auto" w:val="clear"/>
            <w:vAlign w:val="center"/>
          </w:tcPr>
          <w:p>
            <w:pPr>
              <w:pStyle w:val="TableContents"/>
              <w:spacing w:before="0" w:after="0"/>
              <w:ind w:left="0" w:right="0" w:hanging="0"/>
              <w:rPr/>
            </w:pPr>
            <w:r>
              <w:rPr/>
              <w:t> </w:t>
            </w:r>
          </w:p>
        </w:tc>
        <w:tc>
          <w:tcPr>
            <w:tcW w:w="395" w:type="dxa"/>
            <w:tcBorders/>
            <w:shd w:fill="auto" w:val="clear"/>
            <w:vAlign w:val="center"/>
          </w:tcPr>
          <w:p>
            <w:pPr>
              <w:pStyle w:val="TableContents"/>
              <w:spacing w:before="0" w:after="0"/>
              <w:ind w:left="0" w:right="0" w:hanging="0"/>
              <w:rPr/>
            </w:pPr>
            <w:r>
              <w:rPr/>
              <w:t> </w:t>
            </w:r>
          </w:p>
        </w:tc>
        <w:tc>
          <w:tcPr>
            <w:tcW w:w="2315" w:type="dxa"/>
            <w:tcBorders/>
            <w:shd w:fill="auto" w:val="clear"/>
            <w:vAlign w:val="center"/>
          </w:tcPr>
          <w:p>
            <w:pPr>
              <w:pStyle w:val="TableContents"/>
              <w:spacing w:before="0" w:after="0"/>
              <w:ind w:left="0" w:right="0" w:hanging="0"/>
              <w:rPr/>
            </w:pPr>
            <w:r>
              <w:rPr/>
              <w:t>Shawn K. Singh</w:t>
            </w:r>
          </w:p>
          <w:p>
            <w:pPr>
              <w:pStyle w:val="TableContents"/>
              <w:spacing w:before="0" w:after="0"/>
              <w:ind w:left="0" w:right="0" w:hanging="0"/>
              <w:rPr/>
            </w:pPr>
            <w:r>
              <w:rPr/>
              <w:t>Chief Executive Officer</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3</w:t>
            </w:r>
          </w:p>
        </w:tc>
      </w:tr>
    </w:tbl>
    <w:p>
      <w:pPr>
        <w:pStyle w:val="TextBody"/>
        <w:spacing w:before="0" w:after="0"/>
        <w:ind w:left="0" w:right="0" w:hanging="0"/>
        <w:rPr/>
      </w:pPr>
      <w:r>
        <w:rPr/>
        <w:t> </w:t>
      </w:r>
      <w:r>
        <w:br w:type="page"/>
      </w:r>
    </w:p>
    <w:p>
      <w:pPr>
        <w:pStyle w:val="TextBody"/>
        <w:spacing w:before="0" w:after="0"/>
        <w:ind w:left="0" w:right="0" w:hanging="0"/>
        <w:jc w:val="right"/>
        <w:rPr/>
      </w:pPr>
      <w:bookmarkStart w:id="0" w:name="vtgn_ex991.htm"/>
      <w:bookmarkStart w:id="1" w:name="ksvtgn_ex991"/>
      <w:bookmarkEnd w:id="0"/>
      <w:bookmarkEnd w:id="1"/>
      <w:r>
        <w:rPr>
          <w:rStyle w:val="StrongEmphasis"/>
          <w:rFonts w:ascii="times new roman" w:hAnsi="times new roman"/>
          <w:sz w:val="20"/>
        </w:rPr>
        <w:t>EXHIBIT 99.1</w:t>
      </w:r>
    </w:p>
    <w:p>
      <w:pPr>
        <w:pStyle w:val="TextBody"/>
        <w:spacing w:before="0" w:after="0"/>
        <w:ind w:left="0" w:right="0" w:hanging="0"/>
        <w:jc w:val="left"/>
        <w:rPr/>
      </w:pPr>
      <w:r>
        <w:rPr>
          <w:rStyle w:val="StrongEmphasis"/>
        </w:rPr>
        <w:t xml:space="preserve">  </w:t>
      </w:r>
      <w:r>
        <w:rPr>
          <w:rStyle w:val="StrongEmphasis"/>
        </w:rPr>
        <w:drawing>
          <wp:inline distT="0" distB="0" distL="0" distR="0">
            <wp:extent cx="1304925"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1019175"/>
                    </a:xfrm>
                    <a:prstGeom prst="rect">
                      <a:avLst/>
                    </a:prstGeom>
                  </pic:spPr>
                </pic:pic>
              </a:graphicData>
            </a:graphic>
          </wp:inline>
        </w:drawing>
      </w:r>
    </w:p>
    <w:p>
      <w:pPr>
        <w:pStyle w:val="TextBody"/>
        <w:spacing w:before="0" w:after="0"/>
        <w:ind w:left="0" w:right="0" w:hanging="0"/>
        <w:jc w:val="center"/>
        <w:rPr/>
      </w:pPr>
      <w:r>
        <w:rPr>
          <w:rStyle w:val="StrongEmphasis"/>
          <w:rFonts w:ascii="times new roman" w:hAnsi="times new roman"/>
          <w:sz w:val="20"/>
        </w:rPr>
        <w:t>VistaGen Therapeutics Reports Fiscal Year 2022 First Quarter Financial Results and Provides Corporate Update</w:t>
      </w:r>
    </w:p>
    <w:p>
      <w:pPr>
        <w:pStyle w:val="TextBody"/>
        <w:spacing w:before="0" w:after="0"/>
        <w:ind w:left="0" w:right="0" w:hanging="0"/>
        <w:jc w:val="left"/>
        <w:rPr/>
      </w:pPr>
      <w:r>
        <w:rPr/>
        <w:t> </w:t>
      </w:r>
    </w:p>
    <w:p>
      <w:pPr>
        <w:pStyle w:val="TextBody"/>
        <w:spacing w:before="0" w:after="0"/>
        <w:ind w:left="0" w:right="0" w:hanging="0"/>
        <w:jc w:val="center"/>
        <w:rPr/>
      </w:pPr>
      <w:r>
        <w:rPr>
          <w:rStyle w:val="Emphasis"/>
          <w:rFonts w:ascii="times new roman" w:hAnsi="times new roman"/>
          <w:sz w:val="20"/>
        </w:rPr>
        <w:t>PALISADE Phase 3 Program to evaluate PH94B for rapid-onset acute treatment of anxiety in adults with social anxiety disorder (SAD) progressing on plan</w:t>
      </w:r>
    </w:p>
    <w:p>
      <w:pPr>
        <w:pStyle w:val="TextBody"/>
        <w:spacing w:before="0" w:after="0"/>
        <w:ind w:left="0" w:right="0" w:hanging="0"/>
        <w:jc w:val="center"/>
        <w:rPr/>
      </w:pPr>
      <w:r>
        <w:rPr/>
        <w:t> </w:t>
      </w:r>
    </w:p>
    <w:p>
      <w:pPr>
        <w:pStyle w:val="TextBody"/>
        <w:spacing w:before="0" w:after="0"/>
        <w:ind w:left="0" w:right="0" w:hanging="0"/>
        <w:jc w:val="center"/>
        <w:rPr/>
      </w:pPr>
      <w:r>
        <w:rPr>
          <w:rStyle w:val="Emphasis"/>
          <w:rFonts w:ascii="times new roman" w:hAnsi="times new roman"/>
          <w:sz w:val="20"/>
        </w:rPr>
        <w:t>Additional potential NDA-enabling clinical studies expected to initiate in 2021</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SOUTH SAN FRANCISCO, Calif., August 12, 2021</w:t>
      </w:r>
      <w:r>
        <w:rPr>
          <w:rFonts w:ascii="times new roman" w:hAnsi="times new roman"/>
          <w:sz w:val="20"/>
        </w:rPr>
        <w:t xml:space="preserve"> – </w:t>
      </w:r>
      <w:r>
        <w:rPr>
          <w:rFonts w:ascii="times new roman" w:hAnsi="times new roman"/>
          <w:sz w:val="20"/>
          <w:u w:val="single"/>
        </w:rPr>
        <w:t>VistaGen Therapeutics, Inc</w:t>
      </w:r>
      <w:r>
        <w:rPr>
          <w:rFonts w:ascii="times new roman" w:hAnsi="times new roman"/>
          <w:sz w:val="20"/>
        </w:rPr>
        <w:t>. (NASDAQ: VTGN), a biopharmaceutical company committed to developing and commercializing a new generation of medicines with the potential to go beyond the current standard of care for anxiety, depression and other central nervous system (CNS) disorders, today reported financial results for its fiscal year 2022 first quarter ended June 30, 2021 and provided a corporate update.</w:t>
      </w:r>
    </w:p>
    <w:p>
      <w:pPr>
        <w:pStyle w:val="TextBody"/>
        <w:spacing w:before="0" w:after="0"/>
        <w:ind w:left="0" w:right="0" w:hanging="0"/>
        <w:jc w:val="left"/>
        <w:rPr/>
      </w:pPr>
      <w:r>
        <w:rPr/>
        <w:t> </w:t>
      </w:r>
    </w:p>
    <w:p>
      <w:pPr>
        <w:pStyle w:val="TextBody"/>
        <w:spacing w:before="0" w:after="0"/>
        <w:ind w:left="0" w:right="0" w:hanging="0"/>
        <w:jc w:val="left"/>
        <w:rPr/>
      </w:pPr>
      <w:r>
        <w:rPr/>
        <w:t>“</w:t>
      </w:r>
      <w:r>
        <w:rPr>
          <w:rFonts w:ascii="times new roman" w:hAnsi="times new roman"/>
          <w:sz w:val="20"/>
        </w:rPr>
        <w:t>The strong momentum we generated in fiscal 2021 leading up to the launch of our PALISADE Phase 3 Program for PH94B as a potential rapid-onset acute treatment of anxiety in adults with social anxiety disorder continued throughout the first quarter of fiscal 2022. The initiation of PALISADE-1 was a major milestone in the program. That study is proceeding as planned, with topline data anticipated in mid-2022. We remain on track to initiate PALISADE-2, which will be a counterpart of PALISADE-1, later this year, together with several other planned clinical studies we believe will be supportive of a potential U.S. New Drug Application for PH94B if our PALISADE Phase 3 Program is successful. We have also made progress in our Phase 2A clinical development program for PH94B, which is focused on additional anxiety disorders beyond SAD. We recently received from the U.S. Food and Drug Administration notice that we may proceed with our proposed exploratory Phase 2A clinical study of PH94B for treatment of adjustment disorder with anxiety. We expect to initiate that study in the U.S. before year end,” said Shawn Singh, Chief Executive Officer of VistaGen.</w:t>
      </w:r>
    </w:p>
    <w:p>
      <w:pPr>
        <w:pStyle w:val="TextBody"/>
        <w:spacing w:before="0" w:after="0"/>
        <w:ind w:left="0" w:right="0" w:hanging="0"/>
        <w:jc w:val="left"/>
        <w:rPr/>
      </w:pPr>
      <w:r>
        <w:rPr/>
        <w:t> </w:t>
      </w:r>
    </w:p>
    <w:p>
      <w:pPr>
        <w:pStyle w:val="TextBody"/>
        <w:spacing w:before="0" w:after="0"/>
        <w:ind w:left="0" w:right="0" w:hanging="0"/>
        <w:jc w:val="left"/>
        <w:rPr/>
      </w:pPr>
      <w:r>
        <w:rPr/>
        <w:t>“</w:t>
      </w:r>
      <w:r>
        <w:rPr>
          <w:rFonts w:ascii="times new roman" w:hAnsi="times new roman"/>
          <w:sz w:val="20"/>
        </w:rPr>
        <w:t>Our core mission is to improve mental health and well-being for individuals around the world. As we continue to advance on that goal and into the next phases of our corporate development, we have enhanced diversity and collective expertise on our Board and across all key internal functions. We are well-positioned to drive our clinical-stage programs through multiple development and regulatory milestones, as well as appropriately-timed pre-commercial activities, and, if our PALISADE Phase 3 Program is successful, PH94B commercial launch operations in the U.S.,” continued Singh.</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 xml:space="preserve">Recent Corporate Highlights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105"/>
        <w:gridCol w:w="540"/>
        <w:gridCol w:w="9560"/>
      </w:tblGrid>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560" w:type="dxa"/>
            <w:tcBorders/>
            <w:shd w:fill="auto" w:val="clear"/>
            <w:vAlign w:val="center"/>
          </w:tcPr>
          <w:p>
            <w:pPr>
              <w:pStyle w:val="TableContents"/>
              <w:spacing w:before="0" w:after="283"/>
              <w:rPr/>
            </w:pPr>
            <w:r>
              <w:rPr/>
              <w:t>Initiated PALISADE Phase 3 Program for PH94B with PALISADE-1, a U.S., multi-center, randomized, double-blind, placebo-controlled Phase 3 clinical study to evaluate the efficacy, safety and tolerability of PH94B for the acute treatment of anxiety in adults with SAD. Topline results from PALISADE-1 are anticipated in mid-2022.</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560" w:type="dxa"/>
            <w:tcBorders/>
            <w:shd w:fill="auto" w:val="clear"/>
            <w:vAlign w:val="center"/>
          </w:tcPr>
          <w:p>
            <w:pPr>
              <w:pStyle w:val="TableContents"/>
              <w:spacing w:before="0" w:after="283"/>
              <w:rPr/>
            </w:pPr>
            <w:r>
              <w:rPr/>
              <w:t>Received notice from the U.S. Food and Drug Administration (FDA) that we may proceed with our exploratory Phase 2A clinical study of PH94B in adults experiencing adjustment disorder with anxiety (AjDA).</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560" w:type="dxa"/>
            <w:tcBorders/>
            <w:shd w:fill="auto" w:val="clear"/>
            <w:vAlign w:val="center"/>
          </w:tcPr>
          <w:p>
            <w:pPr>
              <w:pStyle w:val="TableContents"/>
              <w:spacing w:before="0" w:after="283"/>
              <w:rPr/>
            </w:pPr>
            <w:r>
              <w:rPr/>
              <w:t>Appointed Mary L. Rotunno, J.D. to our Board of Directors, adding significant healthcare industry expertise as a leader and strategist as we advance late-stage development of our CNS product candidates for anxiety and depression disorders.</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560" w:type="dxa"/>
            <w:tcBorders/>
            <w:shd w:fill="auto" w:val="clear"/>
            <w:vAlign w:val="center"/>
          </w:tcPr>
          <w:p>
            <w:pPr>
              <w:pStyle w:val="TableContents"/>
              <w:spacing w:before="0" w:after="283"/>
              <w:rPr/>
            </w:pPr>
            <w:r>
              <w:rPr/>
              <w:t>Appointed Maggie FitzPatrick to our Board of Directors, bringing extensive leadership in healthcare consumer-focused engagement, marketing and public relations. Ms. FitzPatrick has driven marketing communications initiatives for some of the world’s largest and most successful companies, including Johnson &amp; Johnson and Cigna.</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rPr>
            </w:pPr>
            <w:r>
              <w:rPr>
                <w:rFonts w:ascii="symbol" w:hAnsi="symbol"/>
              </w:rPr>
              <w:t>·</w:t>
            </w:r>
          </w:p>
        </w:tc>
        <w:tc>
          <w:tcPr>
            <w:tcW w:w="9560" w:type="dxa"/>
            <w:tcBorders/>
            <w:shd w:fill="auto" w:val="clear"/>
            <w:vAlign w:val="center"/>
          </w:tcPr>
          <w:p>
            <w:pPr>
              <w:pStyle w:val="TableContents"/>
              <w:spacing w:before="0" w:after="283"/>
              <w:rPr/>
            </w:pPr>
            <w:r>
              <w:rPr/>
              <w:t>Included in the Russell 2000® Index, one of the most cited performance benchmarks for small-cap companies, increasing overall awareness and exposure for VistaGen within the investment community.</w:t>
            </w:r>
          </w:p>
        </w:tc>
      </w:tr>
    </w:tbl>
    <w:p>
      <w:pPr>
        <w:pStyle w:val="TextBody"/>
        <w:spacing w:before="0" w:after="0"/>
        <w:ind w:left="0" w:right="0" w:hanging="0"/>
        <w:jc w:val="left"/>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1</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1304925" cy="101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4925" cy="1019175"/>
                    </a:xfrm>
                    <a:prstGeom prst="rect">
                      <a:avLst/>
                    </a:prstGeom>
                  </pic:spPr>
                </pic:pic>
              </a:graphicData>
            </a:graphic>
          </wp:inline>
        </w:drawing>
      </w:r>
    </w:p>
    <w:p>
      <w:pPr>
        <w:pStyle w:val="TextBody"/>
        <w:spacing w:before="0" w:after="0"/>
        <w:ind w:left="0" w:right="0" w:hanging="0"/>
        <w:jc w:val="left"/>
        <w:rPr/>
      </w:pPr>
      <w:r>
        <w:rPr/>
        <w:t xml:space="preserve">   </w:t>
      </w:r>
    </w:p>
    <w:p>
      <w:pPr>
        <w:pStyle w:val="TextBody"/>
        <w:spacing w:before="0" w:after="0"/>
        <w:ind w:left="0" w:right="0" w:hanging="0"/>
        <w:jc w:val="left"/>
        <w:rPr/>
      </w:pPr>
      <w:r>
        <w:rPr>
          <w:rStyle w:val="StrongEmphasis"/>
          <w:rFonts w:ascii="times new roman" w:hAnsi="times new roman"/>
          <w:sz w:val="20"/>
        </w:rPr>
        <w:t>CNS Pipeline Updates</w:t>
      </w:r>
    </w:p>
    <w:p>
      <w:pPr>
        <w:pStyle w:val="TextBody"/>
        <w:spacing w:before="0" w:after="0"/>
        <w:ind w:left="0" w:right="0" w:hanging="0"/>
        <w:jc w:val="left"/>
        <w:rPr/>
      </w:pPr>
      <w:r>
        <w:rPr/>
        <w:t> </w:t>
      </w:r>
    </w:p>
    <w:p>
      <w:pPr>
        <w:pStyle w:val="TextBody"/>
        <w:spacing w:before="0" w:after="0"/>
        <w:ind w:left="0" w:right="0" w:hanging="0"/>
        <w:jc w:val="left"/>
        <w:rPr/>
      </w:pPr>
      <w:r>
        <w:rPr>
          <w:rStyle w:val="Emphasis"/>
          <w:rFonts w:ascii="times new roman" w:hAnsi="times new roman"/>
          <w:sz w:val="20"/>
        </w:rPr>
        <w:t>PH94B Nasal Spray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May, VistaGen initiated its PALISADE Phase 3 Program with PALISADE-1, a U.S., multi-center, randomized, double-blind, placebo-controlled Phase 3 clinical study to evaluate the efficacy, safety and tolerability of PH94B for the acute treatment of anxiety in adults with SAD. The Company expects to initiate PALISADE-2, a replicate of PALISADE-1, in the second half of calendar 2021. If successful, these clinical studies are designed to be among the studies necessary to support a potential PH94B U.S. New Drug Application (NDA) to the FDA. PH94B has been granted Fast Track designation status by the FDA for development as an acute treatment of anxiety in adults with SAD.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Recently, the Company received a notice from the FDA allowing commencement of its exploratory Phase 2A clinical study of PH94B in adults experiencing AjDA. The study is expected to start by the end of 2021. In addition to studies of PH94B in SAD and AjDA, the Company is also preparing for exploratory Phase 2A clinical studies of PH94B in adults experiencing other anxiety disorders, including postpartum anxiety, post-traumatic stress disorder and pre-procedural anxiety. </w:t>
      </w:r>
    </w:p>
    <w:p>
      <w:pPr>
        <w:pStyle w:val="TextBody"/>
        <w:spacing w:before="0" w:after="0"/>
        <w:ind w:left="0" w:right="0" w:hanging="0"/>
        <w:jc w:val="left"/>
        <w:rPr/>
      </w:pPr>
      <w:r>
        <w:rPr/>
        <w:t> </w:t>
      </w:r>
    </w:p>
    <w:p>
      <w:pPr>
        <w:pStyle w:val="TextBody"/>
        <w:spacing w:before="0" w:after="0"/>
        <w:ind w:left="0" w:right="0" w:hanging="0"/>
        <w:jc w:val="left"/>
        <w:rPr/>
      </w:pPr>
      <w:r>
        <w:rPr>
          <w:rStyle w:val="Emphasis"/>
          <w:rFonts w:ascii="times new roman" w:hAnsi="times new roman"/>
          <w:sz w:val="20"/>
        </w:rPr>
        <w:t>PH10 Nasal Spray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Exploratory Phase 2A clinical development of PH10 as a potential rapid-onset treatment of major depressive disorder (MDD) has been completed. VistaGen is preparing to initiate a U.S. Phase 2B multi-center, randomized, double-blind, placebo-controlled study to evaluate the efficacy, safety and tolerability of PH10 as a potential rapid-onset, stand-alone treatment for MDD in mid-2022. PH10 also has potential as a novel treatment for treatment-resistant depression, postpartum depression and suicidal ideation.</w:t>
      </w:r>
    </w:p>
    <w:p>
      <w:pPr>
        <w:pStyle w:val="TextBody"/>
        <w:spacing w:before="0" w:after="0"/>
        <w:ind w:left="0" w:right="0" w:hanging="0"/>
        <w:jc w:val="left"/>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2</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1304925" cy="1019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04925" cy="1019175"/>
                    </a:xfrm>
                    <a:prstGeom prst="rect">
                      <a:avLst/>
                    </a:prstGeom>
                  </pic:spPr>
                </pic:pic>
              </a:graphicData>
            </a:graphic>
          </wp:inline>
        </w:drawing>
      </w:r>
    </w:p>
    <w:p>
      <w:pPr>
        <w:pStyle w:val="TextBody"/>
        <w:spacing w:before="0" w:after="0"/>
        <w:ind w:left="0" w:right="0" w:hanging="0"/>
        <w:jc w:val="left"/>
        <w:rPr/>
      </w:pPr>
      <w:r>
        <w:rPr/>
        <w:t xml:space="preserve">  </w:t>
      </w:r>
    </w:p>
    <w:p>
      <w:pPr>
        <w:pStyle w:val="TextBody"/>
        <w:spacing w:before="0" w:after="0"/>
        <w:ind w:left="0" w:right="0" w:hanging="0"/>
        <w:jc w:val="left"/>
        <w:rPr/>
      </w:pPr>
      <w:r>
        <w:rPr>
          <w:rStyle w:val="Emphasis"/>
          <w:rFonts w:ascii="times new roman" w:hAnsi="times new roman"/>
          <w:sz w:val="20"/>
        </w:rPr>
        <w:t>AV-101</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VistaGen is currently preparing to initiate a Phase 1B clinical study to evaluate AV-101 in combination with probenecid during the second half of calendar 2021. The FDA has granted Fast Track designation for development of AV-101 as a potential adjunctive treatment for MDD and as a non-opioid treatment for neuropathic pain. AV-101 also has the potential to be developed as a treatment for levodopa-induced dyskinesia, suicidal ideation, epilepsy and other neurological disorders involving the NMDA (N-methyl-D-aspartate) receptor.</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Fiscal Year 2022 First Quarter Financial Results</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Revenue:</w:t>
      </w:r>
      <w:r>
        <w:rPr>
          <w:rFonts w:ascii="times new roman" w:hAnsi="times new roman"/>
          <w:sz w:val="20"/>
        </w:rPr>
        <w:t xml:space="preserve"> The Company recognized $0.4 million in sublicense revenue from its $5 million upfront payment pursuant to its PH94B development and commercialization agreement with EverInsight Therapeutics (now AffaMed Therapeutics) during the quarter ended June 30, 2021, compared to none in the quarter ended June 30, 2020.</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Research and development (R&amp;D) expense:</w:t>
      </w:r>
      <w:r>
        <w:rPr>
          <w:rFonts w:ascii="times new roman" w:hAnsi="times new roman"/>
          <w:sz w:val="20"/>
        </w:rPr>
        <w:t xml:space="preserve"> Research and development expense increased by $3.9 million, from $1.7 million to $5.6 million for the quarters ended June 30, 2020 and 2021, respectively. The increase in R&amp;D expense is primarily related to the commencement of our PALISADE Phase 3 Program for PH94B in SAD with PALISADE-1, as well as other clinical and nonclinical developmental and manufacturing activities for both PH94B and PH10, which accounted for increased expenses of approximately $2.7 million during the quarter ended June 30, 2021 in comparison to the same quarter in the prior year. Salaries and benefits expense for the quarter ended June 30, 2021 increased by approximately $1.0 million versus the comparable prior-year quarter, primarily due to the hiring of additional senior management and other personnel focused on clinical operations, outsourced manufacturing activities and regulatory affairs. </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General and administrative (G&amp;A) expense:</w:t>
      </w:r>
      <w:r>
        <w:rPr>
          <w:rFonts w:ascii="times new roman" w:hAnsi="times new roman"/>
          <w:sz w:val="20"/>
        </w:rPr>
        <w:t xml:space="preserve"> General and administrative expense increased to approximately $2.5 million for the quarter ended June 30, 2021 compared to approximately $1.4 million for the quarter ended June 30, 2020. Salaries and benefits expense for the quarter ended June 30, 2021 increased by approximately $0.6 million versus the comparable prior-year quarter, primarily due to the hiring of additional senior management and other administrative personnel.</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Net loss:</w:t>
      </w:r>
      <w:r>
        <w:rPr>
          <w:rFonts w:ascii="times new roman" w:hAnsi="times new roman"/>
          <w:sz w:val="20"/>
        </w:rPr>
        <w:t xml:space="preserve"> Net loss for the quarters ended June 30, 2021 and 2020 was approximately $7.7 million and $3.1 million, respectively.</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Cash Position:</w:t>
      </w:r>
      <w:r>
        <w:rPr>
          <w:rFonts w:ascii="times new roman" w:hAnsi="times new roman"/>
          <w:sz w:val="20"/>
        </w:rPr>
        <w:t xml:space="preserve"> At June 30, 2021, the Company had cash and cash equivalents of approximately $97.8 million.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August 11, 2021, the Company had 192,903,896 shares of common stock outstanding.</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Conference Call</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VistaGen will host a conference call and live audio webcast this afternoon at 2:00 p.m. Pacific Time to provide a corporate update and discuss its financial results for its fiscal year 2022 first quarter ended June 30, 2021.</w:t>
      </w:r>
    </w:p>
    <w:p>
      <w:pPr>
        <w:pStyle w:val="TextBody"/>
        <w:spacing w:before="0" w:after="0"/>
        <w:ind w:left="0" w:right="0" w:hanging="0"/>
        <w:jc w:val="left"/>
        <w:rPr>
          <w:rFonts w:ascii="times new roman" w:hAnsi="times new roman"/>
          <w:sz w:val="20"/>
        </w:rPr>
      </w:pPr>
      <w:r>
        <w:rPr>
          <w:rFonts w:ascii="times new roman" w:hAnsi="times new roman"/>
          <w:sz w:val="20"/>
        </w:rPr>
        <w:br/>
        <w:t xml:space="preserve">U.S. Dial-in (Toll Free): 1-800-935-5014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International Dial-in Number (Toll): 1-212-231-2920 </w:t>
        <w:br/>
        <w:t xml:space="preserve">Conference ID: 21996610 </w:t>
      </w:r>
    </w:p>
    <w:p>
      <w:pPr>
        <w:pStyle w:val="TextBody"/>
        <w:spacing w:before="0" w:after="0"/>
        <w:ind w:left="0" w:right="0" w:hanging="0"/>
        <w:jc w:val="left"/>
        <w:rPr/>
      </w:pPr>
      <w:r>
        <w:rPr>
          <w:rFonts w:ascii="times new roman" w:hAnsi="times new roman"/>
          <w:sz w:val="20"/>
        </w:rPr>
        <w:t xml:space="preserve">Webcast Link: </w:t>
      </w:r>
      <w:r>
        <w:rPr>
          <w:rStyle w:val="StrongEmphasis"/>
          <w:rFonts w:ascii="times new roman" w:hAnsi="times new roman"/>
          <w:sz w:val="20"/>
        </w:rPr>
        <w:t>http://public.viavid.com/index.php?id=146257</w:t>
      </w:r>
    </w:p>
    <w:p>
      <w:pPr>
        <w:pStyle w:val="TextBody"/>
        <w:spacing w:before="0" w:after="0"/>
        <w:ind w:left="0" w:right="0" w:hanging="0"/>
        <w:jc w:val="left"/>
        <w:rPr/>
      </w:pPr>
      <w:r>
        <w:rPr/>
        <w:t xml:space="preserve">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3</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1304925" cy="1019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04925" cy="1019175"/>
                    </a:xfrm>
                    <a:prstGeom prst="rect">
                      <a:avLst/>
                    </a:prstGeom>
                  </pic:spPr>
                </pic:pic>
              </a:graphicData>
            </a:graphic>
          </wp:inline>
        </w:drawing>
      </w:r>
    </w:p>
    <w:p>
      <w:pPr>
        <w:pStyle w:val="TextBody"/>
        <w:spacing w:before="0" w:after="0"/>
        <w:ind w:left="0" w:right="0" w:hanging="0"/>
        <w:jc w:val="left"/>
        <w:rPr/>
      </w:pPr>
      <w:r>
        <w:rPr/>
        <w:t xml:space="preserve">  </w:t>
      </w:r>
    </w:p>
    <w:p>
      <w:pPr>
        <w:pStyle w:val="TextBody"/>
        <w:spacing w:before="0" w:after="0"/>
        <w:ind w:left="0" w:right="0" w:hanging="0"/>
        <w:jc w:val="left"/>
        <w:rPr>
          <w:rFonts w:ascii="times new roman" w:hAnsi="times new roman"/>
          <w:sz w:val="20"/>
        </w:rPr>
      </w:pPr>
      <w:r>
        <w:rPr>
          <w:rFonts w:ascii="times new roman" w:hAnsi="times new roman"/>
          <w:sz w:val="20"/>
        </w:rPr>
        <w:t>A telephone playback of the conference call will be available after approximately 5:00 p.m. Pacific Time on August 12, 2020. To listen to the replay, call toll free 1-844-512-2921 within the United States or 1-412-317-6671 when calling internationally (toll). Please use the replay PIN number 21996610.</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About VistaGen</w:t>
      </w: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is a biopharmaceutical company committed to developing and commercializing innovative medicines with the potential to go beyond the current standard of care for anxiety, depression, and other CNS disorders. Each of VistaGen's drug candidates has a differentiated potential mechanism of action, has been well-tolerated in all clinical studies to date and has therapeutic potential in multiple CNS indications. For more information, please visit www.VistaGen.com and connect with VistaGen on Twitter, LinkedIn, and Facebook.</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 xml:space="preserve">Forward Looking Statements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include, without limitation, risks and uncertainties relating to delays in launching and/or conducting our planned clinical trials, including delays due to the impact of the ongoing COVID-19 pandemic; fluctuating costs of materials and other resources required to conduct our planned clinical and non-clinical trials; market conditions; the impact of general economic, industry or political conditions in the United States or internationally; adverse healthcare reforms and changes of laws and regulations; manufacturing and marketing risks, which may include, but are not limited to, unavailability of or delays in delivery of raw materials for manufacture of our CNS drug candidates and difficulty in initiating or conducting clinical trials due to the ongoing COVID-19 pandemic or otherwise; inadequate and/or untimely supply of one or more of our CNS drug candidates to meet demand; entry of competitive products; and other technical and unexpected hurdles in the development, manufacture and commercialization of our CNS drug candidates; and the risks more fully discussed in the section entitled "Risk Factors" in our most recent Annual Report on Form 10-K for the fiscal year ended March 31, 2021 and in our most recent Quarterly Report on Form 10-Q for the quarter ended June 30, 2021, as well as discussions of potential risks, uncertainties, and other important factors in our other filings with the U.S. Securities and Exchange Commission (SEC). Our SEC filings are available on the SEC’s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pStyle w:val="TextBody"/>
        <w:spacing w:before="0" w:after="0"/>
        <w:ind w:left="0" w:right="0" w:hanging="0"/>
        <w:jc w:val="left"/>
        <w:rPr/>
      </w:pPr>
      <w:r>
        <w:rPr/>
        <w:t> </w:t>
      </w:r>
    </w:p>
    <w:p>
      <w:pPr>
        <w:pStyle w:val="TextBody"/>
        <w:spacing w:before="0" w:after="0"/>
        <w:ind w:left="0" w:right="0" w:hanging="0"/>
        <w:jc w:val="left"/>
        <w:rPr/>
      </w:pPr>
      <w:r>
        <w:rPr>
          <w:rStyle w:val="StrongEmphasis"/>
          <w:rFonts w:ascii="times new roman" w:hAnsi="times new roman"/>
          <w:sz w:val="20"/>
        </w:rPr>
        <w:t>VistaGen Company Contacts</w:t>
      </w:r>
      <w:r>
        <w:rPr>
          <w:rFonts w:ascii="times new roman" w:hAnsi="times new roman"/>
          <w:sz w:val="20"/>
        </w:rPr>
        <w:br/>
        <w:t>Media:</w:t>
      </w:r>
    </w:p>
    <w:p>
      <w:pPr>
        <w:pStyle w:val="TextBody"/>
        <w:spacing w:before="0" w:after="0"/>
        <w:ind w:left="0" w:right="0" w:hanging="0"/>
        <w:jc w:val="left"/>
        <w:rPr>
          <w:rFonts w:ascii="times new roman" w:hAnsi="times new roman"/>
          <w:sz w:val="20"/>
        </w:rPr>
      </w:pPr>
      <w:r>
        <w:rPr>
          <w:rFonts w:ascii="times new roman" w:hAnsi="times new roman"/>
          <w:sz w:val="20"/>
        </w:rPr>
        <w:t>Mark McPartland</w:t>
      </w:r>
    </w:p>
    <w:p>
      <w:pPr>
        <w:pStyle w:val="TextBody"/>
        <w:spacing w:before="0" w:after="0"/>
        <w:ind w:left="0" w:right="0" w:hanging="0"/>
        <w:jc w:val="left"/>
        <w:rPr>
          <w:rFonts w:ascii="times new roman" w:hAnsi="times new roman"/>
          <w:sz w:val="20"/>
        </w:rPr>
      </w:pPr>
      <w:r>
        <w:rPr>
          <w:rFonts w:ascii="times new roman" w:hAnsi="times new roman"/>
          <w:sz w:val="20"/>
        </w:rPr>
        <w:t>Phone: (650) 577-3606</w:t>
      </w:r>
    </w:p>
    <w:p>
      <w:pPr>
        <w:pStyle w:val="TextBody"/>
        <w:spacing w:before="0" w:after="0"/>
        <w:ind w:left="0" w:right="0" w:hanging="0"/>
        <w:jc w:val="left"/>
        <w:rPr>
          <w:rFonts w:ascii="times new roman" w:hAnsi="times new roman"/>
          <w:sz w:val="20"/>
        </w:rPr>
      </w:pPr>
      <w:r>
        <w:rPr>
          <w:rFonts w:ascii="times new roman" w:hAnsi="times new roman"/>
          <w:sz w:val="20"/>
        </w:rPr>
        <w:t>Email: markmcp@vistagen.com</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Investors:</w:t>
      </w:r>
    </w:p>
    <w:p>
      <w:pPr>
        <w:pStyle w:val="TextBody"/>
        <w:spacing w:before="0" w:after="0"/>
        <w:ind w:left="0" w:right="0" w:hanging="0"/>
        <w:jc w:val="left"/>
        <w:rPr>
          <w:rFonts w:ascii="times new roman" w:hAnsi="times new roman"/>
          <w:sz w:val="20"/>
        </w:rPr>
      </w:pPr>
      <w:r>
        <w:rPr>
          <w:rFonts w:ascii="times new roman" w:hAnsi="times new roman"/>
          <w:sz w:val="20"/>
        </w:rPr>
        <w:t>Mark Flather</w:t>
        <w:br/>
        <w:t>Phone: (650) 577-3617</w:t>
        <w:br/>
        <w:t>Email: mflather@vistagen.com</w:t>
      </w:r>
    </w:p>
    <w:p>
      <w:pPr>
        <w:pStyle w:val="TextBody"/>
        <w:spacing w:before="0" w:after="0"/>
        <w:ind w:left="0" w:right="0" w:hanging="0"/>
        <w:jc w:val="center"/>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4</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1304925" cy="1019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04925" cy="1019175"/>
                    </a:xfrm>
                    <a:prstGeom prst="rect">
                      <a:avLst/>
                    </a:prstGeom>
                  </pic:spPr>
                </pic:pic>
              </a:graphicData>
            </a:graphic>
          </wp:inline>
        </w:drawing>
      </w:r>
    </w:p>
    <w:p>
      <w:pPr>
        <w:pStyle w:val="TextBody"/>
        <w:spacing w:before="0" w:after="0"/>
        <w:ind w:left="0" w:right="0" w:hanging="0"/>
        <w:jc w:val="left"/>
        <w:rPr/>
      </w:pPr>
      <w:r>
        <w:rPr/>
        <w:t xml:space="preserve">   </w:t>
      </w:r>
    </w:p>
    <w:tbl>
      <w:tblPr>
        <w:tblW w:w="10205" w:type="dxa"/>
        <w:jc w:val="left"/>
        <w:tblInd w:w="0" w:type="dxa"/>
        <w:tblCellMar>
          <w:top w:w="0" w:type="dxa"/>
          <w:left w:w="0" w:type="dxa"/>
          <w:bottom w:w="0" w:type="dxa"/>
          <w:right w:w="0" w:type="dxa"/>
        </w:tblCellMar>
      </w:tblPr>
      <w:tblGrid>
        <w:gridCol w:w="6703"/>
        <w:gridCol w:w="90"/>
        <w:gridCol w:w="170"/>
        <w:gridCol w:w="1343"/>
        <w:gridCol w:w="125"/>
        <w:gridCol w:w="90"/>
        <w:gridCol w:w="170"/>
        <w:gridCol w:w="1343"/>
        <w:gridCol w:w="171"/>
      </w:tblGrid>
      <w:tr>
        <w:trPr/>
        <w:tc>
          <w:tcPr>
            <w:tcW w:w="10205" w:type="dxa"/>
            <w:gridSpan w:val="9"/>
            <w:tcBorders/>
            <w:shd w:fill="auto" w:val="clear"/>
            <w:vAlign w:val="center"/>
          </w:tcPr>
          <w:p>
            <w:pPr>
              <w:pStyle w:val="TableContents"/>
              <w:spacing w:before="0" w:after="0"/>
              <w:ind w:left="0" w:right="0" w:hanging="0"/>
              <w:jc w:val="center"/>
              <w:rPr/>
            </w:pPr>
            <w:r>
              <w:rPr>
                <w:rStyle w:val="StrongEmphasis"/>
              </w:rPr>
              <w:t>VISTAGEN THERAPEUTICS, INC.</w:t>
            </w:r>
          </w:p>
        </w:tc>
      </w:tr>
      <w:tr>
        <w:trPr/>
        <w:tc>
          <w:tcPr>
            <w:tcW w:w="10205" w:type="dxa"/>
            <w:gridSpan w:val="9"/>
            <w:tcBorders/>
            <w:shd w:fill="auto" w:val="clear"/>
            <w:vAlign w:val="center"/>
          </w:tcPr>
          <w:p>
            <w:pPr>
              <w:pStyle w:val="TableContents"/>
              <w:spacing w:before="0" w:after="0"/>
              <w:ind w:left="0" w:right="0" w:hanging="0"/>
              <w:jc w:val="center"/>
              <w:rPr/>
            </w:pPr>
            <w:r>
              <w:rPr>
                <w:rStyle w:val="StrongEmphasis"/>
              </w:rPr>
              <w:t>CONSOLIDATED BALANCE SHEETS</w:t>
            </w:r>
          </w:p>
        </w:tc>
      </w:tr>
      <w:tr>
        <w:trPr/>
        <w:tc>
          <w:tcPr>
            <w:tcW w:w="10205" w:type="dxa"/>
            <w:gridSpan w:val="9"/>
            <w:tcBorders/>
            <w:shd w:fill="auto" w:val="clear"/>
            <w:vAlign w:val="center"/>
          </w:tcPr>
          <w:p>
            <w:pPr>
              <w:pStyle w:val="TableContents"/>
              <w:spacing w:before="0" w:after="0"/>
              <w:ind w:left="0" w:right="0" w:hanging="0"/>
              <w:jc w:val="center"/>
              <w:rPr/>
            </w:pPr>
            <w:r>
              <w:rPr/>
              <w:t>(unaudited)</w:t>
            </w:r>
          </w:p>
        </w:tc>
      </w:tr>
      <w:tr>
        <w:trPr/>
        <w:tc>
          <w:tcPr>
            <w:tcW w:w="10205" w:type="dxa"/>
            <w:gridSpan w:val="9"/>
            <w:tcBorders/>
            <w:shd w:fill="auto" w:val="clear"/>
            <w:vAlign w:val="center"/>
          </w:tcPr>
          <w:p>
            <w:pPr>
              <w:pStyle w:val="TableContents"/>
              <w:spacing w:before="0" w:after="0"/>
              <w:ind w:left="0" w:right="0" w:hanging="0"/>
              <w:jc w:val="center"/>
              <w:rPr/>
            </w:pPr>
            <w:r>
              <w:rPr/>
              <w:t>(Amounts in dollars, except share amounts)</w:t>
            </w:r>
          </w:p>
        </w:tc>
      </w:tr>
      <w:tr>
        <w:trPr/>
        <w:tc>
          <w:tcPr>
            <w:tcW w:w="670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shd w:fill="auto" w:val="clear"/>
            <w:vAlign w:val="center"/>
          </w:tcPr>
          <w:p>
            <w:pPr>
              <w:pStyle w:val="TableContents"/>
              <w:spacing w:before="0" w:after="0"/>
              <w:ind w:left="0" w:right="0" w:hanging="0"/>
              <w:rPr/>
            </w:pPr>
            <w:r>
              <w:rPr/>
              <w:t> </w:t>
            </w:r>
          </w:p>
        </w:tc>
        <w:tc>
          <w:tcPr>
            <w:tcW w:w="171" w:type="dxa"/>
            <w:tcBorders/>
            <w:shd w:fill="auto" w:val="clear"/>
            <w:vAlign w:val="center"/>
          </w:tcPr>
          <w:p>
            <w:pPr>
              <w:pStyle w:val="TableContents"/>
              <w:spacing w:before="0" w:after="0"/>
              <w:ind w:left="0" w:right="0" w:hanging="0"/>
              <w:rPr/>
            </w:pPr>
            <w:r>
              <w:rPr/>
              <w:t> </w:t>
            </w:r>
          </w:p>
        </w:tc>
      </w:tr>
      <w:tr>
        <w:trPr/>
        <w:tc>
          <w:tcPr>
            <w:tcW w:w="670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shd w:fill="auto" w:val="clear"/>
            <w:vAlign w:val="center"/>
          </w:tcPr>
          <w:p>
            <w:pPr>
              <w:pStyle w:val="TableContents"/>
              <w:spacing w:before="0" w:after="0"/>
              <w:ind w:left="0" w:right="0" w:hanging="0"/>
              <w:jc w:val="center"/>
              <w:rPr/>
            </w:pPr>
            <w:r>
              <w:rPr>
                <w:rStyle w:val="StrongEmphasis"/>
              </w:rPr>
              <w:t>June 30,</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shd w:fill="auto" w:val="clear"/>
            <w:vAlign w:val="center"/>
          </w:tcPr>
          <w:p>
            <w:pPr>
              <w:pStyle w:val="TableContents"/>
              <w:spacing w:before="0" w:after="0"/>
              <w:ind w:left="0" w:right="0" w:hanging="0"/>
              <w:jc w:val="center"/>
              <w:rPr/>
            </w:pPr>
            <w:r>
              <w:rPr>
                <w:rStyle w:val="StrongEmphasis"/>
              </w:rPr>
              <w:t xml:space="preserve">March 31, </w:t>
            </w:r>
          </w:p>
        </w:tc>
        <w:tc>
          <w:tcPr>
            <w:tcW w:w="171" w:type="dxa"/>
            <w:tcBorders/>
            <w:shd w:fill="auto" w:val="clear"/>
            <w:vAlign w:val="center"/>
          </w:tcPr>
          <w:p>
            <w:pPr>
              <w:pStyle w:val="TableContents"/>
              <w:spacing w:before="0" w:after="0"/>
              <w:ind w:left="0" w:right="0" w:hanging="0"/>
              <w:rPr/>
            </w:pPr>
            <w:r>
              <w:rPr/>
              <w:t> </w:t>
            </w:r>
          </w:p>
        </w:tc>
      </w:tr>
      <w:tr>
        <w:trPr/>
        <w:tc>
          <w:tcPr>
            <w:tcW w:w="670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2021</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2021</w:t>
            </w:r>
          </w:p>
        </w:tc>
        <w:tc>
          <w:tcPr>
            <w:tcW w:w="171" w:type="dxa"/>
            <w:tcBorders/>
            <w:shd w:fill="auto" w:val="clear"/>
            <w:vAlign w:val="center"/>
          </w:tcPr>
          <w:p>
            <w:pPr>
              <w:pStyle w:val="TableContents"/>
              <w:spacing w:before="0" w:after="0"/>
              <w:ind w:left="0" w:right="0" w:hanging="0"/>
              <w:rPr/>
            </w:pPr>
            <w:r>
              <w:rPr/>
              <w:t> </w:t>
            </w:r>
          </w:p>
        </w:tc>
      </w:tr>
      <w:tr>
        <w:trPr/>
        <w:tc>
          <w:tcPr>
            <w:tcW w:w="670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shd w:fill="auto" w:val="clear"/>
            <w:vAlign w:val="center"/>
          </w:tcPr>
          <w:p>
            <w:pPr>
              <w:pStyle w:val="TableContents"/>
              <w:spacing w:before="0" w:after="0"/>
              <w:ind w:left="0" w:right="0" w:hanging="0"/>
              <w:rPr/>
            </w:pPr>
            <w:r>
              <w:rPr/>
              <w:t> </w:t>
            </w:r>
          </w:p>
        </w:tc>
        <w:tc>
          <w:tcPr>
            <w:tcW w:w="171" w:type="dxa"/>
            <w:tcBorders/>
            <w:shd w:fill="auto" w:val="clear"/>
            <w:vAlign w:val="center"/>
          </w:tcPr>
          <w:p>
            <w:pPr>
              <w:pStyle w:val="TableContents"/>
              <w:spacing w:before="0" w:after="0"/>
              <w:ind w:left="0" w:right="0" w:hanging="0"/>
              <w:rPr/>
            </w:pPr>
            <w:r>
              <w:rPr/>
              <w:t> </w:t>
            </w:r>
          </w:p>
        </w:tc>
      </w:tr>
      <w:tr>
        <w:trPr/>
        <w:tc>
          <w:tcPr>
            <w:tcW w:w="10034" w:type="dxa"/>
            <w:gridSpan w:val="8"/>
            <w:tcBorders/>
            <w:shd w:fill="auto" w:val="clear"/>
            <w:vAlign w:val="center"/>
          </w:tcPr>
          <w:p>
            <w:pPr>
              <w:pStyle w:val="TableContents"/>
              <w:spacing w:before="0" w:after="0"/>
              <w:ind w:left="0" w:right="0" w:hanging="0"/>
              <w:jc w:val="center"/>
              <w:rPr/>
            </w:pPr>
            <w:r>
              <w:rPr>
                <w:rStyle w:val="StrongEmphasis"/>
              </w:rPr>
              <w:t>ASSETS</w:t>
            </w:r>
          </w:p>
        </w:tc>
        <w:tc>
          <w:tcPr>
            <w:tcW w:w="171" w:type="dxa"/>
            <w:tcBorders/>
            <w:shd w:fill="auto" w:val="clear"/>
            <w:vAlign w:val="center"/>
          </w:tcPr>
          <w:p>
            <w:pPr>
              <w:pStyle w:val="TableContents"/>
              <w:spacing w:before="0" w:after="0"/>
              <w:ind w:left="0" w:right="0" w:hanging="0"/>
              <w:rPr/>
            </w:pPr>
            <w:r>
              <w:rPr/>
              <w:t> </w:t>
            </w:r>
          </w:p>
        </w:tc>
      </w:tr>
      <w:tr>
        <w:trPr/>
        <w:tc>
          <w:tcPr>
            <w:tcW w:w="6703" w:type="dxa"/>
            <w:tcBorders/>
            <w:shd w:fill="auto" w:val="clear"/>
            <w:vAlign w:val="center"/>
          </w:tcPr>
          <w:p>
            <w:pPr>
              <w:pStyle w:val="TableContents"/>
              <w:spacing w:before="0" w:after="0"/>
              <w:ind w:left="0" w:right="0" w:hanging="0"/>
              <w:rPr/>
            </w:pPr>
            <w:r>
              <w:rPr/>
              <w:t xml:space="preserve">Current assets: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13" w:type="dxa"/>
            <w:gridSpan w:val="2"/>
            <w:tcBorders/>
            <w:shd w:fill="auto" w:val="clear"/>
            <w:vAlign w:val="center"/>
          </w:tcPr>
          <w:p>
            <w:pPr>
              <w:pStyle w:val="TableContents"/>
              <w:spacing w:before="0" w:after="0"/>
              <w:ind w:left="0" w:right="0" w:hanging="0"/>
              <w:rPr/>
            </w:pPr>
            <w:r>
              <w:rPr/>
              <w:t> </w:t>
            </w:r>
          </w:p>
        </w:tc>
        <w:tc>
          <w:tcPr>
            <w:tcW w:w="171" w:type="dxa"/>
            <w:tcBorders/>
            <w:shd w:fill="auto"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225" w:right="0" w:hanging="0"/>
              <w:rPr/>
            </w:pPr>
            <w:r>
              <w:rPr/>
              <w:t xml:space="preserve">Cash and cash equivalents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343" w:type="dxa"/>
            <w:tcBorders/>
            <w:shd w:fill="CCEEFF" w:val="clear"/>
            <w:vAlign w:val="center"/>
          </w:tcPr>
          <w:p>
            <w:pPr>
              <w:pStyle w:val="TableContents"/>
              <w:spacing w:before="0" w:after="283"/>
              <w:jc w:val="right"/>
              <w:rPr/>
            </w:pPr>
            <w:r>
              <w:rPr/>
              <w:t>97,776,900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343" w:type="dxa"/>
            <w:tcBorders/>
            <w:shd w:fill="CCEEFF" w:val="clear"/>
            <w:vAlign w:val="center"/>
          </w:tcPr>
          <w:p>
            <w:pPr>
              <w:pStyle w:val="TableContents"/>
              <w:spacing w:before="0" w:after="283"/>
              <w:jc w:val="right"/>
              <w:rPr/>
            </w:pPr>
            <w:r>
              <w:rPr/>
              <w:t>103,108,300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225" w:right="0" w:hanging="0"/>
              <w:rPr/>
            </w:pPr>
            <w:r>
              <w:rPr/>
              <w:t xml:space="preserve">Receivable from collaboration partner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44,000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40,600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225" w:right="0" w:hanging="0"/>
              <w:rPr/>
            </w:pPr>
            <w:r>
              <w:rPr/>
              <w:t xml:space="preserve">Prepaid expenses and other current assets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1,871,400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835,100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225" w:right="0" w:hanging="0"/>
              <w:rPr/>
            </w:pPr>
            <w:r>
              <w:rPr/>
              <w:t xml:space="preserve">Deferred contract acquisition costs - current portion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FFFFFF" w:val="clear"/>
            <w:tcMar>
              <w:bottom w:w="28" w:type="dxa"/>
            </w:tcMar>
            <w:vAlign w:val="center"/>
          </w:tcPr>
          <w:p>
            <w:pPr>
              <w:pStyle w:val="TableContents"/>
              <w:spacing w:before="0" w:after="283"/>
              <w:jc w:val="right"/>
              <w:rPr/>
            </w:pPr>
            <w:r>
              <w:rPr/>
              <w:t>133,500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FFFFFF" w:val="clear"/>
            <w:tcMar>
              <w:bottom w:w="28" w:type="dxa"/>
            </w:tcMar>
            <w:vAlign w:val="center"/>
          </w:tcPr>
          <w:p>
            <w:pPr>
              <w:pStyle w:val="TableContents"/>
              <w:spacing w:before="0" w:after="283"/>
              <w:jc w:val="right"/>
              <w:rPr/>
            </w:pPr>
            <w:r>
              <w:rPr/>
              <w:t>133,500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450" w:right="0" w:hanging="0"/>
              <w:rPr/>
            </w:pPr>
            <w:r>
              <w:rPr/>
              <w:t xml:space="preserve">Total current assets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99,825,800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104,117,500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0" w:right="0" w:hanging="0"/>
              <w:rPr/>
            </w:pPr>
            <w:r>
              <w:rPr/>
              <w:t xml:space="preserve">Property and equipment, net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482,800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367,400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0" w:right="0" w:hanging="0"/>
              <w:rPr/>
            </w:pPr>
            <w:r>
              <w:rPr/>
              <w:t xml:space="preserve">Right of use asset - operating lease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3,125,300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3,219,600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0" w:right="0" w:hanging="0"/>
              <w:rPr/>
            </w:pPr>
            <w:r>
              <w:rPr/>
              <w:t xml:space="preserve">Deferred offering costs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224,700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294,900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0" w:right="0" w:hanging="0"/>
              <w:rPr/>
            </w:pPr>
            <w:r>
              <w:rPr/>
              <w:t xml:space="preserve">Deferred contract acquisition costs - non-current portion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200,800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234,100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0" w:right="0" w:hanging="0"/>
              <w:rPr/>
            </w:pPr>
            <w:r>
              <w:rPr/>
              <w:t xml:space="preserve">Security deposits and other assets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FFFFFF" w:val="clear"/>
            <w:tcMar>
              <w:bottom w:w="28" w:type="dxa"/>
            </w:tcMar>
            <w:vAlign w:val="center"/>
          </w:tcPr>
          <w:p>
            <w:pPr>
              <w:pStyle w:val="TableContents"/>
              <w:spacing w:before="0" w:after="283"/>
              <w:jc w:val="right"/>
              <w:rPr/>
            </w:pPr>
            <w:r>
              <w:rPr/>
              <w:t>47,800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FFFFFF" w:val="clear"/>
            <w:tcMar>
              <w:bottom w:w="28" w:type="dxa"/>
            </w:tcMar>
            <w:vAlign w:val="center"/>
          </w:tcPr>
          <w:p>
            <w:pPr>
              <w:pStyle w:val="TableContents"/>
              <w:spacing w:before="0" w:after="283"/>
              <w:jc w:val="right"/>
              <w:rPr/>
            </w:pPr>
            <w:r>
              <w:rPr/>
              <w:t>47,800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450" w:right="0" w:hanging="0"/>
              <w:rPr/>
            </w:pPr>
            <w:r>
              <w:rPr/>
              <w:t xml:space="preserve">Total assets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343" w:type="dxa"/>
            <w:tcBorders>
              <w:bottom w:val="single" w:sz="2" w:space="0" w:color="000000"/>
            </w:tcBorders>
            <w:shd w:fill="CCEEFF" w:val="clear"/>
            <w:tcMar>
              <w:bottom w:w="28" w:type="dxa"/>
            </w:tcMar>
            <w:vAlign w:val="center"/>
          </w:tcPr>
          <w:p>
            <w:pPr>
              <w:pStyle w:val="TableContents"/>
              <w:spacing w:before="0" w:after="283"/>
              <w:jc w:val="right"/>
              <w:rPr/>
            </w:pPr>
            <w:r>
              <w:rPr/>
              <w:t>103,907,200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343" w:type="dxa"/>
            <w:tcBorders>
              <w:bottom w:val="single" w:sz="2" w:space="0" w:color="000000"/>
            </w:tcBorders>
            <w:shd w:fill="CCEEFF" w:val="clear"/>
            <w:tcMar>
              <w:bottom w:w="28" w:type="dxa"/>
            </w:tcMar>
            <w:vAlign w:val="center"/>
          </w:tcPr>
          <w:p>
            <w:pPr>
              <w:pStyle w:val="TableContents"/>
              <w:spacing w:before="0" w:after="283"/>
              <w:jc w:val="right"/>
              <w:rPr/>
            </w:pPr>
            <w:r>
              <w:rPr/>
              <w:t>108,281,300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r>
      <w:tr>
        <w:trPr/>
        <w:tc>
          <w:tcPr>
            <w:tcW w:w="10205" w:type="dxa"/>
            <w:gridSpan w:val="9"/>
            <w:tcBorders/>
            <w:shd w:fill="FFFFFF" w:val="clear"/>
            <w:vAlign w:val="center"/>
          </w:tcPr>
          <w:p>
            <w:pPr>
              <w:pStyle w:val="TableContents"/>
              <w:spacing w:before="0" w:after="0"/>
              <w:ind w:left="0" w:right="0" w:hanging="0"/>
              <w:jc w:val="center"/>
              <w:rPr/>
            </w:pPr>
            <w:r>
              <w:rPr>
                <w:rStyle w:val="StrongEmphasis"/>
              </w:rPr>
              <w:t xml:space="preserve">LIABILITIES AND STOCKHOLDERS EQUITY </w:t>
            </w:r>
          </w:p>
        </w:tc>
      </w:tr>
      <w:tr>
        <w:trPr/>
        <w:tc>
          <w:tcPr>
            <w:tcW w:w="6703" w:type="dxa"/>
            <w:tcBorders/>
            <w:shd w:fill="FFFFFF" w:val="clear"/>
            <w:vAlign w:val="center"/>
          </w:tcPr>
          <w:p>
            <w:pPr>
              <w:pStyle w:val="TableContents"/>
              <w:spacing w:before="0" w:after="0"/>
              <w:ind w:left="0" w:right="0" w:hanging="0"/>
              <w:rPr/>
            </w:pPr>
            <w:r>
              <w:rPr/>
              <w:t xml:space="preserve">Current liabilities: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225" w:right="0" w:hanging="0"/>
              <w:rPr/>
            </w:pPr>
            <w:r>
              <w:rPr/>
              <w:t xml:space="preserve">Accounts payable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343" w:type="dxa"/>
            <w:tcBorders/>
            <w:shd w:fill="CCEEFF" w:val="clear"/>
            <w:vAlign w:val="center"/>
          </w:tcPr>
          <w:p>
            <w:pPr>
              <w:pStyle w:val="TableContents"/>
              <w:spacing w:before="0" w:after="283"/>
              <w:jc w:val="right"/>
              <w:rPr/>
            </w:pPr>
            <w:r>
              <w:rPr/>
              <w:t>2,316,200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343" w:type="dxa"/>
            <w:tcBorders/>
            <w:shd w:fill="CCEEFF" w:val="clear"/>
            <w:vAlign w:val="center"/>
          </w:tcPr>
          <w:p>
            <w:pPr>
              <w:pStyle w:val="TableContents"/>
              <w:spacing w:before="0" w:after="283"/>
              <w:jc w:val="right"/>
              <w:rPr/>
            </w:pPr>
            <w:r>
              <w:rPr/>
              <w:t>838,300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225" w:right="0" w:hanging="0"/>
              <w:rPr/>
            </w:pPr>
            <w:r>
              <w:rPr/>
              <w:t xml:space="preserve">Accrued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2,150,000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1,562,700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225" w:right="0" w:hanging="0"/>
              <w:rPr/>
            </w:pPr>
            <w:r>
              <w:rPr/>
              <w:t xml:space="preserve">Deferred revenue - current portion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1,420,200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1,420,200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225" w:right="0" w:hanging="0"/>
              <w:rPr/>
            </w:pPr>
            <w:r>
              <w:rPr/>
              <w:t xml:space="preserve">Operating lease obligation - current portion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378,400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364,800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225" w:right="0" w:hanging="0"/>
              <w:rPr/>
            </w:pPr>
            <w:r>
              <w:rPr/>
              <w:t xml:space="preserve">Financing lease obligation - current portion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CCEEFF" w:val="clear"/>
            <w:tcMar>
              <w:bottom w:w="28" w:type="dxa"/>
            </w:tcMar>
            <w:vAlign w:val="center"/>
          </w:tcPr>
          <w:p>
            <w:pPr>
              <w:pStyle w:val="TableContents"/>
              <w:spacing w:before="0" w:after="283"/>
              <w:jc w:val="right"/>
              <w:rPr/>
            </w:pPr>
            <w:r>
              <w:rPr/>
              <w:t>2,200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CCEEFF" w:val="clear"/>
            <w:tcMar>
              <w:bottom w:w="28" w:type="dxa"/>
            </w:tcMar>
            <w:vAlign w:val="center"/>
          </w:tcPr>
          <w:p>
            <w:pPr>
              <w:pStyle w:val="TableContents"/>
              <w:spacing w:before="0" w:after="283"/>
              <w:jc w:val="right"/>
              <w:rPr/>
            </w:pPr>
            <w:r>
              <w:rPr/>
              <w:t>3,000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450" w:right="0" w:hanging="0"/>
              <w:rPr/>
            </w:pPr>
            <w:r>
              <w:rPr/>
              <w:t xml:space="preserve">Total current liabilities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FFFFFF" w:val="clear"/>
            <w:tcMar>
              <w:bottom w:w="28" w:type="dxa"/>
            </w:tcMar>
            <w:vAlign w:val="center"/>
          </w:tcPr>
          <w:p>
            <w:pPr>
              <w:pStyle w:val="TableContents"/>
              <w:spacing w:before="0" w:after="283"/>
              <w:jc w:val="right"/>
              <w:rPr/>
            </w:pPr>
            <w:r>
              <w:rPr/>
              <w:t>6,267,000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FFFFFF" w:val="clear"/>
            <w:tcMar>
              <w:bottom w:w="28" w:type="dxa"/>
            </w:tcMar>
            <w:vAlign w:val="center"/>
          </w:tcPr>
          <w:p>
            <w:pPr>
              <w:pStyle w:val="TableContents"/>
              <w:spacing w:before="0" w:after="283"/>
              <w:jc w:val="right"/>
              <w:rPr/>
            </w:pPr>
            <w:r>
              <w:rPr/>
              <w:t>4,189,000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0" w:right="0" w:hanging="0"/>
              <w:rPr/>
            </w:pPr>
            <w:r>
              <w:rPr/>
              <w:t xml:space="preserve">Non-current liabilities: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225" w:right="0" w:hanging="0"/>
              <w:rPr/>
            </w:pPr>
            <w:r>
              <w:rPr/>
              <w:t xml:space="preserve">Accrued dividends on Series B Preferred Stock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6,634,500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6,272,700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225" w:right="0" w:hanging="0"/>
              <w:rPr/>
            </w:pPr>
            <w:r>
              <w:rPr/>
              <w:t xml:space="preserve">Deferred revenue - non-current portion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2,136,200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2,490,300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225" w:right="0" w:hanging="0"/>
              <w:rPr/>
            </w:pPr>
            <w:r>
              <w:rPr/>
              <w:t xml:space="preserve">Operating lease obligation - non-current portion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CCEEFF" w:val="clear"/>
            <w:tcMar>
              <w:bottom w:w="28" w:type="dxa"/>
            </w:tcMar>
            <w:vAlign w:val="center"/>
          </w:tcPr>
          <w:p>
            <w:pPr>
              <w:pStyle w:val="TableContents"/>
              <w:spacing w:before="0" w:after="283"/>
              <w:jc w:val="right"/>
              <w:rPr/>
            </w:pPr>
            <w:r>
              <w:rPr/>
              <w:t>3,252,700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CCEEFF" w:val="clear"/>
            <w:tcMar>
              <w:bottom w:w="28" w:type="dxa"/>
            </w:tcMar>
            <w:vAlign w:val="center"/>
          </w:tcPr>
          <w:p>
            <w:pPr>
              <w:pStyle w:val="TableContents"/>
              <w:spacing w:before="0" w:after="283"/>
              <w:jc w:val="right"/>
              <w:rPr/>
            </w:pPr>
            <w:r>
              <w:rPr/>
              <w:t>3,350,800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450" w:right="0" w:hanging="0"/>
              <w:rPr/>
            </w:pPr>
            <w:r>
              <w:rPr/>
              <w:t xml:space="preserve">Total non-current liabilities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FFFFFF" w:val="clear"/>
            <w:tcMar>
              <w:bottom w:w="28" w:type="dxa"/>
            </w:tcMar>
            <w:vAlign w:val="center"/>
          </w:tcPr>
          <w:p>
            <w:pPr>
              <w:pStyle w:val="TableContents"/>
              <w:spacing w:before="0" w:after="283"/>
              <w:jc w:val="right"/>
              <w:rPr/>
            </w:pPr>
            <w:r>
              <w:rPr/>
              <w:t>12,023,400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FFFFFF" w:val="clear"/>
            <w:tcMar>
              <w:bottom w:w="28" w:type="dxa"/>
            </w:tcMar>
            <w:vAlign w:val="center"/>
          </w:tcPr>
          <w:p>
            <w:pPr>
              <w:pStyle w:val="TableContents"/>
              <w:spacing w:before="0" w:after="283"/>
              <w:jc w:val="right"/>
              <w:rPr/>
            </w:pPr>
            <w:r>
              <w:rPr/>
              <w:t>12,113,800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450" w:right="0" w:hanging="0"/>
              <w:rPr/>
            </w:pPr>
            <w:r>
              <w:rPr/>
              <w:t xml:space="preserve">Total liabilities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18,290,400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16,302,800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0" w:right="0" w:hanging="0"/>
              <w:rPr/>
            </w:pPr>
            <w:r>
              <w:rPr/>
              <w:t xml:space="preserve">Commitments and contingencies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0" w:right="0" w:hanging="0"/>
              <w:rPr/>
            </w:pPr>
            <w:r>
              <w:rPr/>
              <w:t xml:space="preserve">Stockholders equity: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225" w:right="0" w:hanging="0"/>
              <w:rPr/>
            </w:pPr>
            <w:r>
              <w:rPr/>
              <w:t xml:space="preserve">Preferred stock, $0.001 par value; 10,000,000 shares authorized at June 30, 2021 and March 31, 2021: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450" w:right="0" w:hanging="0"/>
              <w:rPr/>
            </w:pPr>
            <w:r>
              <w:rPr/>
              <w:t xml:space="preserve">Series A Preferred, 500,000 shares authorized, issued and outstanding at June 30, 2021 and March 31, 2021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500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500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450" w:right="0" w:hanging="0"/>
              <w:rPr/>
            </w:pPr>
            <w:r>
              <w:rPr/>
              <w:t xml:space="preserve">Series B Preferred; 4,000,000 shares authorized at June 30, 2021 and March 31, 2021; 1,131,669 shares issued and outstanding at June 30, 2021 and March 31, 2021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1,100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1,100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450" w:right="0" w:hanging="0"/>
              <w:rPr/>
            </w:pPr>
            <w:r>
              <w:rPr/>
              <w:t xml:space="preserve">Series C Preferred; 3,000,000 shares authorized at June 30, 2021 and March 31, 2021; 2,318,012 shares issued and outstanding at June 30, 2021 and March 31, 2021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2,300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2,300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450" w:right="0" w:hanging="0"/>
              <w:rPr/>
            </w:pPr>
            <w:r>
              <w:rPr/>
              <w:t xml:space="preserve">Series D Preferred; 2,000,000 shares authorized at June 30, 2021 and March 31, 2021; no shares and 402,149 shares issued and outstanding at June 30, 2021 and March 31, 2021, respectively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400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225" w:right="0" w:hanging="0"/>
              <w:rPr/>
            </w:pPr>
            <w:r>
              <w:rPr/>
              <w:t>Common stock, $0.001 par value; 325,000,000 shares authorized at June 30, 2021 and March 31, 2021; 191,632,008 and 180,751,234 shares issued at June 30, 2021 and March 31, 2021, respectively</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191,600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180,800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225" w:right="0" w:hanging="0"/>
              <w:rPr/>
            </w:pPr>
            <w:r>
              <w:rPr/>
              <w:t xml:space="preserve">Additional paid-in capital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316,975,600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315,603,100</w:t>
            </w:r>
          </w:p>
        </w:tc>
        <w:tc>
          <w:tcPr>
            <w:tcW w:w="171" w:type="dxa"/>
            <w:tcBorders/>
            <w:shd w:fill="FFFFFF" w:val="clear"/>
            <w:vAlign w:val="center"/>
          </w:tcPr>
          <w:p>
            <w:pPr>
              <w:pStyle w:val="TableContents"/>
              <w:spacing w:before="0" w:after="0"/>
              <w:ind w:left="0" w:right="0" w:hanging="0"/>
              <w:rPr/>
            </w:pPr>
            <w:r>
              <w:rPr/>
              <w:t> </w:t>
            </w:r>
          </w:p>
        </w:tc>
      </w:tr>
      <w:tr>
        <w:trPr/>
        <w:tc>
          <w:tcPr>
            <w:tcW w:w="6703" w:type="dxa"/>
            <w:tcBorders/>
            <w:shd w:fill="CCEEFF" w:val="clear"/>
            <w:vAlign w:val="center"/>
          </w:tcPr>
          <w:p>
            <w:pPr>
              <w:pStyle w:val="TableContents"/>
              <w:spacing w:before="0" w:after="0"/>
              <w:ind w:left="225" w:right="0" w:hanging="0"/>
              <w:rPr/>
            </w:pPr>
            <w:r>
              <w:rPr/>
              <w:t xml:space="preserve">Treasury stock, at cost, 135,665 shares of common stock held at June 30, 2021 and March 31, 2021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 xml:space="preserve">(3,968,100 </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283"/>
              <w:jc w:val="right"/>
              <w:rPr/>
            </w:pPr>
            <w:r>
              <w:rPr/>
              <w:t xml:space="preserve">(3,968,100 </w:t>
            </w:r>
          </w:p>
        </w:tc>
        <w:tc>
          <w:tcPr>
            <w:tcW w:w="171" w:type="dxa"/>
            <w:tcBorders/>
            <w:shd w:fill="CCEEFF" w:val="clear"/>
            <w:vAlign w:val="center"/>
          </w:tcPr>
          <w:p>
            <w:pPr>
              <w:pStyle w:val="TableContents"/>
              <w:spacing w:before="0" w:after="283"/>
              <w:rPr/>
            </w:pPr>
            <w:r>
              <w:rPr/>
              <w:t>)</w:t>
            </w:r>
          </w:p>
        </w:tc>
      </w:tr>
      <w:tr>
        <w:trPr/>
        <w:tc>
          <w:tcPr>
            <w:tcW w:w="6703" w:type="dxa"/>
            <w:tcBorders/>
            <w:shd w:fill="FFFFFF" w:val="clear"/>
            <w:vAlign w:val="center"/>
          </w:tcPr>
          <w:p>
            <w:pPr>
              <w:pStyle w:val="TableContents"/>
              <w:spacing w:before="0" w:after="0"/>
              <w:ind w:left="225" w:right="0" w:hanging="0"/>
              <w:rPr/>
            </w:pPr>
            <w:r>
              <w:rPr/>
              <w:t xml:space="preserve">Accumulated deficit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 xml:space="preserve">(227,586,200 </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283"/>
              <w:jc w:val="right"/>
              <w:rPr/>
            </w:pPr>
            <w:r>
              <w:rPr/>
              <w:t xml:space="preserve">(219,841,600 </w:t>
            </w:r>
          </w:p>
        </w:tc>
        <w:tc>
          <w:tcPr>
            <w:tcW w:w="171" w:type="dxa"/>
            <w:tcBorders/>
            <w:shd w:fill="FFFFFF" w:val="clear"/>
            <w:vAlign w:val="center"/>
          </w:tcPr>
          <w:p>
            <w:pPr>
              <w:pStyle w:val="TableContents"/>
              <w:spacing w:before="0" w:after="283"/>
              <w:rPr/>
            </w:pPr>
            <w:r>
              <w:rPr/>
              <w:t>)</w:t>
            </w:r>
          </w:p>
        </w:tc>
      </w:tr>
      <w:tr>
        <w:trPr/>
        <w:tc>
          <w:tcPr>
            <w:tcW w:w="6703" w:type="dxa"/>
            <w:tcBorders/>
            <w:shd w:fill="CCEEFF" w:val="clear"/>
            <w:vAlign w:val="center"/>
          </w:tcPr>
          <w:p>
            <w:pPr>
              <w:pStyle w:val="TableContents"/>
              <w:spacing w:before="0" w:after="0"/>
              <w:ind w:left="450" w:right="0" w:hanging="0"/>
              <w:rPr/>
            </w:pPr>
            <w:r>
              <w:rPr/>
              <w:t xml:space="preserve">Total stockholders equity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CCEEFF" w:val="clear"/>
            <w:tcMar>
              <w:bottom w:w="28" w:type="dxa"/>
            </w:tcMar>
            <w:vAlign w:val="center"/>
          </w:tcPr>
          <w:p>
            <w:pPr>
              <w:pStyle w:val="TableContents"/>
              <w:spacing w:before="0" w:after="283"/>
              <w:jc w:val="right"/>
              <w:rPr/>
            </w:pPr>
            <w:r>
              <w:rPr/>
              <w:t>85,616,800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43" w:type="dxa"/>
            <w:tcBorders>
              <w:bottom w:val="single" w:sz="2" w:space="0" w:color="000000"/>
            </w:tcBorders>
            <w:shd w:fill="CCEEFF" w:val="clear"/>
            <w:tcMar>
              <w:bottom w:w="28" w:type="dxa"/>
            </w:tcMar>
            <w:vAlign w:val="center"/>
          </w:tcPr>
          <w:p>
            <w:pPr>
              <w:pStyle w:val="TableContents"/>
              <w:spacing w:before="0" w:after="283"/>
              <w:jc w:val="right"/>
              <w:rPr/>
            </w:pPr>
            <w:r>
              <w:rPr/>
              <w:t>91,978,500</w:t>
            </w:r>
          </w:p>
        </w:tc>
        <w:tc>
          <w:tcPr>
            <w:tcW w:w="171" w:type="dxa"/>
            <w:tcBorders/>
            <w:shd w:fill="CCEEFF" w:val="clear"/>
            <w:vAlign w:val="center"/>
          </w:tcPr>
          <w:p>
            <w:pPr>
              <w:pStyle w:val="TableContents"/>
              <w:spacing w:before="0" w:after="0"/>
              <w:ind w:left="0" w:right="0" w:hanging="0"/>
              <w:rPr/>
            </w:pPr>
            <w:r>
              <w:rPr/>
              <w:t> </w:t>
            </w:r>
          </w:p>
        </w:tc>
      </w:tr>
      <w:tr>
        <w:trPr/>
        <w:tc>
          <w:tcPr>
            <w:tcW w:w="6703" w:type="dxa"/>
            <w:tcBorders/>
            <w:shd w:fill="FFFFFF" w:val="clear"/>
            <w:vAlign w:val="center"/>
          </w:tcPr>
          <w:p>
            <w:pPr>
              <w:pStyle w:val="TableContents"/>
              <w:spacing w:before="0" w:after="0"/>
              <w:ind w:left="450" w:right="0" w:hanging="0"/>
              <w:rPr/>
            </w:pPr>
            <w:r>
              <w:rPr/>
              <w:t xml:space="preserve">Total liabilities and stockholders equity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343" w:type="dxa"/>
            <w:tcBorders>
              <w:bottom w:val="double" w:sz="6" w:space="0" w:color="000000"/>
            </w:tcBorders>
            <w:shd w:fill="FFFFFF" w:val="clear"/>
            <w:tcMar>
              <w:bottom w:w="28" w:type="dxa"/>
            </w:tcMar>
            <w:vAlign w:val="center"/>
          </w:tcPr>
          <w:p>
            <w:pPr>
              <w:pStyle w:val="TableContents"/>
              <w:spacing w:before="0" w:after="283"/>
              <w:jc w:val="right"/>
              <w:rPr/>
            </w:pPr>
            <w:r>
              <w:rPr/>
              <w:t>103,907,200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343" w:type="dxa"/>
            <w:tcBorders>
              <w:bottom w:val="double" w:sz="6" w:space="0" w:color="000000"/>
            </w:tcBorders>
            <w:shd w:fill="FFFFFF" w:val="clear"/>
            <w:tcMar>
              <w:bottom w:w="28" w:type="dxa"/>
            </w:tcMar>
            <w:vAlign w:val="center"/>
          </w:tcPr>
          <w:p>
            <w:pPr>
              <w:pStyle w:val="TableContents"/>
              <w:spacing w:before="0" w:after="283"/>
              <w:jc w:val="right"/>
              <w:rPr/>
            </w:pPr>
            <w:r>
              <w:rPr/>
              <w:t>108,281,300</w:t>
            </w:r>
          </w:p>
        </w:tc>
        <w:tc>
          <w:tcPr>
            <w:tcW w:w="171"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left"/>
        <w:rPr/>
      </w:pPr>
      <w:r>
        <w:rPr/>
        <w:t xml:space="preserve">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5</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1304925" cy="1019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04925" cy="1019175"/>
                    </a:xfrm>
                    <a:prstGeom prst="rect">
                      <a:avLst/>
                    </a:prstGeom>
                  </pic:spPr>
                </pic:pic>
              </a:graphicData>
            </a:graphic>
          </wp:inline>
        </w:drawing>
      </w:r>
    </w:p>
    <w:p>
      <w:pPr>
        <w:pStyle w:val="TextBody"/>
        <w:spacing w:before="0" w:after="0"/>
        <w:ind w:left="0" w:right="0" w:hanging="0"/>
        <w:jc w:val="left"/>
        <w:rPr/>
      </w:pPr>
      <w:r>
        <w:rPr/>
        <w:t xml:space="preserve">   </w:t>
      </w:r>
    </w:p>
    <w:tbl>
      <w:tblPr>
        <w:tblW w:w="10205" w:type="dxa"/>
        <w:jc w:val="left"/>
        <w:tblInd w:w="0" w:type="dxa"/>
        <w:tblCellMar>
          <w:top w:w="0" w:type="dxa"/>
          <w:left w:w="0" w:type="dxa"/>
          <w:bottom w:w="0" w:type="dxa"/>
          <w:right w:w="0" w:type="dxa"/>
        </w:tblCellMar>
      </w:tblPr>
      <w:tblGrid>
        <w:gridCol w:w="6867"/>
        <w:gridCol w:w="90"/>
        <w:gridCol w:w="178"/>
        <w:gridCol w:w="1311"/>
        <w:gridCol w:w="130"/>
        <w:gridCol w:w="94"/>
        <w:gridCol w:w="178"/>
        <w:gridCol w:w="1184"/>
        <w:gridCol w:w="173"/>
      </w:tblGrid>
      <w:tr>
        <w:trPr/>
        <w:tc>
          <w:tcPr>
            <w:tcW w:w="10205" w:type="dxa"/>
            <w:gridSpan w:val="9"/>
            <w:tcBorders/>
            <w:shd w:fill="auto" w:val="clear"/>
            <w:vAlign w:val="center"/>
          </w:tcPr>
          <w:p>
            <w:pPr>
              <w:pStyle w:val="TableContents"/>
              <w:spacing w:before="0" w:after="0"/>
              <w:ind w:left="0" w:right="0" w:hanging="0"/>
              <w:jc w:val="center"/>
              <w:rPr/>
            </w:pPr>
            <w:r>
              <w:rPr>
                <w:rStyle w:val="StrongEmphasis"/>
              </w:rPr>
              <w:t>VISTAGEN THERAPEUTICS, INC.</w:t>
            </w:r>
          </w:p>
        </w:tc>
      </w:tr>
      <w:tr>
        <w:trPr/>
        <w:tc>
          <w:tcPr>
            <w:tcW w:w="10205" w:type="dxa"/>
            <w:gridSpan w:val="9"/>
            <w:tcBorders/>
            <w:shd w:fill="auto" w:val="clear"/>
            <w:vAlign w:val="center"/>
          </w:tcPr>
          <w:p>
            <w:pPr>
              <w:pStyle w:val="TableContents"/>
              <w:spacing w:before="0" w:after="0"/>
              <w:ind w:left="0" w:right="0" w:hanging="0"/>
              <w:jc w:val="center"/>
              <w:rPr/>
            </w:pPr>
            <w:r>
              <w:rPr>
                <w:rStyle w:val="StrongEmphasis"/>
              </w:rPr>
              <w:t>CONDENSED CONSOLIDATED STATEMENT OF OPERATIONS</w:t>
            </w:r>
          </w:p>
        </w:tc>
      </w:tr>
      <w:tr>
        <w:trPr/>
        <w:tc>
          <w:tcPr>
            <w:tcW w:w="10205" w:type="dxa"/>
            <w:gridSpan w:val="9"/>
            <w:tcBorders/>
            <w:shd w:fill="auto" w:val="clear"/>
            <w:vAlign w:val="center"/>
          </w:tcPr>
          <w:p>
            <w:pPr>
              <w:pStyle w:val="TableContents"/>
              <w:spacing w:before="0" w:after="0"/>
              <w:ind w:left="0" w:right="0" w:hanging="0"/>
              <w:jc w:val="center"/>
              <w:rPr/>
            </w:pPr>
            <w:r>
              <w:rPr/>
              <w:t>(Amounts in Dollars, except share amounts)</w:t>
            </w:r>
          </w:p>
        </w:tc>
      </w:tr>
      <w:tr>
        <w:trPr/>
        <w:tc>
          <w:tcPr>
            <w:tcW w:w="10205" w:type="dxa"/>
            <w:gridSpan w:val="9"/>
            <w:tcBorders/>
            <w:shd w:fill="auto" w:val="clear"/>
            <w:vAlign w:val="center"/>
          </w:tcPr>
          <w:p>
            <w:pPr>
              <w:pStyle w:val="TableContents"/>
              <w:spacing w:before="0" w:after="0"/>
              <w:ind w:left="0" w:right="0" w:hanging="0"/>
              <w:jc w:val="center"/>
              <w:rPr/>
            </w:pPr>
            <w:r>
              <w:rPr/>
              <w:t>(Unaudited)</w:t>
            </w:r>
          </w:p>
        </w:tc>
      </w:tr>
      <w:tr>
        <w:trPr/>
        <w:tc>
          <w:tcPr>
            <w:tcW w:w="10205" w:type="dxa"/>
            <w:gridSpan w:val="9"/>
            <w:tcBorders/>
            <w:shd w:fill="auto" w:val="clear"/>
            <w:vAlign w:val="center"/>
          </w:tcPr>
          <w:p>
            <w:pPr>
              <w:pStyle w:val="TableContents"/>
              <w:spacing w:before="0" w:after="0"/>
              <w:ind w:left="0" w:right="0" w:hanging="0"/>
              <w:rPr/>
            </w:pPr>
            <w:r>
              <w:rPr/>
              <w:t> </w:t>
            </w:r>
          </w:p>
        </w:tc>
      </w:tr>
      <w:tr>
        <w:trPr/>
        <w:tc>
          <w:tcPr>
            <w:tcW w:w="6867"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75" w:type="dxa"/>
            <w:gridSpan w:val="6"/>
            <w:tcBorders>
              <w:bottom w:val="single" w:sz="4" w:space="0" w:color="000000"/>
            </w:tcBorders>
            <w:shd w:fill="auto" w:val="clear"/>
            <w:tcMar>
              <w:bottom w:w="28" w:type="dxa"/>
            </w:tcMar>
            <w:vAlign w:val="center"/>
          </w:tcPr>
          <w:p>
            <w:pPr>
              <w:pStyle w:val="TableContents"/>
              <w:spacing w:before="0" w:after="0"/>
              <w:ind w:left="0" w:right="0" w:hanging="0"/>
              <w:jc w:val="center"/>
              <w:rPr/>
            </w:pPr>
            <w:r>
              <w:rPr>
                <w:rStyle w:val="StrongEmphasis"/>
              </w:rPr>
              <w:t xml:space="preserve">Three Months Ended June 30, </w:t>
            </w:r>
          </w:p>
        </w:tc>
        <w:tc>
          <w:tcPr>
            <w:tcW w:w="173" w:type="dxa"/>
            <w:tcBorders/>
            <w:shd w:fill="auto" w:val="clear"/>
            <w:vAlign w:val="center"/>
          </w:tcPr>
          <w:p>
            <w:pPr>
              <w:pStyle w:val="TableContents"/>
              <w:spacing w:before="0" w:after="0"/>
              <w:ind w:left="0" w:right="0" w:hanging="0"/>
              <w:rPr/>
            </w:pPr>
            <w:r>
              <w:rPr>
                <w:rStyle w:val="StrongEmphasis"/>
              </w:rPr>
              <w:t> </w:t>
            </w:r>
          </w:p>
        </w:tc>
      </w:tr>
      <w:tr>
        <w:trPr/>
        <w:tc>
          <w:tcPr>
            <w:tcW w:w="6867"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89" w:type="dxa"/>
            <w:gridSpan w:val="2"/>
            <w:tcBorders>
              <w:bottom w:val="single" w:sz="4" w:space="0" w:color="000000"/>
            </w:tcBorders>
            <w:shd w:fill="auto" w:val="clear"/>
            <w:tcMar>
              <w:bottom w:w="28" w:type="dxa"/>
            </w:tcMar>
            <w:vAlign w:val="center"/>
          </w:tcPr>
          <w:p>
            <w:pPr>
              <w:pStyle w:val="TableContents"/>
              <w:spacing w:before="0" w:after="0"/>
              <w:ind w:left="0" w:right="0" w:hanging="0"/>
              <w:jc w:val="center"/>
              <w:rPr/>
            </w:pPr>
            <w:r>
              <w:rPr>
                <w:rStyle w:val="StrongEmphasis"/>
              </w:rPr>
              <w:t>2021</w:t>
            </w:r>
          </w:p>
        </w:tc>
        <w:tc>
          <w:tcPr>
            <w:tcW w:w="130" w:type="dxa"/>
            <w:tcBorders/>
            <w:shd w:fill="auto" w:val="clear"/>
            <w:vAlign w:val="center"/>
          </w:tcPr>
          <w:p>
            <w:pPr>
              <w:pStyle w:val="TableContents"/>
              <w:spacing w:before="0" w:after="0"/>
              <w:ind w:left="0" w:right="0" w:hanging="0"/>
              <w:rPr/>
            </w:pPr>
            <w:r>
              <w:rPr>
                <w:rStyle w:val="StrongEmphasis"/>
              </w:rPr>
              <w:t> </w:t>
            </w:r>
          </w:p>
        </w:tc>
        <w:tc>
          <w:tcPr>
            <w:tcW w:w="94" w:type="dxa"/>
            <w:tcBorders/>
            <w:shd w:fill="auto" w:val="clear"/>
            <w:vAlign w:val="center"/>
          </w:tcPr>
          <w:p>
            <w:pPr>
              <w:pStyle w:val="TableContents"/>
              <w:spacing w:before="0" w:after="0"/>
              <w:ind w:left="0" w:right="0" w:hanging="0"/>
              <w:rPr/>
            </w:pPr>
            <w:r>
              <w:rPr>
                <w:rStyle w:val="StrongEmphasis"/>
              </w:rPr>
              <w:t> </w:t>
            </w:r>
          </w:p>
        </w:tc>
        <w:tc>
          <w:tcPr>
            <w:tcW w:w="1362" w:type="dxa"/>
            <w:gridSpan w:val="2"/>
            <w:tcBorders>
              <w:bottom w:val="single" w:sz="4" w:space="0" w:color="000000"/>
            </w:tcBorders>
            <w:shd w:fill="auto" w:val="clear"/>
            <w:tcMar>
              <w:bottom w:w="28" w:type="dxa"/>
            </w:tcMar>
            <w:vAlign w:val="center"/>
          </w:tcPr>
          <w:p>
            <w:pPr>
              <w:pStyle w:val="TableContents"/>
              <w:spacing w:before="0" w:after="0"/>
              <w:ind w:left="0" w:right="0" w:hanging="0"/>
              <w:jc w:val="center"/>
              <w:rPr/>
            </w:pPr>
            <w:r>
              <w:rPr>
                <w:rStyle w:val="StrongEmphasis"/>
              </w:rPr>
              <w:t>2020</w:t>
            </w:r>
          </w:p>
        </w:tc>
        <w:tc>
          <w:tcPr>
            <w:tcW w:w="173" w:type="dxa"/>
            <w:tcBorders/>
            <w:shd w:fill="auto" w:val="clear"/>
            <w:vAlign w:val="center"/>
          </w:tcPr>
          <w:p>
            <w:pPr>
              <w:pStyle w:val="TableContents"/>
              <w:spacing w:before="0" w:after="0"/>
              <w:ind w:left="0" w:right="0" w:hanging="0"/>
              <w:rPr/>
            </w:pPr>
            <w:r>
              <w:rPr/>
              <w:t> </w:t>
            </w:r>
          </w:p>
        </w:tc>
      </w:tr>
      <w:tr>
        <w:trPr/>
        <w:tc>
          <w:tcPr>
            <w:tcW w:w="6867" w:type="dxa"/>
            <w:tcBorders/>
            <w:shd w:fill="CCEEFF" w:val="clear"/>
            <w:vAlign w:val="center"/>
          </w:tcPr>
          <w:p>
            <w:pPr>
              <w:pStyle w:val="TableContents"/>
              <w:spacing w:before="0" w:after="283"/>
              <w:rPr/>
            </w:pPr>
            <w:r>
              <w:rPr/>
              <w:t>Sublicense revenue</w:t>
            </w:r>
          </w:p>
        </w:tc>
        <w:tc>
          <w:tcPr>
            <w:tcW w:w="90" w:type="dxa"/>
            <w:tcBorders/>
            <w:shd w:fill="CCEEFF" w:val="clear"/>
            <w:vAlign w:val="center"/>
          </w:tcPr>
          <w:p>
            <w:pPr>
              <w:pStyle w:val="TableContents"/>
              <w:spacing w:before="0" w:after="0"/>
              <w:ind w:left="0" w:right="0" w:hanging="0"/>
              <w:rPr/>
            </w:pPr>
            <w:r>
              <w:rPr/>
              <w:t> </w:t>
            </w:r>
          </w:p>
        </w:tc>
        <w:tc>
          <w:tcPr>
            <w:tcW w:w="178" w:type="dxa"/>
            <w:tcBorders>
              <w:bottom w:val="single" w:sz="2" w:space="0" w:color="000000"/>
            </w:tcBorders>
            <w:shd w:fill="CCEEFF" w:val="clear"/>
            <w:tcMar>
              <w:bottom w:w="28" w:type="dxa"/>
            </w:tcMar>
            <w:vAlign w:val="center"/>
          </w:tcPr>
          <w:p>
            <w:pPr>
              <w:pStyle w:val="TableContents"/>
              <w:spacing w:before="0" w:after="283"/>
              <w:rPr/>
            </w:pPr>
            <w:r>
              <w:rPr/>
              <w:t>$</w:t>
            </w:r>
          </w:p>
        </w:tc>
        <w:tc>
          <w:tcPr>
            <w:tcW w:w="1311" w:type="dxa"/>
            <w:tcBorders>
              <w:bottom w:val="single" w:sz="2" w:space="0" w:color="000000"/>
            </w:tcBorders>
            <w:shd w:fill="CCEEFF" w:val="clear"/>
            <w:tcMar>
              <w:bottom w:w="28" w:type="dxa"/>
            </w:tcMar>
            <w:vAlign w:val="center"/>
          </w:tcPr>
          <w:p>
            <w:pPr>
              <w:pStyle w:val="TableContents"/>
              <w:spacing w:before="0" w:after="283"/>
              <w:jc w:val="right"/>
              <w:rPr/>
            </w:pPr>
            <w:r>
              <w:rPr/>
              <w:t>354,100</w:t>
            </w:r>
          </w:p>
        </w:tc>
        <w:tc>
          <w:tcPr>
            <w:tcW w:w="130" w:type="dxa"/>
            <w:tcBorders/>
            <w:shd w:fill="CCEEFF" w:val="clear"/>
            <w:vAlign w:val="center"/>
          </w:tcPr>
          <w:p>
            <w:pPr>
              <w:pStyle w:val="TableContents"/>
              <w:spacing w:before="0" w:after="0"/>
              <w:ind w:left="0" w:right="0" w:hanging="0"/>
              <w:rPr/>
            </w:pPr>
            <w:r>
              <w:rPr/>
              <w:t> </w:t>
            </w:r>
          </w:p>
        </w:tc>
        <w:tc>
          <w:tcPr>
            <w:tcW w:w="94" w:type="dxa"/>
            <w:tcBorders/>
            <w:shd w:fill="CCEEFF" w:val="clear"/>
            <w:vAlign w:val="center"/>
          </w:tcPr>
          <w:p>
            <w:pPr>
              <w:pStyle w:val="TableContents"/>
              <w:spacing w:before="0" w:after="0"/>
              <w:ind w:left="0" w:right="0" w:hanging="0"/>
              <w:rPr/>
            </w:pPr>
            <w:r>
              <w:rPr/>
              <w:t> </w:t>
            </w:r>
          </w:p>
        </w:tc>
        <w:tc>
          <w:tcPr>
            <w:tcW w:w="178" w:type="dxa"/>
            <w:tcBorders>
              <w:bottom w:val="single" w:sz="2" w:space="0" w:color="000000"/>
            </w:tcBorders>
            <w:shd w:fill="CCEEFF" w:val="clear"/>
            <w:tcMar>
              <w:bottom w:w="28" w:type="dxa"/>
            </w:tcMar>
            <w:vAlign w:val="center"/>
          </w:tcPr>
          <w:p>
            <w:pPr>
              <w:pStyle w:val="TableContents"/>
              <w:spacing w:before="0" w:after="283"/>
              <w:rPr/>
            </w:pPr>
            <w:r>
              <w:rPr/>
              <w:t>$</w:t>
            </w:r>
          </w:p>
        </w:tc>
        <w:tc>
          <w:tcPr>
            <w:tcW w:w="1184"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73" w:type="dxa"/>
            <w:tcBorders/>
            <w:shd w:fill="CCEEFF" w:val="clear"/>
            <w:vAlign w:val="center"/>
          </w:tcPr>
          <w:p>
            <w:pPr>
              <w:pStyle w:val="TableContents"/>
              <w:spacing w:before="0" w:after="0"/>
              <w:ind w:left="0" w:right="0" w:hanging="0"/>
              <w:rPr/>
            </w:pPr>
            <w:r>
              <w:rPr/>
              <w:t> </w:t>
            </w:r>
          </w:p>
        </w:tc>
      </w:tr>
      <w:tr>
        <w:trPr/>
        <w:tc>
          <w:tcPr>
            <w:tcW w:w="6867" w:type="dxa"/>
            <w:tcBorders/>
            <w:shd w:fill="FFFFFF" w:val="clear"/>
            <w:vAlign w:val="center"/>
          </w:tcPr>
          <w:p>
            <w:pPr>
              <w:pStyle w:val="TableContents"/>
              <w:spacing w:before="0" w:after="0"/>
              <w:ind w:left="450" w:right="0" w:hanging="0"/>
              <w:jc w:val="left"/>
              <w:rPr/>
            </w:pPr>
            <w:r>
              <w:rPr/>
              <w:t xml:space="preserve">Total revenues </w:t>
            </w:r>
          </w:p>
        </w:tc>
        <w:tc>
          <w:tcPr>
            <w:tcW w:w="90" w:type="dxa"/>
            <w:tcBorders/>
            <w:shd w:fill="FFFFFF" w:val="clear"/>
            <w:vAlign w:val="center"/>
          </w:tcPr>
          <w:p>
            <w:pPr>
              <w:pStyle w:val="TableContents"/>
              <w:spacing w:before="0" w:after="0"/>
              <w:ind w:left="0" w:right="0" w:hanging="0"/>
              <w:rPr/>
            </w:pPr>
            <w:r>
              <w:rPr/>
              <w:t> </w:t>
            </w:r>
          </w:p>
        </w:tc>
        <w:tc>
          <w:tcPr>
            <w:tcW w:w="1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11" w:type="dxa"/>
            <w:tcBorders>
              <w:bottom w:val="single" w:sz="2" w:space="0" w:color="000000"/>
            </w:tcBorders>
            <w:shd w:fill="FFFFFF" w:val="clear"/>
            <w:tcMar>
              <w:bottom w:w="28" w:type="dxa"/>
            </w:tcMar>
            <w:vAlign w:val="center"/>
          </w:tcPr>
          <w:p>
            <w:pPr>
              <w:pStyle w:val="TableContents"/>
              <w:spacing w:before="0" w:after="283"/>
              <w:jc w:val="right"/>
              <w:rPr/>
            </w:pPr>
            <w:r>
              <w:rPr/>
              <w:t>354,100</w:t>
            </w:r>
          </w:p>
        </w:tc>
        <w:tc>
          <w:tcPr>
            <w:tcW w:w="13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1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84"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73" w:type="dxa"/>
            <w:tcBorders/>
            <w:shd w:fill="FFFFFF" w:val="clear"/>
            <w:vAlign w:val="center"/>
          </w:tcPr>
          <w:p>
            <w:pPr>
              <w:pStyle w:val="TableContents"/>
              <w:spacing w:before="0" w:after="0"/>
              <w:ind w:left="0" w:right="0" w:hanging="0"/>
              <w:rPr/>
            </w:pPr>
            <w:r>
              <w:rPr/>
              <w:t> </w:t>
            </w:r>
          </w:p>
        </w:tc>
      </w:tr>
      <w:tr>
        <w:trPr/>
        <w:tc>
          <w:tcPr>
            <w:tcW w:w="6867" w:type="dxa"/>
            <w:tcBorders/>
            <w:shd w:fill="CCEEFF" w:val="clear"/>
            <w:vAlign w:val="center"/>
          </w:tcPr>
          <w:p>
            <w:pPr>
              <w:pStyle w:val="TableContents"/>
              <w:spacing w:before="0" w:after="283"/>
              <w:rPr/>
            </w:pPr>
            <w:r>
              <w:rPr/>
              <w:t>Operating expenses:</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311" w:type="dxa"/>
            <w:tcBorders/>
            <w:shd w:fill="CCEEFF" w:val="clear"/>
            <w:vAlign w:val="center"/>
          </w:tcPr>
          <w:p>
            <w:pPr>
              <w:pStyle w:val="TableContents"/>
              <w:spacing w:before="0" w:after="0"/>
              <w:ind w:left="0" w:right="0" w:hanging="0"/>
              <w:rPr/>
            </w:pPr>
            <w:r>
              <w:rPr/>
              <w:t> </w:t>
            </w:r>
          </w:p>
        </w:tc>
        <w:tc>
          <w:tcPr>
            <w:tcW w:w="130" w:type="dxa"/>
            <w:tcBorders/>
            <w:shd w:fill="CCEEFF" w:val="clear"/>
            <w:vAlign w:val="center"/>
          </w:tcPr>
          <w:p>
            <w:pPr>
              <w:pStyle w:val="TableContents"/>
              <w:spacing w:before="0" w:after="0"/>
              <w:ind w:left="0" w:right="0" w:hanging="0"/>
              <w:rPr/>
            </w:pPr>
            <w:r>
              <w:rPr/>
              <w:t> </w:t>
            </w:r>
          </w:p>
        </w:tc>
        <w:tc>
          <w:tcPr>
            <w:tcW w:w="94"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184"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r>
      <w:tr>
        <w:trPr/>
        <w:tc>
          <w:tcPr>
            <w:tcW w:w="6867" w:type="dxa"/>
            <w:tcBorders/>
            <w:shd w:fill="FFFFFF" w:val="clear"/>
            <w:vAlign w:val="center"/>
          </w:tcPr>
          <w:p>
            <w:pPr>
              <w:pStyle w:val="TableContents"/>
              <w:spacing w:before="0" w:after="0"/>
              <w:ind w:left="225" w:right="0" w:hanging="0"/>
              <w:jc w:val="left"/>
              <w:rPr/>
            </w:pPr>
            <w:r>
              <w:rPr/>
              <w:t xml:space="preserve">Research and development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311" w:type="dxa"/>
            <w:tcBorders/>
            <w:shd w:fill="FFFFFF" w:val="clear"/>
            <w:vAlign w:val="center"/>
          </w:tcPr>
          <w:p>
            <w:pPr>
              <w:pStyle w:val="TableContents"/>
              <w:spacing w:before="0" w:after="283"/>
              <w:jc w:val="right"/>
              <w:rPr/>
            </w:pPr>
            <w:r>
              <w:rPr/>
              <w:t>5,603,600</w:t>
            </w:r>
          </w:p>
        </w:tc>
        <w:tc>
          <w:tcPr>
            <w:tcW w:w="13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184" w:type="dxa"/>
            <w:tcBorders/>
            <w:shd w:fill="FFFFFF" w:val="clear"/>
            <w:vAlign w:val="center"/>
          </w:tcPr>
          <w:p>
            <w:pPr>
              <w:pStyle w:val="TableContents"/>
              <w:spacing w:before="0" w:after="283"/>
              <w:jc w:val="right"/>
              <w:rPr/>
            </w:pPr>
            <w:r>
              <w:rPr/>
              <w:t>1,731,200</w:t>
            </w:r>
          </w:p>
        </w:tc>
        <w:tc>
          <w:tcPr>
            <w:tcW w:w="173" w:type="dxa"/>
            <w:tcBorders/>
            <w:shd w:fill="FFFFFF" w:val="clear"/>
            <w:vAlign w:val="center"/>
          </w:tcPr>
          <w:p>
            <w:pPr>
              <w:pStyle w:val="TableContents"/>
              <w:spacing w:before="0" w:after="0"/>
              <w:ind w:left="0" w:right="0" w:hanging="0"/>
              <w:rPr/>
            </w:pPr>
            <w:r>
              <w:rPr/>
              <w:t> </w:t>
            </w:r>
          </w:p>
        </w:tc>
      </w:tr>
      <w:tr>
        <w:trPr/>
        <w:tc>
          <w:tcPr>
            <w:tcW w:w="6867" w:type="dxa"/>
            <w:tcBorders/>
            <w:shd w:fill="CCEEFF" w:val="clear"/>
            <w:vAlign w:val="center"/>
          </w:tcPr>
          <w:p>
            <w:pPr>
              <w:pStyle w:val="TableContents"/>
              <w:spacing w:before="0" w:after="0"/>
              <w:ind w:left="225" w:right="0" w:hanging="0"/>
              <w:jc w:val="left"/>
              <w:rPr/>
            </w:pPr>
            <w:r>
              <w:rPr/>
              <w:t xml:space="preserve">General and administrative </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311" w:type="dxa"/>
            <w:tcBorders/>
            <w:shd w:fill="CCEEFF" w:val="clear"/>
            <w:vAlign w:val="center"/>
          </w:tcPr>
          <w:p>
            <w:pPr>
              <w:pStyle w:val="TableContents"/>
              <w:spacing w:before="0" w:after="283"/>
              <w:jc w:val="right"/>
              <w:rPr/>
            </w:pPr>
            <w:r>
              <w:rPr/>
              <w:t>2,496,700</w:t>
            </w:r>
          </w:p>
        </w:tc>
        <w:tc>
          <w:tcPr>
            <w:tcW w:w="130" w:type="dxa"/>
            <w:tcBorders/>
            <w:shd w:fill="CCEEFF" w:val="clear"/>
            <w:vAlign w:val="center"/>
          </w:tcPr>
          <w:p>
            <w:pPr>
              <w:pStyle w:val="TableContents"/>
              <w:spacing w:before="0" w:after="0"/>
              <w:ind w:left="0" w:right="0" w:hanging="0"/>
              <w:rPr/>
            </w:pPr>
            <w:r>
              <w:rPr/>
              <w:t> </w:t>
            </w:r>
          </w:p>
        </w:tc>
        <w:tc>
          <w:tcPr>
            <w:tcW w:w="94"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184" w:type="dxa"/>
            <w:tcBorders/>
            <w:shd w:fill="CCEEFF" w:val="clear"/>
            <w:vAlign w:val="center"/>
          </w:tcPr>
          <w:p>
            <w:pPr>
              <w:pStyle w:val="TableContents"/>
              <w:spacing w:before="0" w:after="283"/>
              <w:jc w:val="right"/>
              <w:rPr/>
            </w:pPr>
            <w:r>
              <w:rPr/>
              <w:t>1,390,600</w:t>
            </w:r>
          </w:p>
        </w:tc>
        <w:tc>
          <w:tcPr>
            <w:tcW w:w="173" w:type="dxa"/>
            <w:tcBorders/>
            <w:shd w:fill="CCEEFF" w:val="clear"/>
            <w:vAlign w:val="center"/>
          </w:tcPr>
          <w:p>
            <w:pPr>
              <w:pStyle w:val="TableContents"/>
              <w:spacing w:before="0" w:after="0"/>
              <w:ind w:left="0" w:right="0" w:hanging="0"/>
              <w:rPr/>
            </w:pPr>
            <w:r>
              <w:rPr/>
              <w:t> </w:t>
            </w:r>
          </w:p>
        </w:tc>
      </w:tr>
      <w:tr>
        <w:trPr/>
        <w:tc>
          <w:tcPr>
            <w:tcW w:w="6867" w:type="dxa"/>
            <w:tcBorders/>
            <w:shd w:fill="FFFFFF" w:val="clear"/>
            <w:vAlign w:val="center"/>
          </w:tcPr>
          <w:p>
            <w:pPr>
              <w:pStyle w:val="TableContents"/>
              <w:spacing w:before="0" w:after="0"/>
              <w:ind w:left="450" w:right="0" w:hanging="0"/>
              <w:jc w:val="left"/>
              <w:rPr/>
            </w:pPr>
            <w:r>
              <w:rPr/>
              <w:t xml:space="preserve">Total operating expenses </w:t>
            </w:r>
          </w:p>
        </w:tc>
        <w:tc>
          <w:tcPr>
            <w:tcW w:w="90" w:type="dxa"/>
            <w:tcBorders/>
            <w:shd w:fill="FFFFFF" w:val="clear"/>
            <w:vAlign w:val="center"/>
          </w:tcPr>
          <w:p>
            <w:pPr>
              <w:pStyle w:val="TableContents"/>
              <w:spacing w:before="0" w:after="0"/>
              <w:ind w:left="0" w:right="0" w:hanging="0"/>
              <w:rPr/>
            </w:pPr>
            <w:r>
              <w:rPr/>
              <w:t> </w:t>
            </w:r>
          </w:p>
        </w:tc>
        <w:tc>
          <w:tcPr>
            <w:tcW w:w="1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11" w:type="dxa"/>
            <w:tcBorders>
              <w:bottom w:val="single" w:sz="2" w:space="0" w:color="000000"/>
            </w:tcBorders>
            <w:shd w:fill="FFFFFF" w:val="clear"/>
            <w:tcMar>
              <w:bottom w:w="28" w:type="dxa"/>
            </w:tcMar>
            <w:vAlign w:val="center"/>
          </w:tcPr>
          <w:p>
            <w:pPr>
              <w:pStyle w:val="TableContents"/>
              <w:spacing w:before="0" w:after="283"/>
              <w:jc w:val="right"/>
              <w:rPr/>
            </w:pPr>
            <w:r>
              <w:rPr/>
              <w:t>8,100,300</w:t>
            </w:r>
          </w:p>
        </w:tc>
        <w:tc>
          <w:tcPr>
            <w:tcW w:w="13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1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84" w:type="dxa"/>
            <w:tcBorders>
              <w:bottom w:val="single" w:sz="2" w:space="0" w:color="000000"/>
            </w:tcBorders>
            <w:shd w:fill="FFFFFF" w:val="clear"/>
            <w:tcMar>
              <w:bottom w:w="28" w:type="dxa"/>
            </w:tcMar>
            <w:vAlign w:val="center"/>
          </w:tcPr>
          <w:p>
            <w:pPr>
              <w:pStyle w:val="TableContents"/>
              <w:spacing w:before="0" w:after="283"/>
              <w:jc w:val="right"/>
              <w:rPr/>
            </w:pPr>
            <w:r>
              <w:rPr/>
              <w:t>3,121,800</w:t>
            </w:r>
          </w:p>
        </w:tc>
        <w:tc>
          <w:tcPr>
            <w:tcW w:w="173" w:type="dxa"/>
            <w:tcBorders/>
            <w:shd w:fill="FFFFFF" w:val="clear"/>
            <w:vAlign w:val="center"/>
          </w:tcPr>
          <w:p>
            <w:pPr>
              <w:pStyle w:val="TableContents"/>
              <w:spacing w:before="0" w:after="0"/>
              <w:ind w:left="0" w:right="0" w:hanging="0"/>
              <w:rPr/>
            </w:pPr>
            <w:r>
              <w:rPr/>
              <w:t> </w:t>
            </w:r>
          </w:p>
        </w:tc>
      </w:tr>
      <w:tr>
        <w:trPr/>
        <w:tc>
          <w:tcPr>
            <w:tcW w:w="6867" w:type="dxa"/>
            <w:tcBorders/>
            <w:shd w:fill="CCEEFF" w:val="clear"/>
            <w:vAlign w:val="center"/>
          </w:tcPr>
          <w:p>
            <w:pPr>
              <w:pStyle w:val="TableContents"/>
              <w:spacing w:before="0" w:after="283"/>
              <w:rPr/>
            </w:pPr>
            <w:r>
              <w:rPr/>
              <w:t xml:space="preserve">Loss from operations </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311" w:type="dxa"/>
            <w:tcBorders/>
            <w:shd w:fill="CCEEFF" w:val="clear"/>
            <w:vAlign w:val="center"/>
          </w:tcPr>
          <w:p>
            <w:pPr>
              <w:pStyle w:val="TableContents"/>
              <w:spacing w:before="0" w:after="283"/>
              <w:jc w:val="right"/>
              <w:rPr/>
            </w:pPr>
            <w:r>
              <w:rPr/>
              <w:t>(7,746,200</w:t>
            </w:r>
          </w:p>
        </w:tc>
        <w:tc>
          <w:tcPr>
            <w:tcW w:w="130" w:type="dxa"/>
            <w:tcBorders/>
            <w:shd w:fill="CCEEFF" w:val="clear"/>
            <w:vAlign w:val="center"/>
          </w:tcPr>
          <w:p>
            <w:pPr>
              <w:pStyle w:val="TableContents"/>
              <w:spacing w:before="0" w:after="283"/>
              <w:rPr/>
            </w:pPr>
            <w:r>
              <w:rPr/>
              <w:t>)</w:t>
            </w:r>
          </w:p>
        </w:tc>
        <w:tc>
          <w:tcPr>
            <w:tcW w:w="94"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184" w:type="dxa"/>
            <w:tcBorders/>
            <w:shd w:fill="CCEEFF" w:val="clear"/>
            <w:vAlign w:val="center"/>
          </w:tcPr>
          <w:p>
            <w:pPr>
              <w:pStyle w:val="TableContents"/>
              <w:spacing w:before="0" w:after="283"/>
              <w:jc w:val="right"/>
              <w:rPr/>
            </w:pPr>
            <w:r>
              <w:rPr/>
              <w:t>(3,121,800</w:t>
            </w:r>
          </w:p>
        </w:tc>
        <w:tc>
          <w:tcPr>
            <w:tcW w:w="173" w:type="dxa"/>
            <w:tcBorders/>
            <w:shd w:fill="CCEEFF" w:val="clear"/>
            <w:vAlign w:val="center"/>
          </w:tcPr>
          <w:p>
            <w:pPr>
              <w:pStyle w:val="TableContents"/>
              <w:spacing w:before="0" w:after="283"/>
              <w:rPr/>
            </w:pPr>
            <w:r>
              <w:rPr/>
              <w:t>)</w:t>
            </w:r>
          </w:p>
        </w:tc>
      </w:tr>
      <w:tr>
        <w:trPr/>
        <w:tc>
          <w:tcPr>
            <w:tcW w:w="6867" w:type="dxa"/>
            <w:tcBorders/>
            <w:shd w:fill="FFFFFF" w:val="clear"/>
            <w:vAlign w:val="center"/>
          </w:tcPr>
          <w:p>
            <w:pPr>
              <w:pStyle w:val="TableContents"/>
              <w:spacing w:before="0" w:after="283"/>
              <w:rPr/>
            </w:pPr>
            <w:r>
              <w:rPr/>
              <w:t>Other income (expenses), net:</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311" w:type="dxa"/>
            <w:tcBorders/>
            <w:shd w:fill="FFFFFF" w:val="clear"/>
            <w:vAlign w:val="center"/>
          </w:tcPr>
          <w:p>
            <w:pPr>
              <w:pStyle w:val="TableContents"/>
              <w:spacing w:before="0" w:after="0"/>
              <w:ind w:left="0" w:right="0" w:hanging="0"/>
              <w:rPr/>
            </w:pPr>
            <w:r>
              <w:rPr/>
              <w:t> </w:t>
            </w:r>
          </w:p>
        </w:tc>
        <w:tc>
          <w:tcPr>
            <w:tcW w:w="13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184"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867" w:type="dxa"/>
            <w:tcBorders/>
            <w:shd w:fill="CCEEFF" w:val="clear"/>
            <w:vAlign w:val="center"/>
          </w:tcPr>
          <w:p>
            <w:pPr>
              <w:pStyle w:val="TableContents"/>
              <w:spacing w:before="0" w:after="0"/>
              <w:ind w:left="225" w:right="0" w:hanging="0"/>
              <w:jc w:val="left"/>
              <w:rPr/>
            </w:pPr>
            <w:r>
              <w:rPr/>
              <w:t xml:space="preserve">Interest income (expense), net </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311" w:type="dxa"/>
            <w:tcBorders/>
            <w:shd w:fill="CCEEFF" w:val="clear"/>
            <w:vAlign w:val="center"/>
          </w:tcPr>
          <w:p>
            <w:pPr>
              <w:pStyle w:val="TableContents"/>
              <w:spacing w:before="0" w:after="283"/>
              <w:jc w:val="right"/>
              <w:rPr/>
            </w:pPr>
            <w:r>
              <w:rPr/>
              <w:t>5,100</w:t>
            </w:r>
          </w:p>
        </w:tc>
        <w:tc>
          <w:tcPr>
            <w:tcW w:w="130" w:type="dxa"/>
            <w:tcBorders/>
            <w:shd w:fill="CCEEFF" w:val="clear"/>
            <w:vAlign w:val="center"/>
          </w:tcPr>
          <w:p>
            <w:pPr>
              <w:pStyle w:val="TableContents"/>
              <w:spacing w:before="0" w:after="0"/>
              <w:ind w:left="0" w:right="0" w:hanging="0"/>
              <w:rPr/>
            </w:pPr>
            <w:r>
              <w:rPr/>
              <w:t> </w:t>
            </w:r>
          </w:p>
        </w:tc>
        <w:tc>
          <w:tcPr>
            <w:tcW w:w="94"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184" w:type="dxa"/>
            <w:tcBorders/>
            <w:shd w:fill="CCEEFF" w:val="clear"/>
            <w:vAlign w:val="center"/>
          </w:tcPr>
          <w:p>
            <w:pPr>
              <w:pStyle w:val="TableContents"/>
              <w:spacing w:before="0" w:after="283"/>
              <w:jc w:val="right"/>
              <w:rPr/>
            </w:pPr>
            <w:r>
              <w:rPr/>
              <w:t>(3,200</w:t>
            </w:r>
          </w:p>
        </w:tc>
        <w:tc>
          <w:tcPr>
            <w:tcW w:w="173" w:type="dxa"/>
            <w:tcBorders/>
            <w:shd w:fill="CCEEFF" w:val="clear"/>
            <w:vAlign w:val="center"/>
          </w:tcPr>
          <w:p>
            <w:pPr>
              <w:pStyle w:val="TableContents"/>
              <w:spacing w:before="0" w:after="283"/>
              <w:rPr/>
            </w:pPr>
            <w:r>
              <w:rPr/>
              <w:t>)</w:t>
            </w:r>
          </w:p>
        </w:tc>
      </w:tr>
      <w:tr>
        <w:trPr/>
        <w:tc>
          <w:tcPr>
            <w:tcW w:w="6867" w:type="dxa"/>
            <w:tcBorders/>
            <w:shd w:fill="FFFFFF" w:val="clear"/>
            <w:vAlign w:val="center"/>
          </w:tcPr>
          <w:p>
            <w:pPr>
              <w:pStyle w:val="TableContents"/>
              <w:spacing w:before="0" w:after="0"/>
              <w:ind w:left="225" w:right="0" w:hanging="0"/>
              <w:jc w:val="left"/>
              <w:rPr/>
            </w:pPr>
            <w:r>
              <w:rPr/>
              <w:t>Other income</w:t>
            </w:r>
          </w:p>
        </w:tc>
        <w:tc>
          <w:tcPr>
            <w:tcW w:w="90" w:type="dxa"/>
            <w:tcBorders/>
            <w:shd w:fill="FFFFFF" w:val="clear"/>
            <w:vAlign w:val="center"/>
          </w:tcPr>
          <w:p>
            <w:pPr>
              <w:pStyle w:val="TableContents"/>
              <w:spacing w:before="0" w:after="0"/>
              <w:ind w:left="0" w:right="0" w:hanging="0"/>
              <w:rPr/>
            </w:pPr>
            <w:r>
              <w:rPr/>
              <w:t> </w:t>
            </w:r>
          </w:p>
        </w:tc>
        <w:tc>
          <w:tcPr>
            <w:tcW w:w="1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11"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3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1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84" w:type="dxa"/>
            <w:tcBorders>
              <w:bottom w:val="single" w:sz="2" w:space="0" w:color="000000"/>
            </w:tcBorders>
            <w:shd w:fill="FFFFFF" w:val="clear"/>
            <w:tcMar>
              <w:bottom w:w="28" w:type="dxa"/>
            </w:tcMar>
            <w:vAlign w:val="center"/>
          </w:tcPr>
          <w:p>
            <w:pPr>
              <w:pStyle w:val="TableContents"/>
              <w:spacing w:before="0" w:after="283"/>
              <w:jc w:val="right"/>
              <w:rPr/>
            </w:pPr>
            <w:r>
              <w:rPr/>
              <w:t>600</w:t>
            </w:r>
          </w:p>
        </w:tc>
        <w:tc>
          <w:tcPr>
            <w:tcW w:w="173" w:type="dxa"/>
            <w:tcBorders/>
            <w:shd w:fill="FFFFFF" w:val="clear"/>
            <w:vAlign w:val="center"/>
          </w:tcPr>
          <w:p>
            <w:pPr>
              <w:pStyle w:val="TableContents"/>
              <w:spacing w:before="0" w:after="0"/>
              <w:ind w:left="0" w:right="0" w:hanging="0"/>
              <w:rPr/>
            </w:pPr>
            <w:r>
              <w:rPr/>
              <w:t> </w:t>
            </w:r>
          </w:p>
        </w:tc>
      </w:tr>
      <w:tr>
        <w:trPr/>
        <w:tc>
          <w:tcPr>
            <w:tcW w:w="6867" w:type="dxa"/>
            <w:tcBorders/>
            <w:shd w:fill="CCEEFF" w:val="clear"/>
            <w:vAlign w:val="center"/>
          </w:tcPr>
          <w:p>
            <w:pPr>
              <w:pStyle w:val="TableContents"/>
              <w:spacing w:before="0" w:after="283"/>
              <w:rPr/>
            </w:pPr>
            <w:r>
              <w:rPr/>
              <w:t>Loss before income taxes</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311" w:type="dxa"/>
            <w:tcBorders/>
            <w:shd w:fill="CCEEFF" w:val="clear"/>
            <w:vAlign w:val="center"/>
          </w:tcPr>
          <w:p>
            <w:pPr>
              <w:pStyle w:val="TableContents"/>
              <w:spacing w:before="0" w:after="283"/>
              <w:jc w:val="right"/>
              <w:rPr/>
            </w:pPr>
            <w:r>
              <w:rPr/>
              <w:t>(7,741,100</w:t>
            </w:r>
          </w:p>
        </w:tc>
        <w:tc>
          <w:tcPr>
            <w:tcW w:w="130" w:type="dxa"/>
            <w:tcBorders/>
            <w:shd w:fill="CCEEFF" w:val="clear"/>
            <w:vAlign w:val="center"/>
          </w:tcPr>
          <w:p>
            <w:pPr>
              <w:pStyle w:val="TableContents"/>
              <w:spacing w:before="0" w:after="283"/>
              <w:rPr/>
            </w:pPr>
            <w:r>
              <w:rPr/>
              <w:t>)</w:t>
            </w:r>
          </w:p>
        </w:tc>
        <w:tc>
          <w:tcPr>
            <w:tcW w:w="94"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184" w:type="dxa"/>
            <w:tcBorders/>
            <w:shd w:fill="CCEEFF" w:val="clear"/>
            <w:vAlign w:val="center"/>
          </w:tcPr>
          <w:p>
            <w:pPr>
              <w:pStyle w:val="TableContents"/>
              <w:spacing w:before="0" w:after="283"/>
              <w:jc w:val="right"/>
              <w:rPr/>
            </w:pPr>
            <w:r>
              <w:rPr/>
              <w:t>(3,124,400</w:t>
            </w:r>
          </w:p>
        </w:tc>
        <w:tc>
          <w:tcPr>
            <w:tcW w:w="173" w:type="dxa"/>
            <w:tcBorders/>
            <w:shd w:fill="CCEEFF" w:val="clear"/>
            <w:vAlign w:val="center"/>
          </w:tcPr>
          <w:p>
            <w:pPr>
              <w:pStyle w:val="TableContents"/>
              <w:spacing w:before="0" w:after="283"/>
              <w:rPr/>
            </w:pPr>
            <w:r>
              <w:rPr/>
              <w:t>)</w:t>
            </w:r>
          </w:p>
        </w:tc>
      </w:tr>
      <w:tr>
        <w:trPr/>
        <w:tc>
          <w:tcPr>
            <w:tcW w:w="6867" w:type="dxa"/>
            <w:tcBorders/>
            <w:shd w:fill="FFFFFF" w:val="clear"/>
            <w:vAlign w:val="center"/>
          </w:tcPr>
          <w:p>
            <w:pPr>
              <w:pStyle w:val="TableContents"/>
              <w:spacing w:before="0" w:after="283"/>
              <w:rPr/>
            </w:pPr>
            <w:r>
              <w:rPr/>
              <w:t>Income taxes</w:t>
            </w:r>
          </w:p>
        </w:tc>
        <w:tc>
          <w:tcPr>
            <w:tcW w:w="90" w:type="dxa"/>
            <w:tcBorders/>
            <w:shd w:fill="FFFFFF" w:val="clear"/>
            <w:vAlign w:val="center"/>
          </w:tcPr>
          <w:p>
            <w:pPr>
              <w:pStyle w:val="TableContents"/>
              <w:spacing w:before="0" w:after="0"/>
              <w:ind w:left="0" w:right="0" w:hanging="0"/>
              <w:rPr/>
            </w:pPr>
            <w:r>
              <w:rPr/>
              <w:t> </w:t>
            </w:r>
          </w:p>
        </w:tc>
        <w:tc>
          <w:tcPr>
            <w:tcW w:w="1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11" w:type="dxa"/>
            <w:tcBorders>
              <w:bottom w:val="single" w:sz="2" w:space="0" w:color="000000"/>
            </w:tcBorders>
            <w:shd w:fill="FFFFFF" w:val="clear"/>
            <w:tcMar>
              <w:bottom w:w="28" w:type="dxa"/>
            </w:tcMar>
            <w:vAlign w:val="center"/>
          </w:tcPr>
          <w:p>
            <w:pPr>
              <w:pStyle w:val="TableContents"/>
              <w:spacing w:before="0" w:after="283"/>
              <w:jc w:val="right"/>
              <w:rPr/>
            </w:pPr>
            <w:r>
              <w:rPr/>
              <w:t>(3,400</w:t>
            </w:r>
          </w:p>
        </w:tc>
        <w:tc>
          <w:tcPr>
            <w:tcW w:w="130" w:type="dxa"/>
            <w:tcBorders/>
            <w:shd w:fill="FFFFFF" w:val="clear"/>
            <w:vAlign w:val="center"/>
          </w:tcPr>
          <w:p>
            <w:pPr>
              <w:pStyle w:val="TableContents"/>
              <w:spacing w:before="0" w:after="283"/>
              <w:rPr/>
            </w:pPr>
            <w:r>
              <w:rPr/>
              <w:t>)</w:t>
            </w:r>
          </w:p>
        </w:tc>
        <w:tc>
          <w:tcPr>
            <w:tcW w:w="94" w:type="dxa"/>
            <w:tcBorders/>
            <w:shd w:fill="FFFFFF" w:val="clear"/>
            <w:vAlign w:val="center"/>
          </w:tcPr>
          <w:p>
            <w:pPr>
              <w:pStyle w:val="TableContents"/>
              <w:spacing w:before="0" w:after="0"/>
              <w:ind w:left="0" w:right="0" w:hanging="0"/>
              <w:rPr/>
            </w:pPr>
            <w:r>
              <w:rPr/>
              <w:t> </w:t>
            </w:r>
          </w:p>
        </w:tc>
        <w:tc>
          <w:tcPr>
            <w:tcW w:w="17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84" w:type="dxa"/>
            <w:tcBorders>
              <w:bottom w:val="single" w:sz="2" w:space="0" w:color="000000"/>
            </w:tcBorders>
            <w:shd w:fill="FFFFFF" w:val="clear"/>
            <w:tcMar>
              <w:bottom w:w="28" w:type="dxa"/>
            </w:tcMar>
            <w:vAlign w:val="center"/>
          </w:tcPr>
          <w:p>
            <w:pPr>
              <w:pStyle w:val="TableContents"/>
              <w:spacing w:before="0" w:after="283"/>
              <w:jc w:val="right"/>
              <w:rPr/>
            </w:pPr>
            <w:r>
              <w:rPr/>
              <w:t>(2,400</w:t>
            </w:r>
          </w:p>
        </w:tc>
        <w:tc>
          <w:tcPr>
            <w:tcW w:w="173" w:type="dxa"/>
            <w:tcBorders/>
            <w:shd w:fill="FFFFFF" w:val="clear"/>
            <w:vAlign w:val="center"/>
          </w:tcPr>
          <w:p>
            <w:pPr>
              <w:pStyle w:val="TableContents"/>
              <w:spacing w:before="0" w:after="283"/>
              <w:rPr/>
            </w:pPr>
            <w:r>
              <w:rPr/>
              <w:t>)</w:t>
            </w:r>
          </w:p>
        </w:tc>
      </w:tr>
      <w:tr>
        <w:trPr/>
        <w:tc>
          <w:tcPr>
            <w:tcW w:w="6867" w:type="dxa"/>
            <w:tcBorders/>
            <w:shd w:fill="CCEEFF" w:val="clear"/>
            <w:vAlign w:val="center"/>
          </w:tcPr>
          <w:p>
            <w:pPr>
              <w:pStyle w:val="TableContents"/>
              <w:spacing w:before="0" w:after="283"/>
              <w:rPr/>
            </w:pPr>
            <w:r>
              <w:rPr/>
              <w:t>Net loss and comprehensive loss</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311" w:type="dxa"/>
            <w:tcBorders/>
            <w:shd w:fill="CCEEFF" w:val="clear"/>
            <w:vAlign w:val="center"/>
          </w:tcPr>
          <w:p>
            <w:pPr>
              <w:pStyle w:val="TableContents"/>
              <w:spacing w:before="0" w:after="283"/>
              <w:jc w:val="right"/>
              <w:rPr/>
            </w:pPr>
            <w:r>
              <w:rPr/>
              <w:t>(7,744,500</w:t>
            </w:r>
          </w:p>
        </w:tc>
        <w:tc>
          <w:tcPr>
            <w:tcW w:w="130" w:type="dxa"/>
            <w:tcBorders/>
            <w:shd w:fill="CCEEFF" w:val="clear"/>
            <w:vAlign w:val="center"/>
          </w:tcPr>
          <w:p>
            <w:pPr>
              <w:pStyle w:val="TableContents"/>
              <w:spacing w:before="0" w:after="283"/>
              <w:rPr/>
            </w:pPr>
            <w:r>
              <w:rPr/>
              <w:t>)</w:t>
            </w:r>
          </w:p>
        </w:tc>
        <w:tc>
          <w:tcPr>
            <w:tcW w:w="94"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0"/>
              <w:ind w:left="0" w:right="0" w:hanging="0"/>
              <w:rPr/>
            </w:pPr>
            <w:r>
              <w:rPr/>
              <w:t> </w:t>
            </w:r>
          </w:p>
        </w:tc>
        <w:tc>
          <w:tcPr>
            <w:tcW w:w="1184" w:type="dxa"/>
            <w:tcBorders/>
            <w:shd w:fill="CCEEFF" w:val="clear"/>
            <w:vAlign w:val="center"/>
          </w:tcPr>
          <w:p>
            <w:pPr>
              <w:pStyle w:val="TableContents"/>
              <w:spacing w:before="0" w:after="283"/>
              <w:jc w:val="right"/>
              <w:rPr/>
            </w:pPr>
            <w:r>
              <w:rPr/>
              <w:t>(3,126,800</w:t>
            </w:r>
          </w:p>
        </w:tc>
        <w:tc>
          <w:tcPr>
            <w:tcW w:w="173" w:type="dxa"/>
            <w:tcBorders/>
            <w:shd w:fill="CCEEFF" w:val="clear"/>
            <w:vAlign w:val="center"/>
          </w:tcPr>
          <w:p>
            <w:pPr>
              <w:pStyle w:val="TableContents"/>
              <w:spacing w:before="0" w:after="283"/>
              <w:rPr/>
            </w:pPr>
            <w:r>
              <w:rPr/>
              <w:t>)</w:t>
            </w:r>
          </w:p>
        </w:tc>
      </w:tr>
      <w:tr>
        <w:trPr/>
        <w:tc>
          <w:tcPr>
            <w:tcW w:w="686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311" w:type="dxa"/>
            <w:tcBorders/>
            <w:shd w:fill="FFFFFF" w:val="clear"/>
            <w:vAlign w:val="center"/>
          </w:tcPr>
          <w:p>
            <w:pPr>
              <w:pStyle w:val="TableContents"/>
              <w:spacing w:before="0" w:after="0"/>
              <w:ind w:left="0" w:right="0" w:hanging="0"/>
              <w:rPr/>
            </w:pPr>
            <w:r>
              <w:rPr/>
              <w:t> </w:t>
            </w:r>
          </w:p>
        </w:tc>
        <w:tc>
          <w:tcPr>
            <w:tcW w:w="13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184"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225" w:right="0" w:hanging="0"/>
              <w:rPr/>
            </w:pPr>
            <w:r>
              <w:rPr/>
              <w:t> </w:t>
            </w:r>
          </w:p>
        </w:tc>
      </w:tr>
      <w:tr>
        <w:trPr/>
        <w:tc>
          <w:tcPr>
            <w:tcW w:w="6867" w:type="dxa"/>
            <w:tcBorders/>
            <w:shd w:fill="CCEEFF" w:val="clear"/>
            <w:vAlign w:val="center"/>
          </w:tcPr>
          <w:p>
            <w:pPr>
              <w:pStyle w:val="TableContents"/>
              <w:spacing w:before="0" w:after="0"/>
              <w:rPr/>
            </w:pPr>
            <w:r>
              <w:rPr/>
              <w:t>Accrued dividends on Series B Preferred stock</w:t>
            </w:r>
          </w:p>
        </w:tc>
        <w:tc>
          <w:tcPr>
            <w:tcW w:w="90" w:type="dxa"/>
            <w:tcBorders/>
            <w:shd w:fill="CCEEFF" w:val="clear"/>
            <w:vAlign w:val="center"/>
          </w:tcPr>
          <w:p>
            <w:pPr>
              <w:pStyle w:val="TableContents"/>
              <w:spacing w:before="0" w:after="0"/>
              <w:ind w:left="0" w:right="0" w:hanging="0"/>
              <w:rPr/>
            </w:pPr>
            <w:r>
              <w:rPr/>
              <w:t> </w:t>
            </w:r>
          </w:p>
        </w:tc>
        <w:tc>
          <w:tcPr>
            <w:tcW w:w="17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11" w:type="dxa"/>
            <w:tcBorders>
              <w:bottom w:val="single" w:sz="2" w:space="0" w:color="000000"/>
            </w:tcBorders>
            <w:shd w:fill="CCEEFF" w:val="clear"/>
            <w:tcMar>
              <w:bottom w:w="28" w:type="dxa"/>
            </w:tcMar>
            <w:vAlign w:val="center"/>
          </w:tcPr>
          <w:p>
            <w:pPr>
              <w:pStyle w:val="TableContents"/>
              <w:spacing w:before="0" w:after="283"/>
              <w:jc w:val="right"/>
              <w:rPr/>
            </w:pPr>
            <w:r>
              <w:rPr/>
              <w:t>(361,800</w:t>
            </w:r>
          </w:p>
        </w:tc>
        <w:tc>
          <w:tcPr>
            <w:tcW w:w="130" w:type="dxa"/>
            <w:tcBorders/>
            <w:shd w:fill="CCEEFF" w:val="clear"/>
            <w:vAlign w:val="center"/>
          </w:tcPr>
          <w:p>
            <w:pPr>
              <w:pStyle w:val="TableContents"/>
              <w:spacing w:before="0" w:after="283"/>
              <w:rPr/>
            </w:pPr>
            <w:r>
              <w:rPr/>
              <w:t>)</w:t>
            </w:r>
          </w:p>
        </w:tc>
        <w:tc>
          <w:tcPr>
            <w:tcW w:w="94" w:type="dxa"/>
            <w:tcBorders/>
            <w:shd w:fill="CCEEFF" w:val="clear"/>
            <w:vAlign w:val="center"/>
          </w:tcPr>
          <w:p>
            <w:pPr>
              <w:pStyle w:val="TableContents"/>
              <w:spacing w:before="0" w:after="0"/>
              <w:ind w:left="0" w:right="0" w:hanging="0"/>
              <w:rPr/>
            </w:pPr>
            <w:r>
              <w:rPr/>
              <w:t> </w:t>
            </w:r>
          </w:p>
        </w:tc>
        <w:tc>
          <w:tcPr>
            <w:tcW w:w="17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84" w:type="dxa"/>
            <w:tcBorders>
              <w:bottom w:val="single" w:sz="2" w:space="0" w:color="000000"/>
            </w:tcBorders>
            <w:shd w:fill="CCEEFF" w:val="clear"/>
            <w:tcMar>
              <w:bottom w:w="28" w:type="dxa"/>
            </w:tcMar>
            <w:vAlign w:val="center"/>
          </w:tcPr>
          <w:p>
            <w:pPr>
              <w:pStyle w:val="TableContents"/>
              <w:spacing w:before="0" w:after="283"/>
              <w:jc w:val="right"/>
              <w:rPr/>
            </w:pPr>
            <w:r>
              <w:rPr/>
              <w:t>(335,800</w:t>
            </w:r>
          </w:p>
        </w:tc>
        <w:tc>
          <w:tcPr>
            <w:tcW w:w="173" w:type="dxa"/>
            <w:tcBorders/>
            <w:shd w:fill="CCEEFF" w:val="clear"/>
            <w:vAlign w:val="center"/>
          </w:tcPr>
          <w:p>
            <w:pPr>
              <w:pStyle w:val="TableContents"/>
              <w:spacing w:before="0" w:after="283"/>
              <w:rPr/>
            </w:pPr>
            <w:r>
              <w:rPr/>
              <w:t>)</w:t>
            </w:r>
          </w:p>
        </w:tc>
      </w:tr>
      <w:tr>
        <w:trPr/>
        <w:tc>
          <w:tcPr>
            <w:tcW w:w="686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311" w:type="dxa"/>
            <w:tcBorders/>
            <w:shd w:fill="FFFFFF" w:val="clear"/>
            <w:vAlign w:val="center"/>
          </w:tcPr>
          <w:p>
            <w:pPr>
              <w:pStyle w:val="TableContents"/>
              <w:spacing w:before="0" w:after="0"/>
              <w:ind w:left="0" w:right="0" w:hanging="0"/>
              <w:rPr/>
            </w:pPr>
            <w:r>
              <w:rPr/>
              <w:t> </w:t>
            </w:r>
          </w:p>
        </w:tc>
        <w:tc>
          <w:tcPr>
            <w:tcW w:w="13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184"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867" w:type="dxa"/>
            <w:tcBorders/>
            <w:shd w:fill="CCEEFF" w:val="clear"/>
            <w:vAlign w:val="center"/>
          </w:tcPr>
          <w:p>
            <w:pPr>
              <w:pStyle w:val="TableContents"/>
              <w:spacing w:before="0" w:after="283"/>
              <w:rPr/>
            </w:pPr>
            <w:r>
              <w:rPr/>
              <w:t>Net loss attributable to common stockholders</w:t>
            </w:r>
          </w:p>
        </w:tc>
        <w:tc>
          <w:tcPr>
            <w:tcW w:w="90" w:type="dxa"/>
            <w:tcBorders/>
            <w:shd w:fill="CCEEFF" w:val="clear"/>
            <w:vAlign w:val="center"/>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w:t>
            </w:r>
          </w:p>
        </w:tc>
        <w:tc>
          <w:tcPr>
            <w:tcW w:w="1311" w:type="dxa"/>
            <w:tcBorders>
              <w:bottom w:val="double" w:sz="6" w:space="0" w:color="000000"/>
            </w:tcBorders>
            <w:shd w:fill="CCEEFF" w:val="clear"/>
            <w:tcMar>
              <w:bottom w:w="28" w:type="dxa"/>
            </w:tcMar>
            <w:vAlign w:val="center"/>
          </w:tcPr>
          <w:p>
            <w:pPr>
              <w:pStyle w:val="TableContents"/>
              <w:spacing w:before="0" w:after="283"/>
              <w:jc w:val="right"/>
              <w:rPr/>
            </w:pPr>
            <w:r>
              <w:rPr/>
              <w:t>(8,106,300</w:t>
            </w:r>
          </w:p>
        </w:tc>
        <w:tc>
          <w:tcPr>
            <w:tcW w:w="130" w:type="dxa"/>
            <w:tcBorders/>
            <w:shd w:fill="CCEEFF" w:val="clear"/>
            <w:vAlign w:val="center"/>
          </w:tcPr>
          <w:p>
            <w:pPr>
              <w:pStyle w:val="TableContents"/>
              <w:spacing w:before="0" w:after="283"/>
              <w:rPr/>
            </w:pPr>
            <w:r>
              <w:rPr/>
              <w:t>)</w:t>
            </w:r>
          </w:p>
        </w:tc>
        <w:tc>
          <w:tcPr>
            <w:tcW w:w="94" w:type="dxa"/>
            <w:tcBorders/>
            <w:shd w:fill="CCEEFF" w:val="clear"/>
            <w:vAlign w:val="center"/>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w:t>
            </w:r>
          </w:p>
        </w:tc>
        <w:tc>
          <w:tcPr>
            <w:tcW w:w="1184" w:type="dxa"/>
            <w:tcBorders>
              <w:bottom w:val="double" w:sz="6" w:space="0" w:color="000000"/>
            </w:tcBorders>
            <w:shd w:fill="CCEEFF" w:val="clear"/>
            <w:tcMar>
              <w:bottom w:w="28" w:type="dxa"/>
            </w:tcMar>
            <w:vAlign w:val="center"/>
          </w:tcPr>
          <w:p>
            <w:pPr>
              <w:pStyle w:val="TableContents"/>
              <w:spacing w:before="0" w:after="283"/>
              <w:jc w:val="right"/>
              <w:rPr/>
            </w:pPr>
            <w:r>
              <w:rPr/>
              <w:t>(3,462,600</w:t>
            </w:r>
          </w:p>
        </w:tc>
        <w:tc>
          <w:tcPr>
            <w:tcW w:w="173" w:type="dxa"/>
            <w:tcBorders/>
            <w:shd w:fill="CCEEFF" w:val="clear"/>
            <w:vAlign w:val="center"/>
          </w:tcPr>
          <w:p>
            <w:pPr>
              <w:pStyle w:val="TableContents"/>
              <w:spacing w:before="0" w:after="283"/>
              <w:rPr/>
            </w:pPr>
            <w:r>
              <w:rPr/>
              <w:t>)</w:t>
            </w:r>
          </w:p>
        </w:tc>
      </w:tr>
      <w:tr>
        <w:trPr/>
        <w:tc>
          <w:tcPr>
            <w:tcW w:w="686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311" w:type="dxa"/>
            <w:tcBorders/>
            <w:shd w:fill="FFFFFF" w:val="clear"/>
            <w:vAlign w:val="center"/>
          </w:tcPr>
          <w:p>
            <w:pPr>
              <w:pStyle w:val="TableContents"/>
              <w:spacing w:before="0" w:after="0"/>
              <w:ind w:left="0" w:right="0" w:hanging="0"/>
              <w:rPr/>
            </w:pPr>
            <w:r>
              <w:rPr/>
              <w:t> </w:t>
            </w:r>
          </w:p>
        </w:tc>
        <w:tc>
          <w:tcPr>
            <w:tcW w:w="13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184"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867" w:type="dxa"/>
            <w:tcBorders/>
            <w:shd w:fill="CCEEFF" w:val="clear"/>
            <w:vAlign w:val="center"/>
          </w:tcPr>
          <w:p>
            <w:pPr>
              <w:pStyle w:val="TableContents"/>
              <w:spacing w:before="0" w:after="0"/>
              <w:rPr/>
            </w:pPr>
            <w:r>
              <w:rPr/>
              <w:t>Basic and diluted net loss attributable to common stockholders per common share</w:t>
            </w:r>
          </w:p>
        </w:tc>
        <w:tc>
          <w:tcPr>
            <w:tcW w:w="90" w:type="dxa"/>
            <w:tcBorders/>
            <w:shd w:fill="CCEEFF" w:val="clear"/>
            <w:vAlign w:val="center"/>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w:t>
            </w:r>
          </w:p>
        </w:tc>
        <w:tc>
          <w:tcPr>
            <w:tcW w:w="1311" w:type="dxa"/>
            <w:tcBorders>
              <w:bottom w:val="double" w:sz="6" w:space="0" w:color="000000"/>
            </w:tcBorders>
            <w:shd w:fill="CCEEFF" w:val="clear"/>
            <w:tcMar>
              <w:bottom w:w="28" w:type="dxa"/>
            </w:tcMar>
            <w:vAlign w:val="center"/>
          </w:tcPr>
          <w:p>
            <w:pPr>
              <w:pStyle w:val="TableContents"/>
              <w:spacing w:before="0" w:after="283"/>
              <w:jc w:val="right"/>
              <w:rPr/>
            </w:pPr>
            <w:r>
              <w:rPr/>
              <w:t>(0.04</w:t>
            </w:r>
          </w:p>
        </w:tc>
        <w:tc>
          <w:tcPr>
            <w:tcW w:w="130" w:type="dxa"/>
            <w:tcBorders/>
            <w:shd w:fill="CCEEFF" w:val="clear"/>
            <w:vAlign w:val="center"/>
          </w:tcPr>
          <w:p>
            <w:pPr>
              <w:pStyle w:val="TableContents"/>
              <w:spacing w:before="0" w:after="283"/>
              <w:rPr/>
            </w:pPr>
            <w:r>
              <w:rPr/>
              <w:t>)</w:t>
            </w:r>
          </w:p>
        </w:tc>
        <w:tc>
          <w:tcPr>
            <w:tcW w:w="94" w:type="dxa"/>
            <w:tcBorders/>
            <w:shd w:fill="CCEEFF" w:val="clear"/>
            <w:vAlign w:val="center"/>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center"/>
          </w:tcPr>
          <w:p>
            <w:pPr>
              <w:pStyle w:val="TableContents"/>
              <w:spacing w:before="0" w:after="283"/>
              <w:rPr/>
            </w:pPr>
            <w:r>
              <w:rPr/>
              <w:t>$</w:t>
            </w:r>
          </w:p>
        </w:tc>
        <w:tc>
          <w:tcPr>
            <w:tcW w:w="1184" w:type="dxa"/>
            <w:tcBorders>
              <w:bottom w:val="double" w:sz="6" w:space="0" w:color="000000"/>
            </w:tcBorders>
            <w:shd w:fill="CCEEFF" w:val="clear"/>
            <w:tcMar>
              <w:bottom w:w="28" w:type="dxa"/>
            </w:tcMar>
            <w:vAlign w:val="center"/>
          </w:tcPr>
          <w:p>
            <w:pPr>
              <w:pStyle w:val="TableContents"/>
              <w:spacing w:before="0" w:after="283"/>
              <w:jc w:val="right"/>
              <w:rPr/>
            </w:pPr>
            <w:r>
              <w:rPr/>
              <w:t>(0.07</w:t>
            </w:r>
          </w:p>
        </w:tc>
        <w:tc>
          <w:tcPr>
            <w:tcW w:w="173" w:type="dxa"/>
            <w:tcBorders/>
            <w:shd w:fill="CCEEFF" w:val="clear"/>
            <w:vAlign w:val="center"/>
          </w:tcPr>
          <w:p>
            <w:pPr>
              <w:pStyle w:val="TableContents"/>
              <w:spacing w:before="0" w:after="283"/>
              <w:rPr/>
            </w:pPr>
            <w:r>
              <w:rPr/>
              <w:t>)</w:t>
            </w:r>
          </w:p>
        </w:tc>
      </w:tr>
      <w:tr>
        <w:trPr/>
        <w:tc>
          <w:tcPr>
            <w:tcW w:w="686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311" w:type="dxa"/>
            <w:tcBorders/>
            <w:shd w:fill="FFFFFF" w:val="clear"/>
            <w:vAlign w:val="center"/>
          </w:tcPr>
          <w:p>
            <w:pPr>
              <w:pStyle w:val="TableContents"/>
              <w:spacing w:before="0" w:after="0"/>
              <w:ind w:left="0" w:right="0" w:hanging="0"/>
              <w:rPr/>
            </w:pPr>
            <w:r>
              <w:rPr/>
              <w:t> </w:t>
            </w:r>
          </w:p>
        </w:tc>
        <w:tc>
          <w:tcPr>
            <w:tcW w:w="130" w:type="dxa"/>
            <w:tcBorders/>
            <w:shd w:fill="FFFFFF" w:val="clear"/>
            <w:vAlign w:val="center"/>
          </w:tcPr>
          <w:p>
            <w:pPr>
              <w:pStyle w:val="TableContents"/>
              <w:spacing w:before="0" w:after="0"/>
              <w:ind w:left="0" w:right="0" w:hanging="0"/>
              <w:rPr/>
            </w:pPr>
            <w:r>
              <w:rPr/>
              <w:t> </w:t>
            </w:r>
          </w:p>
        </w:tc>
        <w:tc>
          <w:tcPr>
            <w:tcW w:w="94"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0"/>
              <w:ind w:left="0" w:right="0" w:hanging="0"/>
              <w:rPr/>
            </w:pPr>
            <w:r>
              <w:rPr/>
              <w:t> </w:t>
            </w:r>
          </w:p>
        </w:tc>
        <w:tc>
          <w:tcPr>
            <w:tcW w:w="1184"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r>
      <w:tr>
        <w:trPr/>
        <w:tc>
          <w:tcPr>
            <w:tcW w:w="6867" w:type="dxa"/>
            <w:tcBorders/>
            <w:shd w:fill="CCEEFF" w:val="clear"/>
            <w:vAlign w:val="center"/>
          </w:tcPr>
          <w:p>
            <w:pPr>
              <w:pStyle w:val="TableContents"/>
              <w:spacing w:before="0" w:after="283"/>
              <w:rPr/>
            </w:pPr>
            <w:r>
              <w:rPr/>
              <w:t xml:space="preserve">Weighted average shares used in computing basic and diluted net loss attributable to common stockholders per common share </w:t>
            </w:r>
          </w:p>
        </w:tc>
        <w:tc>
          <w:tcPr>
            <w:tcW w:w="90" w:type="dxa"/>
            <w:tcBorders/>
            <w:shd w:fill="CCEEFF" w:val="clear"/>
            <w:vAlign w:val="center"/>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311" w:type="dxa"/>
            <w:tcBorders>
              <w:bottom w:val="double" w:sz="6" w:space="0" w:color="000000"/>
            </w:tcBorders>
            <w:shd w:fill="CCEEFF" w:val="clear"/>
            <w:tcMar>
              <w:bottom w:w="28" w:type="dxa"/>
            </w:tcMar>
            <w:vAlign w:val="center"/>
          </w:tcPr>
          <w:p>
            <w:pPr>
              <w:pStyle w:val="TableContents"/>
              <w:spacing w:before="0" w:after="283"/>
              <w:jc w:val="right"/>
              <w:rPr/>
            </w:pPr>
            <w:r>
              <w:rPr/>
              <w:t>189,924,158</w:t>
            </w:r>
          </w:p>
        </w:tc>
        <w:tc>
          <w:tcPr>
            <w:tcW w:w="130" w:type="dxa"/>
            <w:tcBorders/>
            <w:shd w:fill="CCEEFF" w:val="clear"/>
            <w:vAlign w:val="center"/>
          </w:tcPr>
          <w:p>
            <w:pPr>
              <w:pStyle w:val="TableContents"/>
              <w:spacing w:before="0" w:after="0"/>
              <w:ind w:left="0" w:right="0" w:hanging="0"/>
              <w:rPr/>
            </w:pPr>
            <w:r>
              <w:rPr/>
              <w:t> </w:t>
            </w:r>
          </w:p>
        </w:tc>
        <w:tc>
          <w:tcPr>
            <w:tcW w:w="94" w:type="dxa"/>
            <w:tcBorders/>
            <w:shd w:fill="CCEEFF" w:val="clear"/>
            <w:vAlign w:val="center"/>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84" w:type="dxa"/>
            <w:tcBorders>
              <w:bottom w:val="double" w:sz="6" w:space="0" w:color="000000"/>
            </w:tcBorders>
            <w:shd w:fill="CCEEFF" w:val="clear"/>
            <w:tcMar>
              <w:bottom w:w="28" w:type="dxa"/>
            </w:tcMar>
            <w:vAlign w:val="center"/>
          </w:tcPr>
          <w:p>
            <w:pPr>
              <w:pStyle w:val="TableContents"/>
              <w:spacing w:before="0" w:after="283"/>
              <w:jc w:val="right"/>
              <w:rPr/>
            </w:pPr>
            <w:r>
              <w:rPr/>
              <w:t>51,321,355</w:t>
            </w:r>
          </w:p>
        </w:tc>
        <w:tc>
          <w:tcPr>
            <w:tcW w:w="173"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left"/>
        <w:rPr/>
      </w:pPr>
      <w:r>
        <w:rPr/>
        <w:t xml:space="preserve">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6</w:t>
            </w:r>
          </w:p>
        </w:tc>
      </w:tr>
    </w:tbl>
    <w:p>
      <w:pPr>
        <w:pStyle w:val="TextBody"/>
        <w:spacing w:before="0" w:after="0"/>
        <w:ind w:left="0" w:right="0" w:hanging="0"/>
        <w:jc w:val="left"/>
        <w:rPr/>
      </w:pPr>
      <w:r>
        <w:rPr/>
        <w:t> </w:t>
      </w:r>
      <w:r>
        <w:br w:type="page"/>
      </w:r>
    </w:p>
    <w:p>
      <w:pPr>
        <w:pStyle w:val="TextBody"/>
        <w:spacing w:before="0" w:after="0"/>
        <w:ind w:left="0" w:right="0" w:hanging="0"/>
        <w:jc w:val="right"/>
        <w:rPr/>
      </w:pPr>
      <w:bookmarkStart w:id="2" w:name="vtgn_ex992.htm"/>
      <w:bookmarkStart w:id="3" w:name="ksvtgn_ex992"/>
      <w:bookmarkEnd w:id="2"/>
      <w:bookmarkEnd w:id="3"/>
      <w:r>
        <w:rPr>
          <w:rStyle w:val="StrongEmphasis"/>
          <w:rFonts w:ascii="times new roman" w:hAnsi="times new roman"/>
          <w:sz w:val="20"/>
        </w:rPr>
        <w:t>EXHIBIT 99.2</w:t>
      </w:r>
      <w:r>
        <w:rPr>
          <w:rFonts w:ascii="times new roman" w:hAnsi="times new roman"/>
          <w:sz w:val="20"/>
        </w:rPr>
        <w:t> </w:t>
      </w:r>
    </w:p>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477500" cy="5895975"/>
                    </a:xfrm>
                    <a:prstGeom prst="rect">
                      <a:avLst/>
                    </a:prstGeom>
                  </pic:spPr>
                </pic:pic>
              </a:graphicData>
            </a:graphic>
          </wp:inline>
        </w:drawing>
      </w:r>
      <w:r>
        <w:rPr/>
        <w:t> </w:t>
      </w:r>
      <w:r>
        <w:br w:type="page"/>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0477500" cy="58959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477500" cy="5895975"/>
                    </a:xfrm>
                    <a:prstGeom prst="rect">
                      <a:avLst/>
                    </a:prstGeom>
                  </pic:spPr>
                </pic:pic>
              </a:graphicData>
            </a:graphic>
          </wp:inline>
        </w:drawing>
      </w:r>
      <w:r>
        <w:rPr/>
        <w:t> </w:t>
      </w:r>
    </w:p>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ind w:left="0" w:right="0" w:hanging="0"/>
              <w:rPr/>
            </w:pPr>
            <w:r>
              <w:rPr/>
              <w:t> </w:t>
            </w:r>
          </w:p>
        </w:tc>
      </w:tr>
      <w:tr>
        <w:trPr/>
        <w:tc>
          <w:tcPr>
            <w:tcW w:w="150" w:type="dxa"/>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43</Pages>
  <Words>2983</Words>
  <CharactersWithSpaces>20617</CharactersWithSpaces>
  <Paragraphs>1010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