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9.jpeg" ContentType="image/jpeg"/>
  <Override PartName="/word/media/image3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35.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36.jpeg" ContentType="image/jpeg"/>
  <Override PartName="/word/media/image11.jpeg" ContentType="image/jpeg"/>
  <Override PartName="/word/media/image42.jpeg" ContentType="image/jpeg"/>
  <Override PartName="/word/media/image37.jpeg" ContentType="image/jpeg"/>
  <Override PartName="/word/media/image12.jpeg" ContentType="image/jpeg"/>
  <Override PartName="/word/media/image43.jpeg" ContentType="image/jpeg"/>
  <Override PartName="/word/media/image13.jpeg" ContentType="image/jpeg"/>
  <Override PartName="/word/media/image44.jpeg" ContentType="image/jpeg"/>
  <Override PartName="/word/media/image40.jpeg" ContentType="image/jpeg"/>
  <Override PartName="/word/media/image14.jpeg" ContentType="image/jpeg"/>
  <Override PartName="/word/media/image41.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90"/>
        <w:ind w:left="0" w:right="0" w:hanging="0"/>
        <w:jc w:val="center"/>
        <w:rPr>
          <w:bdr w:val="single" w:sz="24" w:space="1" w:color="000000"/>
        </w:rPr>
      </w:pPr>
      <w:r>
        <w:rPr>
          <w:bdr w:val="single" w:sz="24" w:space="1" w:color="000000"/>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UNITED STATES</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SECURITIES AND EXCHANGE COMMISSION</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FORM 8-K</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CURRENT REPORT</w:t>
      </w:r>
    </w:p>
    <w:p>
      <w:pPr>
        <w:pStyle w:val="TextBody"/>
        <w:spacing w:before="0" w:after="0"/>
        <w:ind w:left="0" w:right="0" w:hanging="0"/>
        <w:jc w:val="center"/>
        <w:rPr>
          <w:rFonts w:ascii="Times New Roman" w:hAnsi="Times New Roman"/>
          <w:b/>
          <w:sz w:val="15"/>
        </w:rPr>
      </w:pPr>
      <w:r>
        <w:rPr>
          <w:rFonts w:ascii="Times New Roman" w:hAnsi="Times New Roman"/>
          <w:b/>
          <w:color w:val="000000"/>
          <w:sz w:val="15"/>
        </w:rPr>
        <w:t>PURSUANT TO SECTION 13 OR</w:t>
      </w:r>
      <w:r>
        <w:rPr>
          <w:rFonts w:ascii="Times New Roman" w:hAnsi="Times New Roman"/>
          <w:b/>
          <w:sz w:val="15"/>
        </w:rPr>
        <w:t xml:space="preserve"> </w:t>
      </w:r>
      <w:r>
        <w:rPr>
          <w:rFonts w:ascii="Times New Roman" w:hAnsi="Times New Roman"/>
          <w:b/>
          <w:color w:val="000000"/>
          <w:sz w:val="15"/>
        </w:rPr>
        <w:t>15(d) of the SECURITIES EXCHANGE ACT OF 1934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 xml:space="preserve">Date of Report (Date of earliest event reported): </w:t>
      </w:r>
      <w:r>
        <w:rPr>
          <w:rFonts w:ascii="Times New Roman" w:hAnsi="Times New Roman"/>
          <w:b/>
          <w:sz w:val="15"/>
          <w:u w:val="single"/>
        </w:rPr>
        <w:t>August 13, 2019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VistaGen Therapeutics, Inc.</w:t>
      </w:r>
    </w:p>
    <w:p>
      <w:pPr>
        <w:pStyle w:val="TextBody"/>
        <w:spacing w:before="0" w:after="0"/>
        <w:ind w:left="0" w:right="0" w:hanging="0"/>
        <w:jc w:val="center"/>
        <w:rPr>
          <w:rFonts w:ascii="Times New Roman" w:hAnsi="Times New Roman"/>
          <w:i/>
          <w:color w:val="000000"/>
          <w:sz w:val="15"/>
        </w:rPr>
      </w:pPr>
      <w:r>
        <w:rPr>
          <w:rFonts w:ascii="Times New Roman" w:hAnsi="Times New Roman"/>
          <w:i/>
          <w:color w:val="000000"/>
          <w:sz w:val="15"/>
        </w:rPr>
        <w:t>(Exact name of registrant as specified in its charter)</w:t>
      </w:r>
    </w:p>
    <w:p>
      <w:pPr>
        <w:pStyle w:val="TextBody"/>
        <w:spacing w:before="0" w:after="0"/>
        <w:ind w:left="0" w:right="0" w:hanging="0"/>
        <w:jc w:val="both"/>
        <w:rPr/>
      </w:pPr>
      <w:r>
        <w:rPr/>
        <w:t> </w:t>
      </w:r>
    </w:p>
    <w:tbl>
      <w:tblPr>
        <w:tblW w:w="6765" w:type="dxa"/>
        <w:jc w:val="left"/>
        <w:tblInd w:w="0" w:type="dxa"/>
        <w:tblCellMar>
          <w:top w:w="0" w:type="dxa"/>
          <w:left w:w="0" w:type="dxa"/>
          <w:bottom w:w="0" w:type="dxa"/>
          <w:right w:w="0" w:type="dxa"/>
        </w:tblCellMar>
      </w:tblPr>
      <w:tblGrid>
        <w:gridCol w:w="2765"/>
        <w:gridCol w:w="1670"/>
        <w:gridCol w:w="2330"/>
      </w:tblGrid>
      <w:tr>
        <w:trPr/>
        <w:tc>
          <w:tcPr>
            <w:tcW w:w="2765"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NEVADA</w:t>
            </w:r>
          </w:p>
        </w:tc>
        <w:tc>
          <w:tcPr>
            <w:tcW w:w="1670"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001-37761</w:t>
            </w:r>
          </w:p>
        </w:tc>
        <w:tc>
          <w:tcPr>
            <w:tcW w:w="2330"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20-5093315</w:t>
            </w:r>
          </w:p>
        </w:tc>
      </w:tr>
      <w:tr>
        <w:trPr/>
        <w:tc>
          <w:tcPr>
            <w:tcW w:w="2765" w:type="dxa"/>
            <w:tcBorders/>
            <w:shd w:fill="auto" w:val="clear"/>
            <w:vAlign w:val="center"/>
          </w:tcPr>
          <w:p>
            <w:pPr>
              <w:pStyle w:val="TableContents"/>
              <w:spacing w:before="0" w:after="0"/>
              <w:ind w:left="0" w:right="0" w:hanging="0"/>
              <w:jc w:val="center"/>
              <w:rPr>
                <w:rFonts w:ascii="Times New Roman" w:hAnsi="Times New Roman"/>
                <w:i/>
                <w:color w:val="000000"/>
                <w:sz w:val="15"/>
              </w:rPr>
            </w:pPr>
            <w:r>
              <w:rPr>
                <w:rFonts w:ascii="Times New Roman" w:hAnsi="Times New Roman"/>
                <w:i/>
                <w:color w:val="000000"/>
                <w:sz w:val="15"/>
              </w:rPr>
              <w:t>(State or other jurisdiction of incorporation)</w:t>
            </w:r>
          </w:p>
        </w:tc>
        <w:tc>
          <w:tcPr>
            <w:tcW w:w="1670" w:type="dxa"/>
            <w:tcBorders/>
            <w:shd w:fill="auto" w:val="clear"/>
            <w:vAlign w:val="center"/>
          </w:tcPr>
          <w:p>
            <w:pPr>
              <w:pStyle w:val="TableContents"/>
              <w:spacing w:before="0" w:after="0"/>
              <w:ind w:left="0" w:right="0" w:hanging="0"/>
              <w:jc w:val="center"/>
              <w:rPr>
                <w:rFonts w:ascii="Times New Roman" w:hAnsi="Times New Roman"/>
                <w:i/>
                <w:color w:val="000000"/>
                <w:sz w:val="15"/>
              </w:rPr>
            </w:pPr>
            <w:r>
              <w:rPr>
                <w:rFonts w:ascii="Times New Roman" w:hAnsi="Times New Roman"/>
                <w:i/>
                <w:color w:val="000000"/>
                <w:sz w:val="15"/>
              </w:rPr>
              <w:t>(Commission File Number)</w:t>
            </w:r>
          </w:p>
        </w:tc>
        <w:tc>
          <w:tcPr>
            <w:tcW w:w="2330" w:type="dxa"/>
            <w:tcBorders/>
            <w:shd w:fill="auto" w:val="clear"/>
            <w:vAlign w:val="center"/>
          </w:tcPr>
          <w:p>
            <w:pPr>
              <w:pStyle w:val="TableContents"/>
              <w:spacing w:before="0" w:after="0"/>
              <w:ind w:left="0" w:right="0" w:hanging="0"/>
              <w:jc w:val="center"/>
              <w:rPr>
                <w:rFonts w:ascii="Times New Roman" w:hAnsi="Times New Roman"/>
                <w:i/>
                <w:color w:val="000000"/>
                <w:sz w:val="15"/>
              </w:rPr>
            </w:pPr>
            <w:r>
              <w:rPr>
                <w:rFonts w:ascii="Times New Roman" w:hAnsi="Times New Roman"/>
                <w:i/>
                <w:color w:val="000000"/>
                <w:sz w:val="15"/>
              </w:rPr>
              <w:t>(IRS Employer Identification Number)</w:t>
            </w:r>
          </w:p>
        </w:tc>
      </w:tr>
    </w:tbl>
    <w:p>
      <w:pPr>
        <w:pStyle w:val="TextBody"/>
        <w:spacing w:before="0" w:after="0"/>
        <w:ind w:left="0" w:right="0" w:hanging="0"/>
        <w:jc w:val="both"/>
        <w:rPr/>
      </w:pPr>
      <w:r>
        <w:rPr/>
        <w:t> </w:t>
      </w:r>
    </w:p>
    <w:tbl>
      <w:tblPr>
        <w:tblW w:w="2570" w:type="dxa"/>
        <w:jc w:val="left"/>
        <w:tblInd w:w="0" w:type="dxa"/>
        <w:tblCellMar>
          <w:top w:w="0" w:type="dxa"/>
          <w:left w:w="0" w:type="dxa"/>
          <w:bottom w:w="0" w:type="dxa"/>
          <w:right w:w="0" w:type="dxa"/>
        </w:tblCellMar>
      </w:tblPr>
      <w:tblGrid>
        <w:gridCol w:w="2570"/>
      </w:tblGrid>
      <w:tr>
        <w:trPr/>
        <w:tc>
          <w:tcPr>
            <w:tcW w:w="2570"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343 Allerton Ave.</w:t>
            </w:r>
          </w:p>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South San Francisco, California 94090</w:t>
            </w:r>
          </w:p>
        </w:tc>
      </w:tr>
      <w:tr>
        <w:trPr/>
        <w:tc>
          <w:tcPr>
            <w:tcW w:w="2570" w:type="dxa"/>
            <w:tcBorders/>
            <w:shd w:fill="auto" w:val="clear"/>
            <w:vAlign w:val="center"/>
          </w:tcPr>
          <w:p>
            <w:pPr>
              <w:pStyle w:val="TableContents"/>
              <w:spacing w:before="0" w:after="0"/>
              <w:ind w:left="0" w:right="0" w:hanging="0"/>
              <w:jc w:val="center"/>
              <w:rPr>
                <w:rFonts w:ascii="Times New Roman" w:hAnsi="Times New Roman"/>
                <w:i/>
                <w:color w:val="000000"/>
                <w:sz w:val="15"/>
              </w:rPr>
            </w:pPr>
            <w:r>
              <w:rPr>
                <w:rFonts w:ascii="Times New Roman" w:hAnsi="Times New Roman"/>
                <w:i/>
                <w:color w:val="000000"/>
                <w:sz w:val="15"/>
              </w:rPr>
              <w:t>(Address of principal executive offices)</w:t>
            </w:r>
          </w:p>
          <w:p>
            <w:pPr>
              <w:pStyle w:val="TableContents"/>
              <w:spacing w:before="0" w:after="0"/>
              <w:ind w:left="0" w:right="0" w:hanging="0"/>
              <w:jc w:val="both"/>
              <w:rPr/>
            </w:pPr>
            <w:r>
              <w:rPr/>
              <w:t> </w:t>
            </w:r>
          </w:p>
        </w:tc>
      </w:tr>
    </w:tbl>
    <w:p>
      <w:pPr>
        <w:pStyle w:val="TextBody"/>
        <w:spacing w:before="0" w:after="0"/>
        <w:ind w:left="0" w:right="0" w:hanging="0"/>
        <w:jc w:val="center"/>
        <w:rPr>
          <w:rFonts w:ascii="Times New Roman" w:hAnsi="Times New Roman"/>
          <w:b/>
          <w:sz w:val="15"/>
        </w:rPr>
      </w:pPr>
      <w:r>
        <w:rPr>
          <w:rFonts w:ascii="Times New Roman" w:hAnsi="Times New Roman"/>
          <w:b/>
          <w:sz w:val="15"/>
        </w:rPr>
        <w:t>(650) 577-3600</w:t>
      </w:r>
    </w:p>
    <w:p>
      <w:pPr>
        <w:pStyle w:val="TextBody"/>
        <w:spacing w:before="0" w:after="0"/>
        <w:ind w:left="0" w:right="0" w:hanging="0"/>
        <w:jc w:val="center"/>
        <w:rPr>
          <w:rFonts w:ascii="Times New Roman" w:hAnsi="Times New Roman"/>
          <w:i/>
          <w:color w:val="000000"/>
          <w:sz w:val="15"/>
        </w:rPr>
      </w:pPr>
      <w:r>
        <w:rPr>
          <w:rFonts w:ascii="Times New Roman" w:hAnsi="Times New Roman"/>
          <w:i/>
          <w:color w:val="000000"/>
          <w:sz w:val="15"/>
        </w:rP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Not Applicable</w:t>
      </w:r>
    </w:p>
    <w:p>
      <w:pPr>
        <w:pStyle w:val="TextBody"/>
        <w:spacing w:before="0" w:after="0"/>
        <w:ind w:left="0" w:right="0" w:hanging="0"/>
        <w:jc w:val="center"/>
        <w:rPr/>
      </w:pPr>
      <w:r>
        <w:rPr/>
        <w:t> </w:t>
      </w:r>
      <w:r>
        <w:rPr>
          <w:rFonts w:ascii="Times New Roman" w:hAnsi="Times New Roman"/>
          <w:i/>
          <w:sz w:val="15"/>
        </w:rPr>
        <w:t>(Former name or former address, if changed since last report)</w:t>
      </w:r>
    </w:p>
    <w:p>
      <w:pPr>
        <w:pStyle w:val="TextBody"/>
        <w:spacing w:before="0" w:after="0"/>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Check the appropriate box below if the Form 8-K filing is intended to simultaneously satisfy the filing obligation of the registrant under any of the following provisions:</w:t>
      </w:r>
    </w:p>
    <w:p>
      <w:pPr>
        <w:pStyle w:val="TextBody"/>
        <w:spacing w:before="0" w:after="0"/>
        <w:rPr/>
      </w:pPr>
      <w:r>
        <w:rPr/>
        <w:t> </w:t>
      </w:r>
    </w:p>
    <w:p>
      <w:pPr>
        <w:pStyle w:val="TextBody"/>
        <w:spacing w:before="0" w:after="0"/>
        <w:ind w:left="0" w:right="0" w:hanging="0"/>
        <w:jc w:val="both"/>
        <w:rPr/>
      </w:pPr>
      <w:r>
        <w:rPr>
          <w:color w:val="000000"/>
        </w:rPr>
        <w:t>☐</w:t>
      </w:r>
      <w:r>
        <w:rPr/>
        <w:t xml:space="preserve"> </w:t>
      </w:r>
      <w:r>
        <w:rPr>
          <w:rFonts w:ascii="Times New Roman" w:hAnsi="Times New Roman"/>
          <w:color w:val="000000"/>
          <w:sz w:val="15"/>
        </w:rPr>
        <w:t>Written communications pursuant to Rule 425 under the Securities Act (17 CFR 230.425)</w:t>
      </w:r>
    </w:p>
    <w:p>
      <w:pPr>
        <w:pStyle w:val="TextBody"/>
        <w:spacing w:before="0" w:after="0"/>
        <w:ind w:left="0" w:right="0" w:hanging="0"/>
        <w:jc w:val="both"/>
        <w:rPr/>
      </w:pPr>
      <w:r>
        <w:rPr>
          <w:color w:val="000000"/>
        </w:rPr>
        <w:t>☐</w:t>
      </w:r>
      <w:r>
        <w:rPr/>
        <w:t xml:space="preserve"> </w:t>
      </w:r>
      <w:r>
        <w:rPr>
          <w:rFonts w:ascii="Times New Roman" w:hAnsi="Times New Roman"/>
          <w:color w:val="000000"/>
          <w:sz w:val="15"/>
        </w:rPr>
        <w:t>Soliciting material pursuant to Rule 14a-12 under the Exchange Act (17 CFR 240.14a -12)</w:t>
      </w:r>
    </w:p>
    <w:p>
      <w:pPr>
        <w:pStyle w:val="TextBody"/>
        <w:spacing w:before="0" w:after="0"/>
        <w:ind w:left="0" w:right="0" w:hanging="0"/>
        <w:jc w:val="both"/>
        <w:rPr/>
      </w:pPr>
      <w:r>
        <w:rPr>
          <w:color w:val="000000"/>
        </w:rPr>
        <w:t>☐</w:t>
      </w:r>
      <w:r>
        <w:rPr/>
        <w:t xml:space="preserve"> </w:t>
      </w:r>
      <w:r>
        <w:rPr>
          <w:rFonts w:ascii="Times New Roman" w:hAnsi="Times New Roman"/>
          <w:color w:val="000000"/>
          <w:sz w:val="15"/>
        </w:rPr>
        <w:t>Pre-commencement communications pursuant to Rule 14d-2(b) under the Exchange Act (17 CFR 240.14d -2(b))</w:t>
      </w:r>
    </w:p>
    <w:p>
      <w:pPr>
        <w:pStyle w:val="TextBody"/>
        <w:spacing w:before="0" w:after="0"/>
        <w:ind w:left="0" w:right="0" w:hanging="0"/>
        <w:jc w:val="both"/>
        <w:rPr/>
      </w:pPr>
      <w:r>
        <w:rPr>
          <w:color w:val="000000"/>
        </w:rPr>
        <w:t>☐</w:t>
      </w:r>
      <w:r>
        <w:rPr/>
        <w:t xml:space="preserve"> </w:t>
      </w:r>
      <w:r>
        <w:rPr>
          <w:rFonts w:ascii="Times New Roman" w:hAnsi="Times New Roman"/>
          <w:color w:val="000000"/>
          <w:sz w:val="15"/>
        </w:rPr>
        <w:t>Pre-commencement communications pursuant to Rule 13e-4(c) under the Exchange Act (17 CFR 240.13e -4(c))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Securities registered pursuant to Section 12(b) of the Act:</w:t>
      </w:r>
    </w:p>
    <w:p>
      <w:pPr>
        <w:pStyle w:val="TextBody"/>
        <w:spacing w:before="0" w:after="0"/>
        <w:ind w:left="0" w:right="0" w:hanging="0"/>
        <w:jc w:val="both"/>
        <w:rPr>
          <w:color w:val="000000"/>
        </w:rPr>
      </w:pPr>
      <w:r>
        <w:rPr>
          <w:color w:val="000000"/>
        </w:rPr>
        <w:t> </w:t>
      </w:r>
    </w:p>
    <w:tbl>
      <w:tblPr>
        <w:tblW w:w="6465" w:type="dxa"/>
        <w:jc w:val="left"/>
        <w:tblInd w:w="0" w:type="dxa"/>
        <w:tblCellMar>
          <w:top w:w="0" w:type="dxa"/>
          <w:left w:w="0" w:type="dxa"/>
          <w:bottom w:w="0" w:type="dxa"/>
          <w:right w:w="0" w:type="dxa"/>
        </w:tblCellMar>
      </w:tblPr>
      <w:tblGrid>
        <w:gridCol w:w="2660"/>
        <w:gridCol w:w="1160"/>
        <w:gridCol w:w="2645"/>
      </w:tblGrid>
      <w:tr>
        <w:trPr/>
        <w:tc>
          <w:tcPr>
            <w:tcW w:w="2660" w:type="dxa"/>
            <w:tcBorders/>
            <w:shd w:fill="auto" w:val="clear"/>
            <w:vAlign w:val="center"/>
          </w:tcPr>
          <w:p>
            <w:pPr>
              <w:pStyle w:val="TableContents"/>
              <w:spacing w:before="0" w:after="0"/>
              <w:ind w:left="0" w:right="0" w:hanging="0"/>
              <w:jc w:val="center"/>
              <w:rPr>
                <w:rFonts w:ascii="Times New Roman" w:hAnsi="Times New Roman"/>
                <w:sz w:val="15"/>
                <w:u w:val="single"/>
              </w:rPr>
            </w:pPr>
            <w:r>
              <w:rPr>
                <w:rFonts w:ascii="Times New Roman" w:hAnsi="Times New Roman"/>
                <w:sz w:val="15"/>
                <w:u w:val="single"/>
              </w:rPr>
              <w:t>Title of each class</w:t>
            </w:r>
          </w:p>
        </w:tc>
        <w:tc>
          <w:tcPr>
            <w:tcW w:w="1160" w:type="dxa"/>
            <w:tcBorders/>
            <w:shd w:fill="auto" w:val="clear"/>
            <w:vAlign w:val="center"/>
          </w:tcPr>
          <w:p>
            <w:pPr>
              <w:pStyle w:val="TableContents"/>
              <w:spacing w:before="0" w:after="0"/>
              <w:ind w:left="0" w:right="0" w:hanging="0"/>
              <w:jc w:val="center"/>
              <w:rPr>
                <w:rFonts w:ascii="Times New Roman" w:hAnsi="Times New Roman"/>
                <w:sz w:val="15"/>
                <w:u w:val="single"/>
              </w:rPr>
            </w:pPr>
            <w:r>
              <w:rPr>
                <w:rFonts w:ascii="Times New Roman" w:hAnsi="Times New Roman"/>
                <w:sz w:val="15"/>
                <w:u w:val="single"/>
              </w:rPr>
              <w:t>Trading Symbol(s)</w:t>
            </w:r>
          </w:p>
        </w:tc>
        <w:tc>
          <w:tcPr>
            <w:tcW w:w="2645" w:type="dxa"/>
            <w:tcBorders/>
            <w:shd w:fill="auto" w:val="clear"/>
            <w:vAlign w:val="center"/>
          </w:tcPr>
          <w:p>
            <w:pPr>
              <w:pStyle w:val="TableContents"/>
              <w:spacing w:before="0" w:after="0"/>
              <w:ind w:left="0" w:right="0" w:hanging="0"/>
              <w:jc w:val="center"/>
              <w:rPr>
                <w:rFonts w:ascii="Times New Roman" w:hAnsi="Times New Roman"/>
                <w:sz w:val="15"/>
                <w:u w:val="single"/>
              </w:rPr>
            </w:pPr>
            <w:r>
              <w:rPr>
                <w:rFonts w:ascii="Times New Roman" w:hAnsi="Times New Roman"/>
                <w:sz w:val="15"/>
                <w:u w:val="single"/>
              </w:rPr>
              <w:t>Name of each exchange on which registered</w:t>
            </w:r>
          </w:p>
        </w:tc>
      </w:tr>
      <w:tr>
        <w:trPr/>
        <w:tc>
          <w:tcPr>
            <w:tcW w:w="2660"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Common Stock, par value $0.001 per share</w:t>
            </w:r>
          </w:p>
        </w:tc>
        <w:tc>
          <w:tcPr>
            <w:tcW w:w="1160"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VTGN</w:t>
            </w:r>
          </w:p>
        </w:tc>
        <w:tc>
          <w:tcPr>
            <w:tcW w:w="264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Nasdaq Capital Market</w:t>
            </w:r>
          </w:p>
        </w:tc>
      </w:tr>
    </w:tbl>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Indicate by check mark whether the registrant is an emerging growth company as defined in Rule 405 of the Securities Act of 1933 (17 CFR 230.405) or Rule 12b-2 of the Securities Exchange Act of 1934 (17 CFR 240.12b-2)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pPr>
      <w:r>
        <w:rPr/>
        <w:t> </w:t>
      </w:r>
    </w:p>
    <w:p>
      <w:pPr>
        <w:pStyle w:val="TextBody"/>
        <w:spacing w:before="0" w:after="90"/>
        <w:ind w:left="0" w:right="0" w:hanging="0"/>
        <w:jc w:val="center"/>
        <w:rPr>
          <w:bdr w:val="single" w:sz="2" w:space="1" w:color="000000"/>
        </w:rPr>
      </w:pPr>
      <w:r>
        <w:rPr>
          <w:bdr w:val="single" w:sz="2" w:space="1" w:color="00000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0" w:name="pgbrk"/>
      <w:bookmarkStart w:id="1" w:name="pgbrk"/>
      <w:bookmarkEnd w:id="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 w:name="hdr"/>
      <w:bookmarkEnd w:id="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Item 2.02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color w:val="000000"/>
          <w:sz w:val="15"/>
        </w:rPr>
        <w:t>On August 13, 2019, VistaGen Therapeutics, Inc. (the “</w:t>
      </w:r>
      <w:r>
        <w:rPr>
          <w:rFonts w:ascii="Times New Roman" w:hAnsi="Times New Roman"/>
          <w:i/>
          <w:color w:val="000000"/>
          <w:sz w:val="15"/>
        </w:rPr>
        <w:t>Company</w:t>
      </w:r>
      <w:r>
        <w:rPr>
          <w:rFonts w:ascii="Times New Roman" w:hAnsi="Times New Roman"/>
          <w:color w:val="000000"/>
          <w:sz w:val="15"/>
        </w:rPr>
        <w:t>”) issued a press release to announce the Company’s financial results for its fiscal year 2020 first quarter ended June 30, 2019. A copy of the press release is attached to this Current Report on Form 8-K as Exhibit 99.1.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Item 7.01 Regulation FD Disclosure.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color w:val="000000"/>
          <w:sz w:val="15"/>
        </w:rPr>
      </w:pPr>
      <w:r>
        <w:rPr>
          <w:rFonts w:ascii="Times New Roman" w:hAnsi="Times New Roman"/>
          <w:color w:val="000000"/>
          <w:sz w:val="15"/>
        </w:rPr>
        <w:t>See Item 8.01.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Item 8.01 Other Items.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color w:val="000000"/>
          <w:sz w:val="15"/>
        </w:rPr>
      </w:pPr>
      <w:r>
        <w:rPr>
          <w:rFonts w:ascii="Times New Roman" w:hAnsi="Times New Roman"/>
          <w:color w:val="000000"/>
          <w:sz w:val="15"/>
        </w:rPr>
        <w:t>On August 15, 2019, the Company announced that it has achieved completion of target patient enrollment of 180 patients in the Company’s Phase 2 ELEVATE clinical trial. ELEVATE is a multi-center, double-blind, placebo-controlled clinical study to evaluate the efficacy and safety of AV-101, the Company’s novel, oral NMDA (N-methyl-D-aspartate) receptor glycine site antagonist, as an adjunctive treatment (together with an FDA-approved oral antidepressant) for major depressive disorder in adult patients with an inadequate therapeutic response to their current antidepressants. The Company expects to report topline results from the ELEVATE study before the year end 2019. A copy of the press release is attached to this Current Report on Form 8-K as Exhibit 99.2.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color w:val="000000"/>
          <w:sz w:val="15"/>
        </w:rPr>
      </w:pPr>
      <w:r>
        <w:rPr>
          <w:rFonts w:ascii="Times New Roman" w:hAnsi="Times New Roman"/>
          <w:color w:val="000000"/>
          <w:sz w:val="15"/>
        </w:rPr>
        <w:t>On August 15, 2019, the Company began utilizing a new corporate presentation. A copy of the updated corporate presentation is attached to this Current Report on Form 8-K as Exhibit 99.3.</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color w:val="000000"/>
          <w:sz w:val="15"/>
        </w:rPr>
        <w:t>The information in this Current Report on Form 8-K, including the information set forth in Exhibits 99.1 and 99.3, is being furnished and shall not be deemed “filed” for purposes of Section 18 of the Securities Exchange Act of 1934, as amended (the “</w:t>
      </w:r>
      <w:r>
        <w:rPr>
          <w:rFonts w:ascii="Times New Roman" w:hAnsi="Times New Roman"/>
          <w:i/>
          <w:color w:val="000000"/>
          <w:sz w:val="15"/>
        </w:rPr>
        <w:t>Exchange Act</w:t>
      </w:r>
      <w:r>
        <w:rPr>
          <w:rFonts w:ascii="Times New Roman" w:hAnsi="Times New Roman"/>
          <w:color w:val="000000"/>
          <w:sz w:val="15"/>
        </w:rPr>
        <w:t>”), nor shall Exhibits 99.1 and 99.3 filed herewith be deemed incorporated by reference in any filing under the Securities Act of 1933, as amended, or the Exchange Act, except as shall be expressly set forth by specific reference in such a filing.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b/>
          <w:color w:val="000000"/>
          <w:sz w:val="15"/>
        </w:rPr>
        <w:t>Item 9.01 Financial Statements and Exhibits</w:t>
      </w:r>
      <w:r>
        <w:rPr>
          <w:rFonts w:ascii="Times New Roman" w:hAnsi="Times New Roman"/>
          <w:color w:val="000000"/>
          <w:sz w:val="15"/>
        </w:rPr>
        <w:t>.</w:t>
      </w:r>
    </w:p>
    <w:p>
      <w:pPr>
        <w:pStyle w:val="TextBody"/>
        <w:spacing w:before="0" w:after="0"/>
        <w:ind w:left="0" w:right="0" w:hanging="0"/>
        <w:jc w:val="both"/>
        <w:rPr>
          <w:color w:val="000000"/>
        </w:rPr>
      </w:pPr>
      <w:r>
        <w:rPr>
          <w:color w:val="000000"/>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(d) Exhibits Index</w:t>
      </w:r>
    </w:p>
    <w:p>
      <w:pPr>
        <w:pStyle w:val="TextBody"/>
        <w:spacing w:before="0" w:after="0"/>
        <w:ind w:left="0" w:right="0" w:hanging="0"/>
        <w:jc w:val="both"/>
        <w:rPr>
          <w:color w:val="000000"/>
        </w:rPr>
      </w:pPr>
      <w:r>
        <w:rPr>
          <w:color w:val="000000"/>
        </w:rPr>
        <w:t> </w:t>
      </w:r>
    </w:p>
    <w:tbl>
      <w:tblPr>
        <w:tblW w:w="5545" w:type="dxa"/>
        <w:jc w:val="left"/>
        <w:tblInd w:w="0" w:type="dxa"/>
        <w:tblCellMar>
          <w:top w:w="0" w:type="dxa"/>
          <w:left w:w="0" w:type="dxa"/>
          <w:bottom w:w="28" w:type="dxa"/>
          <w:right w:w="0" w:type="dxa"/>
        </w:tblCellMar>
      </w:tblPr>
      <w:tblGrid>
        <w:gridCol w:w="800"/>
        <w:gridCol w:w="60"/>
        <w:gridCol w:w="4685"/>
      </w:tblGrid>
      <w:tr>
        <w:trPr/>
        <w:tc>
          <w:tcPr>
            <w:tcW w:w="800"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Exhibit No.</w:t>
            </w:r>
          </w:p>
        </w:tc>
        <w:tc>
          <w:tcPr>
            <w:tcW w:w="60" w:type="dxa"/>
            <w:tcBorders/>
            <w:shd w:fill="auto" w:val="clear"/>
            <w:tcMar>
              <w:bottom w:w="0" w:type="dxa"/>
            </w:tcMar>
            <w:vAlign w:val="center"/>
          </w:tcPr>
          <w:p>
            <w:pPr>
              <w:pStyle w:val="TableContents"/>
              <w:spacing w:before="0" w:after="0"/>
              <w:rPr/>
            </w:pPr>
            <w:r>
              <w:rPr/>
              <w:t> </w:t>
            </w:r>
          </w:p>
        </w:tc>
        <w:tc>
          <w:tcPr>
            <w:tcW w:w="4685"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Description</w:t>
            </w:r>
          </w:p>
        </w:tc>
      </w:tr>
      <w:tr>
        <w:trPr/>
        <w:tc>
          <w:tcPr>
            <w:tcW w:w="800" w:type="dxa"/>
            <w:tcBorders/>
            <w:shd w:fill="auto" w:val="clear"/>
            <w:tcMar>
              <w:bottom w:w="0" w:type="dxa"/>
            </w:tcMar>
            <w:vAlign w:val="center"/>
          </w:tcPr>
          <w:p>
            <w:pPr>
              <w:pStyle w:val="TableContents"/>
              <w:spacing w:before="0" w:after="0"/>
              <w:jc w:val="center"/>
              <w:rPr/>
            </w:pPr>
            <w:r>
              <w:rPr/>
              <w:t> </w:t>
            </w:r>
          </w:p>
        </w:tc>
        <w:tc>
          <w:tcPr>
            <w:tcW w:w="60" w:type="dxa"/>
            <w:tcBorders/>
            <w:shd w:fill="auto" w:val="clear"/>
            <w:tcMar>
              <w:bottom w:w="0" w:type="dxa"/>
            </w:tcMar>
            <w:vAlign w:val="center"/>
          </w:tcPr>
          <w:p>
            <w:pPr>
              <w:pStyle w:val="TableContents"/>
              <w:spacing w:before="0" w:after="0"/>
              <w:rPr/>
            </w:pPr>
            <w:r>
              <w:rPr/>
              <w:t> </w:t>
            </w:r>
          </w:p>
        </w:tc>
        <w:tc>
          <w:tcPr>
            <w:tcW w:w="4685" w:type="dxa"/>
            <w:tcBorders/>
            <w:shd w:fill="auto" w:val="clear"/>
            <w:tcMar>
              <w:bottom w:w="0" w:type="dxa"/>
            </w:tcMar>
            <w:vAlign w:val="center"/>
          </w:tcPr>
          <w:p>
            <w:pPr>
              <w:pStyle w:val="TableContents"/>
              <w:spacing w:before="0" w:after="0"/>
              <w:rPr/>
            </w:pPr>
            <w:r>
              <w:rPr/>
              <w:t> </w:t>
            </w:r>
          </w:p>
        </w:tc>
      </w:tr>
      <w:tr>
        <w:trPr/>
        <w:tc>
          <w:tcPr>
            <w:tcW w:w="800" w:type="dxa"/>
            <w:tcBorders/>
            <w:shd w:fill="CCEEFF" w:val="clear"/>
            <w:tcMar>
              <w:bottom w:w="0" w:type="dxa"/>
            </w:tcMar>
            <w:vAlign w:val="center"/>
          </w:tcPr>
          <w:p>
            <w:pPr>
              <w:pStyle w:val="TableContents"/>
              <w:spacing w:before="0" w:after="0"/>
              <w:ind w:left="0" w:right="0" w:hanging="0"/>
              <w:jc w:val="center"/>
              <w:rPr/>
            </w:pPr>
            <w:hyperlink w:anchor="ex99-1.htm">
              <w:r>
                <w:rPr>
                  <w:rStyle w:val="InternetLink"/>
                  <w:rFonts w:ascii="Times New Roman" w:hAnsi="Times New Roman"/>
                  <w:sz w:val="15"/>
                </w:rPr>
                <w:t>99.1</w:t>
              </w:r>
            </w:hyperlink>
          </w:p>
        </w:tc>
        <w:tc>
          <w:tcPr>
            <w:tcW w:w="60" w:type="dxa"/>
            <w:tcBorders/>
            <w:shd w:fill="CCEEFF" w:val="clear"/>
            <w:tcMar>
              <w:bottom w:w="0" w:type="dxa"/>
            </w:tcMar>
            <w:vAlign w:val="center"/>
          </w:tcPr>
          <w:p>
            <w:pPr>
              <w:pStyle w:val="TableContents"/>
              <w:spacing w:before="0" w:after="0"/>
              <w:rPr/>
            </w:pPr>
            <w:r>
              <w:rPr/>
              <w:t> </w:t>
            </w:r>
          </w:p>
        </w:tc>
        <w:tc>
          <w:tcPr>
            <w:tcW w:w="4685" w:type="dxa"/>
            <w:tcBorders/>
            <w:shd w:fill="CCEEFF"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Press Release issued by VistaGen Therapeutics, Inc., dated August 13, 2019.</w:t>
            </w:r>
          </w:p>
        </w:tc>
      </w:tr>
      <w:tr>
        <w:trPr/>
        <w:tc>
          <w:tcPr>
            <w:tcW w:w="800" w:type="dxa"/>
            <w:tcBorders/>
            <w:shd w:fill="auto" w:val="clear"/>
            <w:tcMar>
              <w:bottom w:w="0" w:type="dxa"/>
            </w:tcMar>
            <w:vAlign w:val="center"/>
          </w:tcPr>
          <w:p>
            <w:pPr>
              <w:pStyle w:val="TableContents"/>
              <w:spacing w:before="0" w:after="0"/>
              <w:ind w:left="0" w:right="0" w:hanging="0"/>
              <w:jc w:val="center"/>
              <w:rPr/>
            </w:pPr>
            <w:hyperlink w:anchor="ex99-2.htm">
              <w:r>
                <w:rPr>
                  <w:rStyle w:val="InternetLink"/>
                  <w:rFonts w:ascii="Times New Roman" w:hAnsi="Times New Roman"/>
                  <w:sz w:val="15"/>
                </w:rPr>
                <w:t>99.2</w:t>
              </w:r>
            </w:hyperlink>
          </w:p>
        </w:tc>
        <w:tc>
          <w:tcPr>
            <w:tcW w:w="60" w:type="dxa"/>
            <w:tcBorders/>
            <w:shd w:fill="auto" w:val="clear"/>
            <w:tcMar>
              <w:bottom w:w="0" w:type="dxa"/>
            </w:tcMar>
            <w:vAlign w:val="center"/>
          </w:tcPr>
          <w:p>
            <w:pPr>
              <w:pStyle w:val="TableContents"/>
              <w:spacing w:before="0" w:after="0"/>
              <w:rPr/>
            </w:pPr>
            <w:r>
              <w:rPr/>
              <w:t> </w:t>
            </w:r>
          </w:p>
        </w:tc>
        <w:tc>
          <w:tcPr>
            <w:tcW w:w="4685" w:type="dxa"/>
            <w:tcBorders/>
            <w:shd w:fill="auto"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Press Release issued by VistaGen Therapeutics, Inc., dated August 15, 2019.</w:t>
            </w:r>
          </w:p>
        </w:tc>
      </w:tr>
      <w:tr>
        <w:trPr/>
        <w:tc>
          <w:tcPr>
            <w:tcW w:w="800" w:type="dxa"/>
            <w:tcBorders/>
            <w:shd w:fill="CCEEFF" w:val="clear"/>
            <w:tcMar>
              <w:bottom w:w="0" w:type="dxa"/>
            </w:tcMar>
            <w:vAlign w:val="center"/>
          </w:tcPr>
          <w:p>
            <w:pPr>
              <w:pStyle w:val="TableContents"/>
              <w:spacing w:before="0" w:after="0"/>
              <w:ind w:left="0" w:right="0" w:hanging="0"/>
              <w:jc w:val="center"/>
              <w:rPr/>
            </w:pPr>
            <w:hyperlink w:anchor="ex99-3.htm">
              <w:r>
                <w:rPr>
                  <w:rStyle w:val="InternetLink"/>
                  <w:rFonts w:ascii="Times New Roman" w:hAnsi="Times New Roman"/>
                  <w:sz w:val="15"/>
                </w:rPr>
                <w:t>99.3</w:t>
              </w:r>
            </w:hyperlink>
          </w:p>
        </w:tc>
        <w:tc>
          <w:tcPr>
            <w:tcW w:w="60" w:type="dxa"/>
            <w:tcBorders/>
            <w:shd w:fill="CCEEFF" w:val="clear"/>
            <w:tcMar>
              <w:bottom w:w="0" w:type="dxa"/>
            </w:tcMar>
            <w:vAlign w:val="center"/>
          </w:tcPr>
          <w:p>
            <w:pPr>
              <w:pStyle w:val="TableContents"/>
              <w:spacing w:before="0" w:after="0"/>
              <w:rPr/>
            </w:pPr>
            <w:r>
              <w:rPr/>
              <w:t> </w:t>
            </w:r>
          </w:p>
        </w:tc>
        <w:tc>
          <w:tcPr>
            <w:tcW w:w="4685" w:type="dxa"/>
            <w:tcBorders/>
            <w:shd w:fill="CCEEFF"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VistaGen Therapeutics, Inc. Corporate Presentation, dated August 2019.</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 w:name="pgbrk1"/>
      <w:bookmarkStart w:id="4" w:name="pgbrk1"/>
      <w:bookmarkEnd w:id="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 w:name="ftr"/>
      <w:bookmarkEnd w:id="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6" w:name="pb"/>
      <w:bookmarkStart w:id="7" w:name="pb"/>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 w:name="hdr1"/>
      <w:bookmarkEnd w:id="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ind w:left="0" w:right="0" w:firstLine="720"/>
        <w:jc w:val="center"/>
        <w:rPr>
          <w:rFonts w:ascii="Times New Roman" w:hAnsi="Times New Roman"/>
          <w:b/>
          <w:sz w:val="15"/>
        </w:rPr>
      </w:pPr>
      <w:r>
        <w:rPr>
          <w:rFonts w:ascii="Times New Roman" w:hAnsi="Times New Roman"/>
          <w:b/>
          <w:sz w:val="15"/>
        </w:rPr>
        <w:t>Signatures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tbl>
      <w:tblPr>
        <w:tblW w:w="3345" w:type="dxa"/>
        <w:jc w:val="left"/>
        <w:tblInd w:w="0" w:type="dxa"/>
        <w:tblCellMar>
          <w:top w:w="0" w:type="dxa"/>
          <w:left w:w="0" w:type="dxa"/>
          <w:bottom w:w="0" w:type="dxa"/>
          <w:right w:w="0" w:type="dxa"/>
        </w:tblCellMar>
      </w:tblPr>
      <w:tblGrid>
        <w:gridCol w:w="1475"/>
        <w:gridCol w:w="245"/>
        <w:gridCol w:w="1625"/>
      </w:tblGrid>
      <w:tr>
        <w:trPr/>
        <w:tc>
          <w:tcPr>
            <w:tcW w:w="1475" w:type="dxa"/>
            <w:tcBorders/>
            <w:shd w:fill="auto" w:val="clear"/>
            <w:vAlign w:val="center"/>
          </w:tcPr>
          <w:p>
            <w:pPr>
              <w:pStyle w:val="TableContents"/>
              <w:spacing w:before="0" w:after="0"/>
              <w:rPr/>
            </w:pPr>
            <w:r>
              <w:rPr/>
              <w:t> </w:t>
            </w:r>
          </w:p>
        </w:tc>
        <w:tc>
          <w:tcPr>
            <w:tcW w:w="1870" w:type="dxa"/>
            <w:gridSpan w:val="2"/>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VistaGen Therapeutics, Inc.</w:t>
            </w:r>
          </w:p>
        </w:tc>
      </w:tr>
      <w:tr>
        <w:trPr/>
        <w:tc>
          <w:tcPr>
            <w:tcW w:w="1475" w:type="dxa"/>
            <w:tcBorders/>
            <w:shd w:fill="auto" w:val="clear"/>
            <w:vAlign w:val="center"/>
          </w:tcPr>
          <w:p>
            <w:pPr>
              <w:pStyle w:val="TableContents"/>
              <w:spacing w:before="0" w:after="0"/>
              <w:rPr/>
            </w:pPr>
            <w:r>
              <w:rPr/>
              <w:t> </w:t>
            </w:r>
          </w:p>
        </w:tc>
        <w:tc>
          <w:tcPr>
            <w:tcW w:w="245" w:type="dxa"/>
            <w:tcBorders/>
            <w:shd w:fill="auto" w:val="clear"/>
            <w:vAlign w:val="center"/>
          </w:tcPr>
          <w:p>
            <w:pPr>
              <w:pStyle w:val="TableContents"/>
              <w:spacing w:before="0" w:after="0"/>
              <w:rPr/>
            </w:pPr>
            <w:r>
              <w:rPr/>
              <w:t> </w:t>
            </w:r>
          </w:p>
        </w:tc>
        <w:tc>
          <w:tcPr>
            <w:tcW w:w="1625" w:type="dxa"/>
            <w:tcBorders/>
            <w:shd w:fill="auto" w:val="clear"/>
            <w:vAlign w:val="center"/>
          </w:tcPr>
          <w:p>
            <w:pPr>
              <w:pStyle w:val="TableContents"/>
              <w:spacing w:before="0" w:after="0"/>
              <w:rPr/>
            </w:pPr>
            <w:r>
              <w:rPr/>
              <w:t> </w:t>
            </w:r>
          </w:p>
        </w:tc>
      </w:tr>
      <w:tr>
        <w:trPr/>
        <w:tc>
          <w:tcPr>
            <w:tcW w:w="1475" w:type="dxa"/>
            <w:tcBorders/>
            <w:shd w:fill="auto" w:val="clear"/>
            <w:vAlign w:val="center"/>
          </w:tcPr>
          <w:p>
            <w:pPr>
              <w:pStyle w:val="TableContents"/>
              <w:spacing w:before="0" w:after="0"/>
              <w:ind w:left="0" w:right="0" w:hanging="0"/>
              <w:jc w:val="left"/>
              <w:rPr/>
            </w:pPr>
            <w:r>
              <w:rPr/>
              <w:t> </w:t>
            </w:r>
            <w:r>
              <w:rPr>
                <w:rFonts w:ascii="Times New Roman" w:hAnsi="Times New Roman"/>
                <w:sz w:val="15"/>
              </w:rPr>
              <w:t>Date: August 16, 2019</w:t>
            </w:r>
          </w:p>
        </w:tc>
        <w:tc>
          <w:tcPr>
            <w:tcW w:w="24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By:</w:t>
            </w:r>
          </w:p>
        </w:tc>
        <w:tc>
          <w:tcPr>
            <w:tcW w:w="1625" w:type="dxa"/>
            <w:tcBorders/>
            <w:shd w:fill="auto" w:val="clear"/>
            <w:vAlign w:val="center"/>
          </w:tcPr>
          <w:p>
            <w:pPr>
              <w:pStyle w:val="TableContents"/>
              <w:spacing w:before="0" w:after="0"/>
              <w:ind w:left="0" w:right="0" w:hanging="0"/>
              <w:jc w:val="left"/>
              <w:rPr>
                <w:rFonts w:ascii="Times New Roman" w:hAnsi="Times New Roman"/>
                <w:i/>
                <w:sz w:val="15"/>
                <w:u w:val="single"/>
              </w:rPr>
            </w:pPr>
            <w:r>
              <w:rPr>
                <w:rFonts w:ascii="Times New Roman" w:hAnsi="Times New Roman"/>
                <w:i/>
                <w:sz w:val="15"/>
                <w:u w:val="single"/>
              </w:rPr>
              <w:t>/s/ Shawn K. Singh         </w:t>
            </w:r>
          </w:p>
        </w:tc>
      </w:tr>
      <w:tr>
        <w:trPr/>
        <w:tc>
          <w:tcPr>
            <w:tcW w:w="1475" w:type="dxa"/>
            <w:tcBorders/>
            <w:shd w:fill="auto" w:val="clear"/>
            <w:vAlign w:val="center"/>
          </w:tcPr>
          <w:p>
            <w:pPr>
              <w:pStyle w:val="TableContents"/>
              <w:spacing w:before="0" w:after="0"/>
              <w:rPr/>
            </w:pPr>
            <w:r>
              <w:rPr/>
              <w:t> </w:t>
            </w:r>
          </w:p>
        </w:tc>
        <w:tc>
          <w:tcPr>
            <w:tcW w:w="245" w:type="dxa"/>
            <w:tcBorders/>
            <w:shd w:fill="auto" w:val="clear"/>
            <w:vAlign w:val="center"/>
          </w:tcPr>
          <w:p>
            <w:pPr>
              <w:pStyle w:val="TableContents"/>
              <w:spacing w:before="0" w:after="0"/>
              <w:rPr/>
            </w:pPr>
            <w:r>
              <w:rPr/>
              <w:t> </w:t>
            </w:r>
          </w:p>
        </w:tc>
        <w:tc>
          <w:tcPr>
            <w:tcW w:w="162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Shawn K. Singh</w:t>
            </w:r>
          </w:p>
          <w:p>
            <w:pPr>
              <w:pStyle w:val="TableContents"/>
              <w:spacing w:before="0" w:after="0"/>
              <w:ind w:left="0" w:right="0" w:hanging="0"/>
              <w:jc w:val="left"/>
              <w:rPr>
                <w:rFonts w:ascii="Times New Roman" w:hAnsi="Times New Roman"/>
                <w:sz w:val="15"/>
              </w:rPr>
            </w:pPr>
            <w:r>
              <w:rPr>
                <w:rFonts w:ascii="Times New Roman" w:hAnsi="Times New Roman"/>
                <w:sz w:val="15"/>
              </w:rPr>
              <w:t>Chief Executive Officer</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 w:name="pgbrk2"/>
      <w:bookmarkStart w:id="10" w:name="pgbrk2"/>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 w:name="ftr1"/>
      <w:bookmarkEnd w:id="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 w:name="pb1"/>
      <w:bookmarkStart w:id="13" w:name="pb1"/>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 w:name="hdr2"/>
      <w:bookmarkEnd w:id="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EXHIBIT INDEX</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color w:val="000000"/>
        </w:rPr>
      </w:pPr>
      <w:r>
        <w:rPr>
          <w:color w:val="000000"/>
        </w:rPr>
        <w:t> </w:t>
      </w:r>
    </w:p>
    <w:tbl>
      <w:tblPr>
        <w:tblW w:w="5545" w:type="dxa"/>
        <w:jc w:val="left"/>
        <w:tblInd w:w="0" w:type="dxa"/>
        <w:tblCellMar>
          <w:top w:w="0" w:type="dxa"/>
          <w:left w:w="0" w:type="dxa"/>
          <w:bottom w:w="28" w:type="dxa"/>
          <w:right w:w="0" w:type="dxa"/>
        </w:tblCellMar>
      </w:tblPr>
      <w:tblGrid>
        <w:gridCol w:w="800"/>
        <w:gridCol w:w="60"/>
        <w:gridCol w:w="4685"/>
      </w:tblGrid>
      <w:tr>
        <w:trPr/>
        <w:tc>
          <w:tcPr>
            <w:tcW w:w="800"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Exhibit No.</w:t>
            </w:r>
          </w:p>
        </w:tc>
        <w:tc>
          <w:tcPr>
            <w:tcW w:w="60" w:type="dxa"/>
            <w:tcBorders/>
            <w:shd w:fill="auto" w:val="clear"/>
            <w:tcMar>
              <w:bottom w:w="0" w:type="dxa"/>
            </w:tcMar>
            <w:vAlign w:val="center"/>
          </w:tcPr>
          <w:p>
            <w:pPr>
              <w:pStyle w:val="TableContents"/>
              <w:spacing w:before="0" w:after="0"/>
              <w:rPr/>
            </w:pPr>
            <w:r>
              <w:rPr/>
              <w:t> </w:t>
            </w:r>
          </w:p>
        </w:tc>
        <w:tc>
          <w:tcPr>
            <w:tcW w:w="4685"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Description</w:t>
            </w:r>
          </w:p>
        </w:tc>
      </w:tr>
      <w:tr>
        <w:trPr/>
        <w:tc>
          <w:tcPr>
            <w:tcW w:w="800" w:type="dxa"/>
            <w:tcBorders/>
            <w:shd w:fill="auto" w:val="clear"/>
            <w:tcMar>
              <w:bottom w:w="0" w:type="dxa"/>
            </w:tcMar>
            <w:vAlign w:val="center"/>
          </w:tcPr>
          <w:p>
            <w:pPr>
              <w:pStyle w:val="TableContents"/>
              <w:spacing w:before="0" w:after="0"/>
              <w:jc w:val="center"/>
              <w:rPr/>
            </w:pPr>
            <w:r>
              <w:rPr/>
              <w:t> </w:t>
            </w:r>
          </w:p>
        </w:tc>
        <w:tc>
          <w:tcPr>
            <w:tcW w:w="60" w:type="dxa"/>
            <w:tcBorders/>
            <w:shd w:fill="auto" w:val="clear"/>
            <w:tcMar>
              <w:bottom w:w="0" w:type="dxa"/>
            </w:tcMar>
            <w:vAlign w:val="center"/>
          </w:tcPr>
          <w:p>
            <w:pPr>
              <w:pStyle w:val="TableContents"/>
              <w:spacing w:before="0" w:after="0"/>
              <w:rPr/>
            </w:pPr>
            <w:r>
              <w:rPr/>
              <w:t> </w:t>
            </w:r>
          </w:p>
        </w:tc>
        <w:tc>
          <w:tcPr>
            <w:tcW w:w="4685" w:type="dxa"/>
            <w:tcBorders/>
            <w:shd w:fill="auto" w:val="clear"/>
            <w:tcMar>
              <w:bottom w:w="0" w:type="dxa"/>
            </w:tcMar>
            <w:vAlign w:val="center"/>
          </w:tcPr>
          <w:p>
            <w:pPr>
              <w:pStyle w:val="TableContents"/>
              <w:spacing w:before="0" w:after="0"/>
              <w:rPr/>
            </w:pPr>
            <w:r>
              <w:rPr/>
              <w:t> </w:t>
            </w:r>
          </w:p>
        </w:tc>
      </w:tr>
      <w:tr>
        <w:trPr/>
        <w:tc>
          <w:tcPr>
            <w:tcW w:w="800" w:type="dxa"/>
            <w:tcBorders/>
            <w:shd w:fill="CCEEFF" w:val="clear"/>
            <w:tcMar>
              <w:bottom w:w="0" w:type="dxa"/>
            </w:tcMar>
            <w:vAlign w:val="center"/>
          </w:tcPr>
          <w:p>
            <w:pPr>
              <w:pStyle w:val="TableContents"/>
              <w:spacing w:before="0" w:after="0"/>
              <w:ind w:left="0" w:right="0" w:hanging="0"/>
              <w:jc w:val="center"/>
              <w:rPr/>
            </w:pPr>
            <w:hyperlink w:anchor="ex99-1.htm">
              <w:r>
                <w:rPr>
                  <w:rStyle w:val="InternetLink"/>
                  <w:rFonts w:ascii="Times New Roman" w:hAnsi="Times New Roman"/>
                  <w:sz w:val="15"/>
                </w:rPr>
                <w:t>99.1</w:t>
              </w:r>
            </w:hyperlink>
          </w:p>
        </w:tc>
        <w:tc>
          <w:tcPr>
            <w:tcW w:w="60" w:type="dxa"/>
            <w:tcBorders/>
            <w:shd w:fill="CCEEFF" w:val="clear"/>
            <w:tcMar>
              <w:bottom w:w="0" w:type="dxa"/>
            </w:tcMar>
            <w:vAlign w:val="center"/>
          </w:tcPr>
          <w:p>
            <w:pPr>
              <w:pStyle w:val="TableContents"/>
              <w:spacing w:before="0" w:after="0"/>
              <w:rPr/>
            </w:pPr>
            <w:r>
              <w:rPr/>
              <w:t> </w:t>
            </w:r>
          </w:p>
        </w:tc>
        <w:tc>
          <w:tcPr>
            <w:tcW w:w="4685" w:type="dxa"/>
            <w:tcBorders/>
            <w:shd w:fill="CCEEFF"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Press Release issued by VistaGen Therapeutics, Inc., dated August 13, 2019.</w:t>
            </w:r>
          </w:p>
        </w:tc>
      </w:tr>
      <w:tr>
        <w:trPr/>
        <w:tc>
          <w:tcPr>
            <w:tcW w:w="800" w:type="dxa"/>
            <w:tcBorders/>
            <w:shd w:fill="auto" w:val="clear"/>
            <w:tcMar>
              <w:bottom w:w="0" w:type="dxa"/>
            </w:tcMar>
            <w:vAlign w:val="center"/>
          </w:tcPr>
          <w:p>
            <w:pPr>
              <w:pStyle w:val="TableContents"/>
              <w:spacing w:before="0" w:after="0"/>
              <w:ind w:left="0" w:right="0" w:hanging="0"/>
              <w:jc w:val="center"/>
              <w:rPr/>
            </w:pPr>
            <w:hyperlink w:anchor="ex99-2.htm">
              <w:r>
                <w:rPr>
                  <w:rStyle w:val="InternetLink"/>
                  <w:rFonts w:ascii="Times New Roman" w:hAnsi="Times New Roman"/>
                  <w:sz w:val="15"/>
                </w:rPr>
                <w:t>99.2</w:t>
              </w:r>
            </w:hyperlink>
          </w:p>
        </w:tc>
        <w:tc>
          <w:tcPr>
            <w:tcW w:w="60" w:type="dxa"/>
            <w:tcBorders/>
            <w:shd w:fill="auto" w:val="clear"/>
            <w:tcMar>
              <w:bottom w:w="0" w:type="dxa"/>
            </w:tcMar>
            <w:vAlign w:val="center"/>
          </w:tcPr>
          <w:p>
            <w:pPr>
              <w:pStyle w:val="TableContents"/>
              <w:spacing w:before="0" w:after="0"/>
              <w:rPr/>
            </w:pPr>
            <w:r>
              <w:rPr/>
              <w:t> </w:t>
            </w:r>
          </w:p>
        </w:tc>
        <w:tc>
          <w:tcPr>
            <w:tcW w:w="4685" w:type="dxa"/>
            <w:tcBorders/>
            <w:shd w:fill="auto"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Press Release issued by VistaGen Therapeutics, Inc., dated August 15, 2019.</w:t>
            </w:r>
          </w:p>
        </w:tc>
      </w:tr>
      <w:tr>
        <w:trPr/>
        <w:tc>
          <w:tcPr>
            <w:tcW w:w="800" w:type="dxa"/>
            <w:tcBorders/>
            <w:shd w:fill="CCEEFF" w:val="clear"/>
            <w:tcMar>
              <w:bottom w:w="0" w:type="dxa"/>
            </w:tcMar>
            <w:vAlign w:val="center"/>
          </w:tcPr>
          <w:p>
            <w:pPr>
              <w:pStyle w:val="TableContents"/>
              <w:spacing w:before="0" w:after="0"/>
              <w:ind w:left="0" w:right="0" w:hanging="0"/>
              <w:jc w:val="center"/>
              <w:rPr/>
            </w:pPr>
            <w:hyperlink w:anchor="ex99-3.htm">
              <w:r>
                <w:rPr>
                  <w:rStyle w:val="InternetLink"/>
                  <w:rFonts w:ascii="Times New Roman" w:hAnsi="Times New Roman"/>
                  <w:sz w:val="15"/>
                </w:rPr>
                <w:t>99.3</w:t>
              </w:r>
            </w:hyperlink>
          </w:p>
        </w:tc>
        <w:tc>
          <w:tcPr>
            <w:tcW w:w="60" w:type="dxa"/>
            <w:tcBorders/>
            <w:shd w:fill="CCEEFF" w:val="clear"/>
            <w:tcMar>
              <w:bottom w:w="0" w:type="dxa"/>
            </w:tcMar>
            <w:vAlign w:val="center"/>
          </w:tcPr>
          <w:p>
            <w:pPr>
              <w:pStyle w:val="TableContents"/>
              <w:spacing w:before="0" w:after="0"/>
              <w:rPr/>
            </w:pPr>
            <w:r>
              <w:rPr/>
              <w:t> </w:t>
            </w:r>
          </w:p>
        </w:tc>
        <w:tc>
          <w:tcPr>
            <w:tcW w:w="4685" w:type="dxa"/>
            <w:tcBorders/>
            <w:shd w:fill="CCEEFF"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VistaGen Therapeutics, Inc. Corporate Presentation, dated August 2019.</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3"/>
      <w:bookmarkStart w:id="16" w:name="pgbrk3"/>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7" w:name="ftr2"/>
      <w:bookmarkEnd w:id="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8" w:name="pb2"/>
      <w:bookmarkStart w:id="19" w:name="pb2"/>
      <w:bookmarkEnd w:id="19"/>
    </w:p>
    <w:p>
      <w:pPr>
        <w:pStyle w:val="TextBody"/>
        <w:ind w:left="0" w:right="0" w:hanging="0"/>
        <w:rPr/>
      </w:pPr>
      <w:r>
        <w:rPr/>
      </w:r>
      <w:bookmarkStart w:id="20" w:name="pgbrk4"/>
      <w:bookmarkStart w:id="21" w:name="pgbrk4"/>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2" w:name="hdr3"/>
      <w:bookmarkEnd w:id="2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15"/>
        </w:rPr>
      </w:pPr>
      <w:r>
        <w:rPr>
          <w:rFonts w:ascii="Times New Roman" w:hAnsi="Times New Roman"/>
          <w:b/>
          <w:sz w:val="15"/>
        </w:rPr>
        <w:t>Exhibit 99.1</w:t>
      </w:r>
    </w:p>
    <w:p>
      <w:pPr>
        <w:pStyle w:val="TextBody"/>
        <w:spacing w:before="0" w:after="0"/>
        <w:rPr/>
      </w:pPr>
      <w:r>
        <w:rPr/>
        <w:t> </w:t>
      </w:r>
    </w:p>
    <w:p>
      <w:pPr>
        <w:pStyle w:val="TextBody"/>
        <w:spacing w:before="0" w:after="0"/>
        <w:rPr/>
      </w:pPr>
      <w:r>
        <w:rPr/>
        <w:drawing>
          <wp:inline distT="0" distB="0" distL="0" distR="0">
            <wp:extent cx="130492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1009650"/>
                    </a:xfrm>
                    <a:prstGeom prst="rect">
                      <a:avLst/>
                    </a:prstGeom>
                  </pic:spPr>
                </pic:pic>
              </a:graphicData>
            </a:graphic>
          </wp:inline>
        </w:drawing>
      </w:r>
    </w:p>
    <w:p>
      <w:pPr>
        <w:pStyle w:val="TextBody"/>
        <w:spacing w:before="0" w:after="0"/>
        <w:rPr/>
      </w:pPr>
      <w:r>
        <w:rPr/>
        <w:t> </w:t>
      </w:r>
    </w:p>
    <w:p>
      <w:pPr>
        <w:pStyle w:val="TextBody"/>
        <w:spacing w:before="0" w:after="0"/>
        <w:ind w:left="0" w:right="0" w:hanging="0"/>
        <w:jc w:val="center"/>
        <w:rPr/>
      </w:pPr>
      <w:r>
        <w:rPr>
          <w:rFonts w:ascii="Times New Roman" w:hAnsi="Times New Roman"/>
          <w:b/>
          <w:sz w:val="20"/>
        </w:rPr>
        <w:t>VistaGen Therapeutics Reports Fiscal 2020 First Quarter Financial Results</w:t>
      </w:r>
      <w:r>
        <w:rPr/>
        <w:t xml:space="preserve"> </w:t>
      </w:r>
    </w:p>
    <w:p>
      <w:pPr>
        <w:pStyle w:val="TextBody"/>
        <w:spacing w:before="0" w:after="0"/>
        <w:ind w:left="0" w:right="0" w:hanging="0"/>
        <w:jc w:val="center"/>
        <w:rPr>
          <w:rFonts w:ascii="Times New Roman" w:hAnsi="Times New Roman"/>
          <w:b/>
          <w:sz w:val="15"/>
        </w:rPr>
      </w:pPr>
      <w:r>
        <w:rPr>
          <w:rFonts w:ascii="Times New Roman" w:hAnsi="Times New Roman"/>
          <w:b/>
          <w:sz w:val="15"/>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15"/>
        </w:rPr>
      </w:pPr>
      <w:r>
        <w:rPr>
          <w:rFonts w:ascii="Times New Roman" w:hAnsi="Times New Roman"/>
          <w:b/>
          <w:sz w:val="15"/>
        </w:rPr>
        <w:t>SOUTH SAN FRANCISCO, Calif., August 13, 2019</w:t>
      </w:r>
      <w:r>
        <w:rPr>
          <w:rFonts w:ascii="Times New Roman" w:hAnsi="Times New Roman"/>
          <w:sz w:val="15"/>
        </w:rPr>
        <w:t xml:space="preserve"> - </w:t>
      </w:r>
      <w:r>
        <w:rPr>
          <w:rFonts w:ascii="Times New Roman" w:hAnsi="Times New Roman"/>
          <w:color w:val="0095DA"/>
          <w:sz w:val="15"/>
          <w:u w:val="single"/>
        </w:rPr>
        <w:t>VistaGen Therapeutics</w:t>
      </w:r>
      <w:r>
        <w:rPr>
          <w:rFonts w:ascii="Times New Roman" w:hAnsi="Times New Roman"/>
          <w:sz w:val="15"/>
        </w:rPr>
        <w:t xml:space="preserve"> (NASDAQ: VTGN), a clinical-stage biopharmaceutical company developing new generation medicines for central nervous system (CNS) diseases and disorders with high unmet need, today announced financial results for its fiscal year 2020 first quarter ended June 30, 2019.</w:t>
      </w:r>
    </w:p>
    <w:p>
      <w:pPr>
        <w:pStyle w:val="TextBody"/>
        <w:spacing w:before="0" w:after="0"/>
        <w:ind w:left="0" w:right="0" w:hanging="0"/>
        <w:jc w:val="both"/>
        <w:rPr/>
      </w:pPr>
      <w:r>
        <w:rPr/>
        <w:t> </w:t>
      </w:r>
    </w:p>
    <w:p>
      <w:pPr>
        <w:pStyle w:val="TextBody"/>
        <w:spacing w:before="0" w:after="0"/>
        <w:ind w:left="0" w:right="0" w:hanging="0"/>
        <w:jc w:val="left"/>
        <w:rPr/>
      </w:pPr>
      <w:r>
        <w:rPr>
          <w:color w:val="333333"/>
          <w:highlight w:val="white"/>
        </w:rPr>
        <w:t>“</w:t>
      </w:r>
      <w:r>
        <w:rPr>
          <w:rFonts w:ascii="Times New Roman" w:hAnsi="Times New Roman"/>
          <w:color w:val="333333"/>
          <w:sz w:val="15"/>
          <w:highlight w:val="white"/>
        </w:rPr>
        <w:t>The next few months are potentially transformative for VistaGen, as we look forward to several clinical and regulatory milestones before year-end,” stated </w:t>
      </w:r>
      <w:r>
        <w:rPr>
          <w:rFonts w:ascii="Times New Roman" w:hAnsi="Times New Roman"/>
          <w:color w:val="0095DA"/>
          <w:sz w:val="15"/>
          <w:highlight w:val="white"/>
          <w:u w:val="single"/>
        </w:rPr>
        <w:t>Shawn Singh, Chief Executive Officer of VistaGen</w:t>
      </w:r>
      <w:r>
        <w:rPr>
          <w:rFonts w:ascii="Times New Roman" w:hAnsi="Times New Roman"/>
          <w:color w:val="333333"/>
          <w:sz w:val="15"/>
          <w:highlight w:val="white"/>
        </w:rPr>
        <w:t>. “We have three differentiated clinical-stage drug candidates, each of which has an exceptional safety profile in studies to date and significant therapeutic and commercial potential in multiple large and growing CNS markets where current treatments are inadequate to meet the needs of millions of patients. Our team is focused on driving continued progress across our pipeline, and we are confident in our efforts to achieve our core goals – to deliver both safe and effective new generation treatments in neuropsychiatry and neurology for patients and extraordinary value to our loyal shareholders.”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color w:val="333333"/>
          <w:sz w:val="15"/>
        </w:rPr>
      </w:pPr>
      <w:r>
        <w:rPr>
          <w:rFonts w:ascii="Times New Roman" w:hAnsi="Times New Roman"/>
          <w:b/>
          <w:i/>
          <w:color w:val="333333"/>
          <w:sz w:val="15"/>
        </w:rPr>
        <w:t>Financial Results for the Fiscal Quarter Ended June 30, 2019:</w:t>
      </w:r>
    </w:p>
    <w:p>
      <w:pPr>
        <w:pStyle w:val="TextBody"/>
        <w:spacing w:before="0" w:after="0"/>
        <w:ind w:left="0" w:right="0" w:hanging="0"/>
        <w:jc w:val="left"/>
        <w:rPr>
          <w:rFonts w:ascii="Times New Roman" w:hAnsi="Times New Roman"/>
          <w:color w:val="333333"/>
          <w:sz w:val="15"/>
        </w:rPr>
      </w:pPr>
      <w:r>
        <w:rPr>
          <w:rFonts w:ascii="Times New Roman" w:hAnsi="Times New Roman"/>
          <w:color w:val="333333"/>
          <w:sz w:val="15"/>
        </w:rPr>
        <w:t>Net loss attributable to common stockholders for the fiscal quarter ended June 30, 2019 was approximately $6.2 million, including approximately $1.2 million of noncash charges, compared to $4.2 million for the fiscal quarter ended June 30, 2018, primarily attributable to increased research and development activities relating to the Company’s CNS drug development programs.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333333"/>
          <w:sz w:val="15"/>
        </w:rPr>
      </w:pPr>
      <w:r>
        <w:rPr>
          <w:rFonts w:ascii="Times New Roman" w:hAnsi="Times New Roman"/>
          <w:color w:val="333333"/>
          <w:sz w:val="15"/>
        </w:rPr>
        <w:t>Research and development expense totaled $4.3 million for the fiscal quarter ended June 30, 2019, compared with $2.7 million for the fiscal quarter ended June 30, 2018. The increase in research and development expense is primarily related to the continued progress of ELEVATE, the Company’s Phase 2 clinical study evaluating efficacy and safety of AV-101, its novel oral NMDA (N-methyl-D-aspartate) receptor glycine site antagonist, as an add-on treatment (together with an FDA-approved oral antidepressant) for adults with major depressive disorder (MDD), several preclinical studies, including studies supporting AV-101’s potential for treating neuropathic pain (NP) and levodopa-induced dyskinesia (LID) in patients with Parkinson’s disease, and manufacturing activities involving AV-101 and the Company’s two novel, clinical-stage neuroactive nasal spray candidates, PH94B for social anxiety disorder (SAD) and PH10 for MDD.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333333"/>
          <w:sz w:val="15"/>
        </w:rPr>
      </w:pPr>
      <w:r>
        <w:rPr>
          <w:rFonts w:ascii="Times New Roman" w:hAnsi="Times New Roman"/>
          <w:color w:val="333333"/>
          <w:sz w:val="15"/>
        </w:rPr>
        <w:t>General and administrative expense was approximately $1.9 million in the fiscal quarter ended June 30, 2019, compared to approximately $1.5 million in the fiscal quarter ended June 30, 2018. The increase was primarily attributable to noncash stock compensation expense.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333333"/>
          <w:sz w:val="15"/>
        </w:rPr>
      </w:pPr>
      <w:r>
        <w:rPr>
          <w:rFonts w:ascii="Times New Roman" w:hAnsi="Times New Roman"/>
          <w:color w:val="333333"/>
          <w:sz w:val="15"/>
        </w:rPr>
        <w:t>At June 30, 2019, VistaGen had cash and cash equivalents of $8.3 million, compared to $13.1 million at March 31, 2019.</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333333"/>
          <w:sz w:val="15"/>
        </w:rPr>
      </w:pPr>
      <w:r>
        <w:rPr>
          <w:rFonts w:ascii="Times New Roman" w:hAnsi="Times New Roman"/>
          <w:color w:val="333333"/>
          <w:sz w:val="15"/>
        </w:rPr>
        <w:t>As of August 13, 2019, there were 42,622,965 shares of common stock outstanding.</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 w:name="pgbrk5"/>
      <w:bookmarkStart w:id="24" w:name="pgbrk5"/>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5" w:name="ftr3"/>
      <w:bookmarkEnd w:id="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r>
        <w:rPr>
          <w:rFonts w:ascii="Times New Roman" w:hAnsi="Times New Roman"/>
          <w:sz w:val="15"/>
        </w:rPr>
        <w:t>-1-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6" w:name="pb3"/>
      <w:bookmarkStart w:id="27" w:name="pb3"/>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8" w:name="hdr4"/>
      <w:bookmarkEnd w:id="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About VistaGen</w:t>
      </w:r>
    </w:p>
    <w:p>
      <w:pPr>
        <w:pStyle w:val="TextBody"/>
        <w:spacing w:before="0" w:after="0"/>
        <w:ind w:left="0" w:right="0" w:hanging="0"/>
        <w:jc w:val="left"/>
        <w:rPr>
          <w:rFonts w:ascii="Times New Roman" w:hAnsi="Times New Roman"/>
          <w:sz w:val="15"/>
        </w:rPr>
      </w:pPr>
      <w:r>
        <w:rPr>
          <w:rFonts w:ascii="Times New Roman" w:hAnsi="Times New Roman"/>
          <w:sz w:val="15"/>
          <w:highlight w:val="white"/>
        </w:rPr>
        <w:t>VistaGen Therapeutics is a clinical-stage biopharmaceutical company developing new generation medicines for CNS diseases and disorders where current treatments are inadequate, resulting in high unmet need. VistaGen’s</w:t>
      </w:r>
      <w:r>
        <w:rPr>
          <w:rFonts w:ascii="Times New Roman" w:hAnsi="Times New Roman"/>
          <w:sz w:val="15"/>
        </w:rPr>
        <w:t xml:space="preserve"> </w:t>
      </w:r>
      <w:r>
        <w:rPr>
          <w:rFonts w:ascii="Times New Roman" w:hAnsi="Times New Roman"/>
          <w:color w:val="0095DA"/>
          <w:sz w:val="15"/>
          <w:highlight w:val="white"/>
          <w:u w:val="single"/>
        </w:rPr>
        <w:t>pipeline</w:t>
      </w:r>
      <w:r>
        <w:rPr>
          <w:rFonts w:ascii="Times New Roman" w:hAnsi="Times New Roman"/>
          <w:sz w:val="15"/>
        </w:rPr>
        <w:t xml:space="preserve"> </w:t>
      </w:r>
      <w:r>
        <w:rPr>
          <w:rFonts w:ascii="Times New Roman" w:hAnsi="Times New Roman"/>
          <w:sz w:val="15"/>
          <w:highlight w:val="white"/>
        </w:rPr>
        <w:t>includes three differentiated, clinical-stage CNS drug candidates, AV-101, PH10 and PH94B, each with an exceptional safety profile in all clinical studies to date and therapeutic potential in multiple large and growing CNS markets.</w:t>
      </w:r>
      <w:r>
        <w:rPr>
          <w:rFonts w:ascii="Times New Roman" w:hAnsi="Times New Roman"/>
          <w:sz w:val="15"/>
        </w:rPr>
        <w:t xml:space="preserve"> For more information, please visit </w:t>
      </w:r>
      <w:r>
        <w:rPr>
          <w:rFonts w:ascii="Times New Roman" w:hAnsi="Times New Roman"/>
          <w:color w:val="0095DA"/>
          <w:sz w:val="15"/>
          <w:u w:val="single"/>
        </w:rPr>
        <w:t>www.vistagen.com</w:t>
      </w:r>
      <w:r>
        <w:rPr>
          <w:rFonts w:ascii="Times New Roman" w:hAnsi="Times New Roman"/>
          <w:color w:val="333333"/>
          <w:sz w:val="15"/>
        </w:rPr>
        <w:t> </w:t>
      </w:r>
      <w:r>
        <w:rPr>
          <w:rFonts w:ascii="Times New Roman" w:hAnsi="Times New Roman"/>
          <w:sz w:val="15"/>
        </w:rPr>
        <w:t>and connect with VistaGen on</w:t>
      </w:r>
      <w:r>
        <w:rPr>
          <w:rFonts w:ascii="Times New Roman" w:hAnsi="Times New Roman"/>
          <w:color w:val="333333"/>
          <w:sz w:val="15"/>
        </w:rPr>
        <w:t> </w:t>
      </w:r>
      <w:r>
        <w:rPr>
          <w:rFonts w:ascii="Times New Roman" w:hAnsi="Times New Roman"/>
          <w:color w:val="0095DA"/>
          <w:sz w:val="15"/>
          <w:u w:val="single"/>
        </w:rPr>
        <w:t>Twitter</w:t>
      </w:r>
      <w:r>
        <w:rPr>
          <w:rFonts w:ascii="Times New Roman" w:hAnsi="Times New Roman"/>
          <w:color w:val="333333"/>
          <w:sz w:val="15"/>
        </w:rPr>
        <w:t>, </w:t>
      </w:r>
      <w:r>
        <w:rPr>
          <w:rFonts w:ascii="Times New Roman" w:hAnsi="Times New Roman"/>
          <w:color w:val="0095DA"/>
          <w:sz w:val="15"/>
          <w:u w:val="single"/>
        </w:rPr>
        <w:t>LinkedIn</w:t>
      </w:r>
      <w:r>
        <w:rPr>
          <w:rFonts w:ascii="Times New Roman" w:hAnsi="Times New Roman"/>
          <w:color w:val="333333"/>
          <w:sz w:val="15"/>
        </w:rPr>
        <w:t> </w:t>
      </w:r>
      <w:r>
        <w:rPr>
          <w:rFonts w:ascii="Times New Roman" w:hAnsi="Times New Roman"/>
          <w:sz w:val="15"/>
        </w:rPr>
        <w:t>and</w:t>
      </w:r>
      <w:r>
        <w:rPr>
          <w:rFonts w:ascii="Times New Roman" w:hAnsi="Times New Roman"/>
          <w:color w:val="333333"/>
          <w:sz w:val="15"/>
        </w:rPr>
        <w:t> </w:t>
      </w:r>
      <w:r>
        <w:rPr>
          <w:rFonts w:ascii="Times New Roman" w:hAnsi="Times New Roman"/>
          <w:color w:val="0095DA"/>
          <w:sz w:val="15"/>
          <w:u w:val="single"/>
        </w:rPr>
        <w:t>Facebook</w:t>
      </w:r>
      <w:r>
        <w:rPr>
          <w:rFonts w:ascii="Times New Roman" w:hAnsi="Times New Roman"/>
          <w:color w:val="333333"/>
          <w:sz w:val="15"/>
        </w:rPr>
        <w: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333333"/>
          <w:sz w:val="15"/>
        </w:rPr>
      </w:pPr>
      <w:r>
        <w:rPr>
          <w:rFonts w:ascii="Times New Roman" w:hAnsi="Times New Roman"/>
          <w:b/>
          <w:color w:val="333333"/>
          <w:sz w:val="15"/>
        </w:rPr>
        <w:t>Forward-Looking Statements</w:t>
      </w:r>
    </w:p>
    <w:p>
      <w:pPr>
        <w:pStyle w:val="TextBody"/>
        <w:spacing w:before="0" w:after="0"/>
        <w:ind w:left="0" w:right="0" w:hanging="0"/>
        <w:jc w:val="left"/>
        <w:rPr>
          <w:rFonts w:ascii="Times New Roman" w:hAnsi="Times New Roman"/>
          <w:sz w:val="15"/>
        </w:rPr>
      </w:pPr>
      <w:r>
        <w:rPr>
          <w:rFonts w:ascii="Times New Roman" w:hAnsi="Times New Roman"/>
          <w:color w:val="333333"/>
          <w:sz w:val="15"/>
          <w:highlight w:val="white"/>
        </w:rPr>
        <w:t>This release contains various statements concerning VistaGen's future expectations, plans and prospects, including without limitation, our expectations regarding development and commercialization of our three drug candidates: (i) AV-101 for MDD, NP, LID and suicidal ideation; (ii) PH94B for SAD; and (iii) PH10 for MDD. In addition, statements concerning the Company’s future expectations may include statements regarding intellectual property and commercial protection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PH94B, and/or PH10;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as well as discussions of potential risks, uncertainties, and other important factors in our other filings with the Securities and Exchange Commission (SEC). Our SEC filings are available on the SEC's website at</w:t>
      </w:r>
      <w:r>
        <w:rPr>
          <w:rFonts w:ascii="Times New Roman" w:hAnsi="Times New Roman"/>
          <w:sz w:val="15"/>
        </w:rPr>
        <w:t xml:space="preserve"> </w:t>
      </w:r>
      <w:r>
        <w:rPr>
          <w:rFonts w:ascii="Times New Roman" w:hAnsi="Times New Roman"/>
          <w:color w:val="0095DA"/>
          <w:sz w:val="15"/>
          <w:u w:val="single"/>
        </w:rPr>
        <w:t>www.sec.gov</w:t>
      </w:r>
      <w:r>
        <w:rPr>
          <w:rFonts w:ascii="Times New Roman" w:hAnsi="Times New Roman"/>
          <w:color w:val="333333"/>
          <w:sz w:val="15"/>
          <w:highlight w:val="white"/>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 w:name="pgbrk6"/>
      <w:bookmarkStart w:id="30" w:name="pgbrk6"/>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1" w:name="ftr4"/>
      <w:bookmarkEnd w:id="3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2" w:name="pn"/>
      <w:bookmarkEnd w:id="32"/>
      <w:r>
        <w:rPr>
          <w:rFonts w:ascii="Times New Roman" w:hAnsi="Times New Roman"/>
          <w:sz w:val="15"/>
        </w:rPr>
        <w:t>-2-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3" w:name="pb4"/>
      <w:bookmarkStart w:id="34" w:name="pb4"/>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5" w:name="hdr5"/>
      <w:bookmarkEnd w:id="3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Company Contact</w:t>
      </w:r>
    </w:p>
    <w:p>
      <w:pPr>
        <w:pStyle w:val="TextBody"/>
        <w:spacing w:before="0" w:after="0"/>
        <w:ind w:left="0" w:right="0" w:hanging="0"/>
        <w:jc w:val="left"/>
        <w:rPr>
          <w:rFonts w:ascii="Times New Roman" w:hAnsi="Times New Roman"/>
          <w:sz w:val="15"/>
        </w:rPr>
      </w:pPr>
      <w:r>
        <w:rPr>
          <w:rFonts w:ascii="Times New Roman" w:hAnsi="Times New Roman"/>
          <w:sz w:val="15"/>
        </w:rPr>
        <w:t>Mark A. McPartland</w:t>
      </w:r>
    </w:p>
    <w:p>
      <w:pPr>
        <w:pStyle w:val="TextBody"/>
        <w:spacing w:before="0" w:after="0"/>
        <w:ind w:left="0" w:right="0" w:hanging="0"/>
        <w:jc w:val="left"/>
        <w:rPr>
          <w:rFonts w:ascii="Times New Roman" w:hAnsi="Times New Roman"/>
          <w:sz w:val="15"/>
        </w:rPr>
      </w:pPr>
      <w:r>
        <w:rPr>
          <w:rFonts w:ascii="Times New Roman" w:hAnsi="Times New Roman"/>
          <w:sz w:val="15"/>
        </w:rPr>
        <w:t>VistaGen Therapeutics Inc.</w:t>
      </w:r>
    </w:p>
    <w:p>
      <w:pPr>
        <w:pStyle w:val="TextBody"/>
        <w:spacing w:before="0" w:after="0"/>
        <w:ind w:left="0" w:right="0" w:hanging="0"/>
        <w:jc w:val="left"/>
        <w:rPr>
          <w:rFonts w:ascii="Times New Roman" w:hAnsi="Times New Roman"/>
          <w:sz w:val="15"/>
        </w:rPr>
      </w:pPr>
      <w:r>
        <w:rPr>
          <w:rFonts w:ascii="Times New Roman" w:hAnsi="Times New Roman"/>
          <w:sz w:val="15"/>
        </w:rPr>
        <w:t>Phone: +1 (650) 577-3600</w:t>
      </w:r>
    </w:p>
    <w:p>
      <w:pPr>
        <w:pStyle w:val="TextBody"/>
        <w:spacing w:before="0" w:after="0"/>
        <w:ind w:left="0" w:right="0" w:hanging="0"/>
        <w:jc w:val="left"/>
        <w:rPr>
          <w:rFonts w:ascii="Times New Roman" w:hAnsi="Times New Roman"/>
          <w:sz w:val="15"/>
        </w:rPr>
      </w:pPr>
      <w:r>
        <w:rPr>
          <w:rFonts w:ascii="Times New Roman" w:hAnsi="Times New Roman"/>
          <w:sz w:val="15"/>
        </w:rPr>
        <w:t>Email:</w:t>
      </w:r>
      <w:r>
        <w:rPr>
          <w:rFonts w:ascii="Times New Roman" w:hAnsi="Times New Roman"/>
          <w:color w:val="333333"/>
          <w:sz w:val="15"/>
        </w:rPr>
        <w:t> </w:t>
      </w:r>
      <w:r>
        <w:rPr>
          <w:rFonts w:ascii="Times New Roman" w:hAnsi="Times New Roman"/>
          <w:color w:val="0095DA"/>
          <w:sz w:val="15"/>
          <w:u w:val="single"/>
        </w:rPr>
        <w:t>IR@vistagen.com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Investor Contact</w:t>
      </w:r>
    </w:p>
    <w:p>
      <w:pPr>
        <w:pStyle w:val="TextBody"/>
        <w:spacing w:before="0" w:after="0"/>
        <w:ind w:left="0" w:right="0" w:hanging="0"/>
        <w:jc w:val="left"/>
        <w:rPr>
          <w:rFonts w:ascii="Times New Roman" w:hAnsi="Times New Roman"/>
          <w:sz w:val="15"/>
        </w:rPr>
      </w:pPr>
      <w:r>
        <w:rPr>
          <w:rFonts w:ascii="Times New Roman" w:hAnsi="Times New Roman"/>
          <w:sz w:val="15"/>
        </w:rPr>
        <w:t>Valter Pinto / Allison Soss</w:t>
      </w:r>
    </w:p>
    <w:p>
      <w:pPr>
        <w:pStyle w:val="TextBody"/>
        <w:spacing w:before="0" w:after="0"/>
        <w:ind w:left="0" w:right="0" w:hanging="0"/>
        <w:jc w:val="left"/>
        <w:rPr>
          <w:rFonts w:ascii="Times New Roman" w:hAnsi="Times New Roman"/>
          <w:sz w:val="15"/>
        </w:rPr>
      </w:pPr>
      <w:r>
        <w:rPr>
          <w:rFonts w:ascii="Times New Roman" w:hAnsi="Times New Roman"/>
          <w:sz w:val="15"/>
        </w:rPr>
        <w:t>KCSA Strategic Communications</w:t>
      </w:r>
    </w:p>
    <w:p>
      <w:pPr>
        <w:pStyle w:val="TextBody"/>
        <w:spacing w:before="0" w:after="0"/>
        <w:ind w:left="0" w:right="0" w:hanging="0"/>
        <w:jc w:val="left"/>
        <w:rPr>
          <w:rFonts w:ascii="Times New Roman" w:hAnsi="Times New Roman"/>
          <w:sz w:val="15"/>
        </w:rPr>
      </w:pPr>
      <w:r>
        <w:rPr>
          <w:rFonts w:ascii="Times New Roman" w:hAnsi="Times New Roman"/>
          <w:sz w:val="15"/>
        </w:rPr>
        <w:t>Phone: +1 (212) 896-1254/+1 (212) 896-1267</w:t>
      </w:r>
    </w:p>
    <w:p>
      <w:pPr>
        <w:pStyle w:val="TextBody"/>
        <w:spacing w:before="0" w:after="0"/>
        <w:ind w:left="0" w:right="0" w:hanging="0"/>
        <w:jc w:val="left"/>
        <w:rPr>
          <w:rFonts w:ascii="Times New Roman" w:hAnsi="Times New Roman"/>
          <w:sz w:val="15"/>
        </w:rPr>
      </w:pPr>
      <w:r>
        <w:rPr>
          <w:rFonts w:ascii="Times New Roman" w:hAnsi="Times New Roman"/>
          <w:sz w:val="15"/>
        </w:rPr>
        <w:t>Email:</w:t>
      </w:r>
      <w:r>
        <w:rPr>
          <w:rFonts w:ascii="Times New Roman" w:hAnsi="Times New Roman"/>
          <w:color w:val="333333"/>
          <w:sz w:val="15"/>
        </w:rPr>
        <w:t> </w:t>
      </w:r>
      <w:r>
        <w:rPr>
          <w:rFonts w:ascii="Times New Roman" w:hAnsi="Times New Roman"/>
          <w:color w:val="0095DA"/>
          <w:sz w:val="15"/>
          <w:u w:val="single"/>
        </w:rPr>
        <w:t>VistaGen@KCSA.com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Media Contact</w:t>
      </w:r>
    </w:p>
    <w:p>
      <w:pPr>
        <w:pStyle w:val="TextBody"/>
        <w:spacing w:before="0" w:after="0"/>
        <w:ind w:left="0" w:right="0" w:hanging="0"/>
        <w:jc w:val="left"/>
        <w:rPr>
          <w:rFonts w:ascii="Times New Roman" w:hAnsi="Times New Roman"/>
          <w:sz w:val="15"/>
        </w:rPr>
      </w:pPr>
      <w:r>
        <w:rPr>
          <w:rFonts w:ascii="Times New Roman" w:hAnsi="Times New Roman"/>
          <w:sz w:val="15"/>
        </w:rPr>
        <w:t>Caitlin Kasunich / Lisa Lipson</w:t>
      </w:r>
    </w:p>
    <w:p>
      <w:pPr>
        <w:pStyle w:val="TextBody"/>
        <w:spacing w:before="0" w:after="0"/>
        <w:ind w:left="0" w:right="0" w:hanging="0"/>
        <w:jc w:val="left"/>
        <w:rPr>
          <w:rFonts w:ascii="Times New Roman" w:hAnsi="Times New Roman"/>
          <w:sz w:val="15"/>
        </w:rPr>
      </w:pPr>
      <w:r>
        <w:rPr>
          <w:rFonts w:ascii="Times New Roman" w:hAnsi="Times New Roman"/>
          <w:sz w:val="15"/>
        </w:rPr>
        <w:t>KCSA Strategic Communications</w:t>
      </w:r>
    </w:p>
    <w:p>
      <w:pPr>
        <w:pStyle w:val="TextBody"/>
        <w:spacing w:before="0" w:after="0"/>
        <w:ind w:left="0" w:right="0" w:hanging="0"/>
        <w:jc w:val="left"/>
        <w:rPr>
          <w:rFonts w:ascii="Times New Roman" w:hAnsi="Times New Roman"/>
          <w:sz w:val="15"/>
        </w:rPr>
      </w:pPr>
      <w:r>
        <w:rPr>
          <w:rFonts w:ascii="Times New Roman" w:hAnsi="Times New Roman"/>
          <w:sz w:val="15"/>
        </w:rPr>
        <w:t>Phone: +1 (212) 896-1241/+1 (508) 843-6428</w:t>
      </w:r>
    </w:p>
    <w:p>
      <w:pPr>
        <w:pStyle w:val="TextBody"/>
        <w:spacing w:before="0" w:after="0"/>
        <w:ind w:left="0" w:right="0" w:hanging="0"/>
        <w:jc w:val="left"/>
        <w:rPr>
          <w:rFonts w:ascii="Times New Roman" w:hAnsi="Times New Roman"/>
          <w:sz w:val="15"/>
        </w:rPr>
      </w:pPr>
      <w:r>
        <w:rPr>
          <w:rFonts w:ascii="Times New Roman" w:hAnsi="Times New Roman"/>
          <w:sz w:val="15"/>
        </w:rPr>
        <w:t>Email: </w:t>
      </w:r>
      <w:r>
        <w:rPr>
          <w:rFonts w:ascii="Times New Roman" w:hAnsi="Times New Roman"/>
          <w:color w:val="0095DA"/>
          <w:sz w:val="15"/>
          <w:u w:val="single"/>
        </w:rPr>
        <w:t>VistaGen@KCSA.com</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 w:name="pgbrk7"/>
      <w:bookmarkStart w:id="37" w:name="pgbrk7"/>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8" w:name="ftr5"/>
      <w:bookmarkEnd w:id="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9" w:name="pn1"/>
      <w:bookmarkEnd w:id="39"/>
      <w:r>
        <w:rPr>
          <w:rFonts w:ascii="Times New Roman" w:hAnsi="Times New Roman"/>
          <w:sz w:val="15"/>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0" w:name="pb5"/>
      <w:bookmarkStart w:id="41" w:name="pb5"/>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2" w:name="hdr6"/>
      <w:bookmarkEnd w:id="4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VISTAGEN THERAPEUTICS, INC.</w:t>
      </w:r>
    </w:p>
    <w:p>
      <w:pPr>
        <w:pStyle w:val="TextBody"/>
        <w:spacing w:before="0" w:after="0"/>
        <w:ind w:left="0" w:right="0" w:hanging="0"/>
        <w:jc w:val="center"/>
        <w:rPr>
          <w:rFonts w:ascii="Times New Roman" w:hAnsi="Times New Roman"/>
          <w:b/>
          <w:sz w:val="15"/>
        </w:rPr>
      </w:pPr>
      <w:r>
        <w:rPr>
          <w:rFonts w:ascii="Times New Roman" w:hAnsi="Times New Roman"/>
          <w:b/>
          <w:sz w:val="15"/>
        </w:rPr>
        <w:t>Consolidated Balance Sheets</w:t>
      </w:r>
    </w:p>
    <w:p>
      <w:pPr>
        <w:pStyle w:val="TextBody"/>
        <w:spacing w:before="0" w:after="0"/>
        <w:ind w:left="0" w:right="0" w:hanging="0"/>
        <w:jc w:val="center"/>
        <w:rPr>
          <w:rFonts w:ascii="Times New Roman" w:hAnsi="Times New Roman"/>
          <w:color w:val="000000"/>
          <w:sz w:val="15"/>
        </w:rPr>
      </w:pPr>
      <w:r>
        <w:rPr>
          <w:rFonts w:ascii="Times New Roman" w:hAnsi="Times New Roman"/>
          <w:color w:val="000000"/>
          <w:sz w:val="15"/>
        </w:rPr>
        <w:t>(Amounts in dollars, except share amounts)</w:t>
      </w:r>
    </w:p>
    <w:p>
      <w:pPr>
        <w:pStyle w:val="TextBody"/>
        <w:spacing w:before="0" w:after="0"/>
        <w:rPr/>
      </w:pPr>
      <w:r>
        <w:rPr/>
        <w:t> </w:t>
      </w:r>
    </w:p>
    <w:tbl>
      <w:tblPr>
        <w:tblW w:w="8550" w:type="dxa"/>
        <w:jc w:val="left"/>
        <w:tblInd w:w="0" w:type="dxa"/>
        <w:tblCellMar>
          <w:top w:w="0" w:type="dxa"/>
          <w:left w:w="0" w:type="dxa"/>
          <w:bottom w:w="0" w:type="dxa"/>
          <w:right w:w="0" w:type="dxa"/>
        </w:tblCellMar>
      </w:tblPr>
      <w:tblGrid>
        <w:gridCol w:w="6545"/>
        <w:gridCol w:w="995"/>
        <w:gridCol w:w="1010"/>
      </w:tblGrid>
      <w:tr>
        <w:trPr/>
        <w:tc>
          <w:tcPr>
            <w:tcW w:w="6545" w:type="dxa"/>
            <w:tcBorders/>
            <w:shd w:fill="auto" w:val="clear"/>
            <w:vAlign w:val="center"/>
          </w:tcPr>
          <w:p>
            <w:pPr>
              <w:pStyle w:val="TableContents"/>
              <w:spacing w:before="0" w:after="0"/>
              <w:ind w:left="0" w:right="0" w:hanging="0"/>
              <w:rPr/>
            </w:pPr>
            <w:r>
              <w:rPr/>
              <w:t> </w:t>
            </w:r>
          </w:p>
        </w:tc>
        <w:tc>
          <w:tcPr>
            <w:tcW w:w="995"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June 30,</w:t>
            </w:r>
          </w:p>
          <w:p>
            <w:pPr>
              <w:pStyle w:val="TableContents"/>
              <w:spacing w:before="0" w:after="0"/>
              <w:jc w:val="left"/>
              <w:rPr/>
            </w:pPr>
            <w:r>
              <w:rPr/>
              <w:t> </w:t>
            </w:r>
          </w:p>
        </w:tc>
        <w:tc>
          <w:tcPr>
            <w:tcW w:w="1010" w:type="dxa"/>
            <w:tcBorders/>
            <w:shd w:fill="auto" w:val="clear"/>
            <w:vAlign w:val="center"/>
          </w:tcPr>
          <w:p>
            <w:pPr>
              <w:pStyle w:val="TableContents"/>
              <w:spacing w:before="0" w:after="0"/>
              <w:jc w:val="center"/>
              <w:rPr/>
            </w:pPr>
            <w:r>
              <w:rPr/>
              <w:t xml:space="preserve">  </w:t>
            </w:r>
          </w:p>
          <w:p>
            <w:pPr>
              <w:pStyle w:val="TableContents"/>
              <w:spacing w:before="0" w:after="0"/>
              <w:jc w:val="center"/>
              <w:rPr>
                <w:color w:val="000000"/>
              </w:rPr>
            </w:pPr>
            <w:r>
              <w:rPr>
                <w:color w:val="000000"/>
              </w:rPr>
              <w:t> </w:t>
            </w:r>
            <w:r>
              <w:rPr>
                <w:rFonts w:ascii="Times New Roman" w:hAnsi="Times New Roman"/>
                <w:b/>
                <w:color w:val="000000"/>
                <w:sz w:val="15"/>
              </w:rPr>
              <w:t>March 31,</w:t>
            </w:r>
          </w:p>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0" w:right="0" w:hanging="0"/>
              <w:rPr/>
            </w:pPr>
            <w:r>
              <w:rPr/>
              <w:t> </w:t>
            </w:r>
          </w:p>
        </w:tc>
        <w:tc>
          <w:tcPr>
            <w:tcW w:w="99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101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0" w:right="0" w:hanging="0"/>
              <w:rPr/>
            </w:pPr>
            <w:r>
              <w:rPr/>
              <w:t> </w:t>
            </w:r>
          </w:p>
        </w:tc>
        <w:tc>
          <w:tcPr>
            <w:tcW w:w="995"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(Unaudited)</w:t>
            </w:r>
          </w:p>
          <w:p>
            <w:pPr>
              <w:pStyle w:val="TableContents"/>
              <w:spacing w:before="0" w:after="0"/>
              <w:jc w:val="left"/>
              <w:rPr/>
            </w:pPr>
            <w:r>
              <w:rPr/>
              <w:t> </w:t>
            </w:r>
          </w:p>
        </w:tc>
        <w:tc>
          <w:tcPr>
            <w:tcW w:w="1010"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(Note 2)</w:t>
            </w:r>
          </w:p>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0" w:right="0" w:hanging="0"/>
              <w:rPr/>
            </w:pPr>
            <w:r>
              <w:rPr/>
              <w:t> </w:t>
            </w:r>
          </w:p>
        </w:tc>
        <w:tc>
          <w:tcPr>
            <w:tcW w:w="99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1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0" w:right="0" w:hanging="0"/>
              <w:jc w:val="center"/>
              <w:rPr>
                <w:color w:val="000000"/>
              </w:rPr>
            </w:pPr>
            <w:r>
              <w:rPr>
                <w:color w:val="000000"/>
              </w:rPr>
              <w:t> </w:t>
            </w:r>
            <w:r>
              <w:rPr>
                <w:rFonts w:ascii="Times New Roman" w:hAnsi="Times New Roman"/>
                <w:b/>
                <w:color w:val="000000"/>
                <w:sz w:val="15"/>
              </w:rPr>
              <w:t>ASSETS</w:t>
            </w:r>
          </w:p>
        </w:tc>
        <w:tc>
          <w:tcPr>
            <w:tcW w:w="99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1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Current assets:</w:t>
            </w:r>
          </w:p>
        </w:tc>
        <w:tc>
          <w:tcPr>
            <w:tcW w:w="99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1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Cash and cash equivalents</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$8,297,100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$13,100,300</w:t>
            </w:r>
            <w:r>
              <w:rPr>
                <w:color w:val="000000"/>
              </w:rPr>
              <w:t> </w:t>
            </w:r>
          </w:p>
        </w:tc>
      </w:tr>
      <w:tr>
        <w:trPr/>
        <w:tc>
          <w:tcPr>
            <w:tcW w:w="6545" w:type="dxa"/>
            <w:tcBorders/>
            <w:shd w:fill="FFFF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Receivable from supplier</w:t>
            </w:r>
          </w:p>
        </w:tc>
        <w:tc>
          <w:tcPr>
            <w:tcW w:w="9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10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300,000</w:t>
            </w:r>
            <w:r>
              <w:rPr>
                <w:color w:val="000000"/>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Prepaid expenses and other current assets</w:t>
            </w:r>
          </w:p>
        </w:tc>
        <w:tc>
          <w:tcPr>
            <w:tcW w:w="99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482,600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250,900</w:t>
            </w:r>
            <w:r>
              <w:rPr>
                <w:color w:val="000000"/>
              </w:rPr>
              <w:t> </w:t>
            </w:r>
          </w:p>
        </w:tc>
      </w:tr>
      <w:tr>
        <w:trPr/>
        <w:tc>
          <w:tcPr>
            <w:tcW w:w="6545" w:type="dxa"/>
            <w:tcBorders/>
            <w:shd w:fill="FFFFFF" w:val="clear"/>
            <w:vAlign w:val="center"/>
          </w:tcPr>
          <w:p>
            <w:pPr>
              <w:pStyle w:val="TableContents"/>
              <w:spacing w:before="0" w:after="0"/>
              <w:ind w:left="540" w:right="0" w:hanging="0"/>
              <w:jc w:val="left"/>
              <w:rPr>
                <w:color w:val="000000"/>
              </w:rPr>
            </w:pPr>
            <w:r>
              <w:rPr>
                <w:color w:val="000000"/>
              </w:rPr>
              <w:t> </w:t>
            </w:r>
            <w:r>
              <w:rPr>
                <w:rFonts w:ascii="Times New Roman" w:hAnsi="Times New Roman"/>
                <w:color w:val="000000"/>
                <w:sz w:val="15"/>
              </w:rPr>
              <w:t>Total current assets</w:t>
            </w:r>
          </w:p>
        </w:tc>
        <w:tc>
          <w:tcPr>
            <w:tcW w:w="9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8,779,700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13,651,200</w:t>
            </w:r>
            <w:r>
              <w:rPr>
                <w:color w:val="000000"/>
              </w:rPr>
              <w:t> </w:t>
            </w:r>
          </w:p>
        </w:tc>
      </w:tr>
      <w:tr>
        <w:trPr/>
        <w:tc>
          <w:tcPr>
            <w:tcW w:w="654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Property and equipment, net</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286,500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312,700</w:t>
            </w:r>
            <w:r>
              <w:rPr>
                <w:color w:val="000000"/>
              </w:rPr>
              <w:t> </w:t>
            </w:r>
          </w:p>
        </w:tc>
      </w:tr>
      <w:tr>
        <w:trPr/>
        <w:tc>
          <w:tcPr>
            <w:tcW w:w="654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Right of use asset - operating lease</w:t>
            </w:r>
          </w:p>
        </w:tc>
        <w:tc>
          <w:tcPr>
            <w:tcW w:w="9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3,833,300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654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Security deposits and other assets</w:t>
            </w:r>
          </w:p>
        </w:tc>
        <w:tc>
          <w:tcPr>
            <w:tcW w:w="99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47,800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47,800</w:t>
            </w:r>
            <w:r>
              <w:rPr>
                <w:color w:val="000000"/>
              </w:rPr>
              <w:t> </w:t>
            </w:r>
          </w:p>
        </w:tc>
      </w:tr>
      <w:tr>
        <w:trPr/>
        <w:tc>
          <w:tcPr>
            <w:tcW w:w="6545" w:type="dxa"/>
            <w:tcBorders/>
            <w:shd w:fill="FFFFFF" w:val="clear"/>
            <w:vAlign w:val="center"/>
          </w:tcPr>
          <w:p>
            <w:pPr>
              <w:pStyle w:val="TableContents"/>
              <w:spacing w:before="0" w:after="0"/>
              <w:ind w:left="540" w:right="0" w:hanging="0"/>
              <w:jc w:val="left"/>
              <w:rPr>
                <w:color w:val="000000"/>
              </w:rPr>
            </w:pPr>
            <w:r>
              <w:rPr>
                <w:color w:val="000000"/>
              </w:rPr>
              <w:t> </w:t>
            </w:r>
            <w:r>
              <w:rPr>
                <w:rFonts w:ascii="Times New Roman" w:hAnsi="Times New Roman"/>
                <w:color w:val="000000"/>
                <w:sz w:val="15"/>
              </w:rPr>
              <w:t>Total assets</w:t>
            </w:r>
          </w:p>
        </w:tc>
        <w:tc>
          <w:tcPr>
            <w:tcW w:w="9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$12,947,300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$14,011,700</w:t>
            </w:r>
            <w:r>
              <w:rPr>
                <w:color w:val="000000"/>
              </w:rPr>
              <w:t> </w:t>
            </w:r>
          </w:p>
        </w:tc>
      </w:tr>
      <w:tr>
        <w:trPr/>
        <w:tc>
          <w:tcPr>
            <w:tcW w:w="6545" w:type="dxa"/>
            <w:tcBorders/>
            <w:shd w:fill="CCEEFF" w:val="clear"/>
            <w:vAlign w:val="center"/>
          </w:tcPr>
          <w:p>
            <w:pPr>
              <w:pStyle w:val="TableContents"/>
              <w:spacing w:before="0" w:after="0"/>
              <w:ind w:left="0" w:right="0" w:hanging="0"/>
              <w:rPr/>
            </w:pPr>
            <w:r>
              <w:rPr/>
              <w:t> </w:t>
            </w:r>
          </w:p>
        </w:tc>
        <w:tc>
          <w:tcPr>
            <w:tcW w:w="995" w:type="dxa"/>
            <w:tcBorders/>
            <w:shd w:fill="CCEEFF" w:val="clear"/>
            <w:vAlign w:val="center"/>
          </w:tcPr>
          <w:p>
            <w:pPr>
              <w:pStyle w:val="TableContents"/>
              <w:spacing w:before="0" w:after="0"/>
              <w:jc w:val="left"/>
              <w:rPr/>
            </w:pPr>
            <w:r>
              <w:rPr/>
              <w:t>    </w:t>
            </w:r>
          </w:p>
        </w:tc>
        <w:tc>
          <w:tcPr>
            <w:tcW w:w="1010" w:type="dxa"/>
            <w:tcBorders/>
            <w:shd w:fill="CCEEFF" w:val="clear"/>
            <w:vAlign w:val="center"/>
          </w:tcPr>
          <w:p>
            <w:pPr>
              <w:pStyle w:val="TableContents"/>
              <w:spacing w:before="0" w:after="0"/>
              <w:jc w:val="left"/>
              <w:rPr/>
            </w:pPr>
            <w:r>
              <w:rPr/>
              <w:t>    </w:t>
            </w:r>
          </w:p>
        </w:tc>
      </w:tr>
      <w:tr>
        <w:trPr/>
        <w:tc>
          <w:tcPr>
            <w:tcW w:w="6545" w:type="dxa"/>
            <w:tcBorders/>
            <w:shd w:fill="FFFFFF" w:val="clear"/>
            <w:vAlign w:val="center"/>
          </w:tcPr>
          <w:p>
            <w:pPr>
              <w:pStyle w:val="TableContents"/>
              <w:spacing w:before="0" w:after="0"/>
              <w:ind w:left="0" w:right="0" w:hanging="0"/>
              <w:jc w:val="center"/>
              <w:rPr>
                <w:color w:val="000000"/>
              </w:rPr>
            </w:pPr>
            <w:r>
              <w:rPr>
                <w:color w:val="000000"/>
              </w:rPr>
              <w:t> </w:t>
            </w:r>
            <w:r>
              <w:rPr>
                <w:rFonts w:ascii="Times New Roman" w:hAnsi="Times New Roman"/>
                <w:b/>
                <w:color w:val="000000"/>
                <w:sz w:val="15"/>
              </w:rPr>
              <w:t>LIABILITIES AND STOCKHOLDERS’ EQUITY</w:t>
            </w:r>
          </w:p>
        </w:tc>
        <w:tc>
          <w:tcPr>
            <w:tcW w:w="995" w:type="dxa"/>
            <w:tcBorders/>
            <w:shd w:fill="FFFFFF" w:val="clear"/>
            <w:vAlign w:val="center"/>
          </w:tcPr>
          <w:p>
            <w:pPr>
              <w:pStyle w:val="TableContents"/>
              <w:spacing w:before="0" w:after="0"/>
              <w:jc w:val="left"/>
              <w:rPr/>
            </w:pPr>
            <w:r>
              <w:rPr/>
              <w:t>    </w:t>
            </w:r>
          </w:p>
        </w:tc>
        <w:tc>
          <w:tcPr>
            <w:tcW w:w="1010" w:type="dxa"/>
            <w:tcBorders/>
            <w:shd w:fill="FFFFFF" w:val="clear"/>
            <w:vAlign w:val="center"/>
          </w:tcPr>
          <w:p>
            <w:pPr>
              <w:pStyle w:val="TableContents"/>
              <w:spacing w:before="0" w:after="0"/>
              <w:jc w:val="left"/>
              <w:rPr/>
            </w:pPr>
            <w:r>
              <w:rPr/>
              <w:t>    </w:t>
            </w:r>
          </w:p>
        </w:tc>
      </w:tr>
      <w:tr>
        <w:trPr/>
        <w:tc>
          <w:tcPr>
            <w:tcW w:w="654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Current liabilities:</w:t>
            </w:r>
          </w:p>
        </w:tc>
        <w:tc>
          <w:tcPr>
            <w:tcW w:w="995" w:type="dxa"/>
            <w:tcBorders/>
            <w:shd w:fill="CCEEFF" w:val="clear"/>
            <w:vAlign w:val="center"/>
          </w:tcPr>
          <w:p>
            <w:pPr>
              <w:pStyle w:val="TableContents"/>
              <w:spacing w:before="0" w:after="0"/>
              <w:jc w:val="left"/>
              <w:rPr/>
            </w:pPr>
            <w:r>
              <w:rPr/>
              <w:t>    </w:t>
            </w:r>
          </w:p>
        </w:tc>
        <w:tc>
          <w:tcPr>
            <w:tcW w:w="1010" w:type="dxa"/>
            <w:tcBorders/>
            <w:shd w:fill="CCEEFF" w:val="clear"/>
            <w:vAlign w:val="center"/>
          </w:tcPr>
          <w:p>
            <w:pPr>
              <w:pStyle w:val="TableContents"/>
              <w:spacing w:before="0" w:after="0"/>
              <w:jc w:val="left"/>
              <w:rPr/>
            </w:pPr>
            <w:r>
              <w:rPr/>
              <w:t>    </w:t>
            </w:r>
          </w:p>
        </w:tc>
      </w:tr>
      <w:tr>
        <w:trPr/>
        <w:tc>
          <w:tcPr>
            <w:tcW w:w="6545" w:type="dxa"/>
            <w:tcBorders/>
            <w:shd w:fill="FFFF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Accounts payable</w:t>
            </w:r>
          </w:p>
        </w:tc>
        <w:tc>
          <w:tcPr>
            <w:tcW w:w="9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$933,900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$1,055,000</w:t>
            </w:r>
            <w:r>
              <w:rPr>
                <w:color w:val="000000"/>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Accrued expenses</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1,847,000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1,685,600</w:t>
            </w:r>
            <w:r>
              <w:rPr>
                <w:color w:val="000000"/>
              </w:rPr>
              <w:t> </w:t>
            </w:r>
          </w:p>
        </w:tc>
      </w:tr>
      <w:tr>
        <w:trPr/>
        <w:tc>
          <w:tcPr>
            <w:tcW w:w="6545" w:type="dxa"/>
            <w:tcBorders/>
            <w:shd w:fill="FFFF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Current notes payable</w:t>
            </w:r>
          </w:p>
        </w:tc>
        <w:tc>
          <w:tcPr>
            <w:tcW w:w="9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246,400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57,300</w:t>
            </w:r>
            <w:r>
              <w:rPr>
                <w:color w:val="000000"/>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Operating lease oligation</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278,100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6545" w:type="dxa"/>
            <w:tcBorders/>
            <w:shd w:fill="FFFF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Financing lease obligation</w:t>
            </w:r>
          </w:p>
        </w:tc>
        <w:tc>
          <w:tcPr>
            <w:tcW w:w="99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3,000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3,000</w:t>
            </w:r>
            <w:r>
              <w:rPr>
                <w:color w:val="000000"/>
              </w:rPr>
              <w:t> </w:t>
            </w:r>
          </w:p>
        </w:tc>
      </w:tr>
      <w:tr>
        <w:trPr/>
        <w:tc>
          <w:tcPr>
            <w:tcW w:w="6545" w:type="dxa"/>
            <w:tcBorders/>
            <w:shd w:fill="CCEEFF" w:val="clear"/>
            <w:vAlign w:val="center"/>
          </w:tcPr>
          <w:p>
            <w:pPr>
              <w:pStyle w:val="TableContents"/>
              <w:spacing w:before="0" w:after="0"/>
              <w:ind w:left="540" w:right="0" w:hanging="0"/>
              <w:jc w:val="left"/>
              <w:rPr>
                <w:color w:val="000000"/>
              </w:rPr>
            </w:pPr>
            <w:r>
              <w:rPr>
                <w:color w:val="000000"/>
              </w:rPr>
              <w:t> </w:t>
            </w:r>
            <w:r>
              <w:rPr>
                <w:rFonts w:ascii="Times New Roman" w:hAnsi="Times New Roman"/>
                <w:color w:val="000000"/>
                <w:sz w:val="15"/>
              </w:rPr>
              <w:t>Total current liabilities</w:t>
            </w:r>
          </w:p>
        </w:tc>
        <w:tc>
          <w:tcPr>
            <w:tcW w:w="99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3,308,400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2,800,900</w:t>
            </w:r>
            <w:r>
              <w:rPr>
                <w:color w:val="000000"/>
              </w:rPr>
              <w:t> </w:t>
            </w:r>
          </w:p>
        </w:tc>
      </w:tr>
      <w:tr>
        <w:trPr/>
        <w:tc>
          <w:tcPr>
            <w:tcW w:w="6545" w:type="dxa"/>
            <w:tcBorders/>
            <w:shd w:fill="FFFFFF" w:val="clear"/>
            <w:vAlign w:val="center"/>
          </w:tcPr>
          <w:p>
            <w:pPr>
              <w:pStyle w:val="TableContents"/>
              <w:spacing w:before="0" w:after="0"/>
              <w:ind w:left="0" w:right="0" w:hanging="0"/>
              <w:rPr/>
            </w:pPr>
            <w:r>
              <w:rPr/>
              <w:t> </w:t>
            </w:r>
          </w:p>
        </w:tc>
        <w:tc>
          <w:tcPr>
            <w:tcW w:w="995" w:type="dxa"/>
            <w:tcBorders/>
            <w:shd w:fill="FFFFFF" w:val="clear"/>
            <w:vAlign w:val="center"/>
          </w:tcPr>
          <w:p>
            <w:pPr>
              <w:pStyle w:val="TableContents"/>
              <w:spacing w:before="0" w:after="0"/>
              <w:jc w:val="left"/>
              <w:rPr/>
            </w:pPr>
            <w:r>
              <w:rPr/>
              <w:t>    </w:t>
            </w:r>
          </w:p>
        </w:tc>
        <w:tc>
          <w:tcPr>
            <w:tcW w:w="1010" w:type="dxa"/>
            <w:tcBorders/>
            <w:shd w:fill="FFFFFF" w:val="clear"/>
            <w:vAlign w:val="center"/>
          </w:tcPr>
          <w:p>
            <w:pPr>
              <w:pStyle w:val="TableContents"/>
              <w:spacing w:before="0" w:after="0"/>
              <w:jc w:val="left"/>
              <w:rPr/>
            </w:pPr>
            <w:r>
              <w:rPr/>
              <w:t>    </w:t>
            </w:r>
          </w:p>
        </w:tc>
      </w:tr>
      <w:tr>
        <w:trPr/>
        <w:tc>
          <w:tcPr>
            <w:tcW w:w="654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Non-current liabilities:</w:t>
            </w:r>
          </w:p>
        </w:tc>
        <w:tc>
          <w:tcPr>
            <w:tcW w:w="995" w:type="dxa"/>
            <w:tcBorders/>
            <w:shd w:fill="CCEEFF" w:val="clear"/>
            <w:vAlign w:val="center"/>
          </w:tcPr>
          <w:p>
            <w:pPr>
              <w:pStyle w:val="TableContents"/>
              <w:spacing w:before="0" w:after="0"/>
              <w:jc w:val="left"/>
              <w:rPr/>
            </w:pPr>
            <w:r>
              <w:rPr/>
              <w:t>    </w:t>
            </w:r>
          </w:p>
        </w:tc>
        <w:tc>
          <w:tcPr>
            <w:tcW w:w="1010" w:type="dxa"/>
            <w:tcBorders/>
            <w:shd w:fill="CCEEFF" w:val="clear"/>
            <w:vAlign w:val="center"/>
          </w:tcPr>
          <w:p>
            <w:pPr>
              <w:pStyle w:val="TableContents"/>
              <w:spacing w:before="0" w:after="0"/>
              <w:jc w:val="left"/>
              <w:rPr/>
            </w:pPr>
            <w:r>
              <w:rPr/>
              <w:t>    </w:t>
            </w:r>
          </w:p>
        </w:tc>
      </w:tr>
      <w:tr>
        <w:trPr/>
        <w:tc>
          <w:tcPr>
            <w:tcW w:w="6545" w:type="dxa"/>
            <w:tcBorders/>
            <w:shd w:fill="FFFF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Accrued dividends on Series B Preferred Stock</w:t>
            </w:r>
          </w:p>
        </w:tc>
        <w:tc>
          <w:tcPr>
            <w:tcW w:w="9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4,050,700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3,748,200</w:t>
            </w:r>
            <w:r>
              <w:rPr>
                <w:color w:val="000000"/>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Deferred rent liability</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381,100</w:t>
            </w:r>
            <w:r>
              <w:rPr>
                <w:color w:val="000000"/>
              </w:rPr>
              <w:t> </w:t>
            </w:r>
          </w:p>
        </w:tc>
      </w:tr>
      <w:tr>
        <w:trPr/>
        <w:tc>
          <w:tcPr>
            <w:tcW w:w="6545" w:type="dxa"/>
            <w:tcBorders/>
            <w:shd w:fill="FFFF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Operating lease obligation</w:t>
            </w:r>
          </w:p>
        </w:tc>
        <w:tc>
          <w:tcPr>
            <w:tcW w:w="9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3,956,900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Financing lease obligation</w:t>
            </w:r>
          </w:p>
        </w:tc>
        <w:tc>
          <w:tcPr>
            <w:tcW w:w="99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5,500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6,300</w:t>
            </w:r>
            <w:r>
              <w:rPr>
                <w:color w:val="000000"/>
              </w:rPr>
              <w:t> </w:t>
            </w:r>
          </w:p>
        </w:tc>
      </w:tr>
      <w:tr>
        <w:trPr/>
        <w:tc>
          <w:tcPr>
            <w:tcW w:w="6545" w:type="dxa"/>
            <w:tcBorders/>
            <w:shd w:fill="FFFFFF" w:val="clear"/>
            <w:vAlign w:val="center"/>
          </w:tcPr>
          <w:p>
            <w:pPr>
              <w:pStyle w:val="TableContents"/>
              <w:spacing w:before="0" w:after="0"/>
              <w:ind w:left="540" w:right="0" w:hanging="0"/>
              <w:jc w:val="left"/>
              <w:rPr>
                <w:color w:val="000000"/>
              </w:rPr>
            </w:pPr>
            <w:r>
              <w:rPr>
                <w:color w:val="000000"/>
              </w:rPr>
              <w:t> </w:t>
            </w:r>
            <w:r>
              <w:rPr>
                <w:rFonts w:ascii="Times New Roman" w:hAnsi="Times New Roman"/>
                <w:color w:val="000000"/>
                <w:sz w:val="15"/>
              </w:rPr>
              <w:t>Total non-current liabilities</w:t>
            </w:r>
          </w:p>
        </w:tc>
        <w:tc>
          <w:tcPr>
            <w:tcW w:w="99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8,013,100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4,135,600</w:t>
            </w:r>
            <w:r>
              <w:rPr>
                <w:color w:val="000000"/>
              </w:rPr>
              <w:t> </w:t>
            </w:r>
          </w:p>
        </w:tc>
      </w:tr>
      <w:tr>
        <w:trPr/>
        <w:tc>
          <w:tcPr>
            <w:tcW w:w="6545" w:type="dxa"/>
            <w:tcBorders/>
            <w:shd w:fill="CCEEFF" w:val="clear"/>
            <w:vAlign w:val="center"/>
          </w:tcPr>
          <w:p>
            <w:pPr>
              <w:pStyle w:val="TableContents"/>
              <w:spacing w:before="0" w:after="0"/>
              <w:ind w:left="540" w:right="0" w:hanging="0"/>
              <w:jc w:val="left"/>
              <w:rPr>
                <w:color w:val="000000"/>
              </w:rPr>
            </w:pPr>
            <w:r>
              <w:rPr>
                <w:color w:val="000000"/>
              </w:rPr>
              <w:t> </w:t>
            </w:r>
            <w:r>
              <w:rPr>
                <w:rFonts w:ascii="Times New Roman" w:hAnsi="Times New Roman"/>
                <w:color w:val="000000"/>
                <w:sz w:val="15"/>
              </w:rPr>
              <w:t>Total liabilities</w:t>
            </w:r>
          </w:p>
        </w:tc>
        <w:tc>
          <w:tcPr>
            <w:tcW w:w="99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11,321,500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6,936,500</w:t>
            </w:r>
            <w:r>
              <w:rPr>
                <w:color w:val="000000"/>
              </w:rPr>
              <w:t> </w:t>
            </w:r>
          </w:p>
        </w:tc>
      </w:tr>
      <w:tr>
        <w:trPr/>
        <w:tc>
          <w:tcPr>
            <w:tcW w:w="6545" w:type="dxa"/>
            <w:tcBorders/>
            <w:shd w:fill="FFFFFF" w:val="clear"/>
            <w:vAlign w:val="center"/>
          </w:tcPr>
          <w:p>
            <w:pPr>
              <w:pStyle w:val="TableContents"/>
              <w:spacing w:before="0" w:after="0"/>
              <w:ind w:left="0" w:right="0" w:hanging="0"/>
              <w:rPr/>
            </w:pPr>
            <w:r>
              <w:rPr/>
              <w:t> </w:t>
            </w:r>
          </w:p>
        </w:tc>
        <w:tc>
          <w:tcPr>
            <w:tcW w:w="995" w:type="dxa"/>
            <w:tcBorders/>
            <w:shd w:fill="FFFFFF" w:val="clear"/>
            <w:vAlign w:val="center"/>
          </w:tcPr>
          <w:p>
            <w:pPr>
              <w:pStyle w:val="TableContents"/>
              <w:spacing w:before="0" w:after="0"/>
              <w:jc w:val="left"/>
              <w:rPr/>
            </w:pPr>
            <w:r>
              <w:rPr/>
              <w:t>    </w:t>
            </w:r>
          </w:p>
        </w:tc>
        <w:tc>
          <w:tcPr>
            <w:tcW w:w="1010" w:type="dxa"/>
            <w:tcBorders/>
            <w:shd w:fill="FFFFFF" w:val="clear"/>
            <w:vAlign w:val="center"/>
          </w:tcPr>
          <w:p>
            <w:pPr>
              <w:pStyle w:val="TableContents"/>
              <w:spacing w:before="0" w:after="0"/>
              <w:jc w:val="left"/>
              <w:rPr/>
            </w:pPr>
            <w:r>
              <w:rPr/>
              <w:t>    </w:t>
            </w:r>
          </w:p>
        </w:tc>
      </w:tr>
      <w:tr>
        <w:trPr/>
        <w:tc>
          <w:tcPr>
            <w:tcW w:w="654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Commitments and contingencies</w:t>
            </w:r>
          </w:p>
        </w:tc>
        <w:tc>
          <w:tcPr>
            <w:tcW w:w="995" w:type="dxa"/>
            <w:tcBorders/>
            <w:shd w:fill="CCEEFF" w:val="clear"/>
            <w:vAlign w:val="center"/>
          </w:tcPr>
          <w:p>
            <w:pPr>
              <w:pStyle w:val="TableContents"/>
              <w:spacing w:before="0" w:after="0"/>
              <w:jc w:val="left"/>
              <w:rPr/>
            </w:pPr>
            <w:r>
              <w:rPr/>
              <w:t>    </w:t>
            </w:r>
          </w:p>
        </w:tc>
        <w:tc>
          <w:tcPr>
            <w:tcW w:w="1010" w:type="dxa"/>
            <w:tcBorders/>
            <w:shd w:fill="CCEEFF" w:val="clear"/>
            <w:vAlign w:val="center"/>
          </w:tcPr>
          <w:p>
            <w:pPr>
              <w:pStyle w:val="TableContents"/>
              <w:spacing w:before="0" w:after="0"/>
              <w:jc w:val="left"/>
              <w:rPr/>
            </w:pPr>
            <w:r>
              <w:rPr/>
              <w:t>    </w:t>
            </w:r>
          </w:p>
        </w:tc>
      </w:tr>
      <w:tr>
        <w:trPr/>
        <w:tc>
          <w:tcPr>
            <w:tcW w:w="6545" w:type="dxa"/>
            <w:tcBorders/>
            <w:shd w:fill="FFFFFF" w:val="clear"/>
            <w:vAlign w:val="center"/>
          </w:tcPr>
          <w:p>
            <w:pPr>
              <w:pStyle w:val="TableContents"/>
              <w:spacing w:before="0" w:after="0"/>
              <w:ind w:left="0" w:right="0" w:hanging="0"/>
              <w:jc w:val="left"/>
              <w:rPr/>
            </w:pPr>
            <w:r>
              <w:rPr/>
              <w:t> </w:t>
            </w:r>
            <w:r>
              <w:rPr>
                <w:rFonts w:ascii="Times New Roman" w:hAnsi="Times New Roman"/>
                <w:color w:val="000000"/>
                <w:sz w:val="15"/>
              </w:rPr>
              <w:t>Stockholders’ equity:</w:t>
            </w:r>
          </w:p>
        </w:tc>
        <w:tc>
          <w:tcPr>
            <w:tcW w:w="995" w:type="dxa"/>
            <w:tcBorders/>
            <w:shd w:fill="FFFFFF" w:val="clear"/>
            <w:vAlign w:val="center"/>
          </w:tcPr>
          <w:p>
            <w:pPr>
              <w:pStyle w:val="TableContents"/>
              <w:spacing w:before="0" w:after="0"/>
              <w:jc w:val="left"/>
              <w:rPr/>
            </w:pPr>
            <w:r>
              <w:rPr/>
              <w:t>    </w:t>
            </w:r>
          </w:p>
        </w:tc>
        <w:tc>
          <w:tcPr>
            <w:tcW w:w="1010" w:type="dxa"/>
            <w:tcBorders/>
            <w:shd w:fill="FFFFFF" w:val="clear"/>
            <w:vAlign w:val="center"/>
          </w:tcPr>
          <w:p>
            <w:pPr>
              <w:pStyle w:val="TableContents"/>
              <w:spacing w:before="0" w:after="0"/>
              <w:jc w:val="left"/>
              <w:rPr/>
            </w:pPr>
            <w:r>
              <w:rPr/>
              <w:t>    </w:t>
            </w:r>
          </w:p>
        </w:tc>
      </w:tr>
      <w:tr>
        <w:trPr/>
        <w:tc>
          <w:tcPr>
            <w:tcW w:w="6545" w:type="dxa"/>
            <w:tcBorders/>
            <w:shd w:fill="CCEE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Preferred stock, $0.001 par value; 10,000,000 shares authorized at June 30, 2019 and March 31, 2019</w:t>
            </w:r>
          </w:p>
        </w:tc>
        <w:tc>
          <w:tcPr>
            <w:tcW w:w="995" w:type="dxa"/>
            <w:tcBorders/>
            <w:shd w:fill="CCEEFF" w:val="clear"/>
            <w:vAlign w:val="center"/>
          </w:tcPr>
          <w:p>
            <w:pPr>
              <w:pStyle w:val="TableContents"/>
              <w:spacing w:before="0" w:after="0"/>
              <w:jc w:val="left"/>
              <w:rPr/>
            </w:pPr>
            <w:r>
              <w:rPr/>
              <w:t>    </w:t>
            </w:r>
          </w:p>
        </w:tc>
        <w:tc>
          <w:tcPr>
            <w:tcW w:w="1010" w:type="dxa"/>
            <w:tcBorders/>
            <w:shd w:fill="CCEEFF" w:val="clear"/>
            <w:vAlign w:val="center"/>
          </w:tcPr>
          <w:p>
            <w:pPr>
              <w:pStyle w:val="TableContents"/>
              <w:spacing w:before="0" w:after="0"/>
              <w:jc w:val="left"/>
              <w:rPr/>
            </w:pPr>
            <w:r>
              <w:rPr/>
              <w:t>    </w:t>
            </w:r>
          </w:p>
        </w:tc>
      </w:tr>
      <w:tr>
        <w:trPr/>
        <w:tc>
          <w:tcPr>
            <w:tcW w:w="6545" w:type="dxa"/>
            <w:tcBorders/>
            <w:shd w:fill="FFFFFF"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Series A Preferred, 500,000 shares authorized, issued and outstanding at June 30, 2019 and March 31, 2019</w:t>
            </w:r>
          </w:p>
        </w:tc>
        <w:tc>
          <w:tcPr>
            <w:tcW w:w="995" w:type="dxa"/>
            <w:tcBorders/>
            <w:shd w:fill="FFFFFF" w:val="clear"/>
            <w:vAlign w:val="center"/>
          </w:tcPr>
          <w:p>
            <w:pPr>
              <w:pStyle w:val="TableContents"/>
              <w:spacing w:before="0" w:after="0"/>
              <w:jc w:val="left"/>
              <w:rPr/>
            </w:pPr>
            <w:r>
              <w:rPr/>
              <w:t>  </w:t>
            </w:r>
            <w:r>
              <w:rPr>
                <w:rFonts w:ascii="Times New Roman" w:hAnsi="Times New Roman"/>
                <w:sz w:val="15"/>
              </w:rPr>
              <w:t>500</w:t>
            </w:r>
            <w:r>
              <w:rPr/>
              <w:t> </w:t>
            </w:r>
          </w:p>
        </w:tc>
        <w:tc>
          <w:tcPr>
            <w:tcW w:w="1010" w:type="dxa"/>
            <w:tcBorders/>
            <w:shd w:fill="FFFFFF" w:val="clear"/>
            <w:vAlign w:val="center"/>
          </w:tcPr>
          <w:p>
            <w:pPr>
              <w:pStyle w:val="TableContents"/>
              <w:spacing w:before="0" w:after="0"/>
              <w:jc w:val="left"/>
              <w:rPr/>
            </w:pPr>
            <w:r>
              <w:rPr/>
              <w:t>  </w:t>
            </w:r>
            <w:r>
              <w:rPr>
                <w:rFonts w:ascii="Times New Roman" w:hAnsi="Times New Roman"/>
                <w:sz w:val="15"/>
              </w:rPr>
              <w:t>500</w:t>
            </w:r>
            <w:r>
              <w:rPr/>
              <w:t> </w:t>
            </w:r>
          </w:p>
        </w:tc>
      </w:tr>
      <w:tr>
        <w:trPr/>
        <w:tc>
          <w:tcPr>
            <w:tcW w:w="8550" w:type="dxa"/>
            <w:gridSpan w:val="3"/>
            <w:tcBorders/>
            <w:shd w:fill="CCEEFF" w:val="clear"/>
            <w:vAlign w:val="center"/>
          </w:tcPr>
          <w:p>
            <w:pPr>
              <w:pStyle w:val="TableContents"/>
              <w:spacing w:before="0" w:after="0"/>
              <w:ind w:left="0" w:right="0" w:hanging="0"/>
              <w:jc w:val="center"/>
              <w:rPr/>
            </w:pPr>
            <w:r>
              <w:rPr/>
              <w:t xml:space="preserve">  </w:t>
            </w:r>
          </w:p>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Series B Preferred; 4,000,000 shares authorized at June 30, 2019 and March 31, 2019;</w:t>
            </w:r>
          </w:p>
          <w:p>
            <w:pPr>
              <w:pStyle w:val="TableContents"/>
              <w:spacing w:before="0" w:after="0"/>
              <w:jc w:val="left"/>
              <w:rPr/>
            </w:pPr>
            <w:r>
              <w:rPr/>
              <w:t> </w:t>
            </w:r>
          </w:p>
        </w:tc>
      </w:tr>
      <w:tr>
        <w:trPr/>
        <w:tc>
          <w:tcPr>
            <w:tcW w:w="6545" w:type="dxa"/>
            <w:tcBorders/>
            <w:shd w:fill="FFFFFF" w:val="clear"/>
            <w:vAlign w:val="center"/>
          </w:tcPr>
          <w:p>
            <w:pPr>
              <w:pStyle w:val="TableContents"/>
              <w:spacing w:before="0" w:after="0"/>
              <w:ind w:left="540" w:right="0" w:hanging="0"/>
              <w:jc w:val="left"/>
              <w:rPr>
                <w:rFonts w:ascii="Times New Roman" w:hAnsi="Times New Roman"/>
                <w:color w:val="000000"/>
                <w:sz w:val="15"/>
              </w:rPr>
            </w:pPr>
            <w:r>
              <w:rPr>
                <w:rFonts w:ascii="Times New Roman" w:hAnsi="Times New Roman"/>
                <w:color w:val="000000"/>
                <w:sz w:val="15"/>
              </w:rPr>
              <w:t>1,160,240 shares issued and outstanding at June 30, 2019 and March 31, 2019</w:t>
            </w:r>
          </w:p>
        </w:tc>
        <w:tc>
          <w:tcPr>
            <w:tcW w:w="9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1,200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1,200</w:t>
            </w:r>
            <w:r>
              <w:rPr>
                <w:color w:val="000000"/>
              </w:rPr>
              <w:t> </w:t>
            </w:r>
          </w:p>
        </w:tc>
      </w:tr>
      <w:tr>
        <w:trPr/>
        <w:tc>
          <w:tcPr>
            <w:tcW w:w="8550" w:type="dxa"/>
            <w:gridSpan w:val="3"/>
            <w:tcBorders/>
            <w:shd w:fill="CCEEFF" w:val="clear"/>
            <w:vAlign w:val="center"/>
          </w:tcPr>
          <w:p>
            <w:pPr>
              <w:pStyle w:val="TableContents"/>
              <w:spacing w:before="0" w:after="0"/>
              <w:ind w:left="0" w:right="0" w:hanging="0"/>
              <w:jc w:val="center"/>
              <w:rPr/>
            </w:pPr>
            <w:r>
              <w:rPr/>
              <w:t xml:space="preserve">  </w:t>
            </w:r>
          </w:p>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Series C Preferred; 3,000,000 shares authorized at June 30, 2019 and March 31, 2019;</w:t>
            </w:r>
          </w:p>
          <w:p>
            <w:pPr>
              <w:pStyle w:val="TableContents"/>
              <w:spacing w:before="0" w:after="0"/>
              <w:jc w:val="left"/>
              <w:rPr/>
            </w:pPr>
            <w:r>
              <w:rPr/>
              <w:t> </w:t>
            </w:r>
          </w:p>
        </w:tc>
      </w:tr>
      <w:tr>
        <w:trPr/>
        <w:tc>
          <w:tcPr>
            <w:tcW w:w="6545" w:type="dxa"/>
            <w:tcBorders/>
            <w:shd w:fill="FFFFFF" w:val="clear"/>
            <w:vAlign w:val="center"/>
          </w:tcPr>
          <w:p>
            <w:pPr>
              <w:pStyle w:val="TableContents"/>
              <w:spacing w:before="0" w:after="0"/>
              <w:ind w:left="540" w:right="0" w:hanging="0"/>
              <w:jc w:val="left"/>
              <w:rPr/>
            </w:pPr>
            <w:r>
              <w:rPr/>
              <w:t xml:space="preserve">  </w:t>
            </w:r>
            <w:r>
              <w:rPr>
                <w:rFonts w:ascii="Times New Roman" w:hAnsi="Times New Roman"/>
                <w:color w:val="000000"/>
                <w:sz w:val="15"/>
              </w:rPr>
              <w:t>2,318,012 shares</w:t>
            </w:r>
            <w:r>
              <w:rPr>
                <w:rFonts w:ascii="Times New Roman" w:hAnsi="Times New Roman"/>
                <w:sz w:val="15"/>
              </w:rPr>
              <w:t xml:space="preserve"> </w:t>
            </w:r>
            <w:r>
              <w:rPr>
                <w:rFonts w:ascii="Times New Roman" w:hAnsi="Times New Roman"/>
                <w:color w:val="000000"/>
                <w:sz w:val="15"/>
              </w:rPr>
              <w:t>issued and outstanding at June 30, 2019 and March 31, 2019</w:t>
            </w:r>
          </w:p>
        </w:tc>
        <w:tc>
          <w:tcPr>
            <w:tcW w:w="9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2,300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2,300</w:t>
            </w:r>
            <w:r>
              <w:rPr>
                <w:color w:val="000000"/>
              </w:rPr>
              <w:t> </w:t>
            </w:r>
          </w:p>
        </w:tc>
      </w:tr>
      <w:tr>
        <w:trPr/>
        <w:tc>
          <w:tcPr>
            <w:tcW w:w="8550" w:type="dxa"/>
            <w:gridSpan w:val="3"/>
            <w:tcBorders/>
            <w:shd w:fill="CCEEFF" w:val="clear"/>
            <w:vAlign w:val="center"/>
          </w:tcPr>
          <w:p>
            <w:pPr>
              <w:pStyle w:val="TableContents"/>
              <w:spacing w:before="0" w:after="0"/>
              <w:ind w:left="0" w:right="0" w:hanging="0"/>
              <w:jc w:val="center"/>
              <w:rPr/>
            </w:pPr>
            <w:r>
              <w:rPr/>
              <w:t xml:space="preserve">  </w:t>
            </w:r>
          </w:p>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Common stock, $0.001 par value; 100,000,000 shares authorized at June 30, 2019 and March 31, 2019;</w:t>
            </w:r>
          </w:p>
          <w:p>
            <w:pPr>
              <w:pStyle w:val="TableContents"/>
              <w:spacing w:before="0" w:after="0"/>
              <w:jc w:val="left"/>
              <w:rPr/>
            </w:pPr>
            <w:r>
              <w:rPr/>
              <w:t> </w:t>
            </w:r>
          </w:p>
        </w:tc>
      </w:tr>
      <w:tr>
        <w:trPr/>
        <w:tc>
          <w:tcPr>
            <w:tcW w:w="6545" w:type="dxa"/>
            <w:tcBorders/>
            <w:shd w:fill="FFFFFF"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42,758,630 shares issued and outstanding at June 30, 2019 and March 31, 2019</w:t>
            </w:r>
          </w:p>
        </w:tc>
        <w:tc>
          <w:tcPr>
            <w:tcW w:w="9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42,800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42,800</w:t>
            </w:r>
            <w:r>
              <w:rPr>
                <w:color w:val="000000"/>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Additional paid-in capital</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192,890,400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192,129,900</w:t>
            </w:r>
            <w:r>
              <w:rPr>
                <w:color w:val="000000"/>
              </w:rPr>
              <w:t> </w:t>
            </w:r>
          </w:p>
        </w:tc>
      </w:tr>
      <w:tr>
        <w:trPr/>
        <w:tc>
          <w:tcPr>
            <w:tcW w:w="6545" w:type="dxa"/>
            <w:tcBorders/>
            <w:shd w:fill="FFFF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Treasury stock, at cost, 135,665 shares of common stock held at June 30, 2019 and March 31, 2019</w:t>
            </w:r>
          </w:p>
        </w:tc>
        <w:tc>
          <w:tcPr>
            <w:tcW w:w="9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(3,968,100)</w:t>
            </w:r>
          </w:p>
        </w:tc>
        <w:tc>
          <w:tcPr>
            <w:tcW w:w="10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(3,968,100)</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Accumulated deficit</w:t>
            </w:r>
          </w:p>
        </w:tc>
        <w:tc>
          <w:tcPr>
            <w:tcW w:w="99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(187,343,300</w:t>
            </w:r>
            <w:r>
              <w:rPr>
                <w:rFonts w:ascii="Times New Roman" w:hAnsi="Times New Roman"/>
                <w:color w:val="000000"/>
                <w:sz w:val="15"/>
              </w:rPr>
              <w:t>)</w:t>
            </w:r>
          </w:p>
        </w:tc>
        <w:tc>
          <w:tcPr>
            <w:tcW w:w="10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(181,133,400</w:t>
            </w:r>
            <w:r>
              <w:rPr>
                <w:rFonts w:ascii="Times New Roman" w:hAnsi="Times New Roman"/>
                <w:color w:val="000000"/>
                <w:sz w:val="15"/>
              </w:rPr>
              <w:t>)</w:t>
            </w:r>
          </w:p>
        </w:tc>
      </w:tr>
      <w:tr>
        <w:trPr/>
        <w:tc>
          <w:tcPr>
            <w:tcW w:w="6545" w:type="dxa"/>
            <w:tcBorders/>
            <w:shd w:fill="FFFF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Total stockholders’ equity</w:t>
            </w:r>
          </w:p>
        </w:tc>
        <w:tc>
          <w:tcPr>
            <w:tcW w:w="99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1,625,800</w:t>
            </w:r>
            <w:r>
              <w:rPr>
                <w:color w:val="000000"/>
              </w:rPr>
              <w:t> </w:t>
            </w:r>
          </w:p>
        </w:tc>
        <w:tc>
          <w:tcPr>
            <w:tcW w:w="101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7,075,200</w:t>
            </w:r>
            <w:r>
              <w:rPr>
                <w:color w:val="000000"/>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Total liabilities and stockholders’ equity</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$12,947,300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$14,011,700</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 w:name="pgbrk8"/>
      <w:bookmarkStart w:id="44" w:name="pgbrk8"/>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5" w:name="ftr6"/>
      <w:bookmarkEnd w:id="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6" w:name="pn2"/>
      <w:bookmarkEnd w:id="46"/>
      <w:r>
        <w:rPr>
          <w:rFonts w:ascii="Times New Roman" w:hAnsi="Times New Roman"/>
          <w:sz w:val="15"/>
        </w:rPr>
        <w:t>-4-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7" w:name="pb6"/>
      <w:bookmarkStart w:id="48" w:name="pb6"/>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9" w:name="hdr7"/>
      <w:bookmarkEnd w:id="4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VISTAGEN THERAPEUTICS, INC.</w:t>
      </w:r>
    </w:p>
    <w:p>
      <w:pPr>
        <w:pStyle w:val="TextBody"/>
        <w:spacing w:before="0" w:after="0"/>
        <w:ind w:left="0" w:right="0" w:hanging="0"/>
        <w:jc w:val="center"/>
        <w:rPr/>
      </w:pPr>
      <w:r>
        <w:rPr/>
        <w:t xml:space="preserve">  </w:t>
      </w:r>
      <w:r>
        <w:rPr>
          <w:rFonts w:ascii="Times New Roman" w:hAnsi="Times New Roman"/>
          <w:b/>
          <w:color w:val="000000"/>
          <w:sz w:val="15"/>
        </w:rPr>
        <w:t>STATEMENTS OF OPERATIONS</w:t>
      </w:r>
    </w:p>
    <w:p>
      <w:pPr>
        <w:pStyle w:val="TextBody"/>
        <w:spacing w:before="0" w:after="0"/>
        <w:ind w:left="0" w:right="0" w:hanging="0"/>
        <w:jc w:val="center"/>
        <w:rPr>
          <w:rFonts w:ascii="Times New Roman" w:hAnsi="Times New Roman"/>
          <w:sz w:val="15"/>
        </w:rPr>
      </w:pPr>
      <w:r>
        <w:rPr>
          <w:rFonts w:ascii="Times New Roman" w:hAnsi="Times New Roman"/>
          <w:color w:val="000000"/>
          <w:sz w:val="15"/>
        </w:rPr>
        <w:t>(Amounts in dollars, except share amounts)</w:t>
      </w:r>
      <w:r>
        <w:rPr>
          <w:rFonts w:ascii="Times New Roman" w:hAnsi="Times New Roman"/>
          <w:sz w:val="15"/>
        </w:rPr>
        <w:t> </w:t>
      </w:r>
    </w:p>
    <w:p>
      <w:pPr>
        <w:pStyle w:val="TextBody"/>
        <w:spacing w:before="0" w:after="0"/>
        <w:ind w:left="0" w:right="0" w:hanging="0"/>
        <w:jc w:val="center"/>
        <w:rPr>
          <w:rFonts w:ascii="Times New Roman" w:hAnsi="Times New Roman"/>
          <w:color w:val="000000"/>
          <w:sz w:val="15"/>
        </w:rPr>
      </w:pPr>
      <w:r>
        <w:rPr>
          <w:rFonts w:ascii="Times New Roman" w:hAnsi="Times New Roman"/>
          <w:color w:val="000000"/>
          <w:sz w:val="15"/>
        </w:rPr>
        <w:t>(Unaudited)</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r>
    </w:p>
    <w:tbl>
      <w:tblPr>
        <w:tblW w:w="5139" w:type="dxa"/>
        <w:jc w:val="left"/>
        <w:tblInd w:w="0" w:type="dxa"/>
        <w:tblCellMar>
          <w:top w:w="0" w:type="dxa"/>
          <w:left w:w="0" w:type="dxa"/>
          <w:bottom w:w="0" w:type="dxa"/>
          <w:right w:w="0" w:type="dxa"/>
        </w:tblCellMar>
      </w:tblPr>
      <w:tblGrid>
        <w:gridCol w:w="3050"/>
        <w:gridCol w:w="1036"/>
        <w:gridCol w:w="1053"/>
      </w:tblGrid>
      <w:tr>
        <w:trPr/>
        <w:tc>
          <w:tcPr>
            <w:tcW w:w="3050" w:type="dxa"/>
            <w:tcBorders/>
            <w:shd w:fill="auto" w:val="clear"/>
            <w:vAlign w:val="center"/>
          </w:tcPr>
          <w:p>
            <w:pPr>
              <w:pStyle w:val="TableContents"/>
              <w:spacing w:before="0" w:after="0"/>
              <w:ind w:left="0" w:right="0" w:hanging="0"/>
              <w:rPr/>
            </w:pPr>
            <w:r>
              <w:rPr/>
              <w:t> </w:t>
            </w:r>
          </w:p>
        </w:tc>
        <w:tc>
          <w:tcPr>
            <w:tcW w:w="2089"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Three Months Ended June 30,</w:t>
            </w:r>
          </w:p>
          <w:p>
            <w:pPr>
              <w:pStyle w:val="TableContents"/>
              <w:spacing w:before="0" w:after="0"/>
              <w:jc w:val="left"/>
              <w:rPr/>
            </w:pPr>
            <w:r>
              <w:rPr/>
              <w:t> </w:t>
            </w:r>
          </w:p>
        </w:tc>
      </w:tr>
      <w:tr>
        <w:trPr/>
        <w:tc>
          <w:tcPr>
            <w:tcW w:w="3050"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1053"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2018</w:t>
            </w:r>
          </w:p>
          <w:p>
            <w:pPr>
              <w:pStyle w:val="TableContents"/>
              <w:spacing w:before="0" w:after="0"/>
              <w:jc w:val="left"/>
              <w:rPr/>
            </w:pPr>
            <w:r>
              <w:rPr/>
              <w:t> </w:t>
            </w:r>
          </w:p>
        </w:tc>
      </w:tr>
      <w:tr>
        <w:trPr/>
        <w:tc>
          <w:tcPr>
            <w:tcW w:w="3050"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Operating expenses:</w:t>
            </w:r>
          </w:p>
        </w:tc>
        <w:tc>
          <w:tcPr>
            <w:tcW w:w="1036"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53"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050" w:type="dxa"/>
            <w:tcBorders/>
            <w:shd w:fill="CCEE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Research and development</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$4,313,900</w:t>
            </w:r>
            <w:r>
              <w:rPr>
                <w:color w:val="000000"/>
              </w:rPr>
              <w:t> </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$2,743,700</w:t>
            </w:r>
            <w:r>
              <w:rPr>
                <w:color w:val="000000"/>
              </w:rPr>
              <w:t> </w:t>
            </w:r>
          </w:p>
        </w:tc>
      </w:tr>
      <w:tr>
        <w:trPr/>
        <w:tc>
          <w:tcPr>
            <w:tcW w:w="3050" w:type="dxa"/>
            <w:tcBorders/>
            <w:shd w:fill="FFFF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General and administrative</w:t>
            </w:r>
          </w:p>
        </w:tc>
        <w:tc>
          <w:tcPr>
            <w:tcW w:w="1036"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1,910,100</w:t>
            </w:r>
            <w:r>
              <w:rPr>
                <w:color w:val="000000"/>
              </w:rPr>
              <w:t> </w:t>
            </w:r>
          </w:p>
        </w:tc>
        <w:tc>
          <w:tcPr>
            <w:tcW w:w="105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1,466,300</w:t>
            </w:r>
            <w:r>
              <w:rPr>
                <w:color w:val="000000"/>
              </w:rPr>
              <w:t> </w:t>
            </w:r>
          </w:p>
        </w:tc>
      </w:tr>
      <w:tr>
        <w:trPr/>
        <w:tc>
          <w:tcPr>
            <w:tcW w:w="3050" w:type="dxa"/>
            <w:tcBorders/>
            <w:shd w:fill="CCEEFF"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Total operating expenses</w:t>
            </w:r>
          </w:p>
        </w:tc>
        <w:tc>
          <w:tcPr>
            <w:tcW w:w="1036"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6,224,000</w:t>
            </w:r>
            <w:r>
              <w:rPr>
                <w:color w:val="000000"/>
              </w:rPr>
              <w:t> </w:t>
            </w:r>
          </w:p>
        </w:tc>
        <w:tc>
          <w:tcPr>
            <w:tcW w:w="1053"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4,210,000</w:t>
            </w:r>
            <w:r>
              <w:rPr>
                <w:color w:val="000000"/>
              </w:rPr>
              <w:t> </w:t>
            </w:r>
          </w:p>
        </w:tc>
      </w:tr>
      <w:tr>
        <w:trPr/>
        <w:tc>
          <w:tcPr>
            <w:tcW w:w="305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Loss from operations</w:t>
            </w:r>
          </w:p>
        </w:tc>
        <w:tc>
          <w:tcPr>
            <w:tcW w:w="103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(6,224,000)</w:t>
            </w:r>
          </w:p>
        </w:tc>
        <w:tc>
          <w:tcPr>
            <w:tcW w:w="105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(4,210,000)</w:t>
            </w:r>
          </w:p>
        </w:tc>
      </w:tr>
      <w:tr>
        <w:trPr/>
        <w:tc>
          <w:tcPr>
            <w:tcW w:w="305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Other income (expenses), net:</w:t>
            </w:r>
          </w:p>
        </w:tc>
        <w:tc>
          <w:tcPr>
            <w:tcW w:w="1036" w:type="dxa"/>
            <w:tcBorders/>
            <w:shd w:fill="CCEEFF" w:val="clear"/>
            <w:vAlign w:val="center"/>
          </w:tcPr>
          <w:p>
            <w:pPr>
              <w:pStyle w:val="TableContents"/>
              <w:spacing w:before="0" w:after="0"/>
              <w:jc w:val="left"/>
              <w:rPr/>
            </w:pPr>
            <w:r>
              <w:rPr/>
              <w:t>    </w:t>
            </w:r>
          </w:p>
        </w:tc>
        <w:tc>
          <w:tcPr>
            <w:tcW w:w="1053" w:type="dxa"/>
            <w:tcBorders/>
            <w:shd w:fill="CCEEFF" w:val="clear"/>
            <w:vAlign w:val="center"/>
          </w:tcPr>
          <w:p>
            <w:pPr>
              <w:pStyle w:val="TableContents"/>
              <w:spacing w:before="0" w:after="0"/>
              <w:jc w:val="left"/>
              <w:rPr/>
            </w:pPr>
            <w:r>
              <w:rPr/>
              <w:t>    </w:t>
            </w:r>
          </w:p>
        </w:tc>
      </w:tr>
      <w:tr>
        <w:trPr/>
        <w:tc>
          <w:tcPr>
            <w:tcW w:w="3050" w:type="dxa"/>
            <w:tcBorders/>
            <w:shd w:fill="FFFF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Interest income (expense), net</w:t>
            </w:r>
          </w:p>
        </w:tc>
        <w:tc>
          <w:tcPr>
            <w:tcW w:w="1036"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16,500</w:t>
            </w:r>
            <w:r>
              <w:rPr>
                <w:color w:val="000000"/>
              </w:rPr>
              <w:t> </w:t>
            </w:r>
          </w:p>
        </w:tc>
        <w:tc>
          <w:tcPr>
            <w:tcW w:w="105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(2,100</w:t>
            </w:r>
            <w:r>
              <w:rPr>
                <w:rFonts w:ascii="Times New Roman" w:hAnsi="Times New Roman"/>
                <w:color w:val="000000"/>
                <w:sz w:val="15"/>
              </w:rPr>
              <w:t>)</w:t>
            </w:r>
          </w:p>
        </w:tc>
      </w:tr>
      <w:tr>
        <w:trPr/>
        <w:tc>
          <w:tcPr>
            <w:tcW w:w="305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Loss before income taxes</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(6,207,500)</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(4,212,100)</w:t>
            </w:r>
          </w:p>
        </w:tc>
      </w:tr>
      <w:tr>
        <w:trPr/>
        <w:tc>
          <w:tcPr>
            <w:tcW w:w="305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Income taxes</w:t>
            </w:r>
          </w:p>
        </w:tc>
        <w:tc>
          <w:tcPr>
            <w:tcW w:w="1036"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(2,400</w:t>
            </w:r>
            <w:r>
              <w:rPr>
                <w:rFonts w:ascii="Times New Roman" w:hAnsi="Times New Roman"/>
                <w:color w:val="000000"/>
                <w:sz w:val="15"/>
              </w:rPr>
              <w:t>)</w:t>
            </w:r>
          </w:p>
        </w:tc>
        <w:tc>
          <w:tcPr>
            <w:tcW w:w="105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(2,400</w:t>
            </w:r>
            <w:r>
              <w:rPr>
                <w:rFonts w:ascii="Times New Roman" w:hAnsi="Times New Roman"/>
                <w:color w:val="000000"/>
                <w:sz w:val="15"/>
              </w:rPr>
              <w:t>)</w:t>
            </w:r>
          </w:p>
        </w:tc>
      </w:tr>
      <w:tr>
        <w:trPr/>
        <w:tc>
          <w:tcPr>
            <w:tcW w:w="305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Net loss and comprehensive loss</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$(6,209,900)</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$(4,214,500)</w:t>
            </w:r>
          </w:p>
        </w:tc>
      </w:tr>
      <w:tr>
        <w:trPr/>
        <w:tc>
          <w:tcPr>
            <w:tcW w:w="3050" w:type="dxa"/>
            <w:tcBorders/>
            <w:shd w:fill="FFFFFF" w:val="clear"/>
            <w:vAlign w:val="center"/>
          </w:tcPr>
          <w:p>
            <w:pPr>
              <w:pStyle w:val="TableContents"/>
              <w:spacing w:before="0" w:after="0"/>
              <w:ind w:left="0" w:right="0" w:hanging="0"/>
              <w:rPr/>
            </w:pPr>
            <w:r>
              <w:rPr/>
              <w:t> </w:t>
            </w:r>
          </w:p>
        </w:tc>
        <w:tc>
          <w:tcPr>
            <w:tcW w:w="1036" w:type="dxa"/>
            <w:tcBorders/>
            <w:shd w:fill="FFFFFF" w:val="clear"/>
            <w:vAlign w:val="center"/>
          </w:tcPr>
          <w:p>
            <w:pPr>
              <w:pStyle w:val="TableContents"/>
              <w:spacing w:before="0" w:after="0"/>
              <w:jc w:val="left"/>
              <w:rPr/>
            </w:pPr>
            <w:r>
              <w:rPr/>
              <w:t>    </w:t>
            </w:r>
          </w:p>
        </w:tc>
        <w:tc>
          <w:tcPr>
            <w:tcW w:w="1053" w:type="dxa"/>
            <w:tcBorders/>
            <w:shd w:fill="FFFFFF" w:val="clear"/>
            <w:vAlign w:val="center"/>
          </w:tcPr>
          <w:p>
            <w:pPr>
              <w:pStyle w:val="TableContents"/>
              <w:spacing w:before="0" w:after="0"/>
              <w:jc w:val="left"/>
              <w:rPr/>
            </w:pPr>
            <w:r>
              <w:rPr/>
              <w:t>    </w:t>
            </w:r>
          </w:p>
        </w:tc>
      </w:tr>
      <w:tr>
        <w:trPr/>
        <w:tc>
          <w:tcPr>
            <w:tcW w:w="3050" w:type="dxa"/>
            <w:tcBorders/>
            <w:shd w:fill="CCEE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Accrued dividend on Series B Preferred stock</w:t>
            </w:r>
          </w:p>
        </w:tc>
        <w:tc>
          <w:tcPr>
            <w:tcW w:w="1036"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(302,500</w:t>
            </w:r>
            <w:r>
              <w:rPr>
                <w:rFonts w:ascii="Times New Roman" w:hAnsi="Times New Roman"/>
                <w:color w:val="000000"/>
                <w:sz w:val="15"/>
              </w:rPr>
              <w:t>)</w:t>
            </w:r>
          </w:p>
        </w:tc>
        <w:tc>
          <w:tcPr>
            <w:tcW w:w="1053"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(273,500</w:t>
            </w:r>
            <w:r>
              <w:rPr>
                <w:rFonts w:ascii="Times New Roman" w:hAnsi="Times New Roman"/>
                <w:color w:val="000000"/>
                <w:sz w:val="15"/>
              </w:rPr>
              <w:t>)</w:t>
            </w:r>
          </w:p>
        </w:tc>
      </w:tr>
      <w:tr>
        <w:trPr/>
        <w:tc>
          <w:tcPr>
            <w:tcW w:w="3050" w:type="dxa"/>
            <w:tcBorders/>
            <w:shd w:fill="FFFFFF" w:val="clear"/>
            <w:vAlign w:val="center"/>
          </w:tcPr>
          <w:p>
            <w:pPr>
              <w:pStyle w:val="TableContents"/>
              <w:spacing w:before="0" w:after="0"/>
              <w:ind w:left="0" w:right="0" w:hanging="0"/>
              <w:rPr/>
            </w:pPr>
            <w:r>
              <w:rPr/>
              <w:t> </w:t>
            </w:r>
          </w:p>
        </w:tc>
        <w:tc>
          <w:tcPr>
            <w:tcW w:w="1036" w:type="dxa"/>
            <w:tcBorders/>
            <w:shd w:fill="FFFFFF" w:val="clear"/>
            <w:vAlign w:val="center"/>
          </w:tcPr>
          <w:p>
            <w:pPr>
              <w:pStyle w:val="TableContents"/>
              <w:spacing w:before="0" w:after="0"/>
              <w:jc w:val="left"/>
              <w:rPr/>
            </w:pPr>
            <w:r>
              <w:rPr/>
              <w:t>    </w:t>
            </w:r>
          </w:p>
        </w:tc>
        <w:tc>
          <w:tcPr>
            <w:tcW w:w="1053" w:type="dxa"/>
            <w:tcBorders/>
            <w:shd w:fill="FFFFFF" w:val="clear"/>
            <w:vAlign w:val="center"/>
          </w:tcPr>
          <w:p>
            <w:pPr>
              <w:pStyle w:val="TableContents"/>
              <w:spacing w:before="0" w:after="0"/>
              <w:jc w:val="left"/>
              <w:rPr/>
            </w:pPr>
            <w:r>
              <w:rPr/>
              <w:t>    </w:t>
            </w:r>
          </w:p>
        </w:tc>
      </w:tr>
      <w:tr>
        <w:trPr/>
        <w:tc>
          <w:tcPr>
            <w:tcW w:w="305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Net loss attributable to common stockholders</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$(6,512,400</w:t>
            </w:r>
            <w:r>
              <w:rPr>
                <w:rFonts w:ascii="Times New Roman" w:hAnsi="Times New Roman"/>
                <w:color w:val="000000"/>
                <w:sz w:val="15"/>
              </w:rPr>
              <w:t>)</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$(4,488,000</w:t>
            </w:r>
            <w:r>
              <w:rPr>
                <w:rFonts w:ascii="Times New Roman" w:hAnsi="Times New Roman"/>
                <w:color w:val="000000"/>
                <w:sz w:val="15"/>
              </w:rPr>
              <w:t>)</w:t>
            </w:r>
          </w:p>
        </w:tc>
      </w:tr>
      <w:tr>
        <w:trPr/>
        <w:tc>
          <w:tcPr>
            <w:tcW w:w="3050" w:type="dxa"/>
            <w:tcBorders/>
            <w:shd w:fill="FFFFFF" w:val="clear"/>
            <w:vAlign w:val="center"/>
          </w:tcPr>
          <w:p>
            <w:pPr>
              <w:pStyle w:val="TableContents"/>
              <w:spacing w:before="0" w:after="0"/>
              <w:ind w:left="0" w:right="0" w:hanging="0"/>
              <w:rPr/>
            </w:pPr>
            <w:r>
              <w:rPr/>
              <w:t> </w:t>
            </w:r>
          </w:p>
        </w:tc>
        <w:tc>
          <w:tcPr>
            <w:tcW w:w="1036" w:type="dxa"/>
            <w:tcBorders/>
            <w:shd w:fill="FFFFFF" w:val="clear"/>
            <w:vAlign w:val="center"/>
          </w:tcPr>
          <w:p>
            <w:pPr>
              <w:pStyle w:val="TableContents"/>
              <w:spacing w:before="0" w:after="0"/>
              <w:jc w:val="left"/>
              <w:rPr/>
            </w:pPr>
            <w:r>
              <w:rPr/>
              <w:t>    </w:t>
            </w:r>
          </w:p>
        </w:tc>
        <w:tc>
          <w:tcPr>
            <w:tcW w:w="1053" w:type="dxa"/>
            <w:tcBorders/>
            <w:shd w:fill="FFFFFF" w:val="clear"/>
            <w:vAlign w:val="center"/>
          </w:tcPr>
          <w:p>
            <w:pPr>
              <w:pStyle w:val="TableContents"/>
              <w:spacing w:before="0" w:after="0"/>
              <w:jc w:val="left"/>
              <w:rPr/>
            </w:pPr>
            <w:r>
              <w:rPr/>
              <w:t>    </w:t>
            </w:r>
          </w:p>
        </w:tc>
      </w:tr>
      <w:tr>
        <w:trPr/>
        <w:tc>
          <w:tcPr>
            <w:tcW w:w="305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Basic and diluted net loss attributable to common</w:t>
            </w:r>
          </w:p>
        </w:tc>
        <w:tc>
          <w:tcPr>
            <w:tcW w:w="1036" w:type="dxa"/>
            <w:tcBorders/>
            <w:shd w:fill="CCEEFF" w:val="clear"/>
            <w:vAlign w:val="center"/>
          </w:tcPr>
          <w:p>
            <w:pPr>
              <w:pStyle w:val="TableContents"/>
              <w:spacing w:before="0" w:after="0"/>
              <w:jc w:val="left"/>
              <w:rPr/>
            </w:pPr>
            <w:r>
              <w:rPr/>
              <w:t>    </w:t>
            </w:r>
          </w:p>
        </w:tc>
        <w:tc>
          <w:tcPr>
            <w:tcW w:w="1053" w:type="dxa"/>
            <w:tcBorders/>
            <w:shd w:fill="CCEEFF" w:val="clear"/>
            <w:vAlign w:val="center"/>
          </w:tcPr>
          <w:p>
            <w:pPr>
              <w:pStyle w:val="TableContents"/>
              <w:spacing w:before="0" w:after="0"/>
              <w:jc w:val="left"/>
              <w:rPr/>
            </w:pPr>
            <w:r>
              <w:rPr/>
              <w:t>    </w:t>
            </w:r>
          </w:p>
        </w:tc>
      </w:tr>
      <w:tr>
        <w:trPr/>
        <w:tc>
          <w:tcPr>
            <w:tcW w:w="3050" w:type="dxa"/>
            <w:tcBorders/>
            <w:shd w:fill="FFFF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stockholders per common share</w:t>
            </w:r>
          </w:p>
        </w:tc>
        <w:tc>
          <w:tcPr>
            <w:tcW w:w="103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$(0.15</w:t>
            </w:r>
            <w:r>
              <w:rPr>
                <w:rFonts w:ascii="Times New Roman" w:hAnsi="Times New Roman"/>
                <w:color w:val="000000"/>
                <w:sz w:val="15"/>
              </w:rPr>
              <w:t>)</w:t>
            </w:r>
          </w:p>
        </w:tc>
        <w:tc>
          <w:tcPr>
            <w:tcW w:w="105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$(0.20</w:t>
            </w:r>
            <w:r>
              <w:rPr>
                <w:rFonts w:ascii="Times New Roman" w:hAnsi="Times New Roman"/>
                <w:color w:val="000000"/>
                <w:sz w:val="15"/>
              </w:rPr>
              <w:t>)</w:t>
            </w:r>
          </w:p>
        </w:tc>
      </w:tr>
      <w:tr>
        <w:trPr/>
        <w:tc>
          <w:tcPr>
            <w:tcW w:w="3050"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jc w:val="left"/>
              <w:rPr/>
            </w:pPr>
            <w:r>
              <w:rPr/>
              <w:t>    </w:t>
            </w:r>
          </w:p>
        </w:tc>
        <w:tc>
          <w:tcPr>
            <w:tcW w:w="1053" w:type="dxa"/>
            <w:tcBorders/>
            <w:shd w:fill="CCEEFF" w:val="clear"/>
            <w:vAlign w:val="center"/>
          </w:tcPr>
          <w:p>
            <w:pPr>
              <w:pStyle w:val="TableContents"/>
              <w:spacing w:before="0" w:after="0"/>
              <w:jc w:val="left"/>
              <w:rPr/>
            </w:pPr>
            <w:r>
              <w:rPr/>
              <w:t>    </w:t>
            </w:r>
          </w:p>
        </w:tc>
      </w:tr>
      <w:tr>
        <w:trPr/>
        <w:tc>
          <w:tcPr>
            <w:tcW w:w="305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Weighted average shares used in computing</w:t>
            </w:r>
          </w:p>
        </w:tc>
        <w:tc>
          <w:tcPr>
            <w:tcW w:w="1036" w:type="dxa"/>
            <w:tcBorders/>
            <w:shd w:fill="FFFFFF" w:val="clear"/>
            <w:vAlign w:val="center"/>
          </w:tcPr>
          <w:p>
            <w:pPr>
              <w:pStyle w:val="TableContents"/>
              <w:spacing w:before="0" w:after="0"/>
              <w:jc w:val="left"/>
              <w:rPr/>
            </w:pPr>
            <w:r>
              <w:rPr/>
              <w:t>    </w:t>
            </w:r>
          </w:p>
        </w:tc>
        <w:tc>
          <w:tcPr>
            <w:tcW w:w="1053" w:type="dxa"/>
            <w:tcBorders/>
            <w:shd w:fill="FFFFFF" w:val="clear"/>
            <w:vAlign w:val="center"/>
          </w:tcPr>
          <w:p>
            <w:pPr>
              <w:pStyle w:val="TableContents"/>
              <w:spacing w:before="0" w:after="0"/>
              <w:jc w:val="left"/>
              <w:rPr/>
            </w:pPr>
            <w:r>
              <w:rPr/>
              <w:t>    </w:t>
            </w:r>
          </w:p>
        </w:tc>
      </w:tr>
      <w:tr>
        <w:trPr/>
        <w:tc>
          <w:tcPr>
            <w:tcW w:w="3050" w:type="dxa"/>
            <w:tcBorders/>
            <w:shd w:fill="CCEE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basic and diluted net loss attributable to common</w:t>
            </w:r>
          </w:p>
        </w:tc>
        <w:tc>
          <w:tcPr>
            <w:tcW w:w="1036" w:type="dxa"/>
            <w:tcBorders/>
            <w:shd w:fill="CCEEFF" w:val="clear"/>
            <w:vAlign w:val="center"/>
          </w:tcPr>
          <w:p>
            <w:pPr>
              <w:pStyle w:val="TableContents"/>
              <w:spacing w:before="0" w:after="0"/>
              <w:jc w:val="left"/>
              <w:rPr/>
            </w:pPr>
            <w:r>
              <w:rPr/>
              <w:t>    </w:t>
            </w:r>
          </w:p>
        </w:tc>
        <w:tc>
          <w:tcPr>
            <w:tcW w:w="1053" w:type="dxa"/>
            <w:tcBorders/>
            <w:shd w:fill="CCEEFF" w:val="clear"/>
            <w:vAlign w:val="center"/>
          </w:tcPr>
          <w:p>
            <w:pPr>
              <w:pStyle w:val="TableContents"/>
              <w:spacing w:before="0" w:after="0"/>
              <w:jc w:val="left"/>
              <w:rPr/>
            </w:pPr>
            <w:r>
              <w:rPr/>
              <w:t>    </w:t>
            </w:r>
          </w:p>
        </w:tc>
      </w:tr>
      <w:tr>
        <w:trPr/>
        <w:tc>
          <w:tcPr>
            <w:tcW w:w="3050" w:type="dxa"/>
            <w:tcBorders/>
            <w:shd w:fill="FFFF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stockholders per common share</w:t>
            </w:r>
          </w:p>
        </w:tc>
        <w:tc>
          <w:tcPr>
            <w:tcW w:w="1036" w:type="dxa"/>
            <w:tcBorders/>
            <w:shd w:fill="FFFFFF"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color w:val="000000"/>
                <w:sz w:val="15"/>
                <w:bdr w:val="double" w:sz="8" w:space="1" w:color="000000"/>
              </w:rPr>
              <w:t>42,622,965</w:t>
            </w:r>
            <w:r>
              <w:rPr>
                <w:color w:val="000000"/>
              </w:rPr>
              <w:t> </w:t>
            </w:r>
          </w:p>
        </w:tc>
        <w:tc>
          <w:tcPr>
            <w:tcW w:w="1053" w:type="dxa"/>
            <w:tcBorders/>
            <w:shd w:fill="FFFFFF"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color w:val="000000"/>
                <w:sz w:val="15"/>
                <w:bdr w:val="double" w:sz="8" w:space="1" w:color="000000"/>
              </w:rPr>
              <w:t>22,987,066</w:t>
            </w:r>
            <w:r>
              <w:rPr>
                <w:color w:val="000000"/>
              </w:rPr>
              <w:t> </w:t>
            </w:r>
          </w:p>
        </w:tc>
      </w:tr>
    </w:tbl>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 w:name="pgbrk9"/>
      <w:bookmarkStart w:id="51" w:name="pgbrk9"/>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2" w:name="ftr7"/>
      <w:bookmarkEnd w:id="5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53" w:name="pn3"/>
      <w:bookmarkEnd w:id="53"/>
      <w:r>
        <w:rPr>
          <w:rFonts w:ascii="Times New Roman" w:hAnsi="Times New Roman"/>
          <w:sz w:val="15"/>
        </w:rPr>
        <w:t>-5-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4" w:name="pb7"/>
      <w:bookmarkStart w:id="55" w:name="pb7"/>
      <w:bookmarkEnd w:id="55"/>
    </w:p>
    <w:p>
      <w:pPr>
        <w:pStyle w:val="TextBody"/>
        <w:ind w:left="0" w:right="0" w:hanging="0"/>
        <w:rPr/>
      </w:pPr>
      <w:r>
        <w:rPr/>
      </w:r>
      <w:bookmarkStart w:id="56" w:name="pgbrk10"/>
      <w:bookmarkStart w:id="57" w:name="pgbrk10"/>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8" w:name="hdr8"/>
      <w:bookmarkEnd w:id="5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15"/>
        </w:rPr>
      </w:pPr>
      <w:r>
        <w:rPr>
          <w:rFonts w:ascii="Times New Roman" w:hAnsi="Times New Roman"/>
          <w:b/>
          <w:sz w:val="15"/>
        </w:rPr>
        <w:t>Exhibit 99.2</w:t>
      </w:r>
    </w:p>
    <w:p>
      <w:pPr>
        <w:pStyle w:val="TextBody"/>
        <w:spacing w:before="0" w:after="0"/>
        <w:ind w:left="0" w:right="0" w:hanging="0"/>
        <w:jc w:val="left"/>
        <w:rPr/>
      </w:pPr>
      <w:r>
        <w:rPr/>
        <w:t xml:space="preserve">  </w:t>
      </w:r>
    </w:p>
    <w:p>
      <w:pPr>
        <w:pStyle w:val="TextBody"/>
        <w:spacing w:before="0" w:after="0"/>
        <w:jc w:val="left"/>
        <w:rPr/>
      </w:pPr>
      <w:r>
        <w:rPr/>
        <w:drawing>
          <wp:inline distT="0" distB="0" distL="0" distR="0">
            <wp:extent cx="1304925" cy="1009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4925" cy="1009650"/>
                    </a:xfrm>
                    <a:prstGeom prst="rect">
                      <a:avLst/>
                    </a:prstGeom>
                  </pic:spPr>
                </pic:pic>
              </a:graphicData>
            </a:graphic>
          </wp:inline>
        </w:drawing>
      </w:r>
      <w:r>
        <w:rPr/>
        <w:t xml:space="preserve"> </w:t>
      </w: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Achieves Target Patient Enrollment in the ELEVATE Study of AV-101 as an Adjunctive Treatment for Major Depressive Disorder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i/>
          <w:sz w:val="15"/>
        </w:rPr>
      </w:pPr>
      <w:r>
        <w:rPr>
          <w:rFonts w:ascii="Times New Roman" w:hAnsi="Times New Roman"/>
          <w:i/>
          <w:sz w:val="15"/>
        </w:rPr>
        <w:t>Company on Track to Report Topline Data Before Year End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15"/>
        </w:rPr>
      </w:pPr>
      <w:r>
        <w:rPr>
          <w:rFonts w:ascii="Times New Roman" w:hAnsi="Times New Roman"/>
          <w:b/>
          <w:sz w:val="15"/>
        </w:rPr>
        <w:t>SOUTH SAN FRANCISCO, Calif., August 15, 2019</w:t>
      </w:r>
      <w:r>
        <w:rPr>
          <w:rFonts w:ascii="Times New Roman" w:hAnsi="Times New Roman"/>
          <w:sz w:val="15"/>
        </w:rPr>
        <w:t xml:space="preserve"> </w:t>
      </w:r>
      <w:r>
        <w:rPr>
          <w:rFonts w:ascii="Times New Roman" w:hAnsi="Times New Roman"/>
          <w:sz w:val="15"/>
          <w:highlight w:val="white"/>
        </w:rPr>
        <w:t>–</w:t>
      </w:r>
      <w:r>
        <w:rPr>
          <w:rFonts w:ascii="Times New Roman" w:hAnsi="Times New Roman"/>
          <w:sz w:val="15"/>
        </w:rPr>
        <w:t xml:space="preserve"> </w:t>
      </w:r>
      <w:r>
        <w:rPr>
          <w:rFonts w:ascii="Times New Roman" w:hAnsi="Times New Roman"/>
          <w:color w:val="0095DA"/>
          <w:sz w:val="15"/>
          <w:u w:val="single"/>
        </w:rPr>
        <w:t>VistaGen Therapeutics</w:t>
      </w:r>
      <w:r>
        <w:rPr>
          <w:rFonts w:ascii="Times New Roman" w:hAnsi="Times New Roman"/>
          <w:sz w:val="15"/>
        </w:rPr>
        <w:t xml:space="preserve"> </w:t>
      </w:r>
      <w:r>
        <w:rPr>
          <w:rFonts w:ascii="Times New Roman" w:hAnsi="Times New Roman"/>
          <w:sz w:val="15"/>
          <w:highlight w:val="white"/>
        </w:rPr>
        <w:t>(NASDAQ: VTGN), a clinical-stage biopharmaceutical company developing new generation medicines for central nervous system (CNS) diseases and disorders with high unmet need, announced today that the Company has achieved completion of target patient enrollment (n = 180) in its Phase 2 ELEVATE clinical trial. ELEVATE is a multi-center, double-blind, placebo-controlled clinical study to evaluate the efficacy and safety of AV-101, VistaGen’s novel, oral NMDA (N-methyl-D-aspartate) receptor glycine site antagonist, as an adjunctive treatment (together with an FDA-approved oral antidepressant (AD)) for major depressive disorder (MDD) in adult patients with an inadequate therapeutic response to their current AD.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15"/>
          <w:highlight w:val="white"/>
        </w:rPr>
      </w:pPr>
      <w:r>
        <w:rPr>
          <w:rFonts w:ascii="Times New Roman" w:hAnsi="Times New Roman"/>
          <w:sz w:val="15"/>
          <w:highlight w:val="white"/>
        </w:rPr>
        <w:t>VistaGen expects to report topline results from the Phase 2 ELEVATE study before the year end 2019.</w:t>
      </w:r>
    </w:p>
    <w:p>
      <w:pPr>
        <w:pStyle w:val="TextBody"/>
        <w:spacing w:before="0" w:after="0"/>
        <w:ind w:left="0" w:right="0" w:hanging="0"/>
        <w:jc w:val="both"/>
        <w:rPr/>
      </w:pPr>
      <w:r>
        <w:rPr/>
        <w:t> </w:t>
      </w:r>
    </w:p>
    <w:p>
      <w:pPr>
        <w:pStyle w:val="TextBody"/>
        <w:spacing w:before="0" w:after="0"/>
        <w:ind w:left="0" w:right="0" w:hanging="0"/>
        <w:jc w:val="left"/>
        <w:rPr/>
      </w:pPr>
      <w:r>
        <w:rPr>
          <w:highlight w:val="white"/>
        </w:rPr>
        <w:t>“</w:t>
      </w:r>
      <w:r>
        <w:rPr>
          <w:rFonts w:ascii="Times New Roman" w:hAnsi="Times New Roman"/>
          <w:sz w:val="15"/>
          <w:highlight w:val="white"/>
        </w:rPr>
        <w:t>We are very encouraged to reach this important milestone in our Phase 2 development program for AV-101 in MDD. Achieving target patient enrollment puts us one step closer to redefining the standard of care for a large and growing number of individuals who are unable to reduce their symptoms of depression with their current antidepressant alone,” said</w:t>
      </w:r>
      <w:r>
        <w:rPr>
          <w:rFonts w:ascii="Times New Roman" w:hAnsi="Times New Roman"/>
          <w:sz w:val="15"/>
        </w:rPr>
        <w:t xml:space="preserve"> </w:t>
      </w:r>
      <w:r>
        <w:rPr>
          <w:rFonts w:ascii="Times New Roman" w:hAnsi="Times New Roman"/>
          <w:color w:val="0095DA"/>
          <w:sz w:val="15"/>
          <w:u w:val="single"/>
        </w:rPr>
        <w:t>Shawn Singh, Chief Executive Officer, VistaGen</w:t>
      </w:r>
      <w:r>
        <w:rPr>
          <w:rFonts w:ascii="Times New Roman" w:hAnsi="Times New Roman"/>
          <w:sz w:val="15"/>
          <w:highlight w:val="white"/>
        </w:rPr>
        <w:t>. “We look forward to completing the ELEVATE study in the near term and reporting topline data by year end.”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About AV-101</w:t>
      </w:r>
    </w:p>
    <w:p>
      <w:pPr>
        <w:pStyle w:val="TextBody"/>
        <w:spacing w:before="0" w:after="0"/>
        <w:ind w:left="0" w:right="0" w:hanging="0"/>
        <w:jc w:val="left"/>
        <w:rPr>
          <w:rFonts w:ascii="Times New Roman" w:hAnsi="Times New Roman"/>
          <w:sz w:val="15"/>
        </w:rPr>
      </w:pPr>
      <w:r>
        <w:rPr>
          <w:rFonts w:ascii="Times New Roman" w:hAnsi="Times New Roman"/>
          <w:sz w:val="15"/>
        </w:rPr>
        <w:t>AV-101 (4-Cl-KYN)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chronic neuropathic pain, epilepsy, MDD, levodopa-induced dyskinesia (LID) and many others. AV-101 is an oral prodrug of 7-Cl-KYNA which binds uniquely at the glycine site of the NMDA receptor. With its exceptional safety profile in all studies to date, AV-101 has potential to be a new at-home treatment for multiple large market CNS indications where current treatments are inadequate to meet high unmet patient needs. VistaGen is currently focused on potential development of AV-101 for MDD, neuropathic pain, suicidal ideation and dyskinesia associated with levodopa treatment for Parkinson’s disease. The FDA has granted Fast Track designation for development of AV-101 as both a potential </w:t>
      </w:r>
      <w:r>
        <w:rPr>
          <w:rFonts w:ascii="Times New Roman" w:hAnsi="Times New Roman"/>
          <w:color w:val="0095DA"/>
          <w:sz w:val="15"/>
          <w:u w:val="single"/>
        </w:rPr>
        <w:t>adjunctive treatment for MDD</w:t>
      </w:r>
      <w:r>
        <w:rPr>
          <w:rFonts w:ascii="Times New Roman" w:hAnsi="Times New Roman"/>
          <w:sz w:val="15"/>
        </w:rPr>
        <w:t> and as a </w:t>
      </w:r>
      <w:r>
        <w:rPr>
          <w:rFonts w:ascii="Times New Roman" w:hAnsi="Times New Roman"/>
          <w:color w:val="0095DA"/>
          <w:sz w:val="15"/>
          <w:u w:val="single"/>
        </w:rPr>
        <w:t>non-opioid treatment for neuropathic pain</w:t>
      </w:r>
      <w:r>
        <w:rPr>
          <w:rFonts w:ascii="Times New Roman" w:hAnsi="Times New Roman"/>
          <w:sz w:val="15"/>
        </w:rPr>
        <w:t>.</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 w:name="pgbrk11"/>
      <w:bookmarkStart w:id="60" w:name="pgbrk11"/>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1" w:name="ftr8"/>
      <w:bookmarkEnd w:id="6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62" w:name="pn4"/>
      <w:bookmarkEnd w:id="62"/>
      <w:r>
        <w:rPr>
          <w:rFonts w:ascii="Times New Roman" w:hAnsi="Times New Roman"/>
          <w:sz w:val="15"/>
        </w:rPr>
        <w:t>-1-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63" w:name="pb8"/>
      <w:bookmarkStart w:id="64" w:name="pb8"/>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5" w:name="hdr9"/>
      <w:bookmarkEnd w:id="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left"/>
        <w:rPr>
          <w:rFonts w:ascii="Times New Roman" w:hAnsi="Times New Roman"/>
          <w:b/>
          <w:sz w:val="15"/>
          <w:highlight w:val="white"/>
        </w:rPr>
      </w:pPr>
      <w:r>
        <w:rPr>
          <w:rFonts w:ascii="Times New Roman" w:hAnsi="Times New Roman"/>
          <w:b/>
          <w:sz w:val="15"/>
          <w:highlight w:val="white"/>
        </w:rPr>
        <w:t>About ELEVATE</w:t>
      </w:r>
    </w:p>
    <w:p>
      <w:pPr>
        <w:pStyle w:val="TextBody"/>
        <w:spacing w:before="0" w:after="0"/>
        <w:ind w:left="0" w:right="0" w:hanging="0"/>
        <w:jc w:val="left"/>
        <w:rPr>
          <w:rFonts w:ascii="Times New Roman" w:hAnsi="Times New Roman"/>
          <w:sz w:val="15"/>
          <w:highlight w:val="white"/>
        </w:rPr>
      </w:pPr>
      <w:r>
        <w:rPr>
          <w:rFonts w:ascii="Times New Roman" w:hAnsi="Times New Roman"/>
          <w:sz w:val="15"/>
          <w:highlight w:val="white"/>
        </w:rPr>
        <w:t>Among VistaGen's objectives for AV-101 in MDD is to replace atypical antipsychotics in the current MDD drug treatment paradigm and redefine the standard of care for individuals who are unable to reduce their symptoms of depression with their current antidepressant alone. The ELEVATE study is an ongoing U.S. multi-center, randomized, double-blind, placebo-controlled Phase 2 clinical study to evaluate the efficacy and safety of adjunctive use of AV-101 in adult MDD patients who have an inadequate response to standard FDA-approved antidepressant therapy, either a selective serotonin reuptake inhibitor (SSRI), a serotonin norepinephrine reuptake inhibitor (SNRI), or bupropion. The primary endpoint of the study is the change from baseline on the Montgomery-Åsberg Depression Rating Scale (MADRS-10) total score.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highlight w:val="white"/>
        </w:rPr>
      </w:pPr>
      <w:r>
        <w:rPr>
          <w:rFonts w:ascii="Times New Roman" w:hAnsi="Times New Roman"/>
          <w:b/>
          <w:sz w:val="15"/>
          <w:highlight w:val="white"/>
        </w:rPr>
        <w:t>About Major Depressive Disorder (MDD)</w:t>
      </w:r>
    </w:p>
    <w:p>
      <w:pPr>
        <w:pStyle w:val="TextBody"/>
        <w:spacing w:before="0" w:after="0"/>
        <w:ind w:left="0" w:right="0" w:hanging="0"/>
        <w:jc w:val="left"/>
        <w:rPr>
          <w:rFonts w:ascii="Times New Roman" w:hAnsi="Times New Roman"/>
          <w:sz w:val="15"/>
          <w:highlight w:val="white"/>
        </w:rPr>
      </w:pPr>
      <w:r>
        <w:rPr>
          <w:rFonts w:ascii="Times New Roman" w:hAnsi="Times New Roman"/>
          <w:sz w:val="15"/>
          <w:highlight w:val="white"/>
        </w:rPr>
        <w:t>MDD is a serious neurobiologically-based mood disorder, affecting approximately 16 million adults in the U.S., according to the NIMH.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Globally, MDD affects nearly 300 million people of all ages and is the leading cause of disability worldwide.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About VistaGen</w:t>
      </w:r>
    </w:p>
    <w:p>
      <w:pPr>
        <w:pStyle w:val="TextBody"/>
        <w:spacing w:before="0" w:after="0"/>
        <w:ind w:left="0" w:right="0" w:hanging="0"/>
        <w:jc w:val="left"/>
        <w:rPr>
          <w:rFonts w:ascii="Times New Roman" w:hAnsi="Times New Roman"/>
          <w:sz w:val="15"/>
        </w:rPr>
      </w:pPr>
      <w:r>
        <w:rPr>
          <w:rFonts w:ascii="Times New Roman" w:hAnsi="Times New Roman"/>
          <w:sz w:val="15"/>
        </w:rPr>
        <w:t>VistaGen Therapeutics is a clinical-stage biopharmaceutical company developing new generation medicines for CNS diseases and disorders where current treatments are inadequate, resulting in high unmet need. VistaGen's </w:t>
      </w:r>
      <w:r>
        <w:rPr>
          <w:rFonts w:ascii="Times New Roman" w:hAnsi="Times New Roman"/>
          <w:color w:val="0095DA"/>
          <w:sz w:val="15"/>
          <w:u w:val="single"/>
        </w:rPr>
        <w:t>pipeline</w:t>
      </w:r>
      <w:r>
        <w:rPr>
          <w:rFonts w:ascii="Times New Roman" w:hAnsi="Times New Roman"/>
          <w:sz w:val="15"/>
        </w:rPr>
        <w:t> includes three differentiated, clinical-stage CNS drug candidates, AV-101, PH10 and PH94B, each with an exceptional safety profile in all clinical studies to date and therapeutic potential in multiple large and growing CNS markets. For more information, please visit </w:t>
      </w:r>
      <w:r>
        <w:rPr>
          <w:rFonts w:ascii="Times New Roman" w:hAnsi="Times New Roman"/>
          <w:color w:val="0095DA"/>
          <w:sz w:val="15"/>
          <w:u w:val="single"/>
        </w:rPr>
        <w:t>www.vistagen.com </w:t>
      </w:r>
      <w:r>
        <w:rPr>
          <w:rFonts w:ascii="Times New Roman" w:hAnsi="Times New Roman"/>
          <w:sz w:val="15"/>
        </w:rPr>
        <w:t>and connect with VistaGen on </w:t>
      </w:r>
      <w:r>
        <w:rPr>
          <w:rFonts w:ascii="Times New Roman" w:hAnsi="Times New Roman"/>
          <w:color w:val="0095DA"/>
          <w:sz w:val="15"/>
          <w:u w:val="single"/>
        </w:rPr>
        <w:t>Twitter</w:t>
      </w:r>
      <w:r>
        <w:rPr>
          <w:rFonts w:ascii="Times New Roman" w:hAnsi="Times New Roman"/>
          <w:sz w:val="15"/>
        </w:rPr>
        <w:t>, </w:t>
      </w:r>
      <w:r>
        <w:rPr>
          <w:rFonts w:ascii="Times New Roman" w:hAnsi="Times New Roman"/>
          <w:color w:val="0095DA"/>
          <w:sz w:val="15"/>
          <w:u w:val="single"/>
        </w:rPr>
        <w:t>LinkedIn</w:t>
      </w:r>
      <w:r>
        <w:rPr>
          <w:rFonts w:ascii="Times New Roman" w:hAnsi="Times New Roman"/>
          <w:sz w:val="15"/>
        </w:rPr>
        <w:t> and </w:t>
      </w:r>
      <w:r>
        <w:rPr>
          <w:rFonts w:ascii="Times New Roman" w:hAnsi="Times New Roman"/>
          <w:color w:val="0095DA"/>
          <w:sz w:val="15"/>
          <w:u w:val="single"/>
        </w:rPr>
        <w:t>Facebook</w:t>
      </w:r>
      <w:r>
        <w:rPr>
          <w:rFonts w:ascii="Times New Roman" w:hAnsi="Times New Roman"/>
          <w:sz w:val="15"/>
        </w:rPr>
        <w: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Forward-Looking Statements</w:t>
      </w:r>
    </w:p>
    <w:p>
      <w:pPr>
        <w:pStyle w:val="TextBody"/>
        <w:spacing w:before="0" w:after="0"/>
        <w:ind w:left="0" w:right="0" w:hanging="0"/>
        <w:jc w:val="left"/>
        <w:rPr>
          <w:rFonts w:ascii="Times New Roman" w:hAnsi="Times New Roman"/>
          <w:sz w:val="15"/>
        </w:rPr>
      </w:pPr>
      <w:r>
        <w:rPr>
          <w:rFonts w:ascii="Times New Roman" w:hAnsi="Times New Roman"/>
          <w:sz w:val="15"/>
          <w:highlight w:val="white"/>
        </w:rPr>
        <w:t>This release contains various statements concerning VistaGen's future expectations, plans and prospects, including without limitation, our expectations regarding development and commercialization of our three drug candidates, (i) AV-101 for MDD, and specifically the completion of our ELEVATE study, NP, LID and suicidal ideation; (ii) PH94B for SAD; and (iii) PH10 for MDD. In addition, statements concerning the Company’s future expectations may include statements regarding intellectual property and commercial protection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including in AV-101 during the ELEVATE study, that cause us to discontinue further development, (ii) we may not be able to successfully demonstrate the safety and efficacy of our product candidates at each stage of clinical development, including for AV-101 during the ELEVATE study, (iii) 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(iv) decisions or actions of regulatory agencies may negatively affect the progress of, and our ability to proceed with, the ELEVATE study or other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w:t>
      </w:r>
      <w:r>
        <w:rPr>
          <w:rFonts w:ascii="Times New Roman" w:hAnsi="Times New Roman"/>
          <w:sz w:val="15"/>
        </w:rPr>
        <w:t xml:space="preserve"> </w:t>
      </w:r>
      <w:r>
        <w:rPr>
          <w:rFonts w:ascii="Times New Roman" w:hAnsi="Times New Roman"/>
          <w:color w:val="0095DA"/>
          <w:sz w:val="15"/>
          <w:u w:val="single"/>
        </w:rPr>
        <w:t>www.sec.gov</w:t>
      </w:r>
      <w:r>
        <w:rPr>
          <w:rFonts w:ascii="Times New Roman" w:hAnsi="Times New Roman"/>
          <w:sz w:val="15"/>
          <w:highlight w:val="white"/>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 w:name="pgbrk12"/>
      <w:bookmarkStart w:id="67" w:name="pgbrk12"/>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8" w:name="ftr9"/>
      <w:bookmarkEnd w:id="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69" w:name="pn5"/>
      <w:bookmarkEnd w:id="69"/>
      <w:r>
        <w:rPr>
          <w:rFonts w:ascii="Times New Roman" w:hAnsi="Times New Roman"/>
          <w:sz w:val="15"/>
        </w:rPr>
        <w:t>-2-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70" w:name="pb9"/>
      <w:bookmarkStart w:id="71" w:name="pb9"/>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72" w:name="hdr10"/>
      <w:bookmarkEnd w:id="7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Company Contact</w:t>
      </w:r>
    </w:p>
    <w:p>
      <w:pPr>
        <w:pStyle w:val="TextBody"/>
        <w:spacing w:before="0" w:after="0"/>
        <w:ind w:left="0" w:right="0" w:hanging="0"/>
        <w:jc w:val="left"/>
        <w:rPr>
          <w:rFonts w:ascii="Times New Roman" w:hAnsi="Times New Roman"/>
          <w:sz w:val="15"/>
        </w:rPr>
      </w:pPr>
      <w:r>
        <w:rPr>
          <w:rFonts w:ascii="Times New Roman" w:hAnsi="Times New Roman"/>
          <w:sz w:val="15"/>
        </w:rPr>
        <w:t>Mark A. McPartland</w:t>
      </w:r>
    </w:p>
    <w:p>
      <w:pPr>
        <w:pStyle w:val="TextBody"/>
        <w:spacing w:before="0" w:after="0"/>
        <w:ind w:left="0" w:right="0" w:hanging="0"/>
        <w:jc w:val="left"/>
        <w:rPr>
          <w:rFonts w:ascii="Times New Roman" w:hAnsi="Times New Roman"/>
          <w:sz w:val="15"/>
        </w:rPr>
      </w:pPr>
      <w:r>
        <w:rPr>
          <w:rFonts w:ascii="Times New Roman" w:hAnsi="Times New Roman"/>
          <w:sz w:val="15"/>
        </w:rPr>
        <w:t>VistaGen Therapeutics Inc.</w:t>
      </w:r>
    </w:p>
    <w:p>
      <w:pPr>
        <w:pStyle w:val="TextBody"/>
        <w:spacing w:before="0" w:after="0"/>
        <w:ind w:left="0" w:right="0" w:hanging="0"/>
        <w:jc w:val="left"/>
        <w:rPr>
          <w:rFonts w:ascii="Times New Roman" w:hAnsi="Times New Roman"/>
          <w:sz w:val="15"/>
        </w:rPr>
      </w:pPr>
      <w:r>
        <w:rPr>
          <w:rFonts w:ascii="Times New Roman" w:hAnsi="Times New Roman"/>
          <w:sz w:val="15"/>
        </w:rPr>
        <w:t>Phone: +1 (650) 577-3600</w:t>
      </w:r>
    </w:p>
    <w:p>
      <w:pPr>
        <w:pStyle w:val="TextBody"/>
        <w:spacing w:before="0" w:after="0"/>
        <w:ind w:left="0" w:right="0" w:hanging="0"/>
        <w:jc w:val="left"/>
        <w:rPr>
          <w:rFonts w:ascii="Times New Roman" w:hAnsi="Times New Roman"/>
          <w:sz w:val="15"/>
        </w:rPr>
      </w:pPr>
      <w:r>
        <w:rPr>
          <w:rFonts w:ascii="Times New Roman" w:hAnsi="Times New Roman"/>
          <w:sz w:val="15"/>
        </w:rPr>
        <w:t xml:space="preserve">Email: </w:t>
      </w:r>
      <w:r>
        <w:rPr>
          <w:rFonts w:ascii="Times New Roman" w:hAnsi="Times New Roman"/>
          <w:color w:val="000000"/>
          <w:sz w:val="15"/>
          <w:u w:val="single"/>
        </w:rPr>
        <w:t>IR@vistagen.com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Investor Contact</w:t>
      </w:r>
    </w:p>
    <w:p>
      <w:pPr>
        <w:pStyle w:val="TextBody"/>
        <w:spacing w:before="0" w:after="0"/>
        <w:ind w:left="0" w:right="0" w:hanging="0"/>
        <w:jc w:val="left"/>
        <w:rPr>
          <w:rFonts w:ascii="Times New Roman" w:hAnsi="Times New Roman"/>
          <w:sz w:val="15"/>
        </w:rPr>
      </w:pPr>
      <w:r>
        <w:rPr>
          <w:rFonts w:ascii="Times New Roman" w:hAnsi="Times New Roman"/>
          <w:sz w:val="15"/>
        </w:rPr>
        <w:t>Valter Pinto / Allison Soss</w:t>
      </w:r>
    </w:p>
    <w:p>
      <w:pPr>
        <w:pStyle w:val="TextBody"/>
        <w:spacing w:before="0" w:after="0"/>
        <w:ind w:left="0" w:right="0" w:hanging="0"/>
        <w:jc w:val="left"/>
        <w:rPr>
          <w:rFonts w:ascii="Times New Roman" w:hAnsi="Times New Roman"/>
          <w:sz w:val="15"/>
        </w:rPr>
      </w:pPr>
      <w:r>
        <w:rPr>
          <w:rFonts w:ascii="Times New Roman" w:hAnsi="Times New Roman"/>
          <w:sz w:val="15"/>
        </w:rPr>
        <w:t>KCSA Strategic Communications</w:t>
      </w:r>
    </w:p>
    <w:p>
      <w:pPr>
        <w:pStyle w:val="TextBody"/>
        <w:spacing w:before="0" w:after="0"/>
        <w:ind w:left="0" w:right="0" w:hanging="0"/>
        <w:jc w:val="left"/>
        <w:rPr>
          <w:rFonts w:ascii="Times New Roman" w:hAnsi="Times New Roman"/>
          <w:sz w:val="15"/>
        </w:rPr>
      </w:pPr>
      <w:r>
        <w:rPr>
          <w:rFonts w:ascii="Times New Roman" w:hAnsi="Times New Roman"/>
          <w:sz w:val="15"/>
        </w:rPr>
        <w:t>Phone: +1 (212) 896-1254/+1 (212) 896-1267</w:t>
      </w:r>
    </w:p>
    <w:p>
      <w:pPr>
        <w:pStyle w:val="TextBody"/>
        <w:spacing w:before="0" w:after="0"/>
        <w:ind w:left="0" w:right="0" w:hanging="0"/>
        <w:jc w:val="left"/>
        <w:rPr>
          <w:rFonts w:ascii="Times New Roman" w:hAnsi="Times New Roman"/>
          <w:sz w:val="15"/>
        </w:rPr>
      </w:pPr>
      <w:r>
        <w:rPr>
          <w:rFonts w:ascii="Times New Roman" w:hAnsi="Times New Roman"/>
          <w:sz w:val="15"/>
        </w:rPr>
        <w:t xml:space="preserve">Email: </w:t>
      </w:r>
      <w:r>
        <w:rPr>
          <w:rFonts w:ascii="Times New Roman" w:hAnsi="Times New Roman"/>
          <w:color w:val="000000"/>
          <w:sz w:val="15"/>
          <w:u w:val="single"/>
        </w:rPr>
        <w:t>VistaGen@KCSA.com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Media Contact</w:t>
      </w:r>
    </w:p>
    <w:p>
      <w:pPr>
        <w:pStyle w:val="TextBody"/>
        <w:spacing w:before="0" w:after="0"/>
        <w:ind w:left="0" w:right="0" w:hanging="0"/>
        <w:jc w:val="left"/>
        <w:rPr>
          <w:rFonts w:ascii="Times New Roman" w:hAnsi="Times New Roman"/>
          <w:sz w:val="15"/>
        </w:rPr>
      </w:pPr>
      <w:r>
        <w:rPr>
          <w:rFonts w:ascii="Times New Roman" w:hAnsi="Times New Roman"/>
          <w:sz w:val="15"/>
        </w:rPr>
        <w:t>Caitlin Kasunich / Lisa Lipson</w:t>
      </w:r>
    </w:p>
    <w:p>
      <w:pPr>
        <w:pStyle w:val="TextBody"/>
        <w:spacing w:before="0" w:after="0"/>
        <w:ind w:left="0" w:right="0" w:hanging="0"/>
        <w:jc w:val="left"/>
        <w:rPr>
          <w:rFonts w:ascii="Times New Roman" w:hAnsi="Times New Roman"/>
          <w:sz w:val="15"/>
        </w:rPr>
      </w:pPr>
      <w:r>
        <w:rPr>
          <w:rFonts w:ascii="Times New Roman" w:hAnsi="Times New Roman"/>
          <w:sz w:val="15"/>
        </w:rPr>
        <w:t>KCSA Strategic Communications</w:t>
      </w:r>
    </w:p>
    <w:p>
      <w:pPr>
        <w:pStyle w:val="TextBody"/>
        <w:spacing w:before="0" w:after="0"/>
        <w:ind w:left="0" w:right="0" w:hanging="0"/>
        <w:jc w:val="left"/>
        <w:rPr>
          <w:rFonts w:ascii="Times New Roman" w:hAnsi="Times New Roman"/>
          <w:sz w:val="15"/>
        </w:rPr>
      </w:pPr>
      <w:r>
        <w:rPr>
          <w:rFonts w:ascii="Times New Roman" w:hAnsi="Times New Roman"/>
          <w:sz w:val="15"/>
        </w:rPr>
        <w:t>Phone: +1 (212) 896-1241/+1 (508) 843-6428</w:t>
      </w:r>
    </w:p>
    <w:p>
      <w:pPr>
        <w:pStyle w:val="TextBody"/>
        <w:spacing w:before="0" w:after="0"/>
        <w:ind w:left="0" w:right="0" w:hanging="0"/>
        <w:jc w:val="left"/>
        <w:rPr>
          <w:rFonts w:ascii="Times New Roman" w:hAnsi="Times New Roman"/>
          <w:sz w:val="15"/>
        </w:rPr>
      </w:pPr>
      <w:r>
        <w:rPr>
          <w:rFonts w:ascii="Times New Roman" w:hAnsi="Times New Roman"/>
          <w:sz w:val="15"/>
        </w:rPr>
        <w:t xml:space="preserve">Email: </w:t>
      </w:r>
      <w:r>
        <w:rPr>
          <w:rFonts w:ascii="Times New Roman" w:hAnsi="Times New Roman"/>
          <w:color w:val="000000"/>
          <w:sz w:val="15"/>
          <w:u w:val="single"/>
        </w:rPr>
        <w:t>VistaGen@KCSA.com</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15"/>
        </w:rPr>
      </w:pPr>
      <w:r>
        <w:rPr>
          <w:rFonts w:ascii="Times New Roman" w:hAnsi="Times New Roman"/>
          <w:sz w:val="15"/>
        </w:rPr>
        <w: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 w:name="pgbrk13"/>
      <w:bookmarkStart w:id="74" w:name="pgbrk13"/>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75" w:name="ftr10"/>
      <w:bookmarkEnd w:id="7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76" w:name="pn6"/>
      <w:bookmarkEnd w:id="76"/>
      <w:r>
        <w:rPr>
          <w:rFonts w:ascii="Times New Roman" w:hAnsi="Times New Roman"/>
          <w:sz w:val="15"/>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77" w:name="pb10"/>
      <w:bookmarkStart w:id="78" w:name="pb10"/>
      <w:bookmarkEnd w:id="78"/>
    </w:p>
    <w:p>
      <w:pPr>
        <w:pStyle w:val="TextBody"/>
        <w:ind w:left="0" w:right="0" w:hanging="0"/>
        <w:rPr/>
      </w:pPr>
      <w:r>
        <w:rPr/>
      </w:r>
      <w:bookmarkStart w:id="79" w:name="pgbrk14"/>
      <w:bookmarkStart w:id="80" w:name="pgbrk14"/>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1" w:name="hdr11"/>
      <w:bookmarkEnd w:id="8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r>
        <w:rPr>
          <w:rFonts w:ascii="Times New Roman" w:hAnsi="Times New Roman"/>
          <w:b/>
          <w:sz w:val="15"/>
        </w:rPr>
        <w:t>Exhibit 99.3</w:t>
      </w:r>
    </w:p>
    <w:p>
      <w:pPr>
        <w:pStyle w:val="TextBody"/>
        <w:spacing w:before="0" w:after="0"/>
        <w:ind w:left="0" w:right="0" w:hanging="0"/>
        <w:jc w:val="center"/>
        <w:rPr/>
      </w:pPr>
      <w:r>
        <w:rPr/>
        <w:t xml:space="preserve">  </w:t>
      </w:r>
    </w:p>
    <w:p>
      <w:pPr>
        <w:pStyle w:val="TextBody"/>
        <w:spacing w:before="0" w:after="0"/>
        <w:ind w:left="0" w:right="0" w:hanging="0"/>
        <w:jc w:val="center"/>
        <w:rPr/>
      </w:pPr>
      <w:r>
        <w:rPr/>
        <w:t> </w:t>
      </w:r>
    </w:p>
    <w:p>
      <w:pPr>
        <w:pStyle w:val="TextBody"/>
        <w:spacing w:before="0" w:after="0"/>
        <w:ind w:left="0" w:right="0" w:hanging="0"/>
        <w:jc w:val="center"/>
        <w:rPr/>
      </w:pPr>
      <w:r>
        <w:rPr/>
        <w:drawing>
          <wp:inline distT="0" distB="0" distL="0" distR="0">
            <wp:extent cx="11087100" cy="8572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2" w:name="pgbrk15"/>
      <w:bookmarkStart w:id="83" w:name="pgbrk15"/>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4" w:name="ftr11"/>
      <w:bookmarkEnd w:id="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 w:name="pb11"/>
      <w:bookmarkStart w:id="86" w:name="pb11"/>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7" w:name="hdr12"/>
      <w:bookmarkEnd w:id="8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 w:name="pgbrk16"/>
      <w:bookmarkStart w:id="89" w:name="pgbrk16"/>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0" w:name="ftr12"/>
      <w:bookmarkEnd w:id="9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pb12"/>
      <w:bookmarkStart w:id="92" w:name="pb12"/>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3" w:name="hdr13"/>
      <w:bookmarkEnd w:id="9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 w:name="pgbrk17"/>
      <w:bookmarkStart w:id="95" w:name="pgbrk17"/>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6" w:name="ftr13"/>
      <w:bookmarkEnd w:id="9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 w:name="pb13"/>
      <w:bookmarkStart w:id="98" w:name="pb13"/>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9" w:name="hdr14"/>
      <w:bookmarkEnd w:id="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 w:name="pgbrk18"/>
      <w:bookmarkStart w:id="101" w:name="pgbrk18"/>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2" w:name="ftr14"/>
      <w:bookmarkEnd w:id="1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 w:name="pb14"/>
      <w:bookmarkStart w:id="104" w:name="pb14"/>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5" w:name="hdr15"/>
      <w:bookmarkEnd w:id="1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6" w:name="pgbrk19"/>
      <w:bookmarkStart w:id="107" w:name="pgbrk19"/>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8" w:name="ftr15"/>
      <w:bookmarkEnd w:id="10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 w:name="pb15"/>
      <w:bookmarkStart w:id="110" w:name="pb15"/>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1" w:name="hdr16"/>
      <w:bookmarkEnd w:id="1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 w:name="pgbrk20"/>
      <w:bookmarkStart w:id="113" w:name="pgbrk20"/>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4" w:name="ftr16"/>
      <w:bookmarkEnd w:id="1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 w:name="pb16"/>
      <w:bookmarkStart w:id="116" w:name="pb16"/>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7" w:name="hdr17"/>
      <w:bookmarkEnd w:id="1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8" w:name="pgbrk21"/>
      <w:bookmarkStart w:id="119" w:name="pgbrk21"/>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0" w:name="ftr17"/>
      <w:bookmarkEnd w:id="1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 w:name="pb17"/>
      <w:bookmarkStart w:id="122" w:name="pb17"/>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3" w:name="hdr18"/>
      <w:bookmarkEnd w:id="1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4" w:name="pgbrk22"/>
      <w:bookmarkStart w:id="125" w:name="pgbrk22"/>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6" w:name="ftr18"/>
      <w:bookmarkEnd w:id="12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 w:name="pb18"/>
      <w:bookmarkStart w:id="128" w:name="pb18"/>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9" w:name="hdr19"/>
      <w:bookmarkEnd w:id="1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0" w:name="pgbrk23"/>
      <w:bookmarkStart w:id="131" w:name="pgbrk23"/>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2" w:name="ftr19"/>
      <w:bookmarkEnd w:id="1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pb19"/>
      <w:bookmarkStart w:id="134" w:name="pb19"/>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5" w:name="hdr20"/>
      <w:bookmarkEnd w:id="13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6" w:name="pgbrk24"/>
      <w:bookmarkStart w:id="137" w:name="pgbrk24"/>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8" w:name="ftr20"/>
      <w:bookmarkEnd w:id="1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 w:name="pb20"/>
      <w:bookmarkStart w:id="140" w:name="pb20"/>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1" w:name="hdr21"/>
      <w:bookmarkEnd w:id="14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2" w:name="pgbrk25"/>
      <w:bookmarkStart w:id="143" w:name="pgbrk25"/>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4" w:name="ftr21"/>
      <w:bookmarkEnd w:id="1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 w:name="pb21"/>
      <w:bookmarkStart w:id="146" w:name="pb21"/>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7" w:name="hdr22"/>
      <w:bookmarkEnd w:id="1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8" w:name="pgbrk26"/>
      <w:bookmarkStart w:id="149" w:name="pgbrk26"/>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50" w:name="ftr22"/>
      <w:bookmarkEnd w:id="15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pb22"/>
      <w:bookmarkStart w:id="152" w:name="pb22"/>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53" w:name="hdr23"/>
      <w:bookmarkEnd w:id="15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4" w:name="pgbrk27"/>
      <w:bookmarkStart w:id="155" w:name="pgbrk27"/>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56" w:name="ftr23"/>
      <w:bookmarkEnd w:id="1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 w:name="pb23"/>
      <w:bookmarkStart w:id="158" w:name="pb23"/>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59" w:name="hdr24"/>
      <w:bookmarkEnd w:id="15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0" w:name="pgbrk28"/>
      <w:bookmarkStart w:id="161" w:name="pgbrk28"/>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62" w:name="ftr24"/>
      <w:bookmarkEnd w:id="16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3" w:name="pb24"/>
      <w:bookmarkStart w:id="164" w:name="pb24"/>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65" w:name="hdr25"/>
      <w:bookmarkEnd w:id="1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6" w:name="pgbrk29"/>
      <w:bookmarkStart w:id="167" w:name="pgbrk29"/>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68" w:name="ftr25"/>
      <w:bookmarkEnd w:id="1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 w:name="pb25"/>
      <w:bookmarkStart w:id="170" w:name="pb25"/>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71" w:name="hdr26"/>
      <w:bookmarkEnd w:id="17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2" w:name="pgbrk30"/>
      <w:bookmarkStart w:id="173" w:name="pgbrk30"/>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74" w:name="ftr26"/>
      <w:bookmarkEnd w:id="17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 w:name="pb26"/>
      <w:bookmarkStart w:id="176" w:name="pb26"/>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77" w:name="hdr27"/>
      <w:bookmarkEnd w:id="17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8" w:name="pgbrk31"/>
      <w:bookmarkStart w:id="179" w:name="pgbrk31"/>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80" w:name="ftr27"/>
      <w:bookmarkEnd w:id="18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1" w:name="pb27"/>
      <w:bookmarkStart w:id="182" w:name="pb27"/>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83" w:name="hdr28"/>
      <w:bookmarkEnd w:id="18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4" w:name="pgbrk32"/>
      <w:bookmarkStart w:id="185" w:name="pgbrk32"/>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86" w:name="ftr28"/>
      <w:bookmarkEnd w:id="18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pb28"/>
      <w:bookmarkStart w:id="188" w:name="pb28"/>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89" w:name="hdr29"/>
      <w:bookmarkEnd w:id="18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0" w:name="pgbrk33"/>
      <w:bookmarkStart w:id="191" w:name="pgbrk33"/>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92" w:name="ftr29"/>
      <w:bookmarkEnd w:id="19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3" w:name="pb29"/>
      <w:bookmarkStart w:id="194" w:name="pb29"/>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95" w:name="hdr30"/>
      <w:bookmarkEnd w:id="1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6" w:name="pgbrk34"/>
      <w:bookmarkStart w:id="197" w:name="pgbrk34"/>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98" w:name="ftr30"/>
      <w:bookmarkEnd w:id="19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 w:name="pb30"/>
      <w:bookmarkStart w:id="200" w:name="pb30"/>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01" w:name="hdr31"/>
      <w:bookmarkEnd w:id="20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2" w:name="pgbrk35"/>
      <w:bookmarkStart w:id="203" w:name="pgbrk35"/>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04" w:name="ftr31"/>
      <w:bookmarkEnd w:id="20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 w:name="pb31"/>
      <w:bookmarkStart w:id="206" w:name="pb31"/>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07" w:name="hdr32"/>
      <w:bookmarkEnd w:id="20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8" w:name="pgbrk36"/>
      <w:bookmarkStart w:id="209" w:name="pgbrk36"/>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10" w:name="ftr32"/>
      <w:bookmarkEnd w:id="21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 w:name="pb32"/>
      <w:bookmarkStart w:id="212" w:name="pb32"/>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13" w:name="hdr33"/>
      <w:bookmarkEnd w:id="21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4" w:name="pgbrk37"/>
      <w:bookmarkStart w:id="215" w:name="pgbrk37"/>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16" w:name="ftr33"/>
      <w:bookmarkEnd w:id="2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7" w:name="pb33"/>
      <w:bookmarkStart w:id="218" w:name="pb33"/>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19" w:name="hdr34"/>
      <w:bookmarkEnd w:id="21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0" w:name="pgbrk38"/>
      <w:bookmarkStart w:id="221" w:name="pgbrk38"/>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22" w:name="ftr34"/>
      <w:bookmarkEnd w:id="22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pb34"/>
      <w:bookmarkStart w:id="224" w:name="pb34"/>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25" w:name="hdr35"/>
      <w:bookmarkEnd w:id="2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 w:name="pgbrk39"/>
      <w:bookmarkStart w:id="227" w:name="pgbrk39"/>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28" w:name="ftr35"/>
      <w:bookmarkEnd w:id="2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9" w:name="pb35"/>
      <w:bookmarkStart w:id="230" w:name="pb35"/>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31" w:name="hdr36"/>
      <w:bookmarkEnd w:id="23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2" w:name="pgbrk40"/>
      <w:bookmarkStart w:id="233" w:name="pgbrk40"/>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34" w:name="ftr36"/>
      <w:bookmarkEnd w:id="23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5" w:name="pb36"/>
      <w:bookmarkStart w:id="236" w:name="pb36"/>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37" w:name="hdr37"/>
      <w:bookmarkEnd w:id="23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8" w:name="pgbrk41"/>
      <w:bookmarkStart w:id="239" w:name="pgbrk41"/>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40" w:name="ftr37"/>
      <w:bookmarkEnd w:id="24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1" w:name="pb37"/>
      <w:bookmarkStart w:id="242" w:name="pb37"/>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43" w:name="hdr38"/>
      <w:bookmarkEnd w:id="24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4" w:name="pgbrk42"/>
      <w:bookmarkStart w:id="245" w:name="pgbrk42"/>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46" w:name="ftr38"/>
      <w:bookmarkEnd w:id="24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pb38"/>
      <w:bookmarkStart w:id="248" w:name="pb38"/>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49" w:name="hdr39"/>
      <w:bookmarkEnd w:id="24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0" w:name="pgbrk43"/>
      <w:bookmarkStart w:id="251" w:name="pgbrk43"/>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52" w:name="ftr39"/>
      <w:bookmarkEnd w:id="25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3" w:name="pb39"/>
      <w:bookmarkStart w:id="254" w:name="pb39"/>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55" w:name="hdr40"/>
      <w:bookmarkEnd w:id="25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6" w:name="pgbrk44"/>
      <w:bookmarkStart w:id="257" w:name="pgbrk44"/>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58" w:name="ftr40"/>
      <w:bookmarkEnd w:id="25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9" w:name="pb40"/>
      <w:bookmarkStart w:id="260" w:name="pb40"/>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61" w:name="hdr41"/>
      <w:bookmarkEnd w:id="26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2" w:name="pgbrk45"/>
      <w:bookmarkStart w:id="263" w:name="pgbrk45"/>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64" w:name="ftr41"/>
      <w:bookmarkEnd w:id="26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5" w:name="pb41"/>
      <w:bookmarkStart w:id="266" w:name="pb41"/>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67" w:name="hdr42"/>
      <w:bookmarkEnd w:id="26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8" w:name="pgbrk46"/>
      <w:bookmarkStart w:id="269" w:name="pgbrk46"/>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70" w:name="ftr42"/>
      <w:bookmarkEnd w:id="27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1" w:name="pb42"/>
      <w:bookmarkStart w:id="272" w:name="pb42"/>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73" w:name="hdr43"/>
      <w:bookmarkEnd w:id="27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4" w:name="pgbrk47"/>
      <w:bookmarkStart w:id="275" w:name="pgbrk47"/>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76" w:name="ftr43"/>
      <w:bookmarkEnd w:id="27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 w:name="pb43"/>
      <w:bookmarkStart w:id="278" w:name="pb43"/>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79" w:name="hdr44"/>
      <w:bookmarkEnd w:id="27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0" w:name="pgbrk48"/>
      <w:bookmarkStart w:id="281" w:name="pgbrk48"/>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82" w:name="ftr44"/>
      <w:bookmarkEnd w:id="28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3" w:name="pb44"/>
      <w:bookmarkStart w:id="284" w:name="pb44"/>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85" w:name="hdr45"/>
      <w:bookmarkEnd w:id="28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6" w:name="pgbrk49"/>
      <w:bookmarkStart w:id="287" w:name="pgbrk49"/>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88" w:name="ftr45"/>
      <w:bookmarkEnd w:id="28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9" w:name="pb45"/>
      <w:bookmarkStart w:id="290" w:name="pb45"/>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91" w:name="hdr46"/>
      <w:bookmarkEnd w:id="2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2" w:name="pgbrk50"/>
      <w:bookmarkStart w:id="293" w:name="pgbrk50"/>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94" w:name="ftr46"/>
      <w:bookmarkEnd w:id="29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5" w:name="pb46"/>
      <w:bookmarkStart w:id="296" w:name="pb46"/>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97" w:name="hdr47"/>
      <w:bookmarkEnd w:id="29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8" w:name="pgbrk51"/>
      <w:bookmarkStart w:id="299" w:name="pgbrk51"/>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00" w:name="ftr47"/>
      <w:bookmarkEnd w:id="30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1" w:name="pb47"/>
      <w:bookmarkStart w:id="302" w:name="pb47"/>
      <w:bookmarkEnd w:id="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03" w:name="hdr48"/>
      <w:bookmarkEnd w:id="30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4" w:name="pgbrk52"/>
      <w:bookmarkStart w:id="305" w:name="pgbrk52"/>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06" w:name="ftr48"/>
      <w:bookmarkEnd w:id="30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7" w:name="pb48"/>
      <w:bookmarkStart w:id="308" w:name="pb48"/>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09" w:name="hdr49"/>
      <w:bookmarkEnd w:id="30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0" w:name="pgbrk53"/>
      <w:bookmarkStart w:id="311" w:name="pgbrk53"/>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12" w:name="ftr49"/>
      <w:bookmarkEnd w:id="3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3" w:name="pb49"/>
      <w:bookmarkStart w:id="314" w:name="pb49"/>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15" w:name="hdr50"/>
      <w:bookmarkEnd w:id="31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6" w:name="pgbrk54"/>
      <w:bookmarkStart w:id="317" w:name="pgbrk54"/>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18" w:name="ftr50"/>
      <w:bookmarkEnd w:id="3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9" w:name="pb50"/>
      <w:bookmarkStart w:id="320" w:name="pb50"/>
      <w:bookmarkEnd w:id="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21" w:name="hdr51"/>
      <w:bookmarkEnd w:id="32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2" w:name="pgbrk55"/>
      <w:bookmarkStart w:id="323" w:name="pgbrk55"/>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24" w:name="ftr51"/>
      <w:bookmarkEnd w:id="32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5" w:name="pb51"/>
      <w:bookmarkStart w:id="326" w:name="pb51"/>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27" w:name="hdr52"/>
      <w:bookmarkEnd w:id="3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8" w:name="pgbrk56"/>
      <w:bookmarkStart w:id="329" w:name="pgbrk56"/>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30" w:name="ftr52"/>
      <w:bookmarkEnd w:id="33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1" w:name="pb52"/>
      <w:bookmarkStart w:id="332" w:name="pb52"/>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33" w:name="hdr53"/>
      <w:bookmarkEnd w:id="333"/>
      <w:r>
        <w:rPr/>
        <w:t>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3379</Words>
  <CharactersWithSpaces>23634</CharactersWithSpaces>
  <Paragraphs>664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