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July 18, 2014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000-54014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20-5093315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343 Allerton Avenue, South San Francisco, California 94080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577-3600</w:t>
      </w:r>
    </w:p>
    <w:p>
      <w:pPr>
        <w:spacing w:after="0" w:line="27" w:lineRule="exact"/>
        <w:rPr>
          <w:rFonts w:ascii="Times New Roman" w:cs="Times New Roman" w:eastAsia="Times New Roman" w:hAnsi="Times New Roman"/>
          <w:sz w:val="18"/>
          <w:szCs w:val="18"/>
          <w:u w:val="single" w:color="auto"/>
          <w:color w:val="auto"/>
        </w:rPr>
      </w:pPr>
    </w:p>
    <w:p>
      <w:pPr>
        <w:ind w:left="454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4"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18"/>
          <w:szCs w:val="18"/>
          <w:color w:val="auto"/>
        </w:rPr>
        <w:t>On July 18, 2014,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the Company’s largest investor, entered into an Amended and Restated Note Conversion Agreement and Warrant Amendment, a copy of which is attached hereto as Exhibit 10.1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wherein Platinum agreed to convert into unregistered equity securities of the Company all Senior Secured Convertible Promissory Notes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currently held by Platinum, in the aggregate amount of approximately $4.1 million, including accrued but unpaid interest thereon (the “</w:t>
      </w:r>
      <w:r>
        <w:rPr>
          <w:rFonts w:ascii="Times New Roman" w:cs="Times New Roman" w:eastAsia="Times New Roman" w:hAnsi="Times New Roman"/>
          <w:sz w:val="18"/>
          <w:szCs w:val="18"/>
          <w:i w:val="1"/>
          <w:iCs w:val="1"/>
          <w:color w:val="auto"/>
        </w:rPr>
        <w:t>Outstanding Balance</w:t>
      </w:r>
      <w:r>
        <w:rPr>
          <w:rFonts w:ascii="Times New Roman" w:cs="Times New Roman" w:eastAsia="Times New Roman" w:hAnsi="Times New Roman"/>
          <w:sz w:val="18"/>
          <w:szCs w:val="18"/>
          <w:color w:val="auto"/>
        </w:rPr>
        <w:t>”), upon the Company’s consummation on or before August 31, 2014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of either (i) a private equity financing resulting in aggregate gross proceeds of at least $36.0 million (a “</w:t>
      </w:r>
      <w:r>
        <w:rPr>
          <w:rFonts w:ascii="Times New Roman" w:cs="Times New Roman" w:eastAsia="Times New Roman" w:hAnsi="Times New Roman"/>
          <w:sz w:val="18"/>
          <w:szCs w:val="18"/>
          <w:i w:val="1"/>
          <w:iCs w:val="1"/>
          <w:color w:val="auto"/>
        </w:rPr>
        <w:t>Private Financing</w:t>
      </w:r>
      <w:r>
        <w:rPr>
          <w:rFonts w:ascii="Times New Roman" w:cs="Times New Roman" w:eastAsia="Times New Roman" w:hAnsi="Times New Roman"/>
          <w:sz w:val="18"/>
          <w:szCs w:val="18"/>
          <w:color w:val="auto"/>
        </w:rPr>
        <w:t>”), or (ii) a registered equity financing resulting in gross proceeds of $10.0 million or more (the “</w:t>
      </w:r>
      <w:r>
        <w:rPr>
          <w:rFonts w:ascii="Times New Roman" w:cs="Times New Roman" w:eastAsia="Times New Roman" w:hAnsi="Times New Roman"/>
          <w:sz w:val="18"/>
          <w:szCs w:val="18"/>
          <w:i w:val="1"/>
          <w:iCs w:val="1"/>
          <w:color w:val="auto"/>
        </w:rPr>
        <w:t>Public Financing</w:t>
      </w:r>
      <w:r>
        <w:rPr>
          <w:rFonts w:ascii="Times New Roman" w:cs="Times New Roman" w:eastAsia="Times New Roman" w:hAnsi="Times New Roman"/>
          <w:sz w:val="18"/>
          <w:szCs w:val="18"/>
          <w:color w:val="auto"/>
        </w:rPr>
        <w:t>”) (the Private Financing and Public Financing are referred to herein as a “</w:t>
      </w:r>
      <w:r>
        <w:rPr>
          <w:rFonts w:ascii="Times New Roman" w:cs="Times New Roman" w:eastAsia="Times New Roman" w:hAnsi="Times New Roman"/>
          <w:sz w:val="18"/>
          <w:szCs w:val="18"/>
          <w:i w:val="1"/>
          <w:iCs w:val="1"/>
          <w:color w:val="auto"/>
        </w:rPr>
        <w:t>Qualified Financing</w:t>
      </w:r>
      <w:r>
        <w:rPr>
          <w:rFonts w:ascii="Times New Roman" w:cs="Times New Roman" w:eastAsia="Times New Roman" w:hAnsi="Times New Roman"/>
          <w:sz w:val="18"/>
          <w:szCs w:val="18"/>
          <w:color w:val="auto"/>
        </w:rPr>
        <w:t>”). Upon consummation of a Private Financing, the Notes will convert into that number of unregistered shares of the Company’s common stock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equal to the Outstanding Balance on the Closing Date, divided by $0.50 per share. In the event the Company consummates a Public Financing,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convert into shares of newly created Series B Convertible Preferred Stock with an aggregate liquidation preference equal to the Outstanding Balance on the Closing Date.</w:t>
      </w:r>
    </w:p>
    <w:p>
      <w:pPr>
        <w:spacing w:after="0" w:line="195"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Additionally, pursuant to the terms and conditions of the Amendment, in the event the Company consummates a Qualified Financing on or before the Closing Date, the exercise price of all warrants issued by the Company to Platinum in connection with the Notes, and warrants that still may be issued pursuant to the Note Exchange and Purchase Agreement, by and between the Company and Platinum, dated October 11, 2012 (the “</w:t>
      </w:r>
      <w:r>
        <w:rPr>
          <w:rFonts w:ascii="Times New Roman" w:cs="Times New Roman" w:eastAsia="Times New Roman" w:hAnsi="Times New Roman"/>
          <w:sz w:val="18"/>
          <w:szCs w:val="18"/>
          <w:i w:val="1"/>
          <w:iCs w:val="1"/>
          <w:color w:val="auto"/>
        </w:rPr>
        <w:t>NEPA</w:t>
      </w:r>
      <w:r>
        <w:rPr>
          <w:rFonts w:ascii="Times New Roman" w:cs="Times New Roman" w:eastAsia="Times New Roman" w:hAnsi="Times New Roman"/>
          <w:sz w:val="18"/>
          <w:szCs w:val="18"/>
          <w:color w:val="auto"/>
        </w:rPr>
        <w:t>”), if any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will be fixed at $0.50 per share or the purchase price of Common Stock sold in the Qualified Financing, whichever is lower. Finally, the anti-dilutive provisions contained in the Warrants, other than typical adjustments for stock splits, combinations and dividends, will be terminated.</w:t>
      </w:r>
    </w:p>
    <w:p>
      <w:pPr>
        <w:spacing w:after="0" w:line="184" w:lineRule="exact"/>
        <w:rPr>
          <w:sz w:val="20"/>
          <w:szCs w:val="20"/>
          <w:color w:val="auto"/>
        </w:rPr>
      </w:pPr>
    </w:p>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Platinum also agreed to terminate the Amended and Restated Security Agreement, Intellectual Property Security and Stock Pledge Agreement and Negative Covenant Agreement, each dated October 11, 2012, related to the Notes, and release all of its security interests in the assets of the Company and its subsidiaries in connection with the Company’s completion of a Qualified Financing and conversion of the Notes.</w:t>
      </w:r>
    </w:p>
    <w:p>
      <w:pPr>
        <w:spacing w:after="0" w:line="176"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and the NEPA do not purport to be complete, and are qualified in their entirety by reference to the full text of the Amendment, which is attached hereto as Exhibit 10.1, and the NEPA attached as Exhibit 10.1 to the Current Report on Form 8-K filed with the Securities and Exchange Commission on October 16, 2012, both of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7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July 22,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Shawn K. Singh</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Amended and Restated Note Conversion Agreement and Warrant Amendment, by and between VistaGen Therapeutics, Inc. and Platinum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 Term Growth VII, LLC, dated July 18,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4" w:name="page5"/>
    <w:bookmarkEnd w:id="4"/>
    <w:p>
      <w:pPr>
        <w:ind w:left="104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CONVERSION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AMENDMENT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NOTE CONVERSION AGREEMENT AND WARRANT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 July 18, 2014, by and between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Platinum Long Term Growth VII, LLC, a Delaware limited liability company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Platinum is the holder of certain Senior Secured Convertible Promissory Notes of the Company, issued on the dates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secure the Company’s obligations to Platinum under the terms of the Notes, the Company and Platinum entered into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and Restated Security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xml:space="preserve">”), pursuant to which Platinum was granted a security interest in substantially all of the Company’s assets; and (ii) a Negative Covenant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Negative Covenant</w:t>
      </w:r>
      <w:r>
        <w:rPr>
          <w:rFonts w:ascii="Times New Roman" w:cs="Times New Roman" w:eastAsia="Times New Roman" w:hAnsi="Times New Roman"/>
          <w:sz w:val="18"/>
          <w:szCs w:val="18"/>
          <w:color w:val="auto"/>
        </w:rPr>
        <w:t>”), prohibiting VistaGen Therapeutics, Inc., a California corporation and wholly owned subsidiary of the Company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and Artemis Neuroscience, Inc., a Maryland corporation and wholly owned subsidiary of VistaGen California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from incurring, among other things, certain kinds of liens or indebtedness, and from agreeing to any merger or other organizational change;</w:t>
      </w:r>
    </w:p>
    <w:p>
      <w:pPr>
        <w:spacing w:after="0" w:line="21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addition, the Company, the Subsidiaries and Platinum entered into the Intellectual Property and Stock Pledge Agreement,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IP Security Agreement</w:t>
      </w:r>
      <w:r>
        <w:rPr>
          <w:rFonts w:ascii="Times New Roman" w:cs="Times New Roman" w:eastAsia="Times New Roman" w:hAnsi="Times New Roman"/>
          <w:sz w:val="18"/>
          <w:szCs w:val="18"/>
          <w:color w:val="auto"/>
        </w:rPr>
        <w:t>”), pursuant to which Platinum was granted a security interest in (i) all intellectual property of VistaGen California, and (ii) all of the capital stock and other equity interests of VistaGen California in Artemis;</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proposed to sell shares of its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in a private equity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contemplating gross proceeds of at least $36.0 million at a per share Common Stock price of at least $.50 (the “</w:t>
      </w:r>
      <w:r>
        <w:rPr>
          <w:rFonts w:ascii="Times New Roman" w:cs="Times New Roman" w:eastAsia="Times New Roman" w:hAnsi="Times New Roman"/>
          <w:sz w:val="18"/>
          <w:szCs w:val="18"/>
          <w:i w:val="1"/>
          <w:iCs w:val="1"/>
          <w:color w:val="auto"/>
        </w:rPr>
        <w:t>Private Financing</w:t>
      </w:r>
      <w:r>
        <w:rPr>
          <w:rFonts w:ascii="Times New Roman" w:cs="Times New Roman" w:eastAsia="Times New Roman" w:hAnsi="Times New Roman"/>
          <w:sz w:val="18"/>
          <w:szCs w:val="18"/>
          <w:color w:val="auto"/>
        </w:rPr>
        <w:t>”), and in light thereof Platinum and the Company entered into a Note Conversion Agreement, dated April 4, 2013 (“</w:t>
      </w:r>
      <w:r>
        <w:rPr>
          <w:rFonts w:ascii="Times New Roman" w:cs="Times New Roman" w:eastAsia="Times New Roman" w:hAnsi="Times New Roman"/>
          <w:sz w:val="18"/>
          <w:szCs w:val="18"/>
          <w:i w:val="1"/>
          <w:iCs w:val="1"/>
          <w:color w:val="auto"/>
        </w:rPr>
        <w:t>Original Agreement</w:t>
      </w:r>
      <w:r>
        <w:rPr>
          <w:rFonts w:ascii="Times New Roman" w:cs="Times New Roman" w:eastAsia="Times New Roman" w:hAnsi="Times New Roman"/>
          <w:sz w:val="18"/>
          <w:szCs w:val="18"/>
          <w:color w:val="auto"/>
        </w:rPr>
        <w:t>”), providing for the conversion of the Notes into shares of the Company’s Common Stock upon consummation of the Private Financing in the event the Private Financing was consummated on or prior to April 30, 2013;</w:t>
      </w:r>
    </w:p>
    <w:p>
      <w:pPr>
        <w:spacing w:after="0" w:line="20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Private Financing has not yet closed, and the Company has filed a registration statement with the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to provide it with the opportunity to consummate a public Common Stock financing transaction resulting in gross proceeds to the Company of at least $10.0 million in lieu of or in addition to the Private Financing (the “</w:t>
      </w:r>
      <w:r>
        <w:rPr>
          <w:rFonts w:ascii="Times New Roman" w:cs="Times New Roman" w:eastAsia="Times New Roman" w:hAnsi="Times New Roman"/>
          <w:sz w:val="18"/>
          <w:szCs w:val="18"/>
          <w:i w:val="1"/>
          <w:iCs w:val="1"/>
          <w:color w:val="auto"/>
        </w:rPr>
        <w:t>Public Financing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Private Financing or the Public Financing, as the case may be (in either event and on the terms set forth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herein, the “</w:t>
      </w:r>
      <w:r>
        <w:rPr>
          <w:rFonts w:ascii="Times New Roman" w:cs="Times New Roman" w:eastAsia="Times New Roman" w:hAnsi="Times New Roman"/>
          <w:sz w:val="18"/>
          <w:szCs w:val="18"/>
          <w:i w:val="1"/>
          <w:iCs w:val="1"/>
          <w:color w:val="auto"/>
        </w:rPr>
        <w:t>Qualified Financing</w:t>
      </w:r>
      <w:r>
        <w:rPr>
          <w:rFonts w:ascii="Times New Roman" w:cs="Times New Roman" w:eastAsia="Times New Roman" w:hAnsi="Times New Roman"/>
          <w:sz w:val="18"/>
          <w:szCs w:val="18"/>
          <w:color w:val="auto"/>
        </w:rPr>
        <w:t>”), the Company has requested that Platinum convert the principal balance and all accrued but unpaid interest due and owing Platinum under the terms of the Notes (the “</w:t>
      </w:r>
      <w:r>
        <w:rPr>
          <w:rFonts w:ascii="Times New Roman" w:cs="Times New Roman" w:eastAsia="Times New Roman" w:hAnsi="Times New Roman"/>
          <w:sz w:val="18"/>
          <w:szCs w:val="18"/>
          <w:i w:val="1"/>
          <w:iCs w:val="1"/>
          <w:color w:val="auto"/>
        </w:rPr>
        <w:t>Outstanding Balance</w:t>
      </w:r>
      <w:r>
        <w:rPr>
          <w:rFonts w:ascii="Times New Roman" w:cs="Times New Roman" w:eastAsia="Times New Roman" w:hAnsi="Times New Roman"/>
          <w:sz w:val="18"/>
          <w:szCs w:val="18"/>
          <w:color w:val="auto"/>
        </w:rPr>
        <w:t>”) into shares of the Company’s equity securities (the “</w:t>
      </w:r>
      <w:r>
        <w:rPr>
          <w:rFonts w:ascii="Times New Roman" w:cs="Times New Roman" w:eastAsia="Times New Roman" w:hAnsi="Times New Roman"/>
          <w:sz w:val="18"/>
          <w:szCs w:val="18"/>
          <w:i w:val="1"/>
          <w:iCs w:val="1"/>
          <w:color w:val="auto"/>
        </w:rPr>
        <w:t>Note Conversion</w:t>
      </w:r>
      <w:r>
        <w:rPr>
          <w:rFonts w:ascii="Times New Roman" w:cs="Times New Roman" w:eastAsia="Times New Roman" w:hAnsi="Times New Roman"/>
          <w:sz w:val="18"/>
          <w:szCs w:val="18"/>
          <w:color w:val="auto"/>
        </w:rPr>
        <w:t>”), and to terminate the Security Agreement, Negative Covenant and IP Security Agreement (together, the “</w:t>
      </w:r>
      <w:r>
        <w:rPr>
          <w:rFonts w:ascii="Times New Roman" w:cs="Times New Roman" w:eastAsia="Times New Roman" w:hAnsi="Times New Roman"/>
          <w:sz w:val="18"/>
          <w:szCs w:val="18"/>
          <w:i w:val="1"/>
          <w:iCs w:val="1"/>
          <w:color w:val="auto"/>
        </w:rPr>
        <w:t>Security Agreements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Platinum desire to amend and restate the Original Agreement to provide for the Note Conversion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 Qualified Financing on the terms set forth herein; and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that Platinum agree to fix the exercise price of certain warrants issued to Platinum prior to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more particularly set forth herein (the “</w:t>
      </w:r>
      <w:r>
        <w:rPr>
          <w:rFonts w:ascii="Times New Roman" w:cs="Times New Roman" w:eastAsia="Times New Roman" w:hAnsi="Times New Roman"/>
          <w:sz w:val="18"/>
          <w:szCs w:val="18"/>
          <w:i w:val="1"/>
          <w:iCs w:val="1"/>
          <w:color w:val="auto"/>
        </w:rPr>
        <w:t>Warrant Amendments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agreements set forth herein, the parties hereto agree as follows: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left="1240" w:hanging="584"/>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Conversion</w:t>
      </w:r>
      <w:r>
        <w:rPr>
          <w:rFonts w:ascii="Times New Roman" w:cs="Times New Roman" w:eastAsia="Times New Roman" w:hAnsi="Times New Roman"/>
          <w:sz w:val="18"/>
          <w:szCs w:val="18"/>
          <w:color w:val="auto"/>
        </w:rPr>
        <w:t>. Subject to the satisfaction or waiver, on or prior to August 31, 2014, of the conditions to closing set forth in Sections 7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of this Agreement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the Outstanding Balance due Platinum under the terms of the Notes shall convert:</w:t>
      </w:r>
    </w:p>
    <w:p>
      <w:pPr>
        <w:spacing w:after="0" w:line="224" w:lineRule="exact"/>
        <w:rPr>
          <w:rFonts w:ascii="Times New Roman" w:cs="Times New Roman" w:eastAsia="Times New Roman" w:hAnsi="Times New Roman"/>
          <w:sz w:val="18"/>
          <w:szCs w:val="18"/>
          <w:color w:val="auto"/>
        </w:rPr>
      </w:pPr>
    </w:p>
    <w:p>
      <w:pPr>
        <w:ind w:firstLine="1451"/>
        <w:spacing w:after="0" w:line="258" w:lineRule="auto"/>
        <w:tabs>
          <w:tab w:leader="none" w:pos="1762"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conversion is caused by the consummation of the Private Financing, a number of shares of Common Stock as is equal to the Outstanding Balance as of the Closing Date divided by $.50 per share; or</w:t>
      </w:r>
    </w:p>
    <w:p>
      <w:pPr>
        <w:spacing w:after="0" w:line="185" w:lineRule="exact"/>
        <w:rPr>
          <w:rFonts w:ascii="Times New Roman" w:cs="Times New Roman" w:eastAsia="Times New Roman" w:hAnsi="Times New Roman"/>
          <w:sz w:val="22"/>
          <w:szCs w:val="22"/>
          <w:color w:val="auto"/>
        </w:rPr>
      </w:pPr>
    </w:p>
    <w:p>
      <w:pPr>
        <w:jc w:val="both"/>
        <w:ind w:firstLine="1362"/>
        <w:spacing w:after="0" w:line="238" w:lineRule="auto"/>
        <w:tabs>
          <w:tab w:leader="none" w:pos="166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conversion is caused by the consummation of the Public Financing, shares of Series B Preferred Stock of the Company (“</w:t>
      </w:r>
      <w:r>
        <w:rPr>
          <w:rFonts w:ascii="Times New Roman" w:cs="Times New Roman" w:eastAsia="Times New Roman" w:hAnsi="Times New Roman"/>
          <w:sz w:val="22"/>
          <w:szCs w:val="22"/>
          <w:i w:val="1"/>
          <w:iCs w:val="1"/>
          <w:color w:val="auto"/>
        </w:rPr>
        <w:t>Preferred Shares</w:t>
      </w:r>
      <w:r>
        <w:rPr>
          <w:rFonts w:ascii="Times New Roman" w:cs="Times New Roman" w:eastAsia="Times New Roman" w:hAnsi="Times New Roman"/>
          <w:sz w:val="22"/>
          <w:szCs w:val="22"/>
          <w:color w:val="auto"/>
        </w:rPr>
        <w:t xml:space="preserve">”) with an aggregate liquidation preference equal to the Outstanding Balance as of the Closing Date, with a conversion price equal to the lesser of (i) $.50 and (ii) the lowest per-share Common Stock price sold in the Public Financing. The terms of the Preferred Shares shall be as set forth in the Certificate of Designation of the Relative Rights and Preferences of the Series B Convertible Preferred Stock set forth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21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Common Stock or Preferred Shares received by Platinum on the Closing Date are referred to as the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herein. Notwithstanding clause (a) above, in the event that the issuance to Platinum of Common Stock in connection with a conversion caused by the consummation of the Private Financing, when aggregated with all other shares of Common Stock beneficially owned by Platinum at such time, would result in Platinum beneficially owning (as determined in accordance with Section 13(d) of the Exchange Act and the rules thereunder) in excess of 9.9% of the Common Stock outstanding at such time (the “</w:t>
      </w:r>
      <w:r>
        <w:rPr>
          <w:rFonts w:ascii="Times New Roman" w:cs="Times New Roman" w:eastAsia="Times New Roman" w:hAnsi="Times New Roman"/>
          <w:sz w:val="18"/>
          <w:szCs w:val="18"/>
          <w:i w:val="1"/>
          <w:iCs w:val="1"/>
          <w:color w:val="auto"/>
        </w:rPr>
        <w:t>9.9% Threshold</w:t>
      </w:r>
      <w:r>
        <w:rPr>
          <w:rFonts w:ascii="Times New Roman" w:cs="Times New Roman" w:eastAsia="Times New Roman" w:hAnsi="Times New Roman"/>
          <w:sz w:val="18"/>
          <w:szCs w:val="18"/>
          <w:color w:val="auto"/>
        </w:rPr>
        <w:t>”), that portion of the Outstanding Amount of the Notes that would exceed (when converted hereunder) the 9.9% Threshold shall convert pursuant to clause (b) above into Preferred Shares.</w:t>
      </w:r>
    </w:p>
    <w:p>
      <w:pPr>
        <w:spacing w:after="0" w:line="185" w:lineRule="exact"/>
        <w:rPr>
          <w:sz w:val="20"/>
          <w:szCs w:val="20"/>
          <w:color w:val="auto"/>
        </w:rPr>
      </w:pPr>
    </w:p>
    <w:p>
      <w:pPr>
        <w:jc w:val="both"/>
        <w:ind w:firstLine="656"/>
        <w:spacing w:after="0" w:line="256" w:lineRule="auto"/>
        <w:tabs>
          <w:tab w:leader="none" w:pos="1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Conversion/Termination of Notes</w:t>
      </w:r>
      <w:r>
        <w:rPr>
          <w:rFonts w:ascii="Times New Roman" w:cs="Times New Roman" w:eastAsia="Times New Roman" w:hAnsi="Times New Roman"/>
          <w:sz w:val="18"/>
          <w:szCs w:val="18"/>
          <w:color w:val="auto"/>
        </w:rPr>
        <w:t>. On the Closing Date, the Company shall deliver (i) to Platinum written notice of the closing of the Qualified Financing (the “</w:t>
      </w:r>
      <w:r>
        <w:rPr>
          <w:rFonts w:ascii="Times New Roman" w:cs="Times New Roman" w:eastAsia="Times New Roman" w:hAnsi="Times New Roman"/>
          <w:sz w:val="18"/>
          <w:szCs w:val="18"/>
          <w:i w:val="1"/>
          <w:iCs w:val="1"/>
          <w:color w:val="auto"/>
        </w:rPr>
        <w:t>QF Notice</w:t>
      </w:r>
      <w:r>
        <w:rPr>
          <w:rFonts w:ascii="Times New Roman" w:cs="Times New Roman" w:eastAsia="Times New Roman" w:hAnsi="Times New Roman"/>
          <w:sz w:val="18"/>
          <w:szCs w:val="18"/>
          <w:color w:val="auto"/>
        </w:rPr>
        <w:t>”); and (ii) to the Company’s transfer agent an irrevocable notice to issue and deliver to Platinum a certificate or certificates or other document evidencing the Conversion Shares providing for delivery of the same within 5 days of the Closing Date (the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together with evidence reasonably satisfactory to Platinum that the terms of such financing shall have constituted a “Qualified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Upon receipt by Platinum of the QF Notice and Conversion Instructions, and the effectuation of the Closing hereunder, the Notes shall be deemed paid in full, including accrued interest thereon, and all rights of Platinum under the Notes shall terminate and be of no further force and effect.</w:t>
      </w:r>
    </w:p>
    <w:p>
      <w:pPr>
        <w:spacing w:after="0" w:line="214"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Security Agreement, Negative Covenant and IP Security Agreement</w:t>
      </w:r>
      <w:r>
        <w:rPr>
          <w:rFonts w:ascii="Times New Roman" w:cs="Times New Roman" w:eastAsia="Times New Roman" w:hAnsi="Times New Roman"/>
          <w:sz w:val="18"/>
          <w:szCs w:val="18"/>
          <w:color w:val="auto"/>
        </w:rPr>
        <w:t xml:space="preserve">. On the Closing Date, the Security Agreements shall terminate and be of no further force and effect, and Platinum shall execute any release, termination statement, or other document reasonably requested by the Company necessary to release Platinum’s security or other interest in and to any asset of the Company and the Subsidiaries granted or issued to Platinum under the terms of the Security Agreements, including by way of example and not by limitation, Platinum’s security interest in and to any and all intellectual property of VistaGen California, as described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jc w:val="both"/>
        <w:ind w:firstLine="656"/>
        <w:spacing w:after="0" w:line="252" w:lineRule="auto"/>
        <w:tabs>
          <w:tab w:leader="none" w:pos="1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Amendments</w:t>
      </w:r>
      <w:r>
        <w:rPr>
          <w:rFonts w:ascii="Times New Roman" w:cs="Times New Roman" w:eastAsia="Times New Roman" w:hAnsi="Times New Roman"/>
          <w:sz w:val="18"/>
          <w:szCs w:val="18"/>
          <w:color w:val="auto"/>
        </w:rPr>
        <w:t>. The Company represents and warrants to Platinum that, except as set forth in the Amendment and Waiver, dated as of May 24, 2013, between the Company and Platinum, no event since the date of the issuance of any Exchange Warrant, Investment Warrant or the Additional Warrant, as defined in the Note Exchange and Purchase Agreement, dated October 11, 2012 (“</w:t>
      </w:r>
      <w:r>
        <w:rPr>
          <w:rFonts w:ascii="Times New Roman" w:cs="Times New Roman" w:eastAsia="Times New Roman" w:hAnsi="Times New Roman"/>
          <w:sz w:val="18"/>
          <w:szCs w:val="18"/>
          <w:i w:val="1"/>
          <w:iCs w:val="1"/>
          <w:color w:val="auto"/>
        </w:rPr>
        <w:t>NEPA</w:t>
      </w:r>
      <w:r>
        <w:rPr>
          <w:rFonts w:ascii="Times New Roman" w:cs="Times New Roman" w:eastAsia="Times New Roman" w:hAnsi="Times New Roman"/>
          <w:sz w:val="18"/>
          <w:szCs w:val="18"/>
          <w:color w:val="auto"/>
        </w:rPr>
        <w:t>”), between the Company and Platinum has occurred that would or could cause the exercise price or number of warrant shares to adjust pursuant to the terms of such warrants. Based on the foregoing representation, on the Closing Date, (i) the exercise price of the Exchange Warrant, Investment Warrants, Additional Warrant and Series A Exchange Warrant, as defined in the NEPA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shall be fixed at the lower of (a) $.50 and (b) the lowest price per share of the Common Stock issued in the Qualified Financing, and no other adjustments shall be made to the Warrants in the event the Company thereafter issues Common Stock at a price less than $0.50 per share, or securities with an exercise or conversion price less than $0.50 per share; provided, that, typical adjustments for splits, combinations and dividends shall apply, it being the intent hereof that Sections 4.1, 4.2 and 4.3 of the Warrant shall remain in effect; and (ii) Section 4.8.2 of the Warrants, including the Series A Exchange Warrant that may be issued to Platinum, shall be deleted, terminated and shall be of no further force and effect following the Qualified Financing. Notwithstanding the foregoing, the amendments and waivers of the Warrants upon the Closing Date set forth in this Section 4 shall be of no force and effect, retroactive to the date hereof, in the event that the Company issues to any person (other than Platinum), while any of the Warrants are outstanding, any equity purchase warrant (y) permitting adjustment to the number of warrant shares exercisable thereunder upon any of the events set forth in Section 4.8.2 of the Warrants or (z) any warrants permitting any adjustments to the exercise price thereof other than pursuant to provisions substantially similar to Sections 4.1, 4.2 and 4.3 of the Warrants.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firstLine="656"/>
        <w:spacing w:after="0" w:line="286" w:lineRule="auto"/>
        <w:tabs>
          <w:tab w:leader="none" w:pos="1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Platinum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Platinum hereby makes the following representations and warranties to the Company, and covenants for the benefit of the Company:</w:t>
      </w:r>
    </w:p>
    <w:p>
      <w:pPr>
        <w:spacing w:after="0" w:line="212"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is a limited liability company validly existing and in good standing under the laws of the jurisdiction of its organization.</w:t>
      </w:r>
    </w:p>
    <w:p>
      <w:pPr>
        <w:spacing w:after="0" w:line="27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p>
      <w:pPr>
        <w:spacing w:after="0" w:line="234"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understands that the Conversion Shares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applicable state securities laws.</w:t>
      </w:r>
    </w:p>
    <w:p>
      <w:pPr>
        <w:spacing w:after="0" w:line="234"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is an “accredited investor” as defined under Rule 501 of Regulation D promulgated under the Securities Act.</w:t>
      </w:r>
    </w:p>
    <w:p>
      <w:pPr>
        <w:spacing w:after="0" w:line="27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Platinum is and will be acquiring the Conversion Shares for Platinum’s own account, for investment purposes, and not with a view to any resale or distribution in whole or in part, in violation of the Securities Act or any applicable securities laws;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Platinum does not covenant to hold the Conversion Shares for any minimum period of time.</w:t>
      </w:r>
    </w:p>
    <w:p>
      <w:pPr>
        <w:spacing w:after="0" w:line="23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the Conversion Shares is intended to be exempt from registration under the Securities Act, by virtue of Section 3(a)(9) and/or 4(2) thereof. Platinum understands that the Conversion Shares are “restricted securities,” as that term is defined in the Securities Act and the rules thereunder, have not been registered under the Securities Act, and that none of the Conversion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Conversion Shares may be sold or transferred only in compliance with such exemption and all applicable state and other securities laws); provided, that nothing in this Section 5(f) shall be deemed to limit the representations and warranties and covenants of the Company set forth in Sections 6(g) and 6(p) below.</w:t>
      </w:r>
    </w:p>
    <w:p>
      <w:pPr>
        <w:spacing w:after="0" w:line="24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2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has not assigned, conveyed or otherwise transferred any interest in and to the Notes or Warrants to any third party, and owns and holds, beneficially and of record, the entire right, title, and interest in and to the Notes and Warrants free and clear of all rights and Encumbrances (as defined below).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210" w:lineRule="exact"/>
        <w:rPr>
          <w:rFonts w:ascii="Times New Roman" w:cs="Times New Roman" w:eastAsia="Times New Roman" w:hAnsi="Times New Roman"/>
          <w:sz w:val="18"/>
          <w:szCs w:val="18"/>
          <w:color w:val="auto"/>
        </w:rPr>
      </w:pPr>
    </w:p>
    <w:p>
      <w:pPr>
        <w:ind w:right="20" w:firstLine="656"/>
        <w:spacing w:after="0" w:line="286" w:lineRule="auto"/>
        <w:tabs>
          <w:tab w:leader="none" w:pos="14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represents and warrants to Platinum, and covenants for the benefit of Platinum, as follows:</w:t>
      </w:r>
    </w:p>
    <w:p>
      <w:pPr>
        <w:spacing w:after="0" w:line="212"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jc w:val="both"/>
        <w:ind w:firstLine="1305"/>
        <w:spacing w:after="0" w:line="258" w:lineRule="auto"/>
        <w:tabs>
          <w:tab w:leader="none" w:pos="17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Shares have been duly authorized by all necessary corporate action (other than the filing of the certificate of designations for the Preferred Shares) and, when paid for or issued in accordance with the terms hereof, the Conversion Shares, and any shares of Common Stock received upon conversion of any Preferred Shares) shall be validly issued and outstanding, fully paid and nonassessable, free and clear of all liens, encumbrances and rights of refusal of any kind. The issuance of the Conversion Shares hereunder does not trigger any adjustment in the price or other terms of any derivative security issued by the Company.</w:t>
      </w:r>
    </w:p>
    <w:p>
      <w:pPr>
        <w:spacing w:after="0" w:line="237"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 Upon issuance of the Preferred Shares, the Company shall have reserved sufficient shares of Common Stock to effect conversions of the Preferred Shares pursuant to their terms.</w:t>
      </w:r>
    </w:p>
    <w:p>
      <w:pPr>
        <w:spacing w:after="0" w:line="241"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for any such conflicts, breaches, or defaults or any liens, charges, or encumbrances which would not have a Material Adverse Effect.</w:t>
      </w:r>
    </w:p>
    <w:p>
      <w:pPr>
        <w:spacing w:after="0" w:line="260" w:lineRule="exact"/>
        <w:rPr>
          <w:rFonts w:ascii="Times New Roman" w:cs="Times New Roman" w:eastAsia="Times New Roman" w:hAnsi="Times New Roman"/>
          <w:sz w:val="18"/>
          <w:szCs w:val="18"/>
          <w:color w:val="auto"/>
        </w:rPr>
      </w:pPr>
    </w:p>
    <w:p>
      <w:pPr>
        <w:ind w:firstLine="1305"/>
        <w:spacing w:after="0" w:line="282" w:lineRule="auto"/>
        <w:tabs>
          <w:tab w:leader="none" w:pos="17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and issuance of the Conversion Shares in accordance with the terms of and in reliance on the accuracy of Platinum’s representations and warranties set forth in this Agreement will be exempt from the registration requirements of the Securities Act.</w:t>
      </w:r>
    </w:p>
    <w:p>
      <w:pPr>
        <w:spacing w:after="0" w:line="21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on the part of the Company is required in connection with the valid execution and delivery of this Agreement or the offer, sale or issuance of the Conversion Shares or the consummation of any other transaction contemplated by this Agreement.</w:t>
      </w:r>
    </w:p>
    <w:p>
      <w:pPr>
        <w:spacing w:after="0" w:line="23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exchange of the Notes, the Company has not received any consideration for the Conversion Shares. By virtue of such exchange, the holding period for the Conversion Shares (and any Common Stock issued upon conversion of the Preferred Shares) under Rule 144 of the Securities Act shall begin no later than the holding period for the applicable Notes. At Closing, the Conversion Shares (or any Common Stock received upon conversion of any Preferred Shares) shall be freely transferable pursuant to Rule 144 without volume or manner of sale restriction (assuming Platinum is not an affiliate of the Company on the date of such transfer).</w:t>
      </w:r>
    </w:p>
    <w:p>
      <w:pPr>
        <w:spacing w:after="0" w:line="237" w:lineRule="exact"/>
        <w:rPr>
          <w:rFonts w:ascii="Times New Roman" w:cs="Times New Roman" w:eastAsia="Times New Roman" w:hAnsi="Times New Roman"/>
          <w:sz w:val="18"/>
          <w:szCs w:val="18"/>
          <w:color w:val="auto"/>
        </w:rPr>
      </w:pPr>
    </w:p>
    <w:p>
      <w:pPr>
        <w:ind w:firstLine="1305"/>
        <w:spacing w:after="0" w:line="282" w:lineRule="auto"/>
        <w:tabs>
          <w:tab w:leader="none" w:pos="17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all applicable federal and state securities laws in connection with the offer, issuance and delivery of the Conversion Shares hereunder.</w:t>
      </w:r>
    </w:p>
    <w:p>
      <w:pPr>
        <w:spacing w:after="0" w:line="188" w:lineRule="exact"/>
        <w:rPr>
          <w:rFonts w:ascii="Times New Roman" w:cs="Times New Roman" w:eastAsia="Times New Roman" w:hAnsi="Times New Roman"/>
          <w:sz w:val="18"/>
          <w:szCs w:val="18"/>
          <w:color w:val="auto"/>
        </w:rPr>
      </w:pPr>
    </w:p>
    <w:p>
      <w:pPr>
        <w:jc w:val="both"/>
        <w:ind w:firstLine="1351"/>
        <w:spacing w:after="0" w:line="258" w:lineRule="auto"/>
        <w:tabs>
          <w:tab w:leader="none" w:pos="205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its Common Stock to continue to be registered under Section 12(b) or 12(g) of the Securities Exchange Act of 1934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not take any action or file any document (whether or not permitted by the Securities Act or the rules promulgated thereunder)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 w:name="page9"/>
    <w:bookmarkEnd w:id="8"/>
    <w:p>
      <w:pPr>
        <w:jc w:val="both"/>
        <w:ind w:firstLine="1305"/>
        <w:spacing w:after="0" w:line="261" w:lineRule="auto"/>
        <w:tabs>
          <w:tab w:leader="none" w:pos="21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Conversion Shares are sold in a manner that complies with an exemption from registration, the Company shall promptly cause its counsel (at its expense) to issue to the transfer agent an opinion permitting removal of the legend (indefinitely if permitted pursuant to Rule 144 of the Securities Act (or its successor provisions, including any provision that permits unlimited resales after the relevant holding period set forth in Rule 144), or to permit sales of the Conversion Shares if pursuant to the other provisions of Rule 144 of the Securities Act).</w:t>
      </w:r>
    </w:p>
    <w:p>
      <w:pPr>
        <w:spacing w:after="0" w:line="20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Obligation of the Company to Consummate the Note Conversion</w:t>
      </w:r>
      <w:r>
        <w:rPr>
          <w:rFonts w:ascii="Times New Roman" w:cs="Times New Roman" w:eastAsia="Times New Roman" w:hAnsi="Times New Roman"/>
          <w:sz w:val="18"/>
          <w:szCs w:val="18"/>
          <w:color w:val="auto"/>
        </w:rPr>
        <w:t>. The obligation hereunder of the Company to issue and deliver the Conversion Shares to Platinum and consummate the Note Conversion is subject to the satisfaction or waiver, on or before August 31, 2014, of each of the conditions set forth below. These conditions are for the Company’s sole benefit and may be waived by the Company at any time in its sole discretion.</w:t>
      </w:r>
    </w:p>
    <w:p>
      <w:pPr>
        <w:spacing w:after="0" w:line="234"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shall have executed and delivered this Agreement.</w:t>
      </w:r>
    </w:p>
    <w:p>
      <w:pPr>
        <w:spacing w:after="0" w:line="279" w:lineRule="exact"/>
        <w:rPr>
          <w:rFonts w:ascii="Times New Roman" w:cs="Times New Roman" w:eastAsia="Times New Roman" w:hAnsi="Times New Roman"/>
          <w:sz w:val="18"/>
          <w:szCs w:val="18"/>
          <w:color w:val="auto"/>
        </w:rPr>
      </w:pPr>
    </w:p>
    <w:p>
      <w:pPr>
        <w:ind w:firstLine="1305"/>
        <w:spacing w:after="0" w:line="282" w:lineRule="auto"/>
        <w:tabs>
          <w:tab w:leader="none" w:pos="17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shall have performed, satisfied and complied in all material respects with all covenants, agreements and conditions required by this Agreement to be performed, satisfied or complied with by Platinum at or prior to the Closing Date.</w:t>
      </w:r>
    </w:p>
    <w:p>
      <w:pPr>
        <w:spacing w:after="0" w:line="21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spacing w:after="0" w:line="20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Warrant Amendments and the Obligation of Platinum to Consummate the Note Conversion</w:t>
      </w:r>
      <w:r>
        <w:rPr>
          <w:rFonts w:ascii="Times New Roman" w:cs="Times New Roman" w:eastAsia="Times New Roman" w:hAnsi="Times New Roman"/>
          <w:sz w:val="18"/>
          <w:szCs w:val="18"/>
          <w:color w:val="auto"/>
        </w:rPr>
        <w:t>. The Warrant Amendments and the obligation hereunder of Platinum to surrender the Notes, accept the Conversion Shares and consummate the Note Conversion is subject to the satisfaction or waiver, at or before August 31, 2014, of each of the conditions set forth below. These conditions are for Platinum’s sole benefit and may be waived by Platinum at any time in its sole discretion.</w:t>
      </w:r>
    </w:p>
    <w:p>
      <w:pPr>
        <w:spacing w:after="0" w:line="234"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this Agreement.</w:t>
      </w:r>
    </w:p>
    <w:p>
      <w:pPr>
        <w:spacing w:after="0" w:line="279" w:lineRule="exact"/>
        <w:rPr>
          <w:rFonts w:ascii="Times New Roman" w:cs="Times New Roman" w:eastAsia="Times New Roman" w:hAnsi="Times New Roman"/>
          <w:sz w:val="18"/>
          <w:szCs w:val="18"/>
          <w:color w:val="auto"/>
        </w:rPr>
      </w:pPr>
    </w:p>
    <w:p>
      <w:pPr>
        <w:ind w:firstLine="1305"/>
        <w:spacing w:after="0" w:line="282" w:lineRule="auto"/>
        <w:tabs>
          <w:tab w:leader="none" w:pos="17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the Agreement to be performed, satisfied or complied with by the Company at or prior to the Closing Date.</w:t>
      </w:r>
    </w:p>
    <w:p>
      <w:pPr>
        <w:spacing w:after="0" w:line="21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spacing w:after="0" w:line="23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spacing w:after="0" w:line="23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both"/>
        <w:ind w:firstLine="1305"/>
        <w:spacing w:after="0" w:line="266" w:lineRule="auto"/>
        <w:tabs>
          <w:tab w:leader="none" w:pos="16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evidence reasonably satisfactory to Platinum that the Certificate of Designations has been adopted by the Board of Directors of the Company and filed with and accepted by the Secretary of State of the State of Nevada if required pursuant to the terms of Section 1 hereof.</w:t>
      </w:r>
    </w:p>
    <w:p>
      <w:pPr>
        <w:spacing w:after="0" w:line="230"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to the Company shall have provided an opinion in form and substance satisfactory to Platinum.</w:t>
      </w:r>
    </w:p>
    <w:p>
      <w:pPr>
        <w:spacing w:after="0" w:line="27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consummated the Qualified Financing in full prior to August 31, 2014 (including, for the avoidance of doubt, for the minimum proceeds and minimum Common Stock prices set forth herein), and delivered to Platinum the QF Notice and Conversion Instructions, together with evidence reasonably satisfactory to Platinum that the terms of the Qualified Financing have complied with the terms of this Agreement.</w:t>
      </w:r>
    </w:p>
    <w:p>
      <w:pPr>
        <w:spacing w:after="0" w:line="203" w:lineRule="exact"/>
        <w:rPr>
          <w:rFonts w:ascii="Times New Roman" w:cs="Times New Roman" w:eastAsia="Times New Roman" w:hAnsi="Times New Roman"/>
          <w:sz w:val="18"/>
          <w:szCs w:val="18"/>
          <w:color w:val="auto"/>
        </w:rPr>
      </w:pPr>
    </w:p>
    <w:p>
      <w:pPr>
        <w:jc w:val="both"/>
        <w:ind w:firstLine="656"/>
        <w:spacing w:after="0" w:line="256" w:lineRule="auto"/>
        <w:tabs>
          <w:tab w:leader="none" w:pos="1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cs="Times New Roman" w:eastAsia="Times New Roman" w:hAnsi="Times New Roman"/>
          <w:sz w:val="18"/>
          <w:szCs w:val="18"/>
          <w:i w:val="1"/>
          <w:iCs w:val="1"/>
          <w:color w:val="auto"/>
        </w:rPr>
        <w:t>forum 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conveniens</w:t>
      </w:r>
      <w:r>
        <w:rPr>
          <w:rFonts w:ascii="Times New Roman" w:cs="Times New Roman" w:eastAsia="Times New Roman" w:hAnsi="Times New Roman"/>
          <w:sz w:val="18"/>
          <w:szCs w:val="18"/>
          <w:color w:val="auto"/>
        </w:rPr>
        <w:t>, to the bringing of any such proceeding in such jurisdictions. Each Party waives its right to a trial by jury. Each Party to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spacing w:after="0" w:line="210" w:lineRule="exact"/>
        <w:rPr>
          <w:rFonts w:ascii="Times New Roman" w:cs="Times New Roman" w:eastAsia="Times New Roman" w:hAnsi="Times New Roman"/>
          <w:sz w:val="18"/>
          <w:szCs w:val="18"/>
          <w:color w:val="auto"/>
        </w:rPr>
      </w:pPr>
    </w:p>
    <w:p>
      <w:pPr>
        <w:jc w:val="both"/>
        <w:ind w:firstLine="656"/>
        <w:spacing w:after="0" w:line="262" w:lineRule="auto"/>
        <w:tabs>
          <w:tab w:leader="none" w:pos="14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8), initially to the address set forth below, and thereafter at such other address, notice of which is given in accordance with the provisions of this Section.</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 No.: (650) 244-9990 ext. 224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(888) 482-2602</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Disclosure Law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West Broadway, 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Diego, California 92101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Daniel W. Rumsey, Esquire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 No.: (619) 795-1134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(619) 330-2101</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Platinum:</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Platinum Long Term Growth VII, LLC</w:t>
      </w:r>
    </w:p>
    <w:p>
      <w:pPr>
        <w:ind w:left="1960"/>
        <w:spacing w:after="0" w:line="204" w:lineRule="auto"/>
        <w:rPr>
          <w:sz w:val="20"/>
          <w:szCs w:val="20"/>
          <w:color w:val="auto"/>
        </w:rPr>
      </w:pPr>
      <w:r>
        <w:rPr>
          <w:rFonts w:ascii="Times New Roman" w:cs="Times New Roman" w:eastAsia="Times New Roman" w:hAnsi="Times New Roman"/>
          <w:sz w:val="18"/>
          <w:szCs w:val="18"/>
          <w:color w:val="auto"/>
        </w:rPr>
        <w:t>152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Daniels Saks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 No.: (212) 582 2222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(212) 582-2424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Burak Anderson &amp; Melloni, PLC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 Main Street, Suite 210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Burlington, Vermont 05401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Shane W. McCormack, Esquire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 No.: (802) 862-0500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(802) 862-8176</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delivered by hand, if personally delivered; when receipt is acknowledged, if telecopied; or when actually received or refused if sent by other means.</w:t>
      </w:r>
    </w:p>
    <w:p>
      <w:pPr>
        <w:spacing w:after="0" w:line="189" w:lineRule="exact"/>
        <w:rPr>
          <w:sz w:val="20"/>
          <w:szCs w:val="20"/>
          <w:color w:val="auto"/>
        </w:rPr>
      </w:pPr>
    </w:p>
    <w:p>
      <w:pPr>
        <w:jc w:val="both"/>
        <w:ind w:firstLine="332"/>
        <w:spacing w:after="0" w:line="266" w:lineRule="auto"/>
        <w:tabs>
          <w:tab w:leader="none" w:pos="15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file with the Securities and Exchange Commission a Current Report on Form 8-K (the “</w:t>
      </w:r>
      <w:r>
        <w:rPr>
          <w:rFonts w:ascii="Times New Roman" w:cs="Times New Roman" w:eastAsia="Times New Roman" w:hAnsi="Times New Roman"/>
          <w:sz w:val="18"/>
          <w:szCs w:val="18"/>
          <w:i w:val="1"/>
          <w:iCs w:val="1"/>
          <w:color w:val="auto"/>
        </w:rPr>
        <w:t>Form 8-K</w:t>
      </w:r>
      <w:r>
        <w:rPr>
          <w:rFonts w:ascii="Times New Roman" w:cs="Times New Roman" w:eastAsia="Times New Roman" w:hAnsi="Times New Roman"/>
          <w:sz w:val="18"/>
          <w:szCs w:val="18"/>
          <w:color w:val="auto"/>
        </w:rPr>
        <w:t>”) describing the material terms of the transactions contemplated hereby as soon as practicable following the Closing Date but in no event more than two (2) business days following the Closing Date.</w:t>
      </w:r>
    </w:p>
    <w:p>
      <w:pPr>
        <w:spacing w:after="0" w:line="199" w:lineRule="exact"/>
        <w:rPr>
          <w:rFonts w:ascii="Times New Roman" w:cs="Times New Roman" w:eastAsia="Times New Roman" w:hAnsi="Times New Roman"/>
          <w:sz w:val="18"/>
          <w:szCs w:val="18"/>
          <w:color w:val="auto"/>
        </w:rPr>
      </w:pPr>
    </w:p>
    <w:p>
      <w:pPr>
        <w:jc w:val="both"/>
        <w:ind w:firstLine="332"/>
        <w:spacing w:after="0" w:line="268" w:lineRule="auto"/>
        <w:tabs>
          <w:tab w:leader="none" w:pos="1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spacing w:after="0" w:line="201" w:lineRule="exact"/>
        <w:rPr>
          <w:rFonts w:ascii="Times New Roman" w:cs="Times New Roman" w:eastAsia="Times New Roman" w:hAnsi="Times New Roman"/>
          <w:sz w:val="18"/>
          <w:szCs w:val="18"/>
          <w:color w:val="auto"/>
        </w:rPr>
      </w:pPr>
    </w:p>
    <w:p>
      <w:pPr>
        <w:ind w:firstLine="332"/>
        <w:spacing w:after="0" w:line="282" w:lineRule="auto"/>
        <w:tabs>
          <w:tab w:leader="none" w:pos="13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facsimile signature and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signed this instrument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28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VISTAGEN THERAPEUTICS, INC.</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343 Allerton Avenue</w:t>
            </w:r>
          </w:p>
        </w:tc>
        <w:tc>
          <w:tcPr>
            <w:tcW w:w="1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South San Francisco, California 94080</w:t>
            </w:r>
          </w:p>
        </w:tc>
        <w:tc>
          <w:tcPr>
            <w:tcW w:w="428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8"/>
                <w:szCs w:val="18"/>
                <w:color w:val="auto"/>
              </w:rPr>
              <w:t>By: /s/ Shawn K. Singh</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4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00" w:type="dxa"/>
            <w:vAlign w:val="bottom"/>
          </w:tcPr>
          <w:p>
            <w:pPr>
              <w:spacing w:after="0"/>
              <w:rPr>
                <w:sz w:val="18"/>
                <w:szCs w:val="18"/>
                <w:color w:val="auto"/>
              </w:rPr>
            </w:pPr>
          </w:p>
        </w:tc>
        <w:tc>
          <w:tcPr>
            <w:tcW w:w="42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Name: Shawn K. Singh</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42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752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PLATINUM LONG TERM GROWTH VII, LLC</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152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10019</w:t>
            </w:r>
          </w:p>
        </w:tc>
        <w:tc>
          <w:tcPr>
            <w:tcW w:w="7520" w:type="dxa"/>
            <w:vAlign w:val="bottom"/>
            <w:gridSpan w:val="3"/>
            <w:vMerge w:val="restart"/>
          </w:tcPr>
          <w:p>
            <w:pPr>
              <w:ind w:left="1720"/>
              <w:spacing w:after="0"/>
              <w:rPr>
                <w:sz w:val="20"/>
                <w:szCs w:val="20"/>
                <w:color w:val="auto"/>
              </w:rPr>
            </w:pPr>
            <w:r>
              <w:rPr>
                <w:rFonts w:ascii="Times New Roman" w:cs="Times New Roman" w:eastAsia="Times New Roman" w:hAnsi="Times New Roman"/>
                <w:sz w:val="18"/>
                <w:szCs w:val="18"/>
                <w:color w:val="auto"/>
              </w:rPr>
              <w:t>By: /s/ Will Slota</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7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tcPr>
          <w:p>
            <w:pPr>
              <w:spacing w:after="0"/>
              <w:rPr>
                <w:sz w:val="18"/>
                <w:szCs w:val="18"/>
                <w:color w:val="auto"/>
              </w:rPr>
            </w:pPr>
          </w:p>
        </w:tc>
        <w:tc>
          <w:tcPr>
            <w:tcW w:w="75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Name: Will Slota</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5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608"/>
        </w:trPr>
        <w:tc>
          <w:tcPr>
            <w:tcW w:w="3900" w:type="dxa"/>
            <w:vAlign w:val="bottom"/>
          </w:tcPr>
          <w:p>
            <w:pPr>
              <w:spacing w:after="0"/>
              <w:rPr>
                <w:sz w:val="24"/>
                <w:szCs w:val="24"/>
                <w:color w:val="auto"/>
              </w:rPr>
            </w:pPr>
          </w:p>
        </w:tc>
        <w:tc>
          <w:tcPr>
            <w:tcW w:w="20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90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SECURED CONVERTIBLE PROMISSORY NOTES ISSUED TO PLATINUM</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516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Notes</w:t>
            </w:r>
          </w:p>
        </w:tc>
        <w:tc>
          <w:tcPr>
            <w:tcW w:w="51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October 11, 2012</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$1,272,577.27</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11, 2012</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October 19, 2012</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2013</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26, 2013</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$3,522,577.27</w:t>
            </w:r>
          </w:p>
        </w:tc>
      </w:tr>
    </w:tbl>
    <w:p>
      <w:pPr>
        <w:spacing w:after="0" w:line="1" w:lineRule="exact"/>
        <w:rPr>
          <w:sz w:val="20"/>
          <w:szCs w:val="20"/>
          <w:color w:val="auto"/>
        </w:rPr>
      </w:pPr>
    </w:p>
    <w:sectPr>
      <w:pgSz w:w="11900" w:h="16838" w:orient="portrait"/>
      <w:cols w:equalWidth="0" w:num="1">
        <w:col w:w="9019"/>
      </w:cols>
      <w:pgMar w:left="14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650"/>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5"/>
    </w:lvl>
    <w:lvl w:ilvl="1">
      <w:lvlJc w:val="left"/>
      <w:lvlText w:val="(%2)"/>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
    <w:nsid w:val="12200854"/>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5"/>
    </w:lvl>
  </w:abstractNum>
  <w:abstractNum w:abstractNumId="7">
    <w:nsid w:val="4DB127F8"/>
    <w:multiLevelType w:val="hybridMultilevel"/>
    <w:lvl w:ilvl="0">
      <w:lvlJc w:val="left"/>
      <w:lvlText w:val="%1"/>
      <w:numFmt w:val="decimal"/>
      <w:start w:val="1"/>
    </w:lvl>
    <w:lvl w:ilvl="1">
      <w:lvlJc w:val="left"/>
      <w:lvlText w:val="(%2)"/>
      <w:numFmt w:val="lowerLetter"/>
      <w:start w:val="16"/>
    </w:lvl>
  </w:abstractNum>
  <w:abstractNum w:abstractNumId="8">
    <w:nsid w:val="216231B"/>
    <w:multiLevelType w:val="hybridMultilevel"/>
    <w:lvl w:ilvl="0">
      <w:lvlJc w:val="left"/>
      <w:lvlText w:val="%1."/>
      <w:numFmt w:val="decimal"/>
      <w:start w:val="7"/>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6"/>
    </w:lvl>
  </w:abstractNum>
  <w:abstractNum w:abstractNumId="10">
    <w:nsid w:val="1190CDE7"/>
    <w:multiLevelType w:val="hybridMultilevel"/>
    <w:lvl w:ilvl="0">
      <w:lvlJc w:val="left"/>
      <w:lvlText w:val="%1."/>
      <w:numFmt w:val="decimal"/>
      <w:start w:val="9"/>
    </w:lvl>
    <w:lvl w:ilvl="1">
      <w:lvlJc w:val="left"/>
      <w:lvlText w:val="%2"/>
      <w:numFmt w:val="lowerLetter"/>
      <w:start w:val="1"/>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2020-01-28T00:08:23Z</dcterms:created>
  <dcterms:modified xsi:type="dcterms:W3CDTF">2020-01-28T00:08:23Z</dcterms:modified>
</cp:coreProperties>
</file>