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13, 2024</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Vistagen Therapeutics, Inc.</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(State or other jurisdiction of </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(IRS Employer </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Identification Number) </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343 Allerton 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California 94080</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p>
      <w:pPr>
        <w:pStyle w:val="TextBody"/>
        <w:bidi w:val="0"/>
        <w:spacing w:lineRule="auto" w:line="288" w:before="200" w:after="283"/>
        <w:jc w:val="center"/>
        <w:rPr/>
      </w:pPr>
      <w:r>
        <w:rPr>
          <w:rFonts w:ascii="Times New Roman;sans-serif" w:hAnsi="Times New Roman;sans-serif"/>
          <w:b/>
          <w:i/>
          <w:color w:val="000000"/>
          <w:sz w:val="20"/>
        </w:rPr>
        <w:t>(650</w:t>
      </w:r>
      <w:r>
        <w:rPr>
          <w:rFonts w:ascii="Times New Roman;sans-serif" w:hAnsi="Times New Roman;sans-serif"/>
          <w:b w:val="false"/>
          <w:i/>
          <w:color w:val="000000"/>
          <w:sz w:val="20"/>
        </w:rPr>
        <w:t xml:space="preserve">) </w:t>
      </w:r>
      <w:r>
        <w:rPr>
          <w:rFonts w:ascii="Times New Roman;sans-serif" w:hAnsi="Times New Roman;sans-serif"/>
          <w:b/>
          <w:i/>
          <w:color w:val="000000"/>
          <w:sz w:val="20"/>
        </w:rPr>
        <w:t>577-3600</w:t>
      </w:r>
    </w:p>
    <w:p>
      <w:pPr>
        <w:pStyle w:val="TextBody"/>
        <w:bidi w:val="0"/>
        <w:spacing w:lineRule="auto" w:line="288" w:before="0" w:after="0"/>
        <w:jc w:val="center"/>
        <w:rPr/>
      </w:pPr>
      <w:r>
        <w:rPr>
          <w:rFonts w:ascii="Times New Roman;sans-serif" w:hAnsi="Times New Roman;sans-serif"/>
          <w:b w:val="false"/>
          <w:i/>
          <w:color w:val="000000"/>
          <w:sz w:val="20"/>
        </w:rPr>
        <w:t>(Registrant</w:t>
      </w:r>
      <w:r>
        <w:rPr>
          <w:color w:val="000000"/>
        </w:rPr>
        <w:t>’</w:t>
      </w:r>
      <w:r>
        <w:rPr>
          <w:rFonts w:ascii="Times New Roman;sans-serif" w:hAnsi="Times New Roman;sans-serif"/>
          <w:b w:val="false"/>
          <w:i/>
          <w:color w:val="000000"/>
          <w:sz w:val="20"/>
        </w:rPr>
        <w: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(Former name or former address, if changed since last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ans-serif" w:hAnsi="Times New Roman;sans-serif"/>
          <w:b/>
          <w:color w:val="000000"/>
          <w:sz w:val="20"/>
        </w:rPr>
        <w:t>Item 2.02</w:t>
      </w:r>
      <w:r>
        <w:rPr>
          <w:color w:val="000000"/>
        </w:rPr>
        <w:t xml:space="preserve"> </w:t>
      </w:r>
      <w:r>
        <w:rPr>
          <w:rFonts w:ascii="Times New Roman;sans-serif" w:hAnsi="Times New Roman;sans-serif"/>
          <w:b/>
          <w:color w:val="000000"/>
          <w:sz w:val="20"/>
        </w:rPr>
        <w:t>Results of Operations and Financial Condition.</w:t>
      </w:r>
    </w:p>
    <w:p>
      <w:pPr>
        <w:pStyle w:val="TextBody"/>
        <w:bidi w:val="0"/>
        <w:spacing w:lineRule="auto" w:line="288" w:before="200" w:after="283"/>
        <w:jc w:val="both"/>
        <w:rPr/>
      </w:pPr>
      <w:r>
        <w:rPr>
          <w:rFonts w:ascii="Times New Roman;sans-serif" w:hAnsi="Times New Roman;sans-serif"/>
          <w:b w:val="false"/>
          <w:color w:val="000000"/>
          <w:sz w:val="20"/>
        </w:rPr>
        <w:t>On August 13, 2024, Vistagen Therapeutics, Inc.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issued a press release announcing financial results for its fiscal year 2025 first quarter ended June 30, 2024. A copy of the press release is being furnished as Exhibit 99.1 to this Current Report on Form 8-K.</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Disclaimer.</w:t>
      </w:r>
    </w:p>
    <w:p>
      <w:pPr>
        <w:pStyle w:val="TextBody"/>
        <w:bidi w:val="0"/>
        <w:spacing w:lineRule="auto" w:line="288" w:before="200" w:after="283"/>
        <w:jc w:val="both"/>
        <w:rPr/>
      </w:pPr>
      <w:r>
        <w:rPr>
          <w:rFonts w:ascii="Times New Roman;sans-serif" w:hAnsi="Times New Roman;sans-serif"/>
          <w:b w:val="false"/>
          <w:color w:val="000000"/>
          <w:sz w:val="20"/>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 Financial Statements and Exhibits</w:t>
      </w:r>
      <w:r>
        <w:rPr>
          <w:rFonts w:ascii="Times New Roman;sans-serif" w:hAnsi="Times New Roman;sans-serif"/>
          <w:b w:val="false"/>
          <w:color w:val="000000"/>
          <w:sz w:val="20"/>
        </w:rPr>
        <w:t>.</w:t>
      </w:r>
    </w:p>
    <w:p>
      <w:pPr>
        <w:pStyle w:val="TextBody"/>
        <w:bidi w:val="0"/>
        <w:spacing w:lineRule="auto" w:line="288" w:before="200" w:after="283"/>
        <w:ind w:left="0" w:right="0" w:hanging="288"/>
        <w:jc w:val="left"/>
        <w:rPr>
          <w:rFonts w:ascii="Times New Roman;sans-serif" w:hAnsi="Times New Roman;sans-serif"/>
          <w:b/>
          <w:color w:val="000000"/>
          <w:sz w:val="20"/>
        </w:rPr>
      </w:pPr>
      <w:r>
        <w:rPr>
          <w:rFonts w:ascii="Times New Roman;sans-serif" w:hAnsi="Times New Roman;sans-serif"/>
          <w:b/>
          <w:color w:val="000000"/>
          <w:sz w:val="20"/>
        </w:rPr>
        <w:t>(d)Exhibits Index</w:t>
      </w:r>
    </w:p>
    <w:tbl>
      <w:tblPr>
        <w:tblW w:w="928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300"/>
        <w:gridCol w:w="2300"/>
        <w:gridCol w:w="327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40813xex991.htm">
              <w:r>
                <w:rPr>
                  <w:rStyle w:val="InternetLink"/>
                  <w:rFonts w:ascii="Times New Roman;sans-serif" w:hAnsi="Times New Roman;sans-serif"/>
                  <w:b w:val="false"/>
                  <w:color w:val="0000FF"/>
                  <w:sz w:val="20"/>
                  <w:u w:val="single"/>
                </w:rPr>
                <w:t>Press Release issued by Vistagen Therapeutics, Inc., dated August 13, 2024, furnished herewith.</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117" w:type="dxa"/>
        <w:jc w:val="left"/>
        <w:tblInd w:w="0" w:type="dxa"/>
        <w:tblLayout w:type="fixed"/>
        <w:tblCellMar>
          <w:top w:w="28" w:type="dxa"/>
          <w:left w:w="28" w:type="dxa"/>
          <w:bottom w:w="28" w:type="dxa"/>
          <w:right w:w="28" w:type="dxa"/>
        </w:tblCellMar>
      </w:tblPr>
      <w:tblGrid>
        <w:gridCol w:w="705"/>
        <w:gridCol w:w="621"/>
        <w:gridCol w:w="624"/>
        <w:gridCol w:w="366"/>
        <w:gridCol w:w="366"/>
        <w:gridCol w:w="366"/>
        <w:gridCol w:w="604"/>
        <w:gridCol w:w="604"/>
        <w:gridCol w:w="8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Vistagen Therapeutics,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13, 2024</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Shawn K. Singh</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Shawn K. Singh</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200" w:after="283"/>
        <w:jc w:val="left"/>
        <w:rPr/>
      </w:pPr>
      <w:r>
        <w:rPr/>
        <w:drawing>
          <wp:inline distT="0" distB="0" distL="0" distR="0">
            <wp:extent cx="13811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Vistagen Reports Fiscal Year 2025 First Quarter Financial Results and Corporate Update</w:t>
      </w:r>
    </w:p>
    <w:p>
      <w:pPr>
        <w:pStyle w:val="TextBody"/>
        <w:bidi w:val="0"/>
        <w:spacing w:lineRule="auto" w:line="256"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PALISADE Phase 3 Program for the acute treatment of Social Anxiety Disorder progressing on track</w:t>
      </w:r>
    </w:p>
    <w:p>
      <w:pPr>
        <w:pStyle w:val="TextBody"/>
        <w:bidi w:val="0"/>
        <w:spacing w:lineRule="auto" w:line="268" w:before="0" w:after="0"/>
        <w:jc w:val="left"/>
        <w:rPr/>
      </w:pPr>
      <w:r>
        <w:rPr>
          <w:rFonts w:ascii="Times New Roman;sans-serif" w:hAnsi="Times New Roman;sans-serif"/>
          <w:b/>
          <w:color w:val="000000"/>
          <w:sz w:val="20"/>
        </w:rPr>
        <w:t>SOUTH SAN FRANCISCO, Calif.--(BUSINESS WIRE)</w:t>
      </w:r>
      <w:r>
        <w:rPr>
          <w:color w:val="000000"/>
        </w:rPr>
        <w:t>—</w:t>
      </w:r>
      <w:r>
        <w:rPr>
          <w:rFonts w:ascii="Times New Roman;sans-serif" w:hAnsi="Times New Roman;sans-serif"/>
          <w:b/>
          <w:color w:val="000000"/>
          <w:sz w:val="20"/>
        </w:rPr>
        <w:t>August 13, 2024</w:t>
      </w:r>
      <w:r>
        <w:rPr>
          <w:rFonts w:ascii="Times New Roman;sans-serif" w:hAnsi="Times New Roman;sans-serif"/>
          <w:b w:val="false"/>
          <w:color w:val="000000"/>
          <w:sz w:val="20"/>
        </w:rPr>
        <w:t xml:space="preserve">-- </w:t>
      </w:r>
      <w:r>
        <w:rPr>
          <w:rFonts w:ascii="Times New Roman;sans-serif" w:hAnsi="Times New Roman;sans-serif"/>
          <w:b w:val="false"/>
          <w:color w:val="0E32E1"/>
          <w:sz w:val="20"/>
          <w:u w:val="single"/>
        </w:rPr>
        <w:t>Vistagen</w:t>
      </w:r>
      <w:r>
        <w:rPr>
          <w:color w:val="000000"/>
        </w:rPr>
        <w:t> </w:t>
      </w:r>
      <w:r>
        <w:rPr>
          <w:rFonts w:ascii="Times New Roman;sans-serif" w:hAnsi="Times New Roman;sans-serif"/>
          <w:b w:val="false"/>
          <w:color w:val="000000"/>
          <w:sz w:val="20"/>
        </w:rPr>
        <w:t>(Nasdaq: VTGN), a late clinical-stage neuroscience-focused biopharmaceutical company dedicated to the development and commercialization of groundbreaking therapies for psychiatric and neurological disorders based on nose-to-brain neurocircuitry, today reported financial results for its fiscal year 2025 first quarter ended June 30, 2024, and provided a corporate update.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Building on the success of our PALISADE-2 Phase 3 trial of fasedienol, our rapid-onset, non-systemic pherine nasal spray for the acute treatment of social anxiety disorder, our top priority remains driving forward our U.S. registration-directed PALISADE Phase 3 program for fasedienol. Our PALISADE-3 Phase 3 trial is underway and on track and preparations to initiate our PALISADE-4 Phase 3 trial are progressing as planned,” said Shawn Singh, Chief Executive Officer of Vistagen. “In addition to fasedienol, we are excited about the progress in our other two lead pherine development programs, itruvone for major depressive disorder and PH80 for menopausal hot flashes. With novel non-systemic mechanisms of action utilizing nose-to-brain neural circuits, each of our pherine clinical-stage programs has potential to transform current treatment paradigms, set new standards of care, and improve the lives of millions of underserved individuals.”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Fasedienol for the Acute Treatment of Social Anxiety Disorder (SAD) </w:t>
      </w:r>
    </w:p>
    <w:p>
      <w:pPr>
        <w:pStyle w:val="TextBody"/>
        <w:bidi w:val="0"/>
        <w:spacing w:lineRule="auto" w:line="256" w:before="200" w:after="200"/>
        <w:ind w:left="0" w:right="0" w:hanging="360"/>
        <w:jc w:val="left"/>
        <w:rPr/>
      </w:pPr>
      <w:r>
        <w:rPr>
          <w:color w:val="000000"/>
        </w:rPr>
        <w:t>•</w:t>
      </w:r>
      <w:r>
        <w:rPr>
          <w:rFonts w:ascii="Times New Roman;sans-serif" w:hAnsi="Times New Roman;sans-serif"/>
          <w:b w:val="false"/>
          <w:color w:val="000000"/>
          <w:sz w:val="20"/>
        </w:rPr>
        <w:t xml:space="preserve">Vistagen’s </w:t>
      </w:r>
      <w:r>
        <w:rPr>
          <w:rFonts w:ascii="Times New Roman;sans-serif" w:hAnsi="Times New Roman;sans-serif"/>
          <w:b/>
          <w:color w:val="000000"/>
          <w:sz w:val="20"/>
        </w:rPr>
        <w:t>PALISADE-3 Phase 3 trial</w:t>
      </w:r>
      <w:r>
        <w:rPr>
          <w:color w:val="000000"/>
        </w:rPr>
        <w:t xml:space="preserve"> </w:t>
      </w:r>
      <w:r>
        <w:rPr>
          <w:rFonts w:ascii="Times New Roman;sans-serif" w:hAnsi="Times New Roman;sans-serif"/>
          <w:b w:val="false"/>
          <w:color w:val="000000"/>
          <w:sz w:val="20"/>
        </w:rPr>
        <w:t>remains on track to produce top-line results in 2025, in line with previous guidance.</w:t>
      </w:r>
    </w:p>
    <w:p>
      <w:pPr>
        <w:pStyle w:val="TextBody"/>
        <w:bidi w:val="0"/>
        <w:spacing w:lineRule="auto" w:line="268" w:before="0" w:after="200"/>
        <w:ind w:left="0" w:right="0" w:hanging="360"/>
        <w:jc w:val="left"/>
        <w:rPr/>
      </w:pPr>
      <w:r>
        <w:rPr>
          <w:color w:val="000000"/>
        </w:rPr>
        <w:t>•</w:t>
      </w:r>
      <w:r>
        <w:rPr>
          <w:rFonts w:ascii="Times New Roman;sans-serif" w:hAnsi="Times New Roman;sans-serif"/>
          <w:b w:val="false"/>
          <w:color w:val="000000"/>
          <w:sz w:val="20"/>
        </w:rPr>
        <w:t xml:space="preserve">Vistagen’s preparations to initiate its </w:t>
      </w:r>
      <w:r>
        <w:rPr>
          <w:rFonts w:ascii="Times New Roman;sans-serif" w:hAnsi="Times New Roman;sans-serif"/>
          <w:b/>
          <w:color w:val="000000"/>
          <w:sz w:val="20"/>
        </w:rPr>
        <w:t>PALISADE-4 Phase 3</w:t>
      </w:r>
      <w:r>
        <w:rPr>
          <w:color w:val="000000"/>
        </w:rPr>
        <w:t xml:space="preserve"> </w:t>
      </w:r>
      <w:r>
        <w:rPr>
          <w:rFonts w:ascii="Times New Roman;sans-serif" w:hAnsi="Times New Roman;sans-serif"/>
          <w:b w:val="false"/>
          <w:color w:val="000000"/>
          <w:sz w:val="20"/>
        </w:rPr>
        <w:t xml:space="preserve">trial as planned in the second half of 2024 and to produce top-line results in 2025 are also on track.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There is no FDA-approved acute treatment for SAD. Vistagen’s PALISADE-3 and PALISADE-4 Phase 3 trials are designed similarly to the Company’s positive PALISADE-2 Phase 3 trial of fasedienol for the acute treatment of SAD reported in 2023. With PALISADE-2, Vistagen became the first company to report a positive Phase 3 trial of a new drug candidate for the acute treatment of SAD. Vistagen believes either PALISADE-3 or PALISADE-4, if successful, together with the positive results from PALISADE-2, may establish substantial evidence of the effectiveness of fasedienol in support of a potential fasedienol U.S. New Drug Application (NDA) submission to the FDA for the acute treatment of anxiety in adults with SAD. </w:t>
      </w:r>
    </w:p>
    <w:p>
      <w:pPr>
        <w:pStyle w:val="TextBody"/>
        <w:bidi w:val="0"/>
        <w:spacing w:lineRule="auto" w:line="288" w:before="20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Itruvone for Major Depressive Disorder (MDD)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Leveraging positive results from an exploratory Phase 2A trial in MDD previously conducted in Mexico, Vistagen completed its successful U.S. Investigational New Drug (IND)-enabling program to facilitate further Phase 2 development of itruvone in the U.S. Preparations and planning for a Phase 2B trial of itruvone are ongoing, with a primary focus to develop itruvone as a novel, non-systemic, stand-alone treatment for MDD without the sexual side effects, weight gain, and safety concerns associated with current depression therapies.</w:t>
      </w:r>
    </w:p>
    <w:p>
      <w:pPr>
        <w:pStyle w:val="TextBody"/>
        <w:bidi w:val="0"/>
        <w:spacing w:lineRule="auto" w:line="288" w:before="20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PH80 for Vasomotor Symptoms (Hot Flashes) due to Menopause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Following positive results from an exploratory Phase 2A trial conducted in Mexico, similar to its successful U.S. IND-enabling program for itruvone in MDD, Vistagen’s ongoing U.S. IND-enabling program is designed to support its planned submission of a U.S. IND to facilitate further Phase 2 clinical development of PH80 in the U.S., with a primary focus on its potential as a novel non-systemic, hormone-free treatment option for millions of women affected by vasomotor symptoms (hot flashes) due to menopause.</w:t>
      </w:r>
    </w:p>
    <w:p>
      <w:pPr>
        <w:pStyle w:val="TextBody"/>
        <w:bidi w:val="0"/>
        <w:spacing w:before="200" w:after="283"/>
        <w:jc w:val="left"/>
        <w:rPr/>
      </w:pPr>
      <w:r>
        <w:rPr/>
      </w:r>
    </w:p>
    <w:p>
      <w:pPr>
        <w:pStyle w:val="TextBody"/>
        <w:bidi w:val="0"/>
        <w:spacing w:before="0" w:after="0"/>
        <w:jc w:val="left"/>
        <w:rPr/>
      </w:pPr>
      <w:r>
        <w:rPr/>
        <w:drawing>
          <wp:inline distT="0" distB="0" distL="0" distR="0">
            <wp:extent cx="1371600"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Results for Fiscal Year 2025 First Quarter Ended June 30, 2024</w:t>
      </w:r>
    </w:p>
    <w:p>
      <w:pPr>
        <w:pStyle w:val="TextBody"/>
        <w:bidi w:val="0"/>
        <w:spacing w:lineRule="auto" w:line="256"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(R&amp;D) expenses</w:t>
      </w:r>
    </w:p>
    <w:p>
      <w:pPr>
        <w:pStyle w:val="TextBody"/>
        <w:bidi w:val="0"/>
        <w:spacing w:lineRule="auto" w:line="268" w:before="0" w:after="200"/>
        <w:ind w:left="0" w:right="0" w:hanging="360"/>
        <w:jc w:val="left"/>
        <w:rPr/>
      </w:pPr>
      <w:r>
        <w:rPr>
          <w:color w:val="000000"/>
        </w:rPr>
        <w:t>•</w:t>
      </w:r>
      <w:r>
        <w:rPr>
          <w:rFonts w:ascii="Times New Roman;sans-serif" w:hAnsi="Times New Roman;sans-serif"/>
          <w:b w:val="false"/>
          <w:color w:val="000000"/>
          <w:sz w:val="20"/>
        </w:rPr>
        <w:t xml:space="preserve">R&amp;D expenses were $7.6 million for the three months ended June 30, 2024, as compared to $4.2 million for the three months ended June 30, 2023. The increase in R&amp;D expenses was primarily due to an increase in clinical and development expenses related to the commencement of the Company’s PALISADE-3 Phase 3 trial, and costs related to preparations for the initiation of its PALISADE-4 Phase 3 trial of fasedienol in SAD, an increase in headcount costs, and an increase in consulting and professional fees. </w:t>
      </w:r>
    </w:p>
    <w:p>
      <w:pPr>
        <w:pStyle w:val="TextBody"/>
        <w:bidi w:val="0"/>
        <w:spacing w:lineRule="auto" w:line="256"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(G&amp;A) expenses</w:t>
      </w:r>
    </w:p>
    <w:p>
      <w:pPr>
        <w:pStyle w:val="TextBody"/>
        <w:bidi w:val="0"/>
        <w:spacing w:lineRule="auto" w:line="268" w:before="0" w:after="200"/>
        <w:ind w:left="0" w:right="0" w:hanging="360"/>
        <w:jc w:val="left"/>
        <w:rPr/>
      </w:pPr>
      <w:r>
        <w:rPr>
          <w:color w:val="000000"/>
        </w:rPr>
        <w:t>•</w:t>
      </w:r>
      <w:r>
        <w:rPr>
          <w:rFonts w:ascii="Times New Roman;sans-serif" w:hAnsi="Times New Roman;sans-serif"/>
          <w:b w:val="false"/>
          <w:color w:val="000000"/>
          <w:sz w:val="20"/>
        </w:rPr>
        <w:t>G&amp;A expenses were $4.6 million for the three months ended June 30, 2024, as compared to $3.0 million for the three months ended June 30, 2023. The increase in G&amp;A expenses was primarily due to an increase in headcount costs and professional service expenses to support the continued expansion of administrative activities.</w:t>
      </w:r>
    </w:p>
    <w:p>
      <w:pPr>
        <w:pStyle w:val="TextBody"/>
        <w:bidi w:val="0"/>
        <w:spacing w:lineRule="auto" w:line="256"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lineRule="auto" w:line="256" w:before="0" w:after="200"/>
        <w:ind w:left="0" w:right="0" w:hanging="360"/>
        <w:jc w:val="left"/>
        <w:rPr/>
      </w:pPr>
      <w:r>
        <w:rPr>
          <w:color w:val="000000"/>
        </w:rPr>
        <w:t>•</w:t>
      </w:r>
      <w:r>
        <w:rPr>
          <w:rFonts w:ascii="Times New Roman;sans-serif" w:hAnsi="Times New Roman;sans-serif"/>
          <w:b w:val="false"/>
          <w:color w:val="000000"/>
          <w:sz w:val="20"/>
        </w:rPr>
        <w:t>Net loss was $10.7 million for the three months ended June 30, 2024, as compared to $6.9 million for the three months ended June 30, 2023.</w:t>
      </w:r>
    </w:p>
    <w:p>
      <w:pPr>
        <w:pStyle w:val="TextBody"/>
        <w:bidi w:val="0"/>
        <w:spacing w:lineRule="auto" w:line="256"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financial highlights</w:t>
      </w:r>
    </w:p>
    <w:p>
      <w:pPr>
        <w:pStyle w:val="TextBody"/>
        <w:bidi w:val="0"/>
        <w:spacing w:lineRule="auto" w:line="256" w:before="0" w:after="200"/>
        <w:ind w:left="0" w:right="0" w:hanging="360"/>
        <w:jc w:val="left"/>
        <w:rPr/>
      </w:pPr>
      <w:r>
        <w:rPr>
          <w:color w:val="000000"/>
        </w:rPr>
        <w:t>•</w:t>
      </w:r>
      <w:r>
        <w:rPr>
          <w:rFonts w:ascii="Times New Roman;sans-serif" w:hAnsi="Times New Roman;sans-serif"/>
          <w:b w:val="false"/>
          <w:color w:val="000000"/>
          <w:sz w:val="20"/>
        </w:rPr>
        <w:t>Cash, cash equivalents, and marketable securities were $108.4 million as of June 30, 2024.</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Conference Call: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Vistagen will host a conference call and live audio webcast this afternoon at 5:00 p.m. Eastern Time to provide a corporate update.</w:t>
      </w:r>
    </w:p>
    <w:p>
      <w:pPr>
        <w:pStyle w:val="TextBody"/>
        <w:bidi w:val="0"/>
        <w:spacing w:lineRule="auto" w:line="288" w:before="200" w:after="283"/>
        <w:jc w:val="left"/>
        <w:rPr/>
      </w:pPr>
      <w:r>
        <w:rPr>
          <w:rFonts w:ascii="Times New Roman;sans-serif" w:hAnsi="Times New Roman;sans-serif"/>
          <w:b/>
          <w:color w:val="000000"/>
          <w:sz w:val="20"/>
        </w:rPr>
        <w:t>U.S. Dial-in (Toll-Free):</w:t>
      </w:r>
      <w:r>
        <w:rPr>
          <w:color w:val="000000"/>
        </w:rPr>
        <w:t xml:space="preserve"> </w:t>
      </w:r>
      <w:r>
        <w:rPr>
          <w:rFonts w:ascii="Times New Roman;sans-serif" w:hAnsi="Times New Roman;sans-serif"/>
          <w:b w:val="false"/>
          <w:color w:val="000000"/>
          <w:sz w:val="20"/>
        </w:rPr>
        <w:t>1-877-407-9716</w:t>
      </w:r>
    </w:p>
    <w:p>
      <w:pPr>
        <w:pStyle w:val="TextBody"/>
        <w:bidi w:val="0"/>
        <w:spacing w:lineRule="auto" w:line="288" w:before="0" w:after="0"/>
        <w:jc w:val="left"/>
        <w:rPr/>
      </w:pPr>
      <w:r>
        <w:rPr>
          <w:rFonts w:ascii="Times New Roman;sans-serif" w:hAnsi="Times New Roman;sans-serif"/>
          <w:b/>
          <w:color w:val="000000"/>
          <w:sz w:val="20"/>
        </w:rPr>
        <w:t>International Dial-in Number (Toll):</w:t>
      </w:r>
      <w:r>
        <w:rPr>
          <w:color w:val="000000"/>
        </w:rPr>
        <w:t xml:space="preserve"> </w:t>
      </w:r>
      <w:r>
        <w:rPr>
          <w:rFonts w:ascii="Times New Roman;sans-serif" w:hAnsi="Times New Roman;sans-serif"/>
          <w:b w:val="false"/>
          <w:color w:val="000000"/>
          <w:sz w:val="20"/>
        </w:rPr>
        <w:t>1-201-493-6779</w:t>
      </w:r>
    </w:p>
    <w:p>
      <w:pPr>
        <w:pStyle w:val="TextBody"/>
        <w:bidi w:val="0"/>
        <w:spacing w:lineRule="auto" w:line="268" w:before="0" w:after="0"/>
        <w:jc w:val="left"/>
        <w:rPr/>
      </w:pPr>
      <w:r>
        <w:rPr>
          <w:rFonts w:ascii="Times New Roman;sans-serif" w:hAnsi="Times New Roman;sans-serif"/>
          <w:b/>
          <w:color w:val="000000"/>
          <w:sz w:val="20"/>
        </w:rPr>
        <w:t>Conference ID:</w:t>
      </w:r>
      <w:r>
        <w:rPr>
          <w:color w:val="000000"/>
        </w:rPr>
        <w:t xml:space="preserve"> </w:t>
      </w:r>
      <w:r>
        <w:rPr>
          <w:rFonts w:ascii="Times New Roman;sans-serif" w:hAnsi="Times New Roman;sans-serif"/>
          <w:b w:val="false"/>
          <w:color w:val="000000"/>
          <w:sz w:val="20"/>
        </w:rPr>
        <w:t>13748020</w:t>
      </w:r>
    </w:p>
    <w:p>
      <w:pPr>
        <w:pStyle w:val="TextBody"/>
        <w:bidi w:val="0"/>
        <w:spacing w:lineRule="auto" w:line="256" w:before="0" w:after="200"/>
        <w:jc w:val="left"/>
        <w:rPr/>
      </w:pPr>
      <w:r>
        <w:rPr>
          <w:rFonts w:ascii="Times New Roman;sans-serif" w:hAnsi="Times New Roman;sans-serif"/>
          <w:b/>
          <w:color w:val="000000"/>
          <w:sz w:val="20"/>
        </w:rPr>
        <w:t xml:space="preserve">Webcast: </w:t>
      </w:r>
      <w:r>
        <w:rPr>
          <w:rFonts w:ascii="Times New Roman;sans-serif" w:hAnsi="Times New Roman;sans-serif"/>
          <w:b/>
          <w:color w:val="0E32E1"/>
          <w:sz w:val="20"/>
        </w:rPr>
        <w:t xml:space="preserve">https://viavid.webcasts.com/starthere.jsp?ei=1680978&amp;tp_key=f7af16cbaa </w:t>
      </w:r>
    </w:p>
    <w:p>
      <w:pPr>
        <w:pStyle w:val="TextBody"/>
        <w:bidi w:val="0"/>
        <w:spacing w:lineRule="auto" w:line="26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live audio conference call webcast will also be available via the above link. Participants should access this webcast site 10 minutes before the start of the call. In addition, a telephone playback of the call will be available after approximately 8:00 p.m. Eastern Time on Tuesday, August 13, 2024. To listen to the replay, call toll-free 1-844-512-2921 within the United States or 1-412-317-6671 when calling internationally (toll). Please use the replay access ID number 13748020.</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About Fasedienol Nasal Spray for Acute Treatment of Social Anxiety Disorder</w:t>
      </w:r>
    </w:p>
    <w:p>
      <w:pPr>
        <w:pStyle w:val="TextBody"/>
        <w:bidi w:val="0"/>
        <w:spacing w:before="0" w:after="0"/>
        <w:jc w:val="left"/>
        <w:rPr/>
      </w:pPr>
      <w:r>
        <w:rPr/>
      </w:r>
    </w:p>
    <w:p>
      <w:pPr>
        <w:pStyle w:val="TextBody"/>
        <w:bidi w:val="0"/>
        <w:spacing w:lineRule="auto" w:line="26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Fasedienol is a first-in-class, rapid-onset investigational pherine nasal spray with a novel proposed mechanism of action (MOA) that is differentiated from all currently approved anxiety medications. Fasedienol’s proposed MOA regulates the olfactory-amygdala neural circuits of fear and anxiety and attenuates the tone of the sympathetic autonomic nervous system, without systemic distribution, potentiation of GABA-A receptors, or direct activity on neurons in the brain. Vistagen’s U.S. registration-directed PALISADE Phase 3 program for fasedienol is focused on the acute treatment of SAD. Fasedienol has not demonstrated any signals of abuse potential or physical dependence in any clinical trial conducted to date. There is no FDA-approved acute treatment for SAD. The FDA has granted Fast Track designation for the investigation of fasedienol for the acute treatment of SAD.</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About Itruvone Nasal Spray for Major Depressive Disorder</w:t>
      </w:r>
    </w:p>
    <w:p>
      <w:pPr>
        <w:pStyle w:val="TextBody"/>
        <w:bidi w:val="0"/>
        <w:spacing w:lineRule="auto" w:line="26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Itruvone is an investigational pherine nasal spray with a novel, rapid-onset proposed neurocircuitry-focused mechanism of action (MOA) that is fundamentally differentiated from the MOA of all currently approved treatments for depression disorders. Itruvone is administered intranasally at microgram-level doses and is designed to engage and activate chemosensory neurons in the nasal cavity connected to neural circuits in the brain that produce antidepressant effects. Specifically, itruvone’s proposed MOA involves the regulation of the olfactory-to-amygdala neural circuitry and is believed to increase the activity of the limbic-hypothalamic sympathetic nervous system and increase the release of catecholamines. Importantly, unlike all currently approved oral antidepressants and ketamine-based therapy (KBT), </w:t>
      </w:r>
    </w:p>
    <w:p>
      <w:pPr>
        <w:pStyle w:val="TextBody"/>
        <w:bidi w:val="0"/>
        <w:spacing w:before="0" w:after="0"/>
        <w:jc w:val="left"/>
        <w:rPr/>
      </w:pPr>
      <w:r>
        <w:rPr/>
        <w:drawing>
          <wp:inline distT="0" distB="0" distL="0" distR="0">
            <wp:extent cx="1371600" cy="4572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including both intravenous ketamine and intranasal ketamine, we believe itruvone has potential to achieve antidepressant effects without systemic absorption or brain penetration and without many of the side effects and safety concerns potentially associated with currently approved antidepressants requiring systemic distribution. The FDA has granted Fast Track designation for the development of itruvone as a potential treatment for major depressive disorder.</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About PH80 Nasal Spray for Vasomotor Symptoms (Hot Flashes) Due to Menopause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PH80 is a hormone-free investigational neuroactive pherine nasal spray with a novel neurocircuitry-focused mechanism of action (MOA) that is fundamentally differentiated from all currently approved treatment options for women’s health indications. PH80’s proposed MOA does not require systemic absorption or direct activity on neurons in the brain. Vistagen is developing PH80 as a potential new non-systemic, hormone-free treatment for the management of vasomotor symptoms (hot flashes) due to menopause.</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About Vistagen</w:t>
      </w:r>
    </w:p>
    <w:p>
      <w:pPr>
        <w:pStyle w:val="TextBody"/>
        <w:bidi w:val="0"/>
        <w:spacing w:lineRule="auto" w:line="268"/>
        <w:jc w:val="left"/>
        <w:rPr/>
      </w:pPr>
      <w:r>
        <w:rPr>
          <w:rFonts w:ascii="Times New Roman;sans-serif" w:hAnsi="Times New Roman;sans-serif"/>
          <w:b w:val="false"/>
          <w:color w:val="000000"/>
          <w:sz w:val="20"/>
        </w:rPr>
        <w:t xml:space="preserve">Headquartered in South San Francisco, CA, Vistagen (Nasdaq: VTGN) is a late clinical-stage neuroscience-focused biopharmaceutical company dedicated to the development and commercialization of groundbreaking therapies for psychiatric and neurological disorders based on its pioneering approach and deep understanding of nose-to-brain neurocircuitry. Designed exclusively as nasal sprays administered at microgram level doses with novel non-systemic mechanisms of action, Vistagen’s diversified pipeline of pherine product candidates rapidly activate chemosensory neurons in the nasal cavity to impact olfactory system and brain neurocircuitry. Favorable safety profiles have been observed in all clinical studies of Vistagen’s pherine product candidates completed to date. Vistagen’s neuroscience pipeline also includes an oral prodrug with the potential to modulate NMDA receptor activity in multiple neurological conditions, such as levodopa-induced dyskinesia associated with Parkinson’s disease therapy and neuropathic pain. At Vistagen, we are passionate about creating novel and differentiated treatments that set new standards of care for millions of people living with anxiety, depression, and other neurological disorders. Connect at </w:t>
      </w:r>
      <w:r>
        <w:rPr>
          <w:rFonts w:ascii="Times New Roman;sans-serif" w:hAnsi="Times New Roman;sans-serif"/>
          <w:b w:val="false"/>
          <w:color w:val="0E32E1"/>
          <w:sz w:val="20"/>
        </w:rPr>
        <w:t>www.Vistagen.com</w:t>
      </w:r>
      <w:r>
        <w:rPr>
          <w:rFonts w:ascii="Times New Roman;sans-serif" w:hAnsi="Times New Roman;sans-serif"/>
          <w:b w:val="false"/>
          <w:color w:val="000000"/>
          <w:sz w:val="20"/>
        </w:rPr>
        <w:t xml:space="preserve">. </w:t>
      </w:r>
    </w:p>
    <w:p>
      <w:pPr>
        <w:pStyle w:val="TextBody"/>
        <w:bidi w:val="0"/>
        <w:spacing w:before="0" w:after="0"/>
        <w:jc w:val="left"/>
        <w:rPr/>
      </w:pPr>
      <w:r>
        <w:rPr/>
        <w:drawing>
          <wp:inline distT="0" distB="0" distL="0" distR="0">
            <wp:extent cx="1371600" cy="457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68" w:before="0" w:after="0"/>
        <w:jc w:val="left"/>
        <w:rPr/>
      </w:pPr>
      <w:r>
        <w:rPr>
          <w:rFonts w:ascii="Times New Roman;sans-serif" w:hAnsi="Times New Roman;sans-serif"/>
          <w:b w:val="false"/>
          <w:i/>
          <w:color w:val="000000"/>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Therapeutics, Inc. (Vistagen or the Company)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Company’s drug candidates will successfully complete ongoing or, if initiated, planned or future clinical trials, receive regulatory approval or be commercially successful, or that the Company will be able to successfully replicate the result of past studies of its product candidates, including fasedienol, itruvone, PH80 or its other drug candidates. Other factors that may cause such a difference include, without limitation, risks and uncertainties relating to delays in launching, conducting and/or completing ongoing and planned nonclinical studies and clinical trials, including PALISADE-3 and PALISADE-4 or additional Phase 2 clinical trials of itruvone or PH80; the period over which the Company anticipates its available financial resources will fund its operating expenses; the timing of completion of preclinical studies and clinical trials and related preparatory work required to apply for an maintain regulatory approval for any of the Company’s drug candidates; the scope and enforceability of the Company’s patents, including patents related to the Company’s pherine drug candidates and AV-101; fluctuating costs of materials and other resources and services required to conduct the Company’s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Company’s product candidates. These risks are more fully discussed in the section entitled “Risk Factors” in the Company’s most recent Annual Report on Form 10-K for the fiscal year ended March 31, 2024, and in the Company’s most recent Quarterly Report on Form 10-Q for the quarter ended June 30, 2024, as well as discussions of potential risks, uncertainties, and other important factors in our other filings with the U.S. Securities and Exchange Commission (SEC). The Company’s SEC filings are available on the SEC’s website at </w:t>
      </w:r>
      <w:r>
        <w:rPr>
          <w:rFonts w:ascii="Times New Roman;sans-serif" w:hAnsi="Times New Roman;sans-serif"/>
          <w:b w:val="false"/>
          <w:i/>
          <w:color w:val="0563C1"/>
          <w:sz w:val="20"/>
        </w:rPr>
        <w:t>www.sec.gov</w:t>
      </w:r>
      <w:r>
        <w:rPr>
          <w:rFonts w:ascii="Times New Roman;sans-serif" w:hAnsi="Times New Roman;sans-serif"/>
          <w:b w:val="false"/>
          <w:i/>
          <w:color w:val="000000"/>
          <w:sz w:val="20"/>
        </w:rPr>
        <w:t>.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bidi w:val="0"/>
        <w:spacing w:lineRule="auto" w:line="288" w:before="400" w:after="283"/>
        <w:jc w:val="left"/>
        <w:rPr>
          <w:rFonts w:ascii="Times New Roman;sans-serif" w:hAnsi="Times New Roman;sans-serif"/>
          <w:b/>
          <w:color w:val="000000"/>
          <w:sz w:val="20"/>
        </w:rPr>
      </w:pPr>
      <w:r>
        <w:rPr>
          <w:rFonts w:ascii="Times New Roman;sans-serif" w:hAnsi="Times New Roman;sans-serif"/>
          <w:b/>
          <w:color w:val="000000"/>
          <w:sz w:val="20"/>
        </w:rPr>
        <w:t>Investors Inquiries: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A. McPartland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577-3606</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markmcp@vistagen.com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Media Inquiries: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Caren Scannell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577-3601</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cscannell@vistagen.com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883"/>
        <w:gridCol w:w="2356"/>
        <w:gridCol w:w="2301"/>
        <w:gridCol w:w="211"/>
        <w:gridCol w:w="826"/>
        <w:gridCol w:w="109"/>
        <w:gridCol w:w="109"/>
        <w:gridCol w:w="109"/>
        <w:gridCol w:w="109"/>
        <w:gridCol w:w="211"/>
        <w:gridCol w:w="826"/>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 operating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LIABILITIES AND STOCKHOLDERS</w:t>
            </w:r>
            <w:r>
              <w:rPr>
                <w:color w:val="000000"/>
              </w:rPr>
              <w:t xml:space="preserve">’ </w:t>
            </w:r>
            <w:r>
              <w:rPr>
                <w:rFonts w:ascii="Times New Roman;sans-serif" w:hAnsi="Times New Roman;sans-serif"/>
                <w:b/>
                <w:color w:val="000000"/>
                <w:sz w:val="20"/>
              </w:rPr>
              <w:t>EQUITY</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 -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non-current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 - non-current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at June 30, 2024 and March 31, 2024; no shares outstanding at June 30, 2024 and March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325,000,000 shares authorized at June 30, 2024 and March 31, 2024; 27,059,629 and 27,029,731 shares issued at June 30, 2024 and March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4,522 shares of common stock held at June 30, 2024 and March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VISTAGEN THERAPEUTICS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884" w:type="dxa"/>
        <w:jc w:val="left"/>
        <w:tblInd w:w="0" w:type="dxa"/>
        <w:tblLayout w:type="fixed"/>
        <w:tblCellMar>
          <w:top w:w="28" w:type="dxa"/>
          <w:left w:w="28" w:type="dxa"/>
          <w:bottom w:w="28" w:type="dxa"/>
          <w:right w:w="28" w:type="dxa"/>
        </w:tblCellMar>
      </w:tblPr>
      <w:tblGrid>
        <w:gridCol w:w="1949"/>
        <w:gridCol w:w="1707"/>
        <w:gridCol w:w="1729"/>
        <w:gridCol w:w="211"/>
        <w:gridCol w:w="796"/>
        <w:gridCol w:w="109"/>
        <w:gridCol w:w="109"/>
        <w:gridCol w:w="109"/>
        <w:gridCol w:w="109"/>
        <w:gridCol w:w="211"/>
        <w:gridCol w:w="691"/>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1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30,603,435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7,337,005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2872</Words>
  <Characters>16880</Characters>
  <CharactersWithSpaces>19577</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