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 w:hAnsi="Times New Roman"/>
          <w:b/>
          <w:i/>
          <w:color w:val="000000"/>
          <w:sz w:val="15"/>
        </w:rPr>
      </w:pPr>
      <w:bookmarkStart w:id="0" w:name="filename1.htm"/>
      <w:bookmarkStart w:id="1" w:name="ksfilename1"/>
      <w:bookmarkEnd w:id="0"/>
      <w:bookmarkEnd w:id="1"/>
      <w:r>
        <w:rPr>
          <w:rFonts w:ascii="Times New Roman" w:hAnsi="Times New Roman"/>
          <w:b/>
          <w:i/>
          <w:color w:val="000000"/>
          <w:sz w:val="15"/>
        </w:rPr>
        <w:t>HART &amp; TRINEN, LLP</w:t>
      </w:r>
    </w:p>
    <w:p>
      <w:pPr>
        <w:pStyle w:val="TextBody"/>
        <w:spacing w:before="0" w:after="0"/>
        <w:ind w:left="0" w:right="0" w:hanging="0"/>
        <w:jc w:val="center"/>
        <w:rPr>
          <w:rFonts w:ascii="Times New Roman" w:hAnsi="Times New Roman"/>
          <w:color w:val="000000"/>
          <w:sz w:val="15"/>
        </w:rPr>
      </w:pPr>
      <w:r>
        <w:rPr>
          <w:rFonts w:ascii="Times New Roman" w:hAnsi="Times New Roman"/>
          <w:color w:val="000000"/>
          <w:sz w:val="15"/>
        </w:rPr>
        <w:t>ATTORNEYS AT LAW</w:t>
      </w:r>
    </w:p>
    <w:p>
      <w:pPr>
        <w:pStyle w:val="TextBody"/>
        <w:spacing w:before="0" w:after="0"/>
        <w:ind w:left="0" w:right="0" w:hanging="0"/>
        <w:jc w:val="center"/>
        <w:rPr>
          <w:rFonts w:ascii="Times New Roman" w:hAnsi="Times New Roman"/>
          <w:color w:val="000000"/>
          <w:sz w:val="15"/>
        </w:rPr>
      </w:pPr>
      <w:r>
        <w:rPr>
          <w:rFonts w:ascii="Times New Roman" w:hAnsi="Times New Roman"/>
          <w:color w:val="000000"/>
          <w:sz w:val="15"/>
        </w:rPr>
        <w:t>1624 Washington Street</w:t>
      </w:r>
    </w:p>
    <w:p>
      <w:pPr>
        <w:pStyle w:val="TextBody"/>
        <w:spacing w:before="0" w:after="0"/>
        <w:ind w:left="0" w:right="0" w:hanging="0"/>
        <w:jc w:val="center"/>
        <w:rPr>
          <w:rFonts w:ascii="Times New Roman" w:hAnsi="Times New Roman"/>
          <w:color w:val="000000"/>
          <w:sz w:val="15"/>
        </w:rPr>
      </w:pPr>
      <w:r>
        <w:rPr>
          <w:rFonts w:ascii="Times New Roman" w:hAnsi="Times New Roman"/>
          <w:color w:val="000000"/>
          <w:sz w:val="15"/>
        </w:rPr>
        <w:t>Denver, CO  80203</w:t>
      </w:r>
    </w:p>
    <w:tbl>
      <w:tblPr>
        <w:tblW w:w="5000" w:type="pct"/>
        <w:jc w:val="center"/>
        <w:tblInd w:w="0" w:type="dxa"/>
        <w:tblCellMar>
          <w:top w:w="0" w:type="dxa"/>
          <w:left w:w="0" w:type="dxa"/>
          <w:bottom w:w="0" w:type="dxa"/>
          <w:right w:w="0" w:type="dxa"/>
        </w:tblCellMar>
      </w:tblPr>
      <w:tblGrid>
        <w:gridCol w:w="3407"/>
        <w:gridCol w:w="3390"/>
        <w:gridCol w:w="3408"/>
      </w:tblGrid>
      <w:tr>
        <w:trPr/>
        <w:tc>
          <w:tcPr>
            <w:tcW w:w="3407" w:type="dxa"/>
            <w:tcBorders/>
            <w:shd w:fill="auto" w:val="clear"/>
            <w:vAlign w:val="center"/>
          </w:tcPr>
          <w:p>
            <w:pPr>
              <w:pStyle w:val="TableContents"/>
              <w:spacing w:before="0" w:after="283"/>
              <w:rPr>
                <w:sz w:val="4"/>
                <w:szCs w:val="4"/>
              </w:rPr>
            </w:pPr>
            <w:r>
              <w:rPr>
                <w:sz w:val="4"/>
                <w:szCs w:val="4"/>
              </w:rPr>
            </w:r>
          </w:p>
        </w:tc>
        <w:tc>
          <w:tcPr>
            <w:tcW w:w="3390" w:type="dxa"/>
            <w:tcBorders/>
            <w:shd w:fill="auto" w:val="clear"/>
            <w:vAlign w:val="center"/>
          </w:tcPr>
          <w:p>
            <w:pPr>
              <w:pStyle w:val="TableContents"/>
              <w:spacing w:before="0" w:after="283"/>
              <w:rPr>
                <w:sz w:val="4"/>
                <w:szCs w:val="4"/>
              </w:rPr>
            </w:pPr>
            <w:r>
              <w:rPr>
                <w:sz w:val="4"/>
                <w:szCs w:val="4"/>
              </w:rPr>
            </w:r>
          </w:p>
        </w:tc>
        <w:tc>
          <w:tcPr>
            <w:tcW w:w="3408" w:type="dxa"/>
            <w:tcBorders/>
            <w:shd w:fill="auto" w:val="clear"/>
            <w:vAlign w:val="center"/>
          </w:tcPr>
          <w:p>
            <w:pPr>
              <w:pStyle w:val="TableContents"/>
              <w:spacing w:before="0" w:after="283"/>
              <w:ind w:left="0" w:right="0" w:firstLine="135"/>
              <w:rPr>
                <w:sz w:val="4"/>
                <w:szCs w:val="4"/>
              </w:rPr>
            </w:pPr>
            <w:r>
              <w:rPr>
                <w:sz w:val="4"/>
                <w:szCs w:val="4"/>
              </w:rPr>
            </w:r>
          </w:p>
        </w:tc>
      </w:tr>
      <w:tr>
        <w:trPr/>
        <w:tc>
          <w:tcPr>
            <w:tcW w:w="3407" w:type="dxa"/>
            <w:tcBorders/>
            <w:shd w:fill="auto" w:val="clear"/>
          </w:tcPr>
          <w:p>
            <w:pPr>
              <w:pStyle w:val="TableContents"/>
              <w:spacing w:before="0" w:after="0"/>
              <w:ind w:left="0" w:right="0" w:firstLine="135"/>
              <w:jc w:val="both"/>
              <w:rPr>
                <w:sz w:val="15"/>
              </w:rPr>
            </w:pPr>
            <w:r>
              <w:rPr>
                <w:sz w:val="15"/>
              </w:rPr>
              <w:t>William T. Hart, P.C.</w:t>
            </w:r>
          </w:p>
        </w:tc>
        <w:tc>
          <w:tcPr>
            <w:tcW w:w="3390" w:type="dxa"/>
            <w:tcBorders/>
            <w:shd w:fill="auto" w:val="clear"/>
          </w:tcPr>
          <w:p>
            <w:pPr>
              <w:pStyle w:val="TableContents"/>
              <w:spacing w:before="0" w:after="0"/>
              <w:ind w:left="0" w:right="0" w:firstLine="135"/>
              <w:jc w:val="center"/>
              <w:rPr>
                <w:sz w:val="15"/>
              </w:rPr>
            </w:pPr>
            <w:r>
              <w:rPr>
                <w:sz w:val="15"/>
              </w:rPr>
              <w:t>--------------------</w:t>
            </w:r>
          </w:p>
        </w:tc>
        <w:tc>
          <w:tcPr>
            <w:tcW w:w="3408" w:type="dxa"/>
            <w:tcBorders/>
            <w:shd w:fill="auto" w:val="clear"/>
          </w:tcPr>
          <w:p>
            <w:pPr>
              <w:pStyle w:val="TableContents"/>
              <w:spacing w:before="0" w:after="0"/>
              <w:ind w:left="0" w:right="0" w:firstLine="135"/>
              <w:jc w:val="right"/>
              <w:rPr>
                <w:sz w:val="15"/>
              </w:rPr>
            </w:pPr>
            <w:r>
              <w:rPr>
                <w:sz w:val="15"/>
              </w:rPr>
              <w:t>Email:  harttrinen@aol.com</w:t>
            </w:r>
          </w:p>
        </w:tc>
      </w:tr>
      <w:tr>
        <w:trPr/>
        <w:tc>
          <w:tcPr>
            <w:tcW w:w="3407" w:type="dxa"/>
            <w:tcBorders/>
            <w:shd w:fill="auto" w:val="clear"/>
          </w:tcPr>
          <w:p>
            <w:pPr>
              <w:pStyle w:val="TableContents"/>
              <w:spacing w:before="0" w:after="0"/>
              <w:ind w:left="0" w:right="0" w:firstLine="135"/>
              <w:jc w:val="both"/>
              <w:rPr>
                <w:sz w:val="15"/>
              </w:rPr>
            </w:pPr>
            <w:r>
              <w:rPr>
                <w:sz w:val="15"/>
              </w:rPr>
              <w:t>Donald T. Trinen</w:t>
            </w:r>
          </w:p>
        </w:tc>
        <w:tc>
          <w:tcPr>
            <w:tcW w:w="3390" w:type="dxa"/>
            <w:tcBorders/>
            <w:shd w:fill="auto" w:val="clear"/>
          </w:tcPr>
          <w:p>
            <w:pPr>
              <w:pStyle w:val="TableContents"/>
              <w:pBdr/>
              <w:spacing w:before="0" w:after="0"/>
              <w:ind w:left="0" w:right="0" w:firstLine="135"/>
              <w:rPr/>
            </w:pPr>
            <w:r>
              <w:rPr/>
              <w:t> </w:t>
            </w:r>
          </w:p>
        </w:tc>
        <w:tc>
          <w:tcPr>
            <w:tcW w:w="3408" w:type="dxa"/>
            <w:tcBorders/>
            <w:shd w:fill="auto" w:val="clear"/>
          </w:tcPr>
          <w:p>
            <w:pPr>
              <w:pStyle w:val="TableContents"/>
              <w:spacing w:before="0" w:after="0"/>
              <w:ind w:left="0" w:right="0" w:firstLine="135"/>
              <w:jc w:val="right"/>
              <w:rPr>
                <w:sz w:val="15"/>
              </w:rPr>
            </w:pPr>
            <w:r>
              <w:rPr>
                <w:sz w:val="15"/>
              </w:rPr>
              <w:t>Facsimile:  (303) 839-5414</w:t>
            </w:r>
          </w:p>
        </w:tc>
      </w:tr>
      <w:tr>
        <w:trPr/>
        <w:tc>
          <w:tcPr>
            <w:tcW w:w="3407" w:type="dxa"/>
            <w:tcBorders/>
            <w:shd w:fill="auto" w:val="clear"/>
          </w:tcPr>
          <w:p>
            <w:pPr>
              <w:pStyle w:val="TableContents"/>
              <w:spacing w:before="0" w:after="0"/>
              <w:ind w:left="0" w:right="0" w:firstLine="135"/>
              <w:jc w:val="both"/>
              <w:rPr>
                <w:sz w:val="15"/>
              </w:rPr>
            </w:pPr>
            <w:r>
              <w:rPr>
                <w:sz w:val="15"/>
              </w:rPr>
              <w:t>------------</w:t>
            </w:r>
          </w:p>
        </w:tc>
        <w:tc>
          <w:tcPr>
            <w:tcW w:w="3390" w:type="dxa"/>
            <w:tcBorders/>
            <w:shd w:fill="auto" w:val="clear"/>
          </w:tcPr>
          <w:p>
            <w:pPr>
              <w:pStyle w:val="TableContents"/>
              <w:spacing w:before="0" w:after="0"/>
              <w:ind w:left="0" w:right="0" w:firstLine="135"/>
              <w:jc w:val="center"/>
              <w:rPr>
                <w:sz w:val="15"/>
              </w:rPr>
            </w:pPr>
            <w:r>
              <w:rPr>
                <w:sz w:val="15"/>
              </w:rPr>
              <w:t>(303) 839-0061</w:t>
            </w:r>
          </w:p>
        </w:tc>
        <w:tc>
          <w:tcPr>
            <w:tcW w:w="3408" w:type="dxa"/>
            <w:tcBorders/>
            <w:shd w:fill="auto" w:val="clear"/>
          </w:tcPr>
          <w:p>
            <w:pPr>
              <w:pStyle w:val="TableContents"/>
              <w:pBdr/>
              <w:spacing w:before="0" w:after="0"/>
              <w:ind w:left="0" w:right="0" w:firstLine="135"/>
              <w:rPr/>
            </w:pPr>
            <w:r>
              <w:rPr/>
              <w:t> </w:t>
            </w:r>
          </w:p>
        </w:tc>
      </w:tr>
      <w:tr>
        <w:trPr/>
        <w:tc>
          <w:tcPr>
            <w:tcW w:w="3407" w:type="dxa"/>
            <w:tcBorders/>
            <w:shd w:fill="auto" w:val="clear"/>
          </w:tcPr>
          <w:p>
            <w:pPr>
              <w:pStyle w:val="TableContents"/>
              <w:spacing w:before="0" w:after="0"/>
              <w:ind w:left="0" w:right="0" w:firstLine="135"/>
              <w:jc w:val="both"/>
              <w:rPr>
                <w:sz w:val="15"/>
              </w:rPr>
            </w:pPr>
            <w:r>
              <w:rPr>
                <w:sz w:val="15"/>
              </w:rPr>
              <w:t>Will Hart</w:t>
            </w:r>
          </w:p>
        </w:tc>
        <w:tc>
          <w:tcPr>
            <w:tcW w:w="3390" w:type="dxa"/>
            <w:tcBorders/>
            <w:shd w:fill="auto" w:val="clear"/>
          </w:tcPr>
          <w:p>
            <w:pPr>
              <w:pStyle w:val="TableContents"/>
              <w:pBdr/>
              <w:spacing w:before="0" w:after="0"/>
              <w:ind w:left="0" w:right="0" w:firstLine="135"/>
              <w:rPr/>
            </w:pPr>
            <w:r>
              <w:rPr/>
              <w:t> </w:t>
            </w:r>
          </w:p>
        </w:tc>
        <w:tc>
          <w:tcPr>
            <w:tcW w:w="3408" w:type="dxa"/>
            <w:tcBorders/>
            <w:shd w:fill="auto" w:val="clear"/>
          </w:tcPr>
          <w:p>
            <w:pPr>
              <w:pStyle w:val="TableContents"/>
              <w:pBdr/>
              <w:spacing w:before="0" w:after="0"/>
              <w:ind w:left="0" w:right="0" w:firstLine="135"/>
              <w:rPr/>
            </w:pPr>
            <w:r>
              <w:rPr/>
              <w:t> </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center"/>
        <w:rPr>
          <w:rFonts w:ascii="Times New Roman" w:hAnsi="Times New Roman"/>
          <w:color w:val="000000"/>
          <w:sz w:val="15"/>
        </w:rPr>
      </w:pPr>
      <w:r>
        <w:rPr>
          <w:rFonts w:ascii="Times New Roman" w:hAnsi="Times New Roman"/>
          <w:color w:val="000000"/>
          <w:sz w:val="15"/>
        </w:rPr>
        <w:t>September 15, 2011</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Scot Foley</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Securities and Exchange Commission</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100 F Street, NE</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Washington, DC 20549</w:t>
      </w:r>
    </w:p>
    <w:p>
      <w:pPr>
        <w:pStyle w:val="TextBody"/>
        <w:spacing w:before="0" w:after="0"/>
        <w:ind w:left="0" w:right="0" w:hanging="0"/>
        <w:jc w:val="both"/>
        <w:rPr/>
      </w:pPr>
      <w:r>
        <w:rPr/>
      </w:r>
    </w:p>
    <w:p>
      <w:pPr>
        <w:pStyle w:val="TextBody"/>
        <w:spacing w:before="0" w:after="0"/>
        <w:ind w:left="0" w:right="0" w:hanging="30"/>
        <w:jc w:val="both"/>
        <w:rPr>
          <w:rFonts w:ascii="Times New Roman" w:hAnsi="Times New Roman"/>
          <w:color w:val="000000"/>
          <w:sz w:val="15"/>
        </w:rPr>
      </w:pPr>
      <w:r>
        <w:rPr>
          <w:rFonts w:ascii="Times New Roman" w:hAnsi="Times New Roman"/>
          <w:color w:val="000000"/>
          <w:sz w:val="15"/>
        </w:rPr>
        <w:t>VistaGen Therapeutics, Inc.</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914400" cy="108585"/>
                <wp:effectExtent l="0" t="0" r="0" b="0"/>
                <wp:wrapSquare wrapText="largest"/>
                <wp:docPr id="1" name="Frame1"/>
                <a:graphic xmlns:a="http://schemas.openxmlformats.org/drawingml/2006/main">
                  <a:graphicData uri="http://schemas.microsoft.com/office/word/2010/wordprocessingShape">
                    <wps:wsp>
                      <wps:cNvSpPr txBox="1"/>
                      <wps:spPr>
                        <a:xfrm>
                          <a:off x="0" y="0"/>
                          <a:ext cx="914400" cy="108585"/>
                        </a:xfrm>
                        <a:prstGeom prst="rect"/>
                      </wps:spPr>
                      <wps:txbx>
                        <w:txbxContent>
                          <w:p>
                            <w:pPr>
                              <w:pStyle w:val="TextBody"/>
                              <w:spacing w:before="0" w:after="283"/>
                              <w:rPr>
                                <w:sz w:val="15"/>
                              </w:rPr>
                            </w:pPr>
                            <w:r>
                              <w:rPr>
                                <w:sz w:val="15"/>
                              </w:rPr>
                              <w:t>Re:</w:t>
                            </w:r>
                          </w:p>
                        </w:txbxContent>
                      </wps:txbx>
                      <wps:bodyPr anchor="t" lIns="0" tIns="0" rIns="0" bIns="0">
                        <a:noAutofit/>
                      </wps:bodyPr>
                    </wps:wsp>
                  </a:graphicData>
                </a:graphic>
              </wp:anchor>
            </w:drawing>
          </mc:Choice>
          <mc:Fallback>
            <w:pict>
              <v:rect style="position:absolute;rotation:0;width:72pt;height:8.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5"/>
                        </w:rPr>
                      </w:pPr>
                      <w:r>
                        <w:rPr>
                          <w:sz w:val="15"/>
                        </w:rPr>
                        <w:t>Re:</w:t>
                      </w:r>
                    </w:p>
                  </w:txbxContent>
                </v:textbox>
                <w10:wrap type="square" side="right"/>
              </v:rect>
            </w:pict>
          </mc:Fallback>
        </mc:AlternateContent>
      </w:r>
    </w:p>
    <w:p>
      <w:pPr>
        <w:pStyle w:val="TextBody"/>
        <w:spacing w:before="0" w:after="0"/>
        <w:ind w:left="0" w:right="0" w:firstLine="1440"/>
        <w:jc w:val="both"/>
        <w:rPr>
          <w:rFonts w:ascii="Times New Roman" w:hAnsi="Times New Roman"/>
          <w:color w:val="000000"/>
          <w:sz w:val="15"/>
        </w:rPr>
      </w:pPr>
      <w:r>
        <w:rPr>
          <w:rFonts w:ascii="Times New Roman" w:hAnsi="Times New Roman"/>
          <w:color w:val="000000"/>
          <w:sz w:val="15"/>
        </w:rPr>
        <w:t>Preliminary Proxy Statement on Schedule 14A</w:t>
      </w:r>
    </w:p>
    <w:p>
      <w:pPr>
        <w:pStyle w:val="TextBody"/>
        <w:spacing w:before="0" w:after="0"/>
        <w:ind w:left="0" w:right="0" w:firstLine="1440"/>
        <w:jc w:val="both"/>
        <w:rPr>
          <w:rFonts w:ascii="Times New Roman" w:hAnsi="Times New Roman"/>
          <w:color w:val="000000"/>
          <w:sz w:val="15"/>
        </w:rPr>
      </w:pPr>
      <w:r>
        <w:rPr>
          <w:rFonts w:ascii="Times New Roman" w:hAnsi="Times New Roman"/>
          <w:color w:val="000000"/>
          <w:sz w:val="15"/>
        </w:rPr>
        <w:t>File No. 000-54014</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color w:val="000000"/>
          <w:sz w:val="15"/>
        </w:rPr>
      </w:pPr>
      <w:r>
        <w:rPr>
          <w:rFonts w:ascii="Times New Roman" w:hAnsi="Times New Roman"/>
          <w:color w:val="000000"/>
          <w:sz w:val="15"/>
        </w:rPr>
        <w:t xml:space="preserve">This office represents VistaGen Therapeutics, Inc. (the Company).  Amendment No. 1 to the Companys Proxy Statement has been filed with the Commission.  With respect to the comment received from the staff by letter dated September 8, 2011, the following sentence has been added to the section of the Proxy Statement captioned </w:t>
      </w:r>
      <w:r>
        <w:rPr>
          <w:rFonts w:ascii="Times New Roman" w:hAnsi="Times New Roman"/>
          <w:color w:val="000000"/>
          <w:sz w:val="15"/>
          <w:u w:val="single"/>
        </w:rPr>
        <w:t>Proposal to Amend the Companys Articles of Incorporation</w:t>
      </w:r>
      <w:r>
        <w:rPr>
          <w:rFonts w:ascii="Times New Roman" w:hAnsi="Times New Roman"/>
          <w:color w:val="000000"/>
          <w:sz w:val="15"/>
        </w:rPr>
        <w:t xml:space="preserve">. </w:t>
      </w:r>
    </w:p>
    <w:p>
      <w:pPr>
        <w:pStyle w:val="TextBody"/>
        <w:spacing w:before="0" w:after="0"/>
        <w:ind w:left="0" w:right="0" w:hanging="0"/>
        <w:rPr/>
      </w:pPr>
      <w:r>
        <w:rPr/>
      </w:r>
    </w:p>
    <w:p>
      <w:pPr>
        <w:pStyle w:val="TextBody"/>
        <w:spacing w:before="0" w:after="0"/>
        <w:ind w:left="0" w:right="0" w:firstLine="720"/>
        <w:jc w:val="both"/>
        <w:rPr>
          <w:rFonts w:ascii="Times New Roman" w:hAnsi="Times New Roman"/>
          <w:color w:val="000000"/>
          <w:sz w:val="15"/>
        </w:rPr>
      </w:pPr>
      <w:r>
        <w:rPr>
          <w:rFonts w:ascii="Times New Roman" w:hAnsi="Times New Roman"/>
          <w:color w:val="000000"/>
          <w:sz w:val="15"/>
        </w:rPr>
        <w:t>The Company does not have any current plans, agreements, or understandings, written or oral, with respect to the issuance of any preferred shares.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color w:val="000000"/>
          <w:sz w:val="15"/>
        </w:rPr>
      </w:pPr>
      <w:r>
        <w:rPr>
          <w:rFonts w:ascii="Times New Roman" w:hAnsi="Times New Roman"/>
          <w:color w:val="000000"/>
          <w:sz w:val="15"/>
        </w:rPr>
        <w:t>If you should have any questions concerning the foregoing, please do not hesitate to contact the undersigned.</w:t>
      </w:r>
    </w:p>
    <w:p>
      <w:pPr>
        <w:pStyle w:val="TextBody"/>
        <w:spacing w:before="0" w:after="0"/>
        <w:ind w:left="0" w:right="0" w:hanging="0"/>
        <w:jc w:val="both"/>
        <w:rPr/>
      </w:pPr>
      <w:r>
        <w:rPr/>
      </w:r>
    </w:p>
    <w:p>
      <w:pPr>
        <w:pStyle w:val="TextBody"/>
        <w:spacing w:before="0" w:after="0"/>
        <w:ind w:left="0" w:right="0" w:firstLine="4320"/>
        <w:jc w:val="both"/>
        <w:rPr>
          <w:rFonts w:ascii="Times New Roman" w:hAnsi="Times New Roman"/>
          <w:color w:val="000000"/>
          <w:sz w:val="15"/>
        </w:rPr>
      </w:pPr>
      <w:r>
        <w:rPr>
          <w:rFonts w:ascii="Times New Roman" w:hAnsi="Times New Roman"/>
          <w:color w:val="000000"/>
          <w:sz w:val="15"/>
        </w:rPr>
        <w:t>Very Truly Yours,</w:t>
      </w:r>
    </w:p>
    <w:p>
      <w:pPr>
        <w:pStyle w:val="TextBody"/>
        <w:spacing w:before="0" w:after="0"/>
        <w:ind w:left="0" w:right="0" w:hanging="0"/>
        <w:jc w:val="both"/>
        <w:rPr/>
      </w:pPr>
      <w:r>
        <w:rPr/>
      </w:r>
    </w:p>
    <w:p>
      <w:pPr>
        <w:pStyle w:val="TextBody"/>
        <w:spacing w:before="0" w:after="0"/>
        <w:ind w:left="0" w:right="0" w:firstLine="4320"/>
        <w:jc w:val="both"/>
        <w:rPr>
          <w:rFonts w:ascii="Times New Roman" w:hAnsi="Times New Roman"/>
          <w:color w:val="000000"/>
          <w:sz w:val="15"/>
        </w:rPr>
      </w:pPr>
      <w:r>
        <w:rPr>
          <w:rFonts w:ascii="Times New Roman" w:hAnsi="Times New Roman"/>
          <w:color w:val="000000"/>
          <w:sz w:val="15"/>
        </w:rPr>
        <w:t>HART &amp; TRINEN, L.L.P.</w:t>
      </w:r>
    </w:p>
    <w:p>
      <w:pPr>
        <w:pStyle w:val="TextBody"/>
        <w:spacing w:before="0" w:after="0"/>
        <w:ind w:left="0" w:right="0" w:hanging="0"/>
        <w:jc w:val="both"/>
        <w:rPr/>
      </w:pPr>
      <w:r>
        <w:rPr/>
      </w:r>
    </w:p>
    <w:p>
      <w:pPr>
        <w:pStyle w:val="TextBody"/>
        <w:spacing w:before="0" w:after="0"/>
        <w:ind w:left="0" w:right="0" w:firstLine="3600"/>
        <w:jc w:val="both"/>
        <w:rPr>
          <w:color w:val="000000"/>
        </w:rPr>
      </w:pPr>
      <w:r>
        <w:rPr>
          <w:color w:val="000000"/>
        </w:rPr>
        <w:t>            </w:t>
      </w:r>
    </w:p>
    <w:p>
      <w:pPr>
        <w:pStyle w:val="TextBody"/>
        <w:spacing w:before="0" w:after="0"/>
        <w:ind w:left="0" w:right="0" w:firstLine="720"/>
        <w:jc w:val="both"/>
        <w:rPr>
          <w:rFonts w:ascii="Times New Roman" w:hAnsi="Times New Roman"/>
          <w:i/>
          <w:color w:val="000000"/>
          <w:sz w:val="15"/>
        </w:rPr>
      </w:pPr>
      <w:r>
        <w:rPr>
          <w:rFonts w:ascii="Times New Roman" w:hAnsi="Times New Roman"/>
          <w:i/>
          <w:color w:val="000000"/>
          <w:sz w:val="15"/>
        </w:rPr>
        <w:t>/s/ William Hart</w:t>
      </w:r>
    </w:p>
    <w:p>
      <w:pPr>
        <w:pStyle w:val="TextBody"/>
        <w:spacing w:before="0" w:after="0"/>
        <w:ind w:left="0" w:right="0" w:hanging="30"/>
        <w:jc w:val="both"/>
        <w:rPr>
          <w:rFonts w:ascii="Times New Roman" w:hAnsi="Times New Roman"/>
          <w:color w:val="000000"/>
          <w:sz w:val="15"/>
        </w:rPr>
      </w:pPr>
      <w:r>
        <w:rPr>
          <w:rFonts w:ascii="Times New Roman" w:hAnsi="Times New Roman"/>
          <w:color w:val="000000"/>
          <w:sz w:val="15"/>
        </w:rPr>
        <w:t>William T. Hart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2286000" cy="175260"/>
                <wp:effectExtent l="0" t="0" r="0" b="0"/>
                <wp:wrapSquare wrapText="largest"/>
                <wp:docPr id="2" name="Frame2"/>
                <a:graphic xmlns:a="http://schemas.openxmlformats.org/drawingml/2006/main">
                  <a:graphicData uri="http://schemas.microsoft.com/office/word/2010/wordprocessingShape">
                    <wps:wsp>
                      <wps:cNvSpPr txBox="1"/>
                      <wps:spPr>
                        <a:xfrm>
                          <a:off x="0" y="0"/>
                          <a:ext cx="2286000"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180pt;mso-position-horizontal:left;mso-position-horizontal-relative:text">
                <v:textbox>
                  <w:txbxContent>
                    <w:p>
                      <w:pPr>
                        <w:pStyle w:val="TextBody"/>
                        <w:spacing w:before="0" w:after="283"/>
                        <w:rPr/>
                      </w:pPr>
                      <w:r>
                        <w:rPr/>
                        <w:t>        </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rFonts w:ascii="Times New Roman" w:hAnsi="Times New Roman"/>
          <w:color w:val="000000"/>
          <w:sz w:val="15"/>
        </w:rPr>
      </w:pPr>
      <w:r>
        <w:rPr>
          <w:rFonts w:ascii="Times New Roman" w:hAnsi="Times New Roman"/>
          <w:color w:val="000000"/>
          <w:sz w:val="15"/>
        </w:rPr>
        <w:t xml:space="preserve">VistaGen Letter SEC Foley responses re Proxy 9-15-11 </w:t>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br/>
        <w:br/>
        <w:b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190</Words>
  <CharactersWithSpaces>1203</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