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No.________)*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11,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appropriate box to designate the rule pursuant to which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238"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rPr>
          <w:sz w:val="20"/>
          <w:szCs w:val="20"/>
          <w:color w:val="auto"/>
        </w:rPr>
      </w:pPr>
      <w:r>
        <w:rPr>
          <w:rFonts w:ascii="Courier New" w:cs="Courier New" w:eastAsia="Courier New" w:hAnsi="Courier New"/>
          <w:sz w:val="18"/>
          <w:szCs w:val="18"/>
          <w:color w:val="auto"/>
        </w:rPr>
        <w:t>the Act (however,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114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1149"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9.15</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ectPr>
          <w:pgSz w:w="11900" w:h="16838" w:orient="portrait"/>
          <w:cols w:equalWidth="0" w:num="1">
            <w:col w:w="10219"/>
          </w:cols>
          <w:pgMar w:left="240" w:top="946" w:right="1440" w:bottom="7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If This Statement is filed pursuant to Section 240.13d-1(b) or 240.13d-2(b), or (c), check whether the person filing is a</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or dealer registered under section 15 of the Act (15 U.S.C. 78o).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Insurance company as defined in section 3(a)(19) of the Act (15 U.S.C.</w:t>
      </w:r>
    </w:p>
    <w:p>
      <w:pPr>
        <w:spacing w:after="0" w:line="237" w:lineRule="auto"/>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240.13d-1(b)(1)(ii)(E);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ectPr>
          <w:pgSz w:w="11900" w:h="16838" w:orient="portrait"/>
          <w:cols w:equalWidth="0" w:num="1">
            <w:col w:w="10219"/>
          </w:cols>
          <w:pgMar w:left="240" w:top="541" w:right="1440" w:bottom="13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non-U.S. institution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tabs>
          <w:tab w:leader="none" w:pos="6200" w:val="left"/>
        </w:tabs>
        <w:rPr>
          <w:sz w:val="20"/>
          <w:szCs w:val="20"/>
          <w:color w:val="auto"/>
        </w:rPr>
      </w:pPr>
      <w:r>
        <w:rPr>
          <w:rFonts w:ascii="Courier New" w:cs="Courier New" w:eastAsia="Courier New" w:hAnsi="Courier New"/>
          <w:sz w:val="18"/>
          <w:szCs w:val="18"/>
          <w:color w:val="auto"/>
        </w:rPr>
        <w:t>Group, in accordance with Section 240.13d-1(b)(1)(ii)(K).</w:t>
      </w:r>
      <w:r>
        <w:rPr>
          <w:sz w:val="20"/>
          <w:szCs w:val="20"/>
          <w:color w:val="auto"/>
        </w:rPr>
        <w:tab/>
      </w:r>
      <w:r>
        <w:rPr>
          <w:rFonts w:ascii="Courier New" w:cs="Courier New" w:eastAsia="Courier New" w:hAnsi="Courier New"/>
          <w:sz w:val="16"/>
          <w:szCs w:val="16"/>
          <w:color w:val="auto"/>
        </w:rPr>
        <w:t>If filing as</w:t>
      </w:r>
    </w:p>
    <w:p>
      <w:pPr>
        <w:spacing w:after="0" w:line="3"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2,000,000</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2,000,000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- 2,000,000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- 9.15%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- 9.15%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2,000,000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(iv)</w:t>
      </w:r>
    </w:p>
    <w:p>
      <w:pPr>
        <w:sectPr>
          <w:pgSz w:w="11900" w:h="16838" w:orient="portrait"/>
          <w:cols w:equalWidth="0" w:num="1">
            <w:col w:w="10219"/>
          </w:cols>
          <w:pgMar w:left="240" w:top="136" w:right="1440" w:bottom="0" w:gutter="0" w:footer="0" w:header="0"/>
          <w:type w:val="continuous"/>
        </w:sectPr>
      </w:pPr>
    </w:p>
    <w:bookmarkStart w:id="10" w:name="page11"/>
    <w:bookmarkEnd w:id="10"/>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2,000,000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2,000,000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2,000,000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As calculated in accordance with Rule 13d-3 of the Securities Exchange Act of 1934, as amended, (i) Sabby Volatility Warrant Master Fund, Ltd. beneficially owns 2,000,000 shares of the Issuer's common stock (Common Stock), representing approximately 9.15% of the Common Stock, and (ii) Sabby Management, LLC and Hal Mintz each beneficially own 2,000,000 shares of the Common Stock, representing approximately 9.15% of the Common Stock. Sabby Management, LLC and Hal Mintz do not directly own any shares of Common Stock, but each indirectly owns 2,000,000 shares of Common Stock. Sabby Management, LLC, a Delaware limited liability company, indirectly owns 2,000,000 shares of Common Stock because it serves as the investment manager of Sabby Volatility Warrant Master Fund, Ltd. Mr. Mintz indirectly owns 2,000,000 shares of Common Stock in his capacity as manager of Sabby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w:t>
      </w:r>
    </w:p>
    <w:p>
      <w:pPr>
        <w:sectPr>
          <w:pgSz w:w="11900" w:h="16838" w:orient="portrait"/>
          <w:cols w:equalWidth="0" w:num="1">
            <w:col w:w="10219"/>
          </w:cols>
          <w:pgMar w:left="240" w:top="142" w:right="1440" w:bottom="0" w:gutter="0" w:footer="0" w:header="0"/>
        </w:sectPr>
      </w:pPr>
    </w:p>
    <w:bookmarkStart w:id="11" w:name="page12"/>
    <w:bookmarkEnd w:id="11"/>
    <w:p>
      <w:pPr>
        <w:ind w:right="3899"/>
        <w:spacing w:after="0" w:line="235" w:lineRule="auto"/>
        <w:rPr>
          <w:sz w:val="20"/>
          <w:szCs w:val="20"/>
          <w:color w:val="auto"/>
        </w:rPr>
      </w:pPr>
      <w:r>
        <w:rPr>
          <w:rFonts w:ascii="Courier New" w:cs="Courier New" w:eastAsia="Courier New" w:hAnsi="Courier New"/>
          <w:sz w:val="18"/>
          <w:szCs w:val="18"/>
          <w:color w:val="auto"/>
        </w:rPr>
        <w:t>more than five percent of the class of securities, check the following [_].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14,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pacing w:after="0" w:line="170"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619" w:firstLine="737"/>
        <w:spacing w:after="0" w:line="279" w:lineRule="auto"/>
        <w:rPr>
          <w:sz w:val="20"/>
          <w:szCs w:val="20"/>
          <w:color w:val="auto"/>
        </w:rPr>
      </w:pPr>
      <w:r>
        <w:rPr>
          <w:rFonts w:ascii="Courier New" w:cs="Courier New" w:eastAsia="Courier New" w:hAnsi="Courier New"/>
          <w:sz w:val="16"/>
          <w:szCs w:val="16"/>
          <w:color w:val="auto"/>
        </w:rPr>
        <w:t>The undersigned hereby agree that this Statement on Schedule 13G with respect to the beneficial ownership of shares of Common Stock of VistaGen Therapeutics, Inc. is filed jointly, on behalf of each of them.</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14,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Person of TDF Management</w:t>
      </w:r>
    </w:p>
    <w:p>
      <w:pPr>
        <w:spacing w:after="0" w:line="237" w:lineRule="auto"/>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ectPr>
          <w:pgSz w:w="11900" w:h="16838" w:orient="portrait"/>
          <w:cols w:equalWidth="0" w:num="1">
            <w:col w:w="10219"/>
          </w:cols>
          <w:pgMar w:left="240" w:top="1149" w:right="1440" w:bottom="7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2020-01-19T01:43:47Z</dcterms:created>
  <dcterms:modified xsi:type="dcterms:W3CDTF">2020-01-19T01:43:47Z</dcterms:modified>
</cp:coreProperties>
</file>