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28,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On November 28, 2025, the Board of Directors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appointed Nick B. Tressler to serve as the Company’s Chief Financial Officer and Treasurer, effective December 1, 2025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Mr. Tressler was also appointed as the Company’s principal financial and accounting officer.</w:t>
      </w:r>
    </w:p>
    <w:p>
      <w:pPr>
        <w:spacing w:after="0" w:line="21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Mr. Tressler, age 52, has over 20 years of financial leadership experience in the life sciences industry guiding companies through pivotal growth and transformation. Most recently, he served as Chief Financial Officer of DYNEX Technologies, a laboratory diagnostic equipment company, from 2024 to 2025. He was Chief Financial Officer at American Gene Technologies International, a biotech company, from 2023 to 2024, and Chief Financial Officer at Senseonics Holdings, Inc. (Nasdaq: SENS), a medical technology company, from 2019 to 2022. Mr. Tressler held senior financial roles with several biopharmaceutical companies from 2004 to 2022, including Sucampo Pharmaceuticals (Nasdaq: SCMP), acquired by Mallinckrodt in 2018, and MedImmune LLC (Nasdaq: MEDI), acquired by AstraZeneca PLC (Nasdaq: AZN) in 2007. Mr. Tressler holds an M.B.A. from Johns Hopkins University Carey Business School and a B.S. in Finance from the University of Maryland, College Park, Robert H. Smith School of Business.</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Except as disclosed herein, there are no arrangements or understandings between Mr. Tressler and any other person pursuant to which he was appointed as the Company’s Chief Financial Officer, Treasurer and principal financial and accounting officer, and Mr. Tressler is not a participant in any related party transaction required to be reported pursuant to Item 404(a) of Regulation S-K.</w:t>
      </w:r>
    </w:p>
    <w:p>
      <w:pPr>
        <w:spacing w:after="0" w:line="190" w:lineRule="exact"/>
        <w:rPr>
          <w:sz w:val="20"/>
          <w:szCs w:val="20"/>
          <w:color w:val="auto"/>
        </w:rPr>
      </w:pPr>
    </w:p>
    <w:p>
      <w:pPr>
        <w:jc w:val="both"/>
        <w:ind w:firstLine="499"/>
        <w:spacing w:after="0" w:line="241" w:lineRule="auto"/>
        <w:rPr>
          <w:sz w:val="20"/>
          <w:szCs w:val="20"/>
          <w:color w:val="auto"/>
        </w:rPr>
      </w:pPr>
      <w:r>
        <w:rPr>
          <w:rFonts w:ascii="Times New Roman" w:cs="Times New Roman" w:eastAsia="Times New Roman" w:hAnsi="Times New Roman"/>
          <w:sz w:val="18"/>
          <w:szCs w:val="18"/>
          <w:color w:val="auto"/>
        </w:rPr>
        <w:t>As specified in his offer letter, Mr. Tressler will be an at-will employee of the Company and, in exchange for his services as Chief Financial Officer and Treasurer, will be paid a starting annual base salary of $450,000 and will be eligible to participate in the Company’s benefit and compensation plans, including the Company’s Amended and Restated 2019 Omnibus Equity Incentive Plan, as amended, and the 2019 Employee Stock Purchase Plan, as amended. Mr. Tressler also received a $50,000 signing bonus, and will be eligible to receive an annual discretionary cash bonus with an initial target of 45% of his then annual base salary based upon the achievement of performance goals set by, and determined in the sole discretion of, the Board of Directors or the Compensation Committee of the Board of Directors and subject to Mr. Tressler’s continued employment with the Company.</w:t>
      </w:r>
    </w:p>
    <w:p>
      <w:pPr>
        <w:spacing w:after="0" w:line="211" w:lineRule="exact"/>
        <w:rPr>
          <w:sz w:val="20"/>
          <w:szCs w:val="20"/>
          <w:color w:val="auto"/>
        </w:rPr>
      </w:pPr>
    </w:p>
    <w:p>
      <w:pPr>
        <w:jc w:val="both"/>
        <w:ind w:firstLine="499"/>
        <w:spacing w:after="0" w:line="241" w:lineRule="auto"/>
        <w:rPr>
          <w:sz w:val="20"/>
          <w:szCs w:val="20"/>
          <w:color w:val="auto"/>
        </w:rPr>
      </w:pPr>
      <w:r>
        <w:rPr>
          <w:rFonts w:ascii="Times New Roman" w:cs="Times New Roman" w:eastAsia="Times New Roman" w:hAnsi="Times New Roman"/>
          <w:sz w:val="18"/>
          <w:szCs w:val="18"/>
          <w:color w:val="auto"/>
        </w:rPr>
        <w:t>As an inducement material to Mr. Tressler entering into employment with the Company, Mr. Tressler was granted, on the Effective Date, stock options to purchase up to a total of 150,000 shares of the Company’s common stock, par value $0.001 per share (the “</w:t>
      </w:r>
      <w:r>
        <w:rPr>
          <w:rFonts w:ascii="Times New Roman" w:cs="Times New Roman" w:eastAsia="Times New Roman" w:hAnsi="Times New Roman"/>
          <w:sz w:val="18"/>
          <w:szCs w:val="18"/>
          <w:i w:val="1"/>
          <w:iCs w:val="1"/>
          <w:color w:val="auto"/>
        </w:rPr>
        <w:t>Inducement Grant</w:t>
      </w:r>
      <w:r>
        <w:rPr>
          <w:rFonts w:ascii="Times New Roman" w:cs="Times New Roman" w:eastAsia="Times New Roman" w:hAnsi="Times New Roman"/>
          <w:sz w:val="18"/>
          <w:szCs w:val="18"/>
          <w:color w:val="auto"/>
        </w:rPr>
        <w:t>”). The Inducement Grant will begin vesting on the one-year anniversary of the Effective Date and will continue vesting in equal monthly installments over a 36-month period so that, subject to Mr. Tressler’s continued service to the Company, the Inducement Grant will become fully vested on the fourth anniversary of the Effective Date. The Inducement Grant has a ten-year term and an exercise price per share of $4.43, the closing price of the Company’s common stock on The Nasdaq Capital Market on December 1, 2025. The Inducement Grant will be issued in accordance with Nasdaq Listing Rule 5635(c)(4).</w:t>
      </w:r>
    </w:p>
    <w:p>
      <w:pPr>
        <w:spacing w:after="0" w:line="20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connection with his appointment, the Company and Mr. Tressler entered into an Indemnification Agreement (the “</w:t>
      </w:r>
      <w:r>
        <w:rPr>
          <w:rFonts w:ascii="Times New Roman" w:cs="Times New Roman" w:eastAsia="Times New Roman" w:hAnsi="Times New Roman"/>
          <w:sz w:val="18"/>
          <w:szCs w:val="18"/>
          <w:i w:val="1"/>
          <w:iCs w:val="1"/>
          <w:color w:val="auto"/>
        </w:rPr>
        <w:t>Indemnification Agreement</w:t>
      </w:r>
      <w:r>
        <w:rPr>
          <w:rFonts w:ascii="Times New Roman" w:cs="Times New Roman" w:eastAsia="Times New Roman" w:hAnsi="Times New Roman"/>
          <w:sz w:val="18"/>
          <w:szCs w:val="18"/>
          <w:color w:val="auto"/>
        </w:rPr>
        <w:t>”), a copy of which is attached hereto as Exhibit 10.1. The Indemnification Agreement requires the Company to indemnify Mr. Tressler to the fullest extent permitted under Nevada law against liability that may arise by reason of his service to the Company, and to advance certain expenses incurred as a result of any proceeding against him as to which he could be indemnified.</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effectiveness of Mr. Tressler’s appointment, Shawn K. Singh, the Company’s President and Chief Executive Officer will no longer serve as the Company’s interim principal financial and accounting officer.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announcing Mr. Tressler’s appointment is attached to this Current Report on Form 8-K as Exhibit 99.1.</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under this Item 7.01 and Exhibit 99.1 attached hereto are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filing under the Securities Act of 1933, as amended, or the Exchange Act, except as expressly set forth by specific reference in such a filing.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39"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E32E1"/>
        </w:rPr>
        <w:t>Indemnification Agreement by and between Vistagen Therapeutics, Inc. and Nick B. Tressler, dated December 1, 2025</w:t>
      </w:r>
    </w:p>
    <w:p>
      <w:pPr>
        <w:spacing w:after="0" w:line="50"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Vistagen Therapeutics, Inc., dated December 1, 2025</w:t>
      </w:r>
    </w:p>
    <w:p>
      <w:pPr>
        <w:spacing w:after="0" w:line="50" w:lineRule="exact"/>
        <w:rPr>
          <w:sz w:val="20"/>
          <w:szCs w:val="20"/>
          <w:color w:val="auto"/>
        </w:rPr>
      </w:pPr>
    </w:p>
    <w:p>
      <w:pPr>
        <w:ind w:left="40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December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5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67" w:lineRule="exact"/>
        <w:rPr>
          <w:sz w:val="20"/>
          <w:szCs w:val="20"/>
          <w:color w:val="auto"/>
        </w:rPr>
      </w:pPr>
    </w:p>
    <w:p>
      <w:pPr>
        <w:jc w:val="both"/>
        <w:ind w:firstLine="756"/>
        <w:spacing w:after="0" w:line="266" w:lineRule="auto"/>
        <w:rPr>
          <w:sz w:val="20"/>
          <w:szCs w:val="20"/>
          <w:color w:val="auto"/>
        </w:rPr>
      </w:pPr>
      <w:r>
        <w:rPr>
          <w:rFonts w:ascii="Times New Roman" w:cs="Times New Roman" w:eastAsia="Times New Roman" w:hAnsi="Times New Roman"/>
          <w:sz w:val="18"/>
          <w:szCs w:val="18"/>
          <w:color w:val="auto"/>
        </w:rPr>
        <w:t>THIS AGREEMENT is entered into, effective as of December 1, 2025 between Vistagen Therapeutics, Inc., a Nevada corporation (the "Company"), and Nick B. Tressler (“Indemnitee”).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it is essential to the Company to retain and attract as directors and officers the most capable persons available;</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Indemnitee is an officer of the Company;</w:t>
      </w:r>
    </w:p>
    <w:p>
      <w:pPr>
        <w:spacing w:after="0" w:line="239" w:lineRule="exact"/>
        <w:rPr>
          <w:sz w:val="20"/>
          <w:szCs w:val="20"/>
          <w:color w:val="auto"/>
        </w:rPr>
      </w:pPr>
    </w:p>
    <w:p>
      <w:pPr>
        <w:jc w:val="both"/>
        <w:ind w:right="20" w:firstLine="756"/>
        <w:spacing w:after="0" w:line="266" w:lineRule="auto"/>
        <w:rPr>
          <w:sz w:val="20"/>
          <w:szCs w:val="20"/>
          <w:color w:val="auto"/>
        </w:rPr>
      </w:pPr>
      <w:r>
        <w:rPr>
          <w:rFonts w:ascii="Times New Roman" w:cs="Times New Roman" w:eastAsia="Times New Roman" w:hAnsi="Times New Roman"/>
          <w:sz w:val="18"/>
          <w:szCs w:val="18"/>
          <w:color w:val="auto"/>
        </w:rPr>
        <w:t>WHEREAS, both the Company and Indemnitee recognize the increased risk of litigation and other claims currently being asserted against directors and officers of corporations; and</w:t>
      </w:r>
    </w:p>
    <w:p>
      <w:pPr>
        <w:spacing w:after="0" w:line="189" w:lineRule="exact"/>
        <w:rPr>
          <w:sz w:val="20"/>
          <w:szCs w:val="20"/>
          <w:color w:val="auto"/>
        </w:rPr>
      </w:pPr>
    </w:p>
    <w:p>
      <w:pPr>
        <w:jc w:val="both"/>
        <w:ind w:firstLine="755"/>
        <w:spacing w:after="0" w:line="242" w:lineRule="auto"/>
        <w:rPr>
          <w:sz w:val="20"/>
          <w:szCs w:val="20"/>
          <w:color w:val="auto"/>
        </w:rPr>
      </w:pPr>
      <w:r>
        <w:rPr>
          <w:rFonts w:ascii="Times New Roman" w:cs="Times New Roman" w:eastAsia="Times New Roman" w:hAnsi="Times New Roman"/>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198" w:lineRule="exact"/>
        <w:rPr>
          <w:sz w:val="20"/>
          <w:szCs w:val="20"/>
          <w:color w:val="auto"/>
        </w:rPr>
      </w:pPr>
    </w:p>
    <w:p>
      <w:pPr>
        <w:jc w:val="both"/>
        <w:ind w:right="20" w:firstLine="75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Definitions: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38" w:lineRule="exact"/>
        <w:rPr>
          <w:rFonts w:ascii="Times New Roman" w:cs="Times New Roman" w:eastAsia="Times New Roman" w:hAnsi="Times New Roman"/>
          <w:sz w:val="18"/>
          <w:szCs w:val="18"/>
          <w:color w:val="auto"/>
        </w:rPr>
      </w:pPr>
    </w:p>
    <w:p>
      <w:pPr>
        <w:jc w:val="both"/>
        <w:ind w:left="1300" w:hanging="320"/>
        <w:spacing w:after="0" w:line="236"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213"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5" w:name="page6"/>
    <w:bookmarkEnd w:id="5"/>
    <w:p>
      <w:pPr>
        <w:ind w:left="968"/>
        <w:spacing w:after="0" w:line="266" w:lineRule="auto"/>
        <w:rPr>
          <w:sz w:val="20"/>
          <w:szCs w:val="20"/>
          <w:color w:val="auto"/>
        </w:rPr>
      </w:pPr>
      <w:r>
        <w:rPr>
          <w:rFonts w:ascii="Times New Roman" w:cs="Times New Roman" w:eastAsia="Times New Roman" w:hAnsi="Times New Roman"/>
          <w:sz w:val="18"/>
          <w:szCs w:val="18"/>
          <w:color w:val="auto"/>
        </w:rPr>
        <w:t>with investigating, defending, being a witness in, or participating in (including on appeal), or preparing for any of the foregoing in, any Proceeding relating to any Indemnifiable Event.</w:t>
      </w:r>
    </w:p>
    <w:p>
      <w:pPr>
        <w:spacing w:after="0" w:line="189" w:lineRule="exact"/>
        <w:rPr>
          <w:sz w:val="20"/>
          <w:szCs w:val="20"/>
          <w:color w:val="auto"/>
        </w:rPr>
      </w:pPr>
    </w:p>
    <w:p>
      <w:pPr>
        <w:jc w:val="both"/>
        <w:ind w:left="968" w:hanging="320"/>
        <w:spacing w:after="0" w:line="237" w:lineRule="auto"/>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21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the person or body appointed in connection with Section 3.</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20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the person or body appointed in accordance with Section 3.</w:t>
      </w:r>
    </w:p>
    <w:p>
      <w:pPr>
        <w:spacing w:after="0" w:line="23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any securities of the Company that vote generally in the election of directors.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Indemnify</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968" w:right="20" w:hanging="320"/>
        <w:spacing w:after="0" w:line="237" w:lineRule="auto"/>
        <w:tabs>
          <w:tab w:leader="none" w:pos="9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Agreement</w:t>
      </w:r>
      <w:r>
        <w:rPr>
          <w:rFonts w:ascii="Times New Roman" w:cs="Times New Roman" w:eastAsia="Times New Roman" w:hAnsi="Times New Roman"/>
          <w:sz w:val="18"/>
          <w:szCs w:val="18"/>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214" w:lineRule="exact"/>
        <w:rPr>
          <w:rFonts w:ascii="Times New Roman" w:cs="Times New Roman" w:eastAsia="Times New Roman" w:hAnsi="Times New Roman"/>
          <w:sz w:val="18"/>
          <w:szCs w:val="18"/>
          <w:color w:val="auto"/>
        </w:rPr>
      </w:pPr>
    </w:p>
    <w:p>
      <w:pPr>
        <w:jc w:val="both"/>
        <w:ind w:left="968" w:hanging="320"/>
        <w:spacing w:after="0" w:line="241" w:lineRule="auto"/>
        <w:tabs>
          <w:tab w:leader="none" w:pos="9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Initiation of Proceeding</w:t>
      </w:r>
      <w:r>
        <w:rPr>
          <w:rFonts w:ascii="Times New Roman" w:cs="Times New Roman" w:eastAsia="Times New Roman" w:hAnsi="Times New Roman"/>
          <w:sz w:val="18"/>
          <w:szCs w:val="18"/>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39" w:lineRule="auto"/>
        <w:tabs>
          <w:tab w:leader="none" w:pos="9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Advances</w:t>
      </w:r>
      <w:r>
        <w:rPr>
          <w:rFonts w:ascii="Times New Roman" w:cs="Times New Roman" w:eastAsia="Times New Roman" w:hAnsi="Times New Roman"/>
          <w:sz w:val="18"/>
          <w:szCs w:val="18"/>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404" w:right="339" w:bottom="1440" w:gutter="0" w:footer="0" w:header="0"/>
        </w:sectPr>
      </w:pPr>
    </w:p>
    <w:bookmarkStart w:id="6" w:name="page7"/>
    <w:bookmarkEnd w:id="6"/>
    <w:p>
      <w:pPr>
        <w:jc w:val="both"/>
        <w:ind w:left="968"/>
        <w:spacing w:after="0" w:line="242" w:lineRule="auto"/>
        <w:rPr>
          <w:sz w:val="20"/>
          <w:szCs w:val="20"/>
          <w:color w:val="auto"/>
        </w:rPr>
      </w:pPr>
      <w:r>
        <w:rPr>
          <w:rFonts w:ascii="Times New Roman" w:cs="Times New Roman" w:eastAsia="Times New Roman" w:hAnsi="Times New Roman"/>
          <w:sz w:val="18"/>
          <w:szCs w:val="18"/>
          <w:color w:val="auto"/>
        </w:rPr>
        <w:t>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212" w:lineRule="exact"/>
        <w:rPr>
          <w:sz w:val="20"/>
          <w:szCs w:val="20"/>
          <w:color w:val="auto"/>
        </w:rPr>
      </w:pPr>
    </w:p>
    <w:p>
      <w:pPr>
        <w:jc w:val="both"/>
        <w:ind w:left="968" w:hanging="320"/>
        <w:spacing w:after="0" w:line="242" w:lineRule="auto"/>
        <w:tabs>
          <w:tab w:leader="none" w:pos="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5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45" w:lineRule="auto"/>
        <w:tabs>
          <w:tab w:leader="none" w:pos="9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Indemnification</w:t>
      </w:r>
      <w:r>
        <w:rPr>
          <w:rFonts w:ascii="Times New Roman" w:cs="Times New Roman" w:eastAsia="Times New Roman" w:hAnsi="Times New Roman"/>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207" w:lineRule="exact"/>
        <w:rPr>
          <w:rFonts w:ascii="Times New Roman" w:cs="Times New Roman" w:eastAsia="Times New Roman" w:hAnsi="Times New Roman"/>
          <w:sz w:val="18"/>
          <w:szCs w:val="18"/>
          <w:color w:val="auto"/>
        </w:rPr>
      </w:pPr>
    </w:p>
    <w:p>
      <w:pPr>
        <w:jc w:val="both"/>
        <w:ind w:left="328" w:hanging="328"/>
        <w:spacing w:after="0" w:line="23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Process and Appeal</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tabs>
          <w:tab w:leader="none" w:pos="9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Payment</w:t>
      </w:r>
      <w:r>
        <w:rPr>
          <w:rFonts w:ascii="Times New Roman" w:cs="Times New Roman" w:eastAsia="Times New Roman" w:hAnsi="Times New Roman"/>
          <w:sz w:val="18"/>
          <w:szCs w:val="18"/>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11"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 to Enforce Rights</w:t>
      </w:r>
      <w:r>
        <w:rPr>
          <w:rFonts w:ascii="Times New Roman" w:cs="Times New Roman" w:eastAsia="Times New Roman" w:hAnsi="Times New Roman"/>
          <w:sz w:val="18"/>
          <w:szCs w:val="18"/>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404" w:right="339" w:bottom="1440" w:gutter="0" w:footer="0" w:header="0"/>
        </w:sectPr>
      </w:pPr>
    </w:p>
    <w:bookmarkStart w:id="7" w:name="page8"/>
    <w:bookmarkEnd w:id="7"/>
    <w:p>
      <w:pPr>
        <w:jc w:val="both"/>
        <w:ind w:left="968"/>
        <w:spacing w:after="0" w:line="245" w:lineRule="auto"/>
        <w:rPr>
          <w:sz w:val="20"/>
          <w:szCs w:val="20"/>
          <w:color w:val="auto"/>
        </w:rPr>
      </w:pPr>
      <w:r>
        <w:rPr>
          <w:rFonts w:ascii="Times New Roman" w:cs="Times New Roman" w:eastAsia="Times New Roman" w:hAnsi="Times New Roman"/>
          <w:sz w:val="18"/>
          <w:szCs w:val="18"/>
          <w:color w:val="auto"/>
        </w:rPr>
        <w:t>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8" w:lineRule="exact"/>
        <w:rPr>
          <w:sz w:val="20"/>
          <w:szCs w:val="20"/>
          <w:color w:val="auto"/>
        </w:rPr>
      </w:pPr>
    </w:p>
    <w:p>
      <w:pPr>
        <w:jc w:val="both"/>
        <w:ind w:left="968" w:hanging="320"/>
        <w:spacing w:after="0" w:line="236" w:lineRule="auto"/>
        <w:tabs>
          <w:tab w:leader="none" w:pos="95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to Indemnification, Burden of Proof, and Presumptions</w:t>
      </w:r>
      <w:r>
        <w:rPr>
          <w:rFonts w:ascii="Times New Roman" w:cs="Times New Roman" w:eastAsia="Times New Roman" w:hAnsi="Times New Roman"/>
          <w:sz w:val="18"/>
          <w:szCs w:val="18"/>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15"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Incurred in Enforcing Rights</w:t>
      </w:r>
      <w:r>
        <w:rPr>
          <w:rFonts w:ascii="Times New Roman" w:cs="Times New Roman" w:eastAsia="Times New Roman" w:hAnsi="Times New Roman"/>
          <w:sz w:val="18"/>
          <w:szCs w:val="18"/>
          <w:color w:val="auto"/>
        </w:rPr>
        <w:t>. The Company shall indemnify Indemnitee against any and all Expenses that are incurred by Indemnitee in connection with any action brought by Indemnitee for:</w:t>
      </w:r>
    </w:p>
    <w:p>
      <w:pPr>
        <w:spacing w:after="0" w:line="176" w:lineRule="exact"/>
        <w:rPr>
          <w:sz w:val="20"/>
          <w:szCs w:val="20"/>
          <w:color w:val="auto"/>
        </w:rPr>
      </w:pPr>
    </w:p>
    <w:p>
      <w:pPr>
        <w:ind w:left="968" w:hanging="320"/>
        <w:spacing w:after="0" w:line="266" w:lineRule="auto"/>
        <w:tabs>
          <w:tab w:leader="none" w:pos="96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89"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10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Proceeding</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968" w:hanging="320"/>
        <w:spacing w:after="0" w:line="250" w:lineRule="auto"/>
        <w:tabs>
          <w:tab w:leader="none" w:pos="9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38"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8"/>
          </w:cols>
          <w:pgMar w:left="652" w:top="1404" w:right="339" w:bottom="1440" w:gutter="0" w:footer="0" w:header="0"/>
        </w:sectPr>
      </w:pPr>
    </w:p>
    <w:bookmarkStart w:id="8" w:name="page9"/>
    <w:bookmarkEnd w:id="8"/>
    <w:p>
      <w:pPr>
        <w:jc w:val="both"/>
        <w:ind w:left="968"/>
        <w:spacing w:after="0" w:line="237" w:lineRule="auto"/>
        <w:rPr>
          <w:sz w:val="20"/>
          <w:szCs w:val="20"/>
          <w:color w:val="auto"/>
        </w:rPr>
      </w:pPr>
      <w:r>
        <w:rPr>
          <w:rFonts w:ascii="Times New Roman" w:cs="Times New Roman" w:eastAsia="Times New Roman" w:hAnsi="Times New Roman"/>
          <w:sz w:val="18"/>
          <w:szCs w:val="18"/>
          <w:color w:val="auto"/>
        </w:rPr>
        <w:t>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12" w:lineRule="exact"/>
        <w:rPr>
          <w:sz w:val="20"/>
          <w:szCs w:val="20"/>
          <w:color w:val="auto"/>
        </w:rPr>
      </w:pPr>
    </w:p>
    <w:p>
      <w:pPr>
        <w:jc w:val="both"/>
        <w:ind w:left="968" w:hanging="320"/>
        <w:spacing w:after="0" w:line="238" w:lineRule="auto"/>
        <w:tabs>
          <w:tab w:leader="none" w:pos="95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Claims</w:t>
      </w:r>
      <w:r>
        <w:rPr>
          <w:rFonts w:ascii="Times New Roman" w:cs="Times New Roman" w:eastAsia="Times New Roman" w:hAnsi="Times New Roman"/>
          <w:sz w:val="18"/>
          <w:szCs w:val="18"/>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35"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Trust</w:t>
      </w:r>
      <w:r>
        <w:rPr>
          <w:rFonts w:ascii="Times New Roman" w:cs="Times New Roman" w:eastAsia="Times New Roman" w:hAnsi="Times New Roman"/>
          <w:sz w:val="18"/>
          <w:szCs w:val="18"/>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1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04" w:right="339" w:bottom="1440" w:gutter="0" w:footer="0" w:header="0"/>
        </w:sectPr>
      </w:pPr>
    </w:p>
    <w:bookmarkStart w:id="9" w:name="page10"/>
    <w:bookmarkEnd w:id="9"/>
    <w:p>
      <w:pPr>
        <w:ind w:left="328"/>
        <w:spacing w:after="0" w:line="266" w:lineRule="auto"/>
        <w:rPr>
          <w:sz w:val="20"/>
          <w:szCs w:val="20"/>
          <w:color w:val="auto"/>
        </w:rPr>
      </w:pPr>
      <w:r>
        <w:rPr>
          <w:rFonts w:ascii="Times New Roman" w:cs="Times New Roman" w:eastAsia="Times New Roman" w:hAnsi="Times New Roman"/>
          <w:sz w:val="18"/>
          <w:szCs w:val="18"/>
          <w:color w:val="auto"/>
        </w:rPr>
        <w:t>Incorporation, Bylaws, applicable law, or this Agreement, it is the intent of the parties that Indemnitee enjoy by this Agreement the greater benefits so afforded by such change.</w:t>
      </w:r>
    </w:p>
    <w:p>
      <w:pPr>
        <w:spacing w:after="0" w:line="189" w:lineRule="exact"/>
        <w:rPr>
          <w:sz w:val="20"/>
          <w:szCs w:val="20"/>
          <w:color w:val="auto"/>
        </w:rPr>
      </w:pPr>
    </w:p>
    <w:p>
      <w:pPr>
        <w:jc w:val="both"/>
        <w:ind w:left="328"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38"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12"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1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8"/>
          </w:cols>
          <w:pgMar w:left="652" w:top="1404" w:right="339" w:bottom="1440" w:gutter="0" w:footer="0" w:header="0"/>
        </w:sectPr>
      </w:pPr>
    </w:p>
    <w:bookmarkStart w:id="10" w:name="page11"/>
    <w:bookmarkEnd w:id="10"/>
    <w:p>
      <w:pPr>
        <w:spacing w:after="0" w:line="207"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20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Vistagen Therapeutics, Inc. 343 Allerton Avenue</w:t>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South San Francisco, CA 94080</w:t>
      </w:r>
    </w:p>
    <w:p>
      <w:pPr>
        <w:ind w:left="2060"/>
        <w:spacing w:after="0"/>
        <w:rPr>
          <w:sz w:val="20"/>
          <w:szCs w:val="20"/>
          <w:color w:val="auto"/>
        </w:rPr>
      </w:pPr>
      <w:r>
        <w:rPr>
          <w:rFonts w:ascii="Times New Roman" w:cs="Times New Roman" w:eastAsia="Times New Roman" w:hAnsi="Times New Roman"/>
          <w:sz w:val="18"/>
          <w:szCs w:val="18"/>
          <w:color w:val="auto"/>
        </w:rPr>
        <w:t>Attention: President and Chief Executive Officer</w:t>
      </w:r>
    </w:p>
    <w:p>
      <w:pPr>
        <w:spacing w:after="0" w:line="21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and to Indemnitee at:</w:t>
      </w:r>
    </w:p>
    <w:p>
      <w:pPr>
        <w:spacing w:after="0" w:line="2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Nick B. Tressler</w:t>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_______________</w:t>
      </w:r>
    </w:p>
    <w:p>
      <w:pPr>
        <w:ind w:left="20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9" w:lineRule="exact"/>
        <w:rPr>
          <w:sz w:val="20"/>
          <w:szCs w:val="20"/>
          <w:color w:val="auto"/>
        </w:rPr>
      </w:pPr>
    </w:p>
    <w:p>
      <w:pPr>
        <w:ind w:firstLine="756"/>
        <w:spacing w:after="0" w:line="266" w:lineRule="auto"/>
        <w:rPr>
          <w:sz w:val="20"/>
          <w:szCs w:val="20"/>
          <w:color w:val="auto"/>
        </w:rPr>
      </w:pPr>
      <w:r>
        <w:rPr>
          <w:rFonts w:ascii="Times New Roman" w:cs="Times New Roman" w:eastAsia="Times New Roman" w:hAnsi="Times New Roman"/>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and delivered this Agreement as of the day specified above.</w:t>
      </w:r>
    </w:p>
    <w:p>
      <w:pPr>
        <w:sectPr>
          <w:pgSz w:w="11900" w:h="16838" w:orient="portrait"/>
          <w:cols w:equalWidth="0" w:num="1">
            <w:col w:w="9379"/>
          </w:cols>
          <w:pgMar w:left="1080" w:top="144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Shawn K. Singh</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President and Chief Executive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December 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INDEMNITEE</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Nick B. Tressler</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Nick B. Tressler</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Chief Financial Officer</w:t>
      </w:r>
    </w:p>
    <w:p>
      <w:pPr>
        <w:spacing w:after="0" w:line="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December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4040" w:space="720"/>
            <w:col w:w="4619"/>
          </w:cols>
          <w:pgMar w:left="1080" w:top="1440" w:right="1440"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459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Appoints Nick Tressler as Chief Financial Officer</w:t>
      </w:r>
    </w:p>
    <w:p>
      <w:pPr>
        <w:spacing w:after="0" w:line="243"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SOUTH SAN FRANCISCO, Calif.-- (BUSINESS WIRE)— December 1, 2025, Vistagen (Nasdaq: VTGN), a late clinical-stage biopharmaceutical company pioneering neuroscience with nose-to-brain neurocircuitry to develop and commercialize a new class of intranasal product candidates called pherines, today announced the appointment of Nick Tressler as Chief Financial Officer (CFO), effective today, December 1, 2025.</w:t>
      </w:r>
    </w:p>
    <w:p>
      <w:pPr>
        <w:spacing w:after="0" w:line="20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 am excited to welcome Nick to Vistagen as our CFO. His financial and strategic acumen and extensive operational experience in the biopharmaceutical industry will be instrumental as we accelerate into our next phase," said President and Chief Executive Officer of Vistagen, Shawn Singh. “I look forward to his contributions to our leadership team and the positive impact he will have throughout our company as we continue building momentum and delivering on our vision.”</w:t>
      </w:r>
    </w:p>
    <w:p>
      <w:pPr>
        <w:spacing w:after="0" w:line="21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Mr. Tressler brings over 20 years of financial leadership experience in the life sciences industry guiding companies through pivotal growth and transformation. Most recently, he served as CFO of DYNEX Technologies, and before that, he was the CFO at American Gene Technologies, International, and Senseonics Holdings, Inc. (Nasdaq: SENS). Mr. Tressler has also held senior finance roles at several biopharmaceutical companies, including Sucampo Pharmaceuticals, acquired by Mallinckrodt in 2018, and MedImmune LLC, acquired by AstraZeneca PLC (Nasdaq: AZN) in 2007. Mr. Tressler holds an M.B.A. from Johns Hopkins University Carey Business School and a B.S. from the University of Maryland, College Park, Robert H. Smith School of Business.</w:t>
      </w:r>
    </w:p>
    <w:p>
      <w:pPr>
        <w:spacing w:after="0" w:line="21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“It’s an honor to join Vistagen at such a pivotal moment in the company’s evolution, with major clinical milestones on the horizon, a deep pipeline, and a mission-driven team committed to delivering innovative therapies for patients who need better treatment options," said Mr. Tressler. “I look forward to working with our team to advance our strategic priorities with financial strategies focused on long-term value creation for our shareholders.”</w:t>
      </w:r>
    </w:p>
    <w:p>
      <w:pPr>
        <w:spacing w:after="0" w:line="204"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Vistagen also announced today that the Compensation Committee of its Board of Directors granted Mr. Tressler an incentive option to purchase up to an aggregate of 150,000 shares of Vistagen’s common stock in connection with his appointment as Chief Financial Officer as an inducement material to Mr. Tressler entering into employment with Vistagen in accordance with Nasdaq Listing Rule 5635(c)(4).</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option will have an exercise price equal to the closing price of Vistagen’s common stock on December 1, 2025, and will vest as to 25% of the shares on the one-year anniversary of its grant, with the remainder of the shares vesting ratably, on a monthly basis, over 36 months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bind as agonists on peripheral receptors on human nasal chemosensory neurons and are designed to rapidly trigger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Vistagen is passionate about developing transformative treatment options to improve the lives of individuals underserved by the current standard of care for multiple highly prevalent indications, including social anxiety disorder, major depressive disorder, and vasomotor symptoms (hot flashes) due to menopause. Connect at www.Vistagen.com.</w:t>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including, without limitation, statements regarding Mr. Tressler’s appointment as Chief Financial Officer and the potential attributes and benefits of Vistagen’s product candidates.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Risks that may impact the outcome of these forward-looking statements are more fully discussed in the section entitled “Risk Factors” in Vistagen’s Annual Report on Form 10-K for the fiscal year ended March 31, 2025, and Quarterly Report on Form 10-Q for the period ended September 30, 2025, as well as discussions of potential risks, uncertainties, and other important factors in Vistagen’s other filings with the U.S. Securities and Exchange Commission (“SEC”). Vistagen’s SEC filings are available on the SEC’s website at </w:t>
      </w:r>
      <w:r>
        <w:rPr>
          <w:rFonts w:ascii="Times New Roman" w:cs="Times New Roman" w:eastAsia="Times New Roman" w:hAnsi="Times New Roman"/>
          <w:sz w:val="18"/>
          <w:szCs w:val="18"/>
          <w:i w:val="1"/>
          <w:iCs w:val="1"/>
          <w:color w:val="0000FF"/>
        </w:rPr>
        <w:t>www.sec.gov</w:t>
      </w:r>
      <w:r>
        <w:rPr>
          <w:rFonts w:ascii="Times New Roman" w:cs="Times New Roman" w:eastAsia="Times New Roman" w:hAnsi="Times New Roman"/>
          <w:sz w:val="18"/>
          <w:szCs w:val="18"/>
          <w:i w:val="1"/>
          <w:iCs w:val="1"/>
          <w:color w:val="auto"/>
        </w:rPr>
        <w:t>.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Inquiries: </w:t>
      </w:r>
      <w:r>
        <w:rPr>
          <w:rFonts w:ascii="Times New Roman" w:cs="Times New Roman" w:eastAsia="Times New Roman" w:hAnsi="Times New Roman"/>
          <w:sz w:val="18"/>
          <w:szCs w:val="18"/>
          <w:color w:val="auto"/>
        </w:rPr>
        <w:t>Mark A. McPartland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markmcp@vistagen.com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Inquiries: </w:t>
      </w:r>
      <w:r>
        <w:rPr>
          <w:rFonts w:ascii="Times New Roman" w:cs="Times New Roman" w:eastAsia="Times New Roman" w:hAnsi="Times New Roman"/>
          <w:sz w:val="18"/>
          <w:szCs w:val="18"/>
          <w:color w:val="auto"/>
        </w:rPr>
        <w:t>Michelle P. Wellington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mwellington@vistagen.com</w:t>
      </w:r>
    </w:p>
    <w:sectPr>
      <w:pgSz w:w="11900" w:h="16838" w:orient="portrait"/>
      <w:cols w:equalWidth="0" w:num="1">
        <w:col w:w="11220"/>
      </w:cols>
      <w:pgMar w:left="320" w:top="14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lvl w:ilvl="1">
      <w:lvlJc w:val="left"/>
      <w:lvlText w:val="%2."/>
      <w:numFmt w:val="lowerLetter"/>
      <w:start w:val="1"/>
    </w:lvl>
  </w:abstractNum>
  <w:abstractNum w:abstractNumId="1">
    <w:nsid w:val="7545E146"/>
    <w:multiLevelType w:val="hybridMultilevel"/>
    <w:lvl w:ilvl="0">
      <w:lvlJc w:val="left"/>
      <w:lvlText w:val="%1"/>
      <w:numFmt w:val="decimal"/>
      <w:start w:val="1"/>
    </w:lvl>
    <w:lvl w:ilvl="1">
      <w:lvlJc w:val="left"/>
      <w:lvlText w:val="%2."/>
      <w:numFmt w:val="lowerLetter"/>
      <w:start w:val="4"/>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lowerLetter"/>
      <w:start w:val="4"/>
    </w:lvl>
  </w:abstractNum>
  <w:abstractNum w:abstractNumId="4">
    <w:nsid w:val="12200854"/>
    <w:multiLevelType w:val="hybridMultilevel"/>
    <w:lvl w:ilvl="0">
      <w:lvlJc w:val="left"/>
      <w:lvlText w:val="%1."/>
      <w:numFmt w:val="decimal"/>
      <w:start w:val="3"/>
    </w:lvl>
    <w:lvl w:ilvl="1">
      <w:lvlJc w:val="left"/>
      <w:lvlText w:val="%2."/>
      <w:numFmt w:val="lowerLetter"/>
      <w:start w:val="1"/>
    </w:lvl>
  </w:abstractNum>
  <w:abstractNum w:abstractNumId="5">
    <w:nsid w:val="4DB127F8"/>
    <w:multiLevelType w:val="hybridMultilevel"/>
    <w:lvl w:ilvl="0">
      <w:lvlJc w:val="left"/>
      <w:lvlText w:val="%1"/>
      <w:numFmt w:val="decimal"/>
      <w:start w:val="1"/>
    </w:lvl>
    <w:lvl w:ilvl="1">
      <w:lvlJc w:val="left"/>
      <w:lvlText w:val="%2."/>
      <w:numFmt w:val="lowerLetter"/>
      <w:start w:val="3"/>
    </w:lvl>
  </w:abstractNum>
  <w:abstractNum w:abstractNumId="6">
    <w:nsid w:val="216231B"/>
    <w:multiLevelType w:val="hybridMultilevel"/>
    <w:lvl w:ilvl="0">
      <w:lvlJc w:val="left"/>
      <w:lvlText w:val="%1."/>
      <w:numFmt w:val="decimal"/>
      <w:start w:val="5"/>
    </w:lvl>
    <w:lvl w:ilvl="1">
      <w:lvlJc w:val="left"/>
      <w:lvlText w:val="%2"/>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Roman"/>
      <w:start w:val="1"/>
    </w:lvl>
  </w:abstractNum>
  <w:abstractNum w:abstractNumId="8">
    <w:nsid w:val="1190CDE7"/>
    <w:multiLevelType w:val="hybridMultilevel"/>
    <w:lvl w:ilvl="0">
      <w:lvlJc w:val="left"/>
      <w:lvlText w:val="%1."/>
      <w:numFmt w:val="decimal"/>
      <w:start w:val="6"/>
    </w:lvl>
    <w:lvl w:ilvl="1">
      <w:lvlJc w:val="left"/>
      <w:lvlText w:val="%2"/>
      <w:numFmt w:val="lowerRoman"/>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3"/>
    </w:lvl>
  </w:abstractNum>
  <w:abstractNum w:abstractNumId="11">
    <w:nsid w:val="3352255A"/>
    <w:multiLevelType w:val="hybridMultilevel"/>
    <w:lvl w:ilvl="0">
      <w:lvlJc w:val="left"/>
      <w:lvlText w:val="%1."/>
      <w:numFmt w:val="decimal"/>
      <w:start w:val="7"/>
    </w:lvl>
    <w:lvl w:ilvl="1">
      <w:lvlJc w:val="left"/>
      <w:lvlText w:val="%2"/>
      <w:numFmt w:val="lowerLetter"/>
      <w:start w:val="1"/>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2025-12-03T15:55:53Z</dcterms:created>
  <dcterms:modified xsi:type="dcterms:W3CDTF">2025-12-03T15:55:53Z</dcterms:modified>
</cp:coreProperties>
</file>