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color w:val="auto"/>
        </w:rPr>
        <w:t>As filed with the Securities and Exchange Commission on July 25, 2014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333-195901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(Amendment No. 3)</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4" w:lineRule="exact"/>
        <w:rPr>
          <w:sz w:val="24"/>
          <w:szCs w:val="24"/>
          <w:color w:val="auto"/>
        </w:rPr>
      </w:pPr>
    </w:p>
    <w:tbl>
      <w:tblPr>
        <w:tblLayout w:type="fixed"/>
        <w:tblInd w:w="1000" w:type="dxa"/>
        <w:tblCellMar>
          <w:top w:w="0" w:type="dxa"/>
          <w:left w:w="0" w:type="dxa"/>
          <w:bottom w:w="0" w:type="dxa"/>
          <w:right w:w="0" w:type="dxa"/>
        </w:tblCellMar>
      </w:tblPr>
      <w:tr>
        <w:trPr>
          <w:trHeight w:val="148"/>
        </w:trPr>
        <w:tc>
          <w:tcPr>
            <w:tcW w:w="1700" w:type="dxa"/>
            <w:vAlign w:val="bottom"/>
          </w:tcPr>
          <w:p>
            <w:pPr>
              <w:jc w:val="center"/>
              <w:ind w:right="180"/>
              <w:spacing w:after="0"/>
              <w:rPr>
                <w:sz w:val="20"/>
                <w:szCs w:val="20"/>
                <w:color w:val="auto"/>
              </w:rPr>
            </w:pPr>
            <w:r>
              <w:rPr>
                <w:rFonts w:ascii="Arial" w:cs="Arial" w:eastAsia="Arial" w:hAnsi="Arial"/>
                <w:sz w:val="12"/>
                <w:szCs w:val="12"/>
                <w:b w:val="1"/>
                <w:bCs w:val="1"/>
                <w:color w:val="auto"/>
                <w:w w:val="88"/>
              </w:rPr>
              <w:t>Nevada</w:t>
            </w:r>
          </w:p>
        </w:tc>
        <w:tc>
          <w:tcPr>
            <w:tcW w:w="6180" w:type="dxa"/>
            <w:vAlign w:val="bottom"/>
          </w:tcPr>
          <w:p>
            <w:pPr>
              <w:jc w:val="center"/>
              <w:spacing w:after="0"/>
              <w:rPr>
                <w:sz w:val="20"/>
                <w:szCs w:val="20"/>
                <w:color w:val="auto"/>
              </w:rPr>
            </w:pPr>
            <w:r>
              <w:rPr>
                <w:rFonts w:ascii="Arial" w:cs="Arial" w:eastAsia="Arial" w:hAnsi="Arial"/>
                <w:sz w:val="12"/>
                <w:szCs w:val="12"/>
                <w:b w:val="1"/>
                <w:bCs w:val="1"/>
                <w:color w:val="auto"/>
                <w:w w:val="89"/>
              </w:rPr>
              <w:t>3841</w:t>
            </w:r>
          </w:p>
        </w:tc>
        <w:tc>
          <w:tcPr>
            <w:tcW w:w="1480" w:type="dxa"/>
            <w:vAlign w:val="bottom"/>
          </w:tcPr>
          <w:p>
            <w:pPr>
              <w:jc w:val="center"/>
              <w:ind w:left="320"/>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3"/>
              </w:rPr>
              <w:t>(State or other jurisdiction of</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(I.R.S. Employer</w:t>
            </w:r>
          </w:p>
        </w:tc>
      </w:tr>
      <w:tr>
        <w:trPr>
          <w:trHeight w:val="153"/>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2"/>
              </w:rPr>
              <w:t>incorporation or organization)</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Identification Number)</w:t>
            </w: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1480" w:type="dxa"/>
            <w:vAlign w:val="bottom"/>
          </w:tcPr>
          <w:p>
            <w:pPr>
              <w:spacing w:after="0"/>
              <w:rPr>
                <w:sz w:val="13"/>
                <w:szCs w:val="13"/>
                <w:color w:val="auto"/>
              </w:rPr>
            </w:pP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Shawn K. Singh, J.D.</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Chief Executive Officer</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0"/>
              </w:rPr>
              <w:t>(Name, address, including zip code, and telephone number, including area code, of agent for service)</w:t>
            </w:r>
          </w:p>
        </w:tc>
        <w:tc>
          <w:tcPr>
            <w:tcW w:w="1480" w:type="dxa"/>
            <w:vAlign w:val="bottom"/>
          </w:tcPr>
          <w:p>
            <w:pPr>
              <w:spacing w:after="0"/>
              <w:rPr>
                <w:sz w:val="13"/>
                <w:szCs w:val="13"/>
                <w:color w:val="auto"/>
              </w:rPr>
            </w:pPr>
          </w:p>
        </w:tc>
      </w:tr>
      <w:tr>
        <w:trPr>
          <w:trHeight w:val="306"/>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i w:val="1"/>
                <w:iCs w:val="1"/>
                <w:color w:val="auto"/>
                <w:w w:val="92"/>
              </w:rPr>
              <w:t>Copies of all communications to:</w:t>
            </w:r>
          </w:p>
        </w:tc>
        <w:tc>
          <w:tcPr>
            <w:tcW w:w="1480" w:type="dxa"/>
            <w:vAlign w:val="bottom"/>
          </w:tcPr>
          <w:p>
            <w:pPr>
              <w:spacing w:after="0"/>
              <w:rPr>
                <w:sz w:val="24"/>
                <w:szCs w:val="24"/>
                <w:color w:val="auto"/>
              </w:rPr>
            </w:pPr>
          </w:p>
        </w:tc>
      </w:tr>
    </w:tbl>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Daniel W. Rumsey, Esq.</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Harvey Kesner,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6"/>
              </w:rPr>
              <w:t>Jessica R. Sudweeks, Esq.</w:t>
            </w:r>
          </w:p>
        </w:tc>
        <w:tc>
          <w:tcPr>
            <w:tcW w:w="4180" w:type="dxa"/>
            <w:vAlign w:val="bottom"/>
          </w:tcPr>
          <w:p>
            <w:pPr>
              <w:jc w:val="center"/>
              <w:ind w:right="1520"/>
              <w:spacing w:after="0"/>
              <w:rPr>
                <w:sz w:val="20"/>
                <w:szCs w:val="20"/>
                <w:color w:val="auto"/>
              </w:rPr>
            </w:pPr>
            <w:r>
              <w:rPr>
                <w:rFonts w:ascii="Arial" w:cs="Arial" w:eastAsia="Arial" w:hAnsi="Arial"/>
                <w:sz w:val="12"/>
                <w:szCs w:val="12"/>
                <w:b w:val="1"/>
                <w:bCs w:val="1"/>
                <w:color w:val="auto"/>
                <w:w w:val="94"/>
              </w:rPr>
              <w:t>Tara Guarneri-Ferrara,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Disclosure Law Group, LLP</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89"/>
              </w:rPr>
              <w:t>Sichenzia Ross Friedman Ference LLP</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600 West Broadway, Suite 700</w:t>
            </w:r>
          </w:p>
        </w:tc>
        <w:tc>
          <w:tcPr>
            <w:tcW w:w="4180" w:type="dxa"/>
            <w:vAlign w:val="bottom"/>
          </w:tcPr>
          <w:p>
            <w:pPr>
              <w:jc w:val="center"/>
              <w:ind w:right="1500"/>
              <w:spacing w:after="0" w:line="144" w:lineRule="exact"/>
              <w:rPr>
                <w:sz w:val="20"/>
                <w:szCs w:val="20"/>
                <w:color w:val="auto"/>
              </w:rPr>
            </w:pPr>
            <w:r>
              <w:rPr>
                <w:rFonts w:ascii="Arial" w:cs="Arial" w:eastAsia="Arial" w:hAnsi="Arial"/>
                <w:sz w:val="12"/>
                <w:szCs w:val="12"/>
                <w:b w:val="1"/>
                <w:bCs w:val="1"/>
                <w:color w:val="auto"/>
                <w:w w:val="89"/>
              </w:rPr>
              <w:t>61 Broadway, 32</w:t>
            </w:r>
            <w:r>
              <w:rPr>
                <w:rFonts w:ascii="Arial" w:cs="Arial" w:eastAsia="Arial" w:hAnsi="Arial"/>
                <w:sz w:val="16"/>
                <w:szCs w:val="16"/>
                <w:b w:val="1"/>
                <w:bCs w:val="1"/>
                <w:color w:val="auto"/>
                <w:w w:val="89"/>
                <w:vertAlign w:val="superscript"/>
              </w:rPr>
              <w:t>nd</w:t>
            </w:r>
            <w:r>
              <w:rPr>
                <w:rFonts w:ascii="Arial" w:cs="Arial" w:eastAsia="Arial" w:hAnsi="Arial"/>
                <w:sz w:val="12"/>
                <w:szCs w:val="12"/>
                <w:b w:val="1"/>
                <w:bCs w:val="1"/>
                <w:color w:val="auto"/>
                <w:w w:val="89"/>
              </w:rPr>
              <w:t xml:space="preserve"> Floor</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San Diego, California 92101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New York, New York 10006</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9"/>
              </w:rPr>
              <w:t>Tel: (619) 795-1134</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Tel: (212) 930-9700</w:t>
            </w:r>
          </w:p>
        </w:tc>
      </w:tr>
      <w:tr>
        <w:trPr>
          <w:trHeight w:val="157"/>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Fax: (619) 330-2101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Fax: (212) 930-9725</w:t>
            </w:r>
          </w:p>
        </w:tc>
      </w:tr>
      <w:tr>
        <w:trPr>
          <w:trHeight w:val="306"/>
        </w:trPr>
        <w:tc>
          <w:tcPr>
            <w:tcW w:w="7300" w:type="dxa"/>
            <w:vAlign w:val="bottom"/>
          </w:tcPr>
          <w:p>
            <w:pPr>
              <w:spacing w:after="0"/>
              <w:rPr>
                <w:sz w:val="20"/>
                <w:szCs w:val="20"/>
                <w:color w:val="auto"/>
              </w:rPr>
            </w:pPr>
            <w:r>
              <w:rPr>
                <w:rFonts w:ascii="Arial" w:cs="Arial" w:eastAsia="Arial" w:hAnsi="Arial"/>
                <w:sz w:val="12"/>
                <w:szCs w:val="12"/>
                <w:b w:val="1"/>
                <w:bCs w:val="1"/>
                <w:color w:val="auto"/>
                <w:w w:val="92"/>
              </w:rPr>
              <w:t xml:space="preserve">Approximate date of commencement of proposed sale to the public: </w:t>
            </w:r>
            <w:r>
              <w:rPr>
                <w:rFonts w:ascii="Arial" w:cs="Arial" w:eastAsia="Arial" w:hAnsi="Arial"/>
                <w:sz w:val="12"/>
                <w:szCs w:val="12"/>
                <w:color w:val="auto"/>
                <w:w w:val="92"/>
              </w:rPr>
              <w:t>As soon as practicable after this registration statement becomes effective.</w:t>
            </w:r>
          </w:p>
        </w:tc>
        <w:tc>
          <w:tcPr>
            <w:tcW w:w="4180" w:type="dxa"/>
            <w:vAlign w:val="bottom"/>
          </w:tcPr>
          <w:p>
            <w:pPr>
              <w:spacing w:after="0"/>
              <w:rPr>
                <w:sz w:val="24"/>
                <w:szCs w:val="24"/>
                <w:color w:val="auto"/>
              </w:rPr>
            </w:pPr>
          </w:p>
        </w:tc>
      </w:tr>
      <w:tr>
        <w:trPr>
          <w:trHeight w:val="436"/>
        </w:trPr>
        <w:tc>
          <w:tcPr>
            <w:tcW w:w="730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1" w:name="page2"/>
    <w:bookmarkEnd w:id="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 [X]</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Accelerated filer</w:t>
            </w:r>
          </w:p>
        </w:tc>
        <w:tc>
          <w:tcPr>
            <w:tcW w:w="2680" w:type="dxa"/>
            <w:vAlign w:val="bottom"/>
          </w:tcPr>
          <w:p>
            <w:pPr>
              <w:ind w:left="1420"/>
              <w:spacing w:after="0"/>
              <w:rPr>
                <w:sz w:val="20"/>
                <w:szCs w:val="20"/>
                <w:color w:val="auto"/>
              </w:rPr>
            </w:pPr>
            <w:r>
              <w:rPr>
                <w:rFonts w:ascii="Arial" w:cs="Arial" w:eastAsia="Arial" w:hAnsi="Arial"/>
                <w:sz w:val="12"/>
                <w:szCs w:val="12"/>
                <w:color w:val="auto"/>
              </w:rPr>
              <w:t>[  ]</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Non-accelerated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Smaller reporting company</w:t>
            </w:r>
          </w:p>
        </w:tc>
        <w:tc>
          <w:tcPr>
            <w:tcW w:w="2680" w:type="dxa"/>
            <w:vAlign w:val="bottom"/>
          </w:tcPr>
          <w:p>
            <w:pPr>
              <w:ind w:left="1420"/>
              <w:spacing w:after="0"/>
              <w:rPr>
                <w:sz w:val="20"/>
                <w:szCs w:val="20"/>
                <w:color w:val="auto"/>
              </w:rPr>
            </w:pPr>
            <w:r>
              <w:rPr>
                <w:rFonts w:ascii="Arial" w:cs="Arial" w:eastAsia="Arial" w:hAnsi="Arial"/>
                <w:sz w:val="12"/>
                <w:szCs w:val="12"/>
                <w:color w:val="auto"/>
              </w:rPr>
              <w:t>[X]</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(Do not check if a smaller reporting company)</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436"/>
        </w:trPr>
        <w:tc>
          <w:tcPr>
            <w:tcW w:w="2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 w:name="page3"/>
    <w:bookmarkEnd w:id="2"/>
    <w:tbl>
      <w:tblPr>
        <w:tblLayout w:type="fixed"/>
        <w:tblInd w:w="8" w:type="dxa"/>
        <w:tblCellMar>
          <w:top w:w="0" w:type="dxa"/>
          <w:left w:w="0" w:type="dxa"/>
          <w:bottom w:w="0" w:type="dxa"/>
          <w:right w:w="0" w:type="dxa"/>
        </w:tblCellMar>
      </w:tblPr>
      <w:tr>
        <w:trPr>
          <w:trHeight w:val="126"/>
        </w:trPr>
        <w:tc>
          <w:tcPr>
            <w:tcW w:w="786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100" w:type="dxa"/>
            <w:vAlign w:val="bottom"/>
          </w:tcPr>
          <w:p>
            <w:pPr>
              <w:ind w:left="3820"/>
              <w:spacing w:after="0"/>
              <w:rPr>
                <w:sz w:val="20"/>
                <w:szCs w:val="20"/>
                <w:color w:val="auto"/>
              </w:rPr>
            </w:pPr>
            <w:r>
              <w:rPr>
                <w:rFonts w:ascii="Arial" w:cs="Arial" w:eastAsia="Arial" w:hAnsi="Arial"/>
                <w:sz w:val="12"/>
                <w:szCs w:val="12"/>
                <w:b w:val="1"/>
                <w:bCs w:val="1"/>
                <w:color w:val="auto"/>
              </w:rPr>
              <w:t>CALCULATION OF REGISTRATION FEE</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Proposed Maximum</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Aggregate Offering</w:t>
            </w:r>
          </w:p>
        </w:tc>
        <w:tc>
          <w:tcPr>
            <w:tcW w:w="100" w:type="dxa"/>
            <w:vAlign w:val="bottom"/>
          </w:tcPr>
          <w:p>
            <w:pPr>
              <w:spacing w:after="0"/>
              <w:rPr>
                <w:sz w:val="12"/>
                <w:szCs w:val="12"/>
                <w:color w:val="auto"/>
              </w:rPr>
            </w:pPr>
          </w:p>
        </w:tc>
        <w:tc>
          <w:tcPr>
            <w:tcW w:w="1160" w:type="dxa"/>
            <w:vAlign w:val="bottom"/>
            <w:gridSpan w:val="2"/>
          </w:tcPr>
          <w:p>
            <w:pPr>
              <w:jc w:val="right"/>
              <w:ind w:right="358"/>
              <w:spacing w:after="0"/>
              <w:rPr>
                <w:sz w:val="20"/>
                <w:szCs w:val="20"/>
                <w:color w:val="auto"/>
              </w:rPr>
            </w:pPr>
            <w:r>
              <w:rPr>
                <w:rFonts w:ascii="Arial" w:cs="Arial" w:eastAsia="Arial" w:hAnsi="Arial"/>
                <w:sz w:val="12"/>
                <w:szCs w:val="12"/>
                <w:b w:val="1"/>
                <w:bCs w:val="1"/>
                <w:color w:val="auto"/>
              </w:rPr>
              <w:t>Amount Of</w:t>
            </w:r>
          </w:p>
        </w:tc>
      </w:tr>
      <w:tr>
        <w:trPr>
          <w:trHeight w:val="157"/>
        </w:trPr>
        <w:tc>
          <w:tcPr>
            <w:tcW w:w="7860" w:type="dxa"/>
            <w:vAlign w:val="bottom"/>
            <w:gridSpan w:val="3"/>
          </w:tcPr>
          <w:p>
            <w:pPr>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06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Price</w:t>
            </w:r>
          </w:p>
        </w:tc>
        <w:tc>
          <w:tcPr>
            <w:tcW w:w="100" w:type="dxa"/>
            <w:vAlign w:val="bottom"/>
          </w:tcPr>
          <w:p>
            <w:pPr>
              <w:spacing w:after="0"/>
              <w:rPr>
                <w:sz w:val="13"/>
                <w:szCs w:val="13"/>
                <w:color w:val="auto"/>
              </w:rPr>
            </w:pPr>
          </w:p>
        </w:tc>
        <w:tc>
          <w:tcPr>
            <w:tcW w:w="116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w w:val="93"/>
              </w:rPr>
              <w:t>Registration Fee</w:t>
            </w:r>
          </w:p>
        </w:tc>
      </w:tr>
      <w:tr>
        <w:trPr>
          <w:trHeight w:val="142"/>
        </w:trPr>
        <w:tc>
          <w:tcPr>
            <w:tcW w:w="20" w:type="dxa"/>
            <w:vAlign w:val="bottom"/>
          </w:tcPr>
          <w:p>
            <w:pPr>
              <w:spacing w:after="0"/>
              <w:rPr>
                <w:sz w:val="12"/>
                <w:szCs w:val="12"/>
                <w:color w:val="auto"/>
              </w:rPr>
            </w:pPr>
          </w:p>
        </w:tc>
        <w:tc>
          <w:tcPr>
            <w:tcW w:w="78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2"/>
                <w:szCs w:val="12"/>
                <w:color w:val="auto"/>
              </w:rPr>
              <w:t>Up to ______ shares of common stock, $0.001 par value, and warrants to purchase up to ______ shares of common stock</w:t>
            </w:r>
            <w:r>
              <w:rPr>
                <w:rFonts w:ascii="Arial" w:cs="Arial" w:eastAsia="Arial" w:hAnsi="Arial"/>
                <w:sz w:val="16"/>
                <w:szCs w:val="16"/>
                <w:color w:val="auto"/>
                <w:vertAlign w:val="superscript"/>
              </w:rPr>
              <w:t>(1)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color w:val="auto"/>
                <w:w w:val="81"/>
              </w:rPr>
              <w:t>(2)</w:t>
            </w:r>
          </w:p>
        </w:tc>
      </w:tr>
      <w:tr>
        <w:trPr>
          <w:trHeight w:val="144"/>
        </w:trPr>
        <w:tc>
          <w:tcPr>
            <w:tcW w:w="20" w:type="dxa"/>
            <w:vAlign w:val="bottom"/>
          </w:tcPr>
          <w:p>
            <w:pPr>
              <w:spacing w:after="0"/>
              <w:rPr>
                <w:sz w:val="12"/>
                <w:szCs w:val="12"/>
                <w:color w:val="auto"/>
              </w:rPr>
            </w:pPr>
          </w:p>
        </w:tc>
        <w:tc>
          <w:tcPr>
            <w:tcW w:w="7840" w:type="dxa"/>
            <w:vAlign w:val="bottom"/>
            <w:gridSpan w:val="2"/>
          </w:tcPr>
          <w:p>
            <w:pPr>
              <w:spacing w:after="0" w:line="144" w:lineRule="exact"/>
              <w:rPr>
                <w:sz w:val="20"/>
                <w:szCs w:val="20"/>
                <w:color w:val="auto"/>
              </w:rPr>
            </w:pPr>
            <w:r>
              <w:rPr>
                <w:rFonts w:ascii="Arial" w:cs="Arial" w:eastAsia="Arial" w:hAnsi="Arial"/>
                <w:sz w:val="12"/>
                <w:szCs w:val="12"/>
                <w:color w:val="auto"/>
              </w:rPr>
              <w:t>Up to ______ shares of common stock issuable upon exercise of warrants</w:t>
            </w:r>
            <w:r>
              <w:rPr>
                <w:rFonts w:ascii="Arial" w:cs="Arial" w:eastAsia="Arial" w:hAnsi="Arial"/>
                <w:sz w:val="16"/>
                <w:szCs w:val="16"/>
                <w:color w:val="auto"/>
                <w:vertAlign w:val="superscript"/>
              </w:rPr>
              <w:t>(1)</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8"/>
                <w:szCs w:val="8"/>
                <w:color w:val="auto"/>
              </w:rPr>
              <w:t>(3)</w:t>
            </w:r>
          </w:p>
        </w:tc>
      </w:tr>
      <w:tr>
        <w:trPr>
          <w:trHeight w:val="144"/>
        </w:trPr>
        <w:tc>
          <w:tcPr>
            <w:tcW w:w="20" w:type="dxa"/>
            <w:vAlign w:val="bottom"/>
          </w:tcPr>
          <w:p>
            <w:pPr>
              <w:spacing w:after="0"/>
              <w:rPr>
                <w:sz w:val="12"/>
                <w:szCs w:val="12"/>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4,404.96</w:t>
            </w:r>
            <w:r>
              <w:rPr>
                <w:rFonts w:ascii="Arial" w:cs="Arial" w:eastAsia="Arial" w:hAnsi="Arial"/>
                <w:sz w:val="8"/>
                <w:szCs w:val="8"/>
                <w:color w:val="auto"/>
              </w:rPr>
              <w:t>(4)</w:t>
            </w:r>
          </w:p>
        </w:tc>
      </w:tr>
    </w:tbl>
    <w:p>
      <w:pPr>
        <w:spacing w:after="0" w:line="153" w:lineRule="exact"/>
        <w:rPr>
          <w:sz w:val="20"/>
          <w:szCs w:val="20"/>
          <w:color w:val="auto"/>
        </w:rPr>
      </w:pPr>
    </w:p>
    <w:p>
      <w:pPr>
        <w:ind w:left="468" w:hanging="468"/>
        <w:spacing w:after="0" w:line="213" w:lineRule="auto"/>
        <w:tabs>
          <w:tab w:leader="none" w:pos="46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Pursuant to Rule 416 under the Securities Act of 1933, as amended (</w:t>
      </w:r>
      <w:r>
        <w:rPr>
          <w:rFonts w:ascii="Arial" w:cs="Arial" w:eastAsia="Arial" w:hAnsi="Arial"/>
          <w:sz w:val="12"/>
          <w:szCs w:val="12"/>
          <w:i w:val="1"/>
          <w:iCs w:val="1"/>
          <w:color w:val="auto"/>
        </w:rPr>
        <w:t>Securities Act</w:t>
      </w:r>
      <w:r>
        <w:rPr>
          <w:rFonts w:ascii="Arial" w:cs="Arial" w:eastAsia="Arial" w:hAnsi="Arial"/>
          <w:sz w:val="12"/>
          <w:szCs w:val="12"/>
          <w:color w:val="auto"/>
        </w:rPr>
        <w:t>), the Registration Statement shall also cover any additional shares of common stock that become issuable by reason of any stock dividend, stock split or other similar transaction effected without the receipt of consideration that results in an increase in the number of the outstanding shares of common stock of the Registrant.</w:t>
      </w:r>
    </w:p>
    <w:p>
      <w:pPr>
        <w:spacing w:after="0" w:line="111" w:lineRule="exact"/>
        <w:rPr>
          <w:rFonts w:ascii="Arial" w:cs="Arial" w:eastAsia="Arial" w:hAnsi="Arial"/>
          <w:sz w:val="17"/>
          <w:szCs w:val="17"/>
          <w:color w:val="auto"/>
          <w:vertAlign w:val="superscript"/>
        </w:rPr>
      </w:pPr>
    </w:p>
    <w:p>
      <w:pPr>
        <w:ind w:left="448" w:hanging="448"/>
        <w:spacing w:after="0"/>
        <w:tabs>
          <w:tab w:leader="none" w:pos="4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Calculated pursuant to Rule 457(o) under the Securities Act.</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Calculated pursuant to Rule 457(i) under the Securities Act.</w:t>
      </w:r>
    </w:p>
    <w:p>
      <w:pPr>
        <w:spacing w:after="0" w:line="110"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The Registrant previously paid $2,447.20.</w:t>
      </w:r>
    </w:p>
    <w:p>
      <w:pPr>
        <w:spacing w:after="0" w:line="131"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9932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232410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3" w:name="page4"/>
    <w:bookmarkEnd w:id="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Subject to Completion, dated July___, 2014</w:t>
      </w:r>
    </w:p>
    <w:p>
      <w:pPr>
        <w:spacing w:after="0" w:line="168"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auto"/>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Preliminary Prospectus</w:t>
      </w:r>
    </w:p>
    <w:p>
      <w:pPr>
        <w:spacing w:after="0" w:line="168" w:lineRule="exact"/>
        <w:rPr>
          <w:sz w:val="20"/>
          <w:szCs w:val="20"/>
          <w:color w:val="auto"/>
        </w:rPr>
      </w:pPr>
    </w:p>
    <w:p>
      <w:pPr>
        <w:ind w:left="4688"/>
        <w:spacing w:after="0"/>
        <w:rPr>
          <w:sz w:val="20"/>
          <w:szCs w:val="20"/>
          <w:color w:val="auto"/>
        </w:rPr>
      </w:pPr>
      <w:r>
        <w:rPr>
          <w:rFonts w:ascii="Arial" w:cs="Arial" w:eastAsia="Arial" w:hAnsi="Arial"/>
          <w:sz w:val="12"/>
          <w:szCs w:val="12"/>
          <w:b w:val="1"/>
          <w:bCs w:val="1"/>
          <w:color w:val="auto"/>
        </w:rPr>
        <w:t>_____________ Shares of Common Stock</w:t>
      </w:r>
    </w:p>
    <w:p>
      <w:pPr>
        <w:spacing w:after="0" w:line="168" w:lineRule="exact"/>
        <w:rPr>
          <w:sz w:val="20"/>
          <w:szCs w:val="20"/>
          <w:color w:val="auto"/>
        </w:rPr>
      </w:pPr>
    </w:p>
    <w:p>
      <w:pPr>
        <w:ind w:left="4148"/>
        <w:spacing w:after="0"/>
        <w:rPr>
          <w:sz w:val="20"/>
          <w:szCs w:val="20"/>
          <w:color w:val="auto"/>
        </w:rPr>
      </w:pPr>
      <w:r>
        <w:rPr>
          <w:rFonts w:ascii="Arial" w:cs="Arial" w:eastAsia="Arial" w:hAnsi="Arial"/>
          <w:sz w:val="12"/>
          <w:szCs w:val="12"/>
          <w:b w:val="1"/>
          <w:bCs w:val="1"/>
          <w:color w:val="auto"/>
        </w:rPr>
        <w:t>Warrants to Purchase up to _______ Shares of Common Stock</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and</w:t>
      </w:r>
    </w:p>
    <w:p>
      <w:pPr>
        <w:spacing w:after="0" w:line="163" w:lineRule="exact"/>
        <w:rPr>
          <w:sz w:val="20"/>
          <w:szCs w:val="20"/>
          <w:color w:val="auto"/>
        </w:rPr>
      </w:pPr>
    </w:p>
    <w:p>
      <w:pPr>
        <w:ind w:left="3868"/>
        <w:spacing w:after="0"/>
        <w:rPr>
          <w:sz w:val="20"/>
          <w:szCs w:val="20"/>
          <w:color w:val="auto"/>
        </w:rPr>
      </w:pPr>
      <w:r>
        <w:rPr>
          <w:rFonts w:ascii="Arial" w:cs="Arial" w:eastAsia="Arial" w:hAnsi="Arial"/>
          <w:sz w:val="14"/>
          <w:szCs w:val="14"/>
          <w:b w:val="1"/>
          <w:bCs w:val="1"/>
          <w:color w:val="auto"/>
        </w:rPr>
        <w:t>________ Shares of Common Stock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115570</wp:posOffset>
            </wp:positionV>
            <wp:extent cx="1852930" cy="880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930" cy="88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We are offering up to ________ shares of our common stock and warrants to purchase up to _______ shares of our common stock (the </w:t>
      </w:r>
      <w:r>
        <w:rPr>
          <w:rFonts w:ascii="Arial" w:cs="Arial" w:eastAsia="Arial" w:hAnsi="Arial"/>
          <w:sz w:val="11"/>
          <w:szCs w:val="11"/>
          <w:i w:val="1"/>
          <w:iCs w:val="1"/>
          <w:color w:val="auto"/>
        </w:rPr>
        <w:t>Offering</w:t>
      </w:r>
      <w:r>
        <w:rPr>
          <w:rFonts w:ascii="Arial" w:cs="Arial" w:eastAsia="Arial" w:hAnsi="Arial"/>
          <w:sz w:val="11"/>
          <w:szCs w:val="11"/>
          <w:color w:val="auto"/>
        </w:rPr>
        <w:t>). Each share of common stock we sell in the Offering will be accompanied by a warrant to</w:t>
      </w:r>
    </w:p>
    <w:p>
      <w:pPr>
        <w:spacing w:after="0" w:line="26" w:lineRule="exact"/>
        <w:rPr>
          <w:sz w:val="20"/>
          <w:szCs w:val="20"/>
          <w:color w:val="auto"/>
        </w:rPr>
      </w:pPr>
    </w:p>
    <w:p>
      <w:pPr>
        <w:ind w:left="8"/>
        <w:spacing w:after="0" w:line="306" w:lineRule="auto"/>
        <w:rPr>
          <w:sz w:val="20"/>
          <w:szCs w:val="20"/>
          <w:color w:val="auto"/>
        </w:rPr>
      </w:pPr>
      <w:r>
        <w:rPr>
          <w:rFonts w:ascii="Arial" w:cs="Arial" w:eastAsia="Arial" w:hAnsi="Arial"/>
          <w:sz w:val="11"/>
          <w:szCs w:val="11"/>
          <w:color w:val="auto"/>
        </w:rPr>
        <w:t>purchase ___ of a share of common stock. Each share of common stock and warrant will be sold at a price of $___. The common stock and warrants are immediately separable but can only be purchased together in this Offering. We are not required to sell any specific dollar amount or number of shares of common stock or warrants, but we will use our best efforts to sell all of the shares of common stock and warrants being offered for sale.</w:t>
      </w:r>
    </w:p>
    <w:p>
      <w:pPr>
        <w:spacing w:after="0" w:line="119"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securities are not listed on a national securities exchange. Our common stock is quoted for trading on the OTC Markets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We do not intend to apply for listing of the warrants on any securities exchange and we do not expect the warrants will be quoted on the OTCQB marketplace. On July 24, 2014 the closing price for our common stock was $0.64 per share.</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11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auto"/>
              </w:rPr>
              <w:t xml:space="preserve">Per share </w:t>
            </w:r>
            <w:r>
              <w:rPr>
                <w:rFonts w:ascii="Arial" w:cs="Arial" w:eastAsia="Arial" w:hAnsi="Arial"/>
                <w:sz w:val="16"/>
                <w:szCs w:val="16"/>
                <w:color w:val="auto"/>
                <w:vertAlign w:val="superscript"/>
              </w:rPr>
              <w:t>(1)</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6"/>
                <w:szCs w:val="16"/>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Price</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line="144" w:lineRule="exact"/>
              <w:rPr>
                <w:sz w:val="20"/>
                <w:szCs w:val="20"/>
                <w:color w:val="auto"/>
              </w:rPr>
            </w:pPr>
            <w:r>
              <w:rPr>
                <w:rFonts w:ascii="Arial" w:cs="Arial" w:eastAsia="Arial" w:hAnsi="Arial"/>
                <w:sz w:val="12"/>
                <w:szCs w:val="12"/>
                <w:color w:val="auto"/>
              </w:rPr>
              <w:t xml:space="preserve">Placement Agent’s Fee </w:t>
            </w:r>
            <w:r>
              <w:rPr>
                <w:rFonts w:ascii="Arial" w:cs="Arial" w:eastAsia="Arial" w:hAnsi="Arial"/>
                <w:sz w:val="16"/>
                <w:szCs w:val="16"/>
                <w:color w:val="auto"/>
                <w:vertAlign w:val="superscript"/>
              </w:rPr>
              <w:t>(2)</w:t>
            </w:r>
          </w:p>
        </w:tc>
        <w:tc>
          <w:tcPr>
            <w:tcW w:w="1160" w:type="dxa"/>
            <w:vAlign w:val="bottom"/>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Proceeds, Before Expenses</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bl>
    <w:p>
      <w:pPr>
        <w:spacing w:after="0" w:line="93" w:lineRule="exact"/>
        <w:rPr>
          <w:sz w:val="20"/>
          <w:szCs w:val="20"/>
          <w:color w:val="auto"/>
        </w:rPr>
      </w:pPr>
    </w:p>
    <w:p>
      <w:pPr>
        <w:ind w:left="748" w:hanging="748"/>
        <w:spacing w:after="0"/>
        <w:tabs>
          <w:tab w:leader="none" w:pos="748" w:val="left"/>
        </w:tabs>
        <w:numPr>
          <w:ilvl w:val="0"/>
          <w:numId w:val="2"/>
        </w:numPr>
        <w:rPr>
          <w:rFonts w:ascii="Arial" w:cs="Arial" w:eastAsia="Arial" w:hAnsi="Arial"/>
          <w:sz w:val="17"/>
          <w:szCs w:val="17"/>
          <w:color w:val="auto"/>
          <w:vertAlign w:val="superscript"/>
        </w:rPr>
      </w:pPr>
      <w:r>
        <w:rPr>
          <w:rFonts w:ascii="Arial" w:cs="Arial" w:eastAsia="Arial" w:hAnsi="Arial"/>
          <w:sz w:val="12"/>
          <w:szCs w:val="12"/>
          <w:color w:val="auto"/>
        </w:rPr>
        <w:t>Per share price represents the offering price for a share of common stock and a warrant to purchase _______ of a share of common stock.</w:t>
      </w:r>
    </w:p>
    <w:p>
      <w:pPr>
        <w:spacing w:after="0" w:line="1" w:lineRule="exact"/>
        <w:rPr>
          <w:rFonts w:ascii="Arial" w:cs="Arial" w:eastAsia="Arial" w:hAnsi="Arial"/>
          <w:sz w:val="17"/>
          <w:szCs w:val="17"/>
          <w:color w:val="auto"/>
          <w:vertAlign w:val="superscript"/>
        </w:rPr>
      </w:pPr>
    </w:p>
    <w:p>
      <w:pPr>
        <w:ind w:left="748" w:hanging="748"/>
        <w:spacing w:after="0" w:line="186" w:lineRule="auto"/>
        <w:tabs>
          <w:tab w:leader="none" w:pos="748"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We have agreed to pay to the placement agent 8% of the gross proceeds received from the sale of common stock in connection with the Offering, and 8% of any gross proceeds received upon the exercise of warrants.</w:t>
      </w:r>
    </w:p>
    <w:p>
      <w:pPr>
        <w:spacing w:after="0" w:line="29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 has agreed to act as our placement agent in connection with this Offering. The placement agent is not purchasing the securities offered by us, and is not required to sell any specific number or dollar amount of securities. However, Geller Biopharm will use their best efforts to arrange for the sale of the securities offered by us in this Offering. We have agreed to pay the placement agent a placement fee equal to 8% of the gross proceeds of the securities sold by us in this Offering, as well as certain expenses.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This Offering will terminate on September 30, 2014 unless the Offering is fully subscribed before that date or we decide to terminate the Offering prior to that date. In either event, the Offering may be closed and we may conduct multiple closings without further notice to you. All costs associated with the registration will be borne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Investing in our securities involves a high degree of risk. Before deciding whether to invest in our securities, you should review carefully the risks and uncertainties described under the heading “Risk Factors” beginning on page 6 of this prospectus, and under similar headings in any amendments or supplements to this prospectus.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The date of this prospectus is July_____,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875665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112395</wp:posOffset>
            </wp:positionV>
            <wp:extent cx="1258570" cy="492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8570" cy="49212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4700" w:type="dxa"/>
            <w:vAlign w:val="bottom"/>
            <w:gridSpan w:val="17"/>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5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2"/>
                <w:szCs w:val="12"/>
                <w:b w:val="1"/>
                <w:bCs w:val="1"/>
                <w:color w:val="auto"/>
              </w:rPr>
              <w:t>TABLE OF CONTENTS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Prospectus Summary</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3"/>
              </w:rPr>
            </w:pPr>
            <w:hyperlink w:anchor="page12">
              <w:r>
                <w:rPr>
                  <w:rFonts w:ascii="Arial" w:cs="Arial" w:eastAsia="Arial" w:hAnsi="Arial"/>
                  <w:sz w:val="12"/>
                  <w:szCs w:val="12"/>
                  <w:color w:val="0000EE"/>
                  <w:w w:val="83"/>
                </w:rPr>
                <w:t>Risk Factors</w:t>
              </w:r>
            </w:hyperlink>
          </w:p>
        </w:tc>
        <w:tc>
          <w:tcPr>
            <w:tcW w:w="400" w:type="dxa"/>
            <w:vAlign w:val="bottom"/>
            <w:tcBorders>
              <w:top w:val="single" w:sz="8" w:color="0000EE"/>
            </w:tcBorders>
            <w:gridSpan w:val="4"/>
          </w:tcPr>
          <w:p>
            <w:pPr>
              <w:spacing w:after="0"/>
              <w:rPr>
                <w:sz w:val="10"/>
                <w:szCs w:val="10"/>
                <w:color w:val="auto"/>
              </w:rPr>
            </w:pPr>
          </w:p>
        </w:tc>
        <w:tc>
          <w:tcPr>
            <w:tcW w:w="3700" w:type="dxa"/>
            <w:vAlign w:val="bottom"/>
            <w:tcBorders>
              <w:top w:val="single" w:sz="8" w:color="CCEEFF"/>
            </w:tcBorders>
            <w:gridSpan w:val="8"/>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4"/>
            <w:shd w:val="clear" w:color="auto" w:fill="CCEEFF"/>
          </w:tcPr>
          <w:p>
            <w:pPr>
              <w:spacing w:after="0" w:line="117" w:lineRule="exact"/>
              <w:rPr>
                <w:rFonts w:ascii="Arial" w:cs="Arial" w:eastAsia="Arial" w:hAnsi="Arial"/>
                <w:sz w:val="12"/>
                <w:szCs w:val="12"/>
                <w:color w:val="0000EE"/>
                <w:w w:val="89"/>
              </w:rPr>
            </w:pPr>
            <w:hyperlink w:anchor="page41">
              <w:r>
                <w:rPr>
                  <w:rFonts w:ascii="Arial" w:cs="Arial" w:eastAsia="Arial" w:hAnsi="Arial"/>
                  <w:sz w:val="12"/>
                  <w:szCs w:val="12"/>
                  <w:color w:val="0000EE"/>
                  <w:w w:val="89"/>
                </w:rPr>
                <w:t>Special Note Regarding Forward-Looking Statements</w:t>
              </w:r>
            </w:hyperlink>
          </w:p>
        </w:tc>
        <w:tc>
          <w:tcPr>
            <w:tcW w:w="2120" w:type="dxa"/>
            <w:vAlign w:val="bottom"/>
            <w:tcBorders>
              <w:bottom w:val="single" w:sz="8" w:color="CCEEFF"/>
            </w:tcBorders>
            <w:gridSpan w:val="2"/>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7"/>
          </w:tcPr>
          <w:p>
            <w:pPr>
              <w:spacing w:after="0" w:line="117" w:lineRule="exact"/>
              <w:rPr>
                <w:rFonts w:ascii="Arial" w:cs="Arial" w:eastAsia="Arial" w:hAnsi="Arial"/>
                <w:sz w:val="12"/>
                <w:szCs w:val="12"/>
                <w:color w:val="0000EE"/>
                <w:w w:val="83"/>
              </w:rPr>
            </w:pPr>
            <w:hyperlink w:anchor="page42">
              <w:r>
                <w:rPr>
                  <w:rFonts w:ascii="Arial" w:cs="Arial" w:eastAsia="Arial" w:hAnsi="Arial"/>
                  <w:sz w:val="12"/>
                  <w:szCs w:val="12"/>
                  <w:color w:val="0000EE"/>
                  <w:w w:val="83"/>
                </w:rPr>
                <w:t>Use of Proceeds</w:t>
              </w:r>
            </w:hyperlink>
          </w:p>
        </w:tc>
        <w:tc>
          <w:tcPr>
            <w:tcW w:w="3920" w:type="dxa"/>
            <w:vAlign w:val="bottom"/>
            <w:gridSpan w:val="9"/>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9"/>
              </w:rPr>
            </w:pPr>
            <w:hyperlink w:anchor="page43">
              <w:r>
                <w:rPr>
                  <w:rFonts w:ascii="Arial" w:cs="Arial" w:eastAsia="Arial" w:hAnsi="Arial"/>
                  <w:sz w:val="12"/>
                  <w:szCs w:val="12"/>
                  <w:color w:val="0000EE"/>
                  <w:w w:val="89"/>
                </w:rPr>
                <w:t>Dilution</w:t>
              </w:r>
            </w:hyperlink>
          </w:p>
        </w:tc>
        <w:tc>
          <w:tcPr>
            <w:tcW w:w="4300" w:type="dxa"/>
            <w:vAlign w:val="bottom"/>
            <w:tcBorders>
              <w:bottom w:val="single" w:sz="8" w:color="CCEEFF"/>
            </w:tcBorders>
            <w:gridSpan w:val="1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5">
              <w:r>
                <w:rPr>
                  <w:rFonts w:ascii="Arial" w:cs="Arial" w:eastAsia="Arial" w:hAnsi="Arial"/>
                  <w:sz w:val="12"/>
                  <w:szCs w:val="12"/>
                  <w:color w:val="0000EE"/>
                </w:rPr>
                <w:t>Capitalization</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46">
              <w:r>
                <w:rPr>
                  <w:rFonts w:ascii="Arial" w:cs="Arial" w:eastAsia="Arial" w:hAnsi="Arial"/>
                  <w:sz w:val="12"/>
                  <w:szCs w:val="12"/>
                  <w:color w:val="0000EE"/>
                </w:rPr>
                <w:t>Plan of Distribution</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8">
              <w:r>
                <w:rPr>
                  <w:rFonts w:ascii="Arial" w:cs="Arial" w:eastAsia="Arial" w:hAnsi="Arial"/>
                  <w:sz w:val="12"/>
                  <w:szCs w:val="12"/>
                  <w:color w:val="0000EE"/>
                </w:rPr>
                <w:t>Description of Securities</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80" w:type="dxa"/>
            <w:vAlign w:val="bottom"/>
            <w:tcBorders>
              <w:bottom w:val="single" w:sz="8" w:color="0000EE"/>
              <w:right w:val="single" w:sz="8" w:color="CCEEFF"/>
            </w:tcBorders>
            <w:gridSpan w:val="12"/>
            <w:shd w:val="clear" w:color="auto" w:fill="CCEEFF"/>
          </w:tcPr>
          <w:p>
            <w:pPr>
              <w:spacing w:after="0" w:line="117" w:lineRule="exact"/>
              <w:rPr>
                <w:rFonts w:ascii="Arial" w:cs="Arial" w:eastAsia="Arial" w:hAnsi="Arial"/>
                <w:sz w:val="12"/>
                <w:szCs w:val="12"/>
                <w:color w:val="0000EE"/>
                <w:w w:val="88"/>
              </w:rPr>
            </w:pPr>
            <w:hyperlink w:anchor="page52">
              <w:r>
                <w:rPr>
                  <w:rFonts w:ascii="Arial" w:cs="Arial" w:eastAsia="Arial" w:hAnsi="Arial"/>
                  <w:sz w:val="12"/>
                  <w:szCs w:val="12"/>
                  <w:color w:val="0000EE"/>
                  <w:w w:val="88"/>
                </w:rPr>
                <w:t>Shares Eligible for Future Sale</w:t>
              </w:r>
            </w:hyperlink>
          </w:p>
        </w:tc>
        <w:tc>
          <w:tcPr>
            <w:tcW w:w="3200" w:type="dxa"/>
            <w:vAlign w:val="bottom"/>
            <w:tcBorders>
              <w:bottom w:val="single" w:sz="8" w:color="CCEEFF"/>
            </w:tcBorders>
            <w:gridSpan w:val="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45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3"/>
          </w:tcPr>
          <w:p>
            <w:pPr>
              <w:spacing w:after="0" w:line="117" w:lineRule="exact"/>
              <w:rPr>
                <w:rFonts w:ascii="Arial" w:cs="Arial" w:eastAsia="Arial" w:hAnsi="Arial"/>
                <w:sz w:val="12"/>
                <w:szCs w:val="12"/>
                <w:color w:val="0000EE"/>
                <w:w w:val="77"/>
              </w:rPr>
            </w:pPr>
            <w:hyperlink w:anchor="page53">
              <w:r>
                <w:rPr>
                  <w:rFonts w:ascii="Arial" w:cs="Arial" w:eastAsia="Arial" w:hAnsi="Arial"/>
                  <w:sz w:val="12"/>
                  <w:szCs w:val="12"/>
                  <w:color w:val="0000EE"/>
                  <w:w w:val="77"/>
                </w:rPr>
                <w:t>Business</w:t>
              </w:r>
            </w:hyperlink>
          </w:p>
        </w:tc>
        <w:tc>
          <w:tcPr>
            <w:tcW w:w="4280" w:type="dxa"/>
            <w:vAlign w:val="bottom"/>
            <w:gridSpan w:val="13"/>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8">
              <w:r>
                <w:rPr>
                  <w:rFonts w:ascii="Arial" w:cs="Arial" w:eastAsia="Arial" w:hAnsi="Arial"/>
                  <w:sz w:val="12"/>
                  <w:szCs w:val="12"/>
                  <w:color w:val="0000EE"/>
                </w:rPr>
                <w:t>Market for Our Common Stock</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280" w:type="dxa"/>
            <w:vAlign w:val="bottom"/>
            <w:tcBorders>
              <w:bottom w:val="single" w:sz="8" w:color="0000EE"/>
            </w:tcBorders>
            <w:gridSpan w:val="15"/>
          </w:tcPr>
          <w:p>
            <w:pPr>
              <w:spacing w:after="0" w:line="117" w:lineRule="exact"/>
              <w:rPr>
                <w:rFonts w:ascii="Arial" w:cs="Arial" w:eastAsia="Arial" w:hAnsi="Arial"/>
                <w:sz w:val="12"/>
                <w:szCs w:val="12"/>
                <w:color w:val="0000EE"/>
                <w:w w:val="90"/>
              </w:rPr>
            </w:pPr>
            <w:hyperlink w:anchor="page79">
              <w:r>
                <w:rPr>
                  <w:rFonts w:ascii="Arial" w:cs="Arial" w:eastAsia="Arial" w:hAnsi="Arial"/>
                  <w:sz w:val="12"/>
                  <w:szCs w:val="12"/>
                  <w:color w:val="0000EE"/>
                  <w:w w:val="90"/>
                </w:rPr>
                <w:t>Management’s Discussion and Analysis of Financial Condition and Results of Operations</w:t>
              </w:r>
            </w:hyperlink>
          </w:p>
        </w:tc>
        <w:tc>
          <w:tcPr>
            <w:tcW w:w="400" w:type="dxa"/>
            <w:vAlign w:val="bottom"/>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72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bottom w:val="single" w:sz="8" w:color="0000EE"/>
              <w:right w:val="single" w:sz="8" w:color="CCEEFF"/>
            </w:tcBorders>
            <w:gridSpan w:val="5"/>
            <w:shd w:val="clear" w:color="auto" w:fill="CCEEFF"/>
          </w:tcPr>
          <w:p>
            <w:pPr>
              <w:spacing w:after="0" w:line="117" w:lineRule="exact"/>
              <w:rPr>
                <w:rFonts w:ascii="Arial" w:cs="Arial" w:eastAsia="Arial" w:hAnsi="Arial"/>
                <w:sz w:val="12"/>
                <w:szCs w:val="12"/>
                <w:color w:val="0000EE"/>
                <w:w w:val="85"/>
              </w:rPr>
            </w:pPr>
            <w:hyperlink w:anchor="page90">
              <w:r>
                <w:rPr>
                  <w:rFonts w:ascii="Arial" w:cs="Arial" w:eastAsia="Arial" w:hAnsi="Arial"/>
                  <w:sz w:val="12"/>
                  <w:szCs w:val="12"/>
                  <w:color w:val="0000EE"/>
                  <w:w w:val="85"/>
                </w:rPr>
                <w:t>Management</w:t>
              </w:r>
            </w:hyperlink>
          </w:p>
        </w:tc>
        <w:tc>
          <w:tcPr>
            <w:tcW w:w="4040" w:type="dxa"/>
            <w:vAlign w:val="bottom"/>
            <w:tcBorders>
              <w:bottom w:val="single" w:sz="8" w:color="CCEEFF"/>
            </w:tcBorders>
            <w:gridSpan w:val="11"/>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83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110">
              <w:r>
                <w:rPr>
                  <w:rFonts w:ascii="Arial" w:cs="Arial" w:eastAsia="Arial" w:hAnsi="Arial"/>
                  <w:sz w:val="12"/>
                  <w:szCs w:val="12"/>
                  <w:color w:val="0000EE"/>
                </w:rPr>
                <w:t>Related Party Transactions</w:t>
              </w:r>
            </w:hyperlink>
          </w:p>
        </w:tc>
        <w:tc>
          <w:tcPr>
            <w:tcW w:w="6780" w:type="dxa"/>
            <w:vAlign w:val="bottom"/>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tcBorders>
              <w:top w:val="single" w:sz="8" w:color="0000EE"/>
            </w:tcBorders>
            <w:gridSpan w:val="10"/>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Legal Matters</w:t>
              </w:r>
            </w:hyperlink>
          </w:p>
        </w:tc>
        <w:tc>
          <w:tcPr>
            <w:tcW w:w="3420" w:type="dxa"/>
            <w:vAlign w:val="bottom"/>
            <w:gridSpan w:val="6"/>
            <w:shd w:val="clear" w:color="auto" w:fill="CCEEFF"/>
          </w:tcPr>
          <w:p>
            <w:pPr>
              <w:spacing w:after="0"/>
              <w:rPr>
                <w:sz w:val="10"/>
                <w:szCs w:val="10"/>
                <w:color w:val="auto"/>
              </w:rPr>
            </w:pPr>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11">
              <w:r>
                <w:rPr>
                  <w:rFonts w:ascii="Arial" w:cs="Arial" w:eastAsia="Arial" w:hAnsi="Arial"/>
                  <w:sz w:val="12"/>
                  <w:szCs w:val="12"/>
                  <w:color w:val="0000EE"/>
                  <w:w w:val="78"/>
                </w:rPr>
                <w:t>Experts</w:t>
              </w:r>
            </w:hyperlink>
          </w:p>
        </w:tc>
        <w:tc>
          <w:tcPr>
            <w:tcW w:w="300" w:type="dxa"/>
            <w:vAlign w:val="bottom"/>
            <w:tcBorders>
              <w:top w:val="single" w:sz="8" w:color="0000EE"/>
            </w:tcBorders>
            <w:gridSpan w:val="4"/>
          </w:tcPr>
          <w:p>
            <w:pPr>
              <w:spacing w:after="0"/>
              <w:rPr>
                <w:sz w:val="10"/>
                <w:szCs w:val="10"/>
                <w:color w:val="auto"/>
              </w:rPr>
            </w:pPr>
          </w:p>
        </w:tc>
        <w:tc>
          <w:tcPr>
            <w:tcW w:w="4040" w:type="dxa"/>
            <w:vAlign w:val="bottom"/>
            <w:tcBorders>
              <w:top w:val="single" w:sz="8" w:color="CCEEFF"/>
            </w:tcBorders>
            <w:gridSpan w:val="11"/>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Where You Can Find More Information</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Borders>
              <w:top w:val="single" w:sz="8" w:color="0000EE"/>
            </w:tcBorders>
            <w:gridSpan w:val="13"/>
          </w:tcPr>
          <w:p>
            <w:pPr>
              <w:spacing w:after="0" w:line="117" w:lineRule="exact"/>
              <w:rPr>
                <w:rFonts w:ascii="Arial" w:cs="Arial" w:eastAsia="Arial" w:hAnsi="Arial"/>
                <w:sz w:val="12"/>
                <w:szCs w:val="12"/>
                <w:color w:val="0000EE"/>
              </w:rPr>
            </w:pPr>
            <w:hyperlink w:anchor="page112">
              <w:r>
                <w:rPr>
                  <w:rFonts w:ascii="Arial" w:cs="Arial" w:eastAsia="Arial" w:hAnsi="Arial"/>
                  <w:sz w:val="12"/>
                  <w:szCs w:val="12"/>
                  <w:color w:val="0000EE"/>
                </w:rPr>
                <w:t>Index to Financial Statements</w:t>
              </w:r>
            </w:hyperlink>
          </w:p>
        </w:tc>
        <w:tc>
          <w:tcPr>
            <w:tcW w:w="2800" w:type="dxa"/>
            <w:vAlign w:val="bottom"/>
            <w:tcBorders>
              <w:top w:val="single" w:sz="8" w:color="CCEEFF"/>
            </w:tcBorders>
            <w:gridSpan w:val="3"/>
          </w:tcPr>
          <w:p>
            <w:pPr>
              <w:spacing w:after="0"/>
              <w:rPr>
                <w:sz w:val="10"/>
                <w:szCs w:val="10"/>
                <w:color w:val="auto"/>
              </w:rPr>
            </w:pPr>
          </w:p>
        </w:tc>
        <w:tc>
          <w:tcPr>
            <w:tcW w:w="56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ind w:left="480"/>
              <w:spacing w:after="0" w:line="117"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and warrants only in jurisdictions where offers and sales are permitted. The information contained in this prospectus is accurate only as of the date of this prospectus, regardless of the time of delivery of this prospectus or any sale of our common stock and warrants.</w:t>
      </w:r>
    </w:p>
    <w:p>
      <w:pPr>
        <w:spacing w:after="0" w:line="14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We anticipate affecting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Each reference to shares of common stock in this prospectus is pre-Stock Consolidation, and does not reflect the one-for-twenty adjustment that will occur as a result of the Stock Consolidation. See also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6.</w:t>
      </w:r>
    </w:p>
    <w:p>
      <w:pPr>
        <w:spacing w:after="0" w:line="141"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i w:val="1"/>
          <w:iCs w:val="1"/>
          <w:color w:val="auto"/>
        </w:rPr>
        <w:t>This summary highlights selected information appearing elsewhere in this prospectus and does not contain all the information you should consider before investing in our common stock and warrants. You should carefully read this prospectus in its entirety before investing in our common stock and warrants, including the section entitled “Risk Factors” and our financial statements and related notes included elsewhere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are a stem cell company headquartered in South San Francisco, California, focused on drug discovery, drug rescue and regenerative medicine. We believe </w:t>
      </w:r>
      <w:r>
        <w:rPr>
          <w:rFonts w:ascii="Arial" w:cs="Arial" w:eastAsia="Arial" w:hAnsi="Arial"/>
          <w:sz w:val="11"/>
          <w:szCs w:val="11"/>
          <w:i w:val="1"/>
          <w:iCs w:val="1"/>
          <w:color w:val="auto"/>
        </w:rPr>
        <w:t>better cells lead to better medicines</w:t>
      </w:r>
      <w:r>
        <w:rPr>
          <w:rFonts w:ascii="Arial" w:cs="Arial" w:eastAsia="Arial" w:hAnsi="Arial"/>
          <w:sz w:val="11"/>
          <w:szCs w:val="11"/>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1"/>
          <w:szCs w:val="11"/>
          <w:i w:val="1"/>
          <w:iCs w:val="1"/>
          <w:color w:val="auto"/>
        </w:rPr>
        <w:t>in vitro</w:t>
      </w:r>
      <w:r>
        <w:rPr>
          <w:rFonts w:ascii="Arial" w:cs="Arial" w:eastAsia="Arial" w:hAnsi="Arial"/>
          <w:sz w:val="11"/>
          <w:szCs w:val="11"/>
          <w:color w:val="auto"/>
        </w:rPr>
        <w:t>, the potential therapeutic benefits and safety risks of new drug candidates.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stem cell-derived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the drug candidates included in our drug rescue programs.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stem cell-derived hepatocytes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highly-functional, non-transformed, mature human hepatocytes,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new drug candidates, including new drug candidates included in our drug rescue programs, early in development, long before costly, high risk human clinical trials.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cardiac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proprietary safer versions of them back into development as promising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develop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optimized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screened several of them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We are not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Our business is subject to substantial risk. Please carefully consider the “</w:t>
      </w:r>
      <w:r>
        <w:rPr>
          <w:rFonts w:ascii="Arial" w:cs="Arial" w:eastAsia="Arial" w:hAnsi="Arial"/>
          <w:sz w:val="11"/>
          <w:szCs w:val="11"/>
          <w:i w:val="1"/>
          <w:iCs w:val="1"/>
          <w:color w:val="auto"/>
        </w:rPr>
        <w:t>Risk Factors</w:t>
      </w:r>
      <w:r>
        <w:rPr>
          <w:rFonts w:ascii="Arial" w:cs="Arial" w:eastAsia="Arial" w:hAnsi="Arial"/>
          <w:sz w:val="11"/>
          <w:szCs w:val="11"/>
          <w:color w:val="auto"/>
        </w:rPr>
        <w:t>” beginning on page 6 of this prospectus for a discussion of the factors you should carefully consider before deciding to purchase the securities offered by this prospectus. Additional risks and uncertainties not presently known to us or that we currently deem immaterial may also impair our business operations. You should be able to bear a complete loss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2"/>
          <w:szCs w:val="12"/>
          <w:i w:val="1"/>
          <w:iCs w:val="1"/>
          <w:color w:val="auto"/>
        </w:rPr>
        <w:t>www.vistagen.com</w:t>
      </w:r>
      <w:r>
        <w:rPr>
          <w:rFonts w:ascii="Arial" w:cs="Arial" w:eastAsia="Arial" w:hAnsi="Arial"/>
          <w:sz w:val="12"/>
          <w:szCs w:val="12"/>
          <w:color w:val="auto"/>
        </w:rPr>
        <w:t>. The information contained on our website is not part of this prospectus. We have included our website address as a factual reference and do not intend it to be an active link to our website.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Securities offered</w:t>
      </w:r>
    </w:p>
    <w:p>
      <w:pPr>
        <w:spacing w:after="0" w:line="200" w:lineRule="exact"/>
        <w:rPr>
          <w:sz w:val="20"/>
          <w:szCs w:val="20"/>
          <w:color w:val="auto"/>
        </w:rPr>
      </w:pPr>
    </w:p>
    <w:p>
      <w:pPr>
        <w:spacing w:after="0" w:line="238" w:lineRule="exact"/>
        <w:rPr>
          <w:sz w:val="20"/>
          <w:szCs w:val="20"/>
          <w:color w:val="auto"/>
        </w:rPr>
      </w:pPr>
    </w:p>
    <w:p>
      <w:pPr>
        <w:ind w:right="300"/>
        <w:spacing w:after="0" w:line="680" w:lineRule="auto"/>
        <w:rPr>
          <w:sz w:val="20"/>
          <w:szCs w:val="20"/>
          <w:color w:val="auto"/>
        </w:rPr>
      </w:pPr>
      <w:r>
        <w:rPr>
          <w:rFonts w:ascii="Arial" w:cs="Arial" w:eastAsia="Arial" w:hAnsi="Arial"/>
          <w:sz w:val="10"/>
          <w:szCs w:val="10"/>
          <w:color w:val="auto"/>
        </w:rPr>
        <w:t>Common stock outstanding prior to Offering Common stock outstanding after the Offering</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Stock consolidation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OTCQB symbol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Up to ________ shares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Warrants to purchase up to _______ shares of our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Up to _____ shares of common stock issuable upon exercise of warrants.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________ assuming no exercise of any of the warrants offered hereby.</w:t>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We estimate that we will receive up to $13.6 million in net proceeds from the sale of common stock in this Offering based on a price of $____ per share of common stock,</w:t>
      </w:r>
    </w:p>
    <w:p>
      <w:pPr>
        <w:spacing w:after="0" w:line="26" w:lineRule="exact"/>
        <w:rPr>
          <w:sz w:val="20"/>
          <w:szCs w:val="20"/>
          <w:color w:val="auto"/>
        </w:rPr>
      </w:pPr>
    </w:p>
    <w:p>
      <w:pPr>
        <w:jc w:val="both"/>
        <w:ind w:right="20"/>
        <w:spacing w:after="0" w:line="306" w:lineRule="auto"/>
        <w:rPr>
          <w:sz w:val="20"/>
          <w:szCs w:val="20"/>
          <w:color w:val="auto"/>
        </w:rPr>
      </w:pPr>
      <w:r>
        <w:rPr>
          <w:rFonts w:ascii="Arial" w:cs="Arial" w:eastAsia="Arial" w:hAnsi="Arial"/>
          <w:sz w:val="11"/>
          <w:szCs w:val="11"/>
          <w:color w:val="auto"/>
        </w:rPr>
        <w:t>assuming that the maximum Offering amount is sold, and after deducting the placement agent’s commission and estimated Offering expenses payable by us. However, this is a best efforts offering, with no minimum, and there is no assurance that we will receive significant proceeds or enough proceeds to execute our business plan.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currently intend to use the net proceeds from the sale of the shares of common stock in this Offering for research and development, working capital needs, capital expenditures, extinguishment of indebtedness, and other general corporate purposes.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 regarding the intended use of proceeds from the Offering, including information regarding the potential exchange or conversion of certain indebtedness into equity securities in the event the Offering results in the receipt by the Company of a minimum of $10.0 million in gross proceeds.</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intend to affect a reverse split of our authorized and issued and outstanding shares of common stock prior to consummation of the Offering at a ratio of one-for-twenty (the </w:t>
      </w:r>
      <w:r>
        <w:rPr>
          <w:rFonts w:ascii="Arial" w:cs="Arial" w:eastAsia="Arial" w:hAnsi="Arial"/>
          <w:sz w:val="11"/>
          <w:szCs w:val="11"/>
          <w:i w:val="1"/>
          <w:iCs w:val="1"/>
          <w:color w:val="auto"/>
        </w:rPr>
        <w:t>Stock Consolidation</w:t>
      </w:r>
      <w:r>
        <w:rPr>
          <w:rFonts w:ascii="Arial" w:cs="Arial" w:eastAsia="Arial" w:hAnsi="Arial"/>
          <w:sz w:val="11"/>
          <w:szCs w:val="11"/>
          <w:color w:val="auto"/>
        </w:rPr>
        <w:t>), pending review and acceptacnce of the Stock Consolidation from the Financial Industry Regulatory Authority (</w:t>
      </w:r>
      <w:r>
        <w:rPr>
          <w:rFonts w:ascii="Arial" w:cs="Arial" w:eastAsia="Arial" w:hAnsi="Arial"/>
          <w:sz w:val="11"/>
          <w:szCs w:val="11"/>
          <w:i w:val="1"/>
          <w:iCs w:val="1"/>
          <w:color w:val="auto"/>
        </w:rPr>
        <w:t>FINRA</w:t>
      </w:r>
      <w:r>
        <w:rPr>
          <w:rFonts w:ascii="Arial" w:cs="Arial" w:eastAsia="Arial" w:hAnsi="Arial"/>
          <w:sz w:val="11"/>
          <w:szCs w:val="11"/>
          <w:color w:val="auto"/>
        </w:rPr>
        <w:t>). Each reference to shares of common stock in this prospectus is pre-Stock Consolidation, and does not reflect the one-for-twenty adjustment anticipated as a result of the Stock Consolidation.</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never declared or paid and do not anticipate declaring or paying any cash dividends on our common stock in the near future. You should read the “</w:t>
      </w:r>
      <w:r>
        <w:rPr>
          <w:rFonts w:ascii="Arial" w:cs="Arial" w:eastAsia="Arial" w:hAnsi="Arial"/>
          <w:sz w:val="12"/>
          <w:szCs w:val="12"/>
          <w:i w:val="1"/>
          <w:iCs w:val="1"/>
          <w:color w:val="auto"/>
        </w:rPr>
        <w:t>Dividend</w:t>
      </w:r>
      <w:r>
        <w:rPr>
          <w:rFonts w:ascii="Arial" w:cs="Arial" w:eastAsia="Arial" w:hAnsi="Arial"/>
          <w:sz w:val="12"/>
          <w:szCs w:val="12"/>
          <w:color w:val="auto"/>
        </w:rPr>
        <w:t xml:space="preserve"> </w:t>
      </w:r>
      <w:r>
        <w:rPr>
          <w:rFonts w:ascii="Arial" w:cs="Arial" w:eastAsia="Arial" w:hAnsi="Arial"/>
          <w:sz w:val="12"/>
          <w:szCs w:val="12"/>
          <w:i w:val="1"/>
          <w:iCs w:val="1"/>
          <w:color w:val="auto"/>
        </w:rPr>
        <w:t>Policy</w:t>
      </w:r>
      <w:r>
        <w:rPr>
          <w:rFonts w:ascii="Arial" w:cs="Arial" w:eastAsia="Arial" w:hAnsi="Arial"/>
          <w:sz w:val="12"/>
          <w:szCs w:val="12"/>
          <w:color w:val="auto"/>
        </w:rPr>
        <w:t>” section of this prospectus for more information on future declarations and payments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VSTA. There is no established trading market for the warrants and we do not expect a market to develop.</w:t>
      </w:r>
    </w:p>
    <w:p>
      <w:pPr>
        <w:spacing w:after="0" w:line="150" w:lineRule="exact"/>
        <w:rPr>
          <w:sz w:val="20"/>
          <w:szCs w:val="20"/>
          <w:color w:val="auto"/>
        </w:rPr>
      </w:pPr>
    </w:p>
    <w:p>
      <w:pPr>
        <w:jc w:val="center"/>
        <w:ind w:right="1120"/>
        <w:spacing w:after="0"/>
        <w:rPr>
          <w:sz w:val="20"/>
          <w:szCs w:val="20"/>
          <w:color w:val="auto"/>
        </w:rPr>
      </w:pPr>
      <w:r>
        <w:rPr>
          <w:rFonts w:ascii="Arial" w:cs="Arial" w:eastAsia="Arial" w:hAnsi="Arial"/>
          <w:sz w:val="10"/>
          <w:szCs w:val="10"/>
          <w:color w:val="auto"/>
        </w:rPr>
        <w:t>See “</w:t>
      </w:r>
      <w:r>
        <w:rPr>
          <w:rFonts w:ascii="Arial" w:cs="Arial" w:eastAsia="Arial" w:hAnsi="Arial"/>
          <w:sz w:val="10"/>
          <w:szCs w:val="10"/>
          <w:i w:val="1"/>
          <w:iCs w:val="1"/>
          <w:color w:val="auto"/>
        </w:rPr>
        <w:t>Risk Factors</w:t>
      </w:r>
      <w:r>
        <w:rPr>
          <w:rFonts w:ascii="Arial" w:cs="Arial" w:eastAsia="Arial" w:hAnsi="Arial"/>
          <w:sz w:val="10"/>
          <w:szCs w:val="10"/>
          <w:color w:val="auto"/>
        </w:rPr>
        <w:t>” beginning on page 6 of this prospectus for a discussion of factors you should carefully consider before investing in our securities.</w:t>
      </w:r>
    </w:p>
    <w:p>
      <w:pPr>
        <w:spacing w:after="0" w:line="290"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480" w:space="720"/>
            <w:col w:w="8280"/>
          </w:cols>
          <w:pgMar w:left="220" w:top="134" w:right="199" w:bottom="1440" w:gutter="0" w:footer="0" w:header="0"/>
        </w:sectPr>
      </w:pPr>
    </w:p>
    <w:bookmarkStart w:id="9" w:name="page10"/>
    <w:bookmarkEnd w:id="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number of shares of common stock to be outstanding after this Offering is based on 25,506,877 shares outstanding as of July 1, 2014, and does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include, as of that date:</w:t>
      </w:r>
    </w:p>
    <w:p>
      <w:pPr>
        <w:spacing w:after="0" w:line="168"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_____ shares of common stock issuable upon the exercise of the warrants being offered in this Offering;</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1"/>
          <w:szCs w:val="11"/>
          <w:color w:val="auto"/>
        </w:rPr>
      </w:pPr>
      <w:r>
        <w:rPr>
          <w:rFonts w:ascii="Arial" w:cs="Arial" w:eastAsia="Arial" w:hAnsi="Arial"/>
          <w:sz w:val="11"/>
          <w:szCs w:val="11"/>
          <w:color w:val="auto"/>
        </w:rPr>
        <w:t>4,227,357 shares of common stock issuable upon the exercise of outstanding options under our 1999 Stock Incentive Plan and 2008 Stock Incentive Plan, of which approximately 3.73 million were exercisable as of July 1, 2014;</w:t>
      </w:r>
    </w:p>
    <w:p>
      <w:pPr>
        <w:spacing w:after="0" w:line="179" w:lineRule="exact"/>
        <w:rPr>
          <w:rFonts w:ascii="Arial" w:cs="Arial" w:eastAsia="Arial" w:hAnsi="Arial"/>
          <w:sz w:val="11"/>
          <w:szCs w:val="11"/>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2008 Stock Incentive Plan;</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18,981,490 shares of common stock that have been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7,500,000 shares of common stock reserved for issuance upon the exercise of warrants issuable upon the exchange of Series A Preferred; and</w:t>
      </w:r>
    </w:p>
    <w:p>
      <w:pPr>
        <w:spacing w:after="0" w:line="150" w:lineRule="exact"/>
        <w:rPr>
          <w:rFonts w:ascii="Arial" w:cs="Arial" w:eastAsia="Arial" w:hAnsi="Arial"/>
          <w:sz w:val="12"/>
          <w:szCs w:val="12"/>
          <w:color w:val="auto"/>
        </w:rPr>
      </w:pPr>
    </w:p>
    <w:p>
      <w:pPr>
        <w:ind w:left="328" w:hanging="328"/>
        <w:spacing w:after="0" w:line="323" w:lineRule="auto"/>
        <w:tabs>
          <w:tab w:leader="none" w:pos="419" w:val="left"/>
        </w:tabs>
        <w:numPr>
          <w:ilvl w:val="0"/>
          <w:numId w:val="3"/>
        </w:numPr>
        <w:rPr>
          <w:rFonts w:ascii="Arial" w:cs="Arial" w:eastAsia="Arial" w:hAnsi="Arial"/>
          <w:sz w:val="11"/>
          <w:szCs w:val="11"/>
          <w:color w:val="auto"/>
        </w:rPr>
      </w:pPr>
      <w:r>
        <w:rPr>
          <w:rFonts w:ascii="Arial" w:cs="Arial" w:eastAsia="Arial" w:hAnsi="Arial"/>
          <w:sz w:val="11"/>
          <w:szCs w:val="11"/>
          <w:color w:val="auto"/>
        </w:rPr>
        <w:t>up to approximately _____ shares of common stock reserved for issuance upon the exchange of newly created Series B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which Series B Preferred will be issued upon automatic conversion of approximately $4.1 million of outstanding secured convertible promissory notes and related accrued interest upon consummation of the Offering, assuming gross proceeds from the Offering of at least $10.0 million.</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Platinum Notes</w:t>
      </w:r>
    </w:p>
    <w:p>
      <w:pPr>
        <w:spacing w:after="0" w:line="172"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We have issued certain senior secured convertible promissory notes to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in the aggregate principal amount of $3,522,600 (</w:t>
      </w:r>
      <w:r>
        <w:rPr>
          <w:rFonts w:ascii="Arial" w:cs="Arial" w:eastAsia="Arial" w:hAnsi="Arial"/>
          <w:sz w:val="12"/>
          <w:szCs w:val="12"/>
          <w:i w:val="1"/>
          <w:iCs w:val="1"/>
          <w:color w:val="auto"/>
        </w:rPr>
        <w:t>Platinum Notes</w:t>
      </w:r>
      <w:r>
        <w:rPr>
          <w:rFonts w:ascii="Arial" w:cs="Arial" w:eastAsia="Arial" w:hAnsi="Arial"/>
          <w:sz w:val="12"/>
          <w:szCs w:val="12"/>
          <w:color w:val="auto"/>
        </w:rPr>
        <w:t>). Platinum and the Company have agreed to convert the Platinum Notes, including all accrued interest thereon, into shares of a newly created Series B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upon consummation of the Offering, assuming the Offering results in gross cash proceeds to us of at least $10.0 million. See “</w:t>
      </w:r>
      <w:r>
        <w:rPr>
          <w:rFonts w:ascii="Arial" w:cs="Arial" w:eastAsia="Arial" w:hAnsi="Arial"/>
          <w:sz w:val="12"/>
          <w:szCs w:val="12"/>
          <w:i w:val="1"/>
          <w:iCs w:val="1"/>
          <w:color w:val="auto"/>
        </w:rPr>
        <w:t>Description of Securities – Series B Preferred Stock</w:t>
      </w:r>
      <w:r>
        <w:rPr>
          <w:rFonts w:ascii="Arial" w:cs="Arial" w:eastAsia="Arial" w:hAnsi="Arial"/>
          <w:sz w:val="12"/>
          <w:szCs w:val="12"/>
          <w:color w:val="auto"/>
        </w:rPr>
        <w:t>”. Upon conversion of the Platinum Notes, the security agreement executed by the parties securing all obligations under the terms of the Platinum Notes twill be terminated, and be of no further force and effect. In addition, upon consummation of the Offering, assuming the Offering results in gross proceeds to us of at least $10.0 million, in addition to certain other changes, the exercise price of certain warrants issued to Platinum will be fixed at the price per share of common stock sold in the Offering.</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FINANCIAL DATA</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following table presents summary financial data for the periods indicated. The summary statements of operations data for the years ended March 31, 2014 and 2013 and the balance sheet data as of March 31, 2014 and 2013 have been derived from our audited financial statements and notes thereto, which are included elsewhere in this prospectus.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w:t>
      </w:r>
      <w:r>
        <w:rPr>
          <w:rFonts w:ascii="Arial" w:cs="Arial" w:eastAsia="Arial" w:hAnsi="Arial"/>
          <w:sz w:val="12"/>
          <w:szCs w:val="12"/>
          <w:i w:val="1"/>
          <w:iCs w:val="1"/>
          <w:color w:val="auto"/>
        </w:rPr>
        <w:t>Management’s Discussion and Analysis of Financial Condition</w:t>
      </w:r>
      <w:r>
        <w:rPr>
          <w:rFonts w:ascii="Arial" w:cs="Arial" w:eastAsia="Arial" w:hAnsi="Arial"/>
          <w:sz w:val="12"/>
          <w:szCs w:val="12"/>
          <w:color w:val="auto"/>
        </w:rPr>
        <w:t xml:space="preserve"> </w:t>
      </w:r>
      <w:r>
        <w:rPr>
          <w:rFonts w:ascii="Arial" w:cs="Arial" w:eastAsia="Arial" w:hAnsi="Arial"/>
          <w:sz w:val="12"/>
          <w:szCs w:val="12"/>
          <w:i w:val="1"/>
          <w:iCs w:val="1"/>
          <w:color w:val="auto"/>
        </w:rPr>
        <w:t>and Results of Operations</w:t>
      </w:r>
      <w:r>
        <w:rPr>
          <w:rFonts w:ascii="Arial" w:cs="Arial" w:eastAsia="Arial" w:hAnsi="Arial"/>
          <w:sz w:val="12"/>
          <w:szCs w:val="12"/>
          <w:color w:val="auto"/>
        </w:rPr>
        <w:t>,” “</w:t>
      </w:r>
      <w:r>
        <w:rPr>
          <w:rFonts w:ascii="Arial" w:cs="Arial" w:eastAsia="Arial" w:hAnsi="Arial"/>
          <w:sz w:val="12"/>
          <w:szCs w:val="12"/>
          <w:i w:val="1"/>
          <w:iCs w:val="1"/>
          <w:color w:val="auto"/>
        </w:rPr>
        <w:t>Use of Proceeds</w:t>
      </w:r>
      <w:r>
        <w:rPr>
          <w:rFonts w:ascii="Arial" w:cs="Arial" w:eastAsia="Arial" w:hAnsi="Arial"/>
          <w:sz w:val="12"/>
          <w:szCs w:val="12"/>
          <w:color w:val="auto"/>
        </w:rPr>
        <w:t>” and “</w:t>
      </w:r>
      <w:r>
        <w:rPr>
          <w:rFonts w:ascii="Arial" w:cs="Arial" w:eastAsia="Arial" w:hAnsi="Arial"/>
          <w:sz w:val="12"/>
          <w:szCs w:val="12"/>
          <w:i w:val="1"/>
          <w:iCs w:val="1"/>
          <w:color w:val="auto"/>
        </w:rPr>
        <w:t>Capitalization</w:t>
      </w:r>
      <w:r>
        <w:rPr>
          <w:rFonts w:ascii="Arial" w:cs="Arial" w:eastAsia="Arial" w:hAnsi="Arial"/>
          <w:sz w:val="12"/>
          <w:szCs w:val="12"/>
          <w:color w:val="auto"/>
        </w:rPr>
        <w:t>” included elsewhere in this prospectus.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 except share and per share data)</w:t>
            </w: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2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operating expenses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expenses, net: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income</w:t>
            </w:r>
          </w:p>
        </w:tc>
        <w:tc>
          <w:tcPr>
            <w:tcW w:w="4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Income taxes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Diluted net loss attributable to common stockholders per common share</w:t>
            </w:r>
          </w:p>
        </w:tc>
        <w:tc>
          <w:tcPr>
            <w:tcW w:w="4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21,973,149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980"/>
              <w:spacing w:after="0"/>
              <w:rPr>
                <w:sz w:val="20"/>
                <w:szCs w:val="20"/>
                <w:color w:val="auto"/>
              </w:rPr>
            </w:pPr>
            <w:r>
              <w:rPr>
                <w:rFonts w:ascii="Arial" w:cs="Arial" w:eastAsia="Arial" w:hAnsi="Arial"/>
                <w:sz w:val="12"/>
                <w:szCs w:val="12"/>
                <w:color w:val="auto"/>
              </w:rPr>
              <w:t>-5-</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40" w:type="dxa"/>
            <w:vAlign w:val="bottom"/>
            <w:tcBorders>
              <w:bottom w:val="single" w:sz="8" w:color="808080"/>
            </w:tcBorders>
          </w:tcPr>
          <w:p>
            <w:pPr>
              <w:spacing w:after="0"/>
              <w:rPr>
                <w:sz w:val="6"/>
                <w:szCs w:val="6"/>
                <w:color w:val="auto"/>
              </w:rPr>
            </w:pPr>
          </w:p>
        </w:tc>
        <w:tc>
          <w:tcPr>
            <w:tcW w:w="4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are a development stage biotechnology company.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41"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w:t>
      </w:r>
      <w:r>
        <w:rPr>
          <w:rFonts w:ascii="Arial" w:cs="Arial" w:eastAsia="Arial" w:hAnsi="Arial"/>
          <w:sz w:val="12"/>
          <w:szCs w:val="12"/>
          <w:color w:val="auto"/>
        </w:rPr>
        <w:t>t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 w:name="page13"/>
    <w:bookmarkEnd w:id="1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In addition, we do not have a sales or marketing infrastructure, and we, including our executive officers, do not have any significant sales, marketing or distribution experience. We will seek to collaborate with others to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future products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or may be unable to do so on terms that are favorable to us, if any are developed.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Candidates and no operating history with respect to the production of Drug Rescue Variants, and we may never be able to produce a Drug Rescue Variant.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If we are unable to identify suitable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for our drug rescue programs, including AV-101, or produce suitable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 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assess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produce, develop or out-license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independently or with strategic partners, including:</w:t>
      </w:r>
    </w:p>
    <w:p>
      <w:pPr>
        <w:spacing w:after="0" w:line="143"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bioassay systems;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out-license or sell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79"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out-license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they license from us.</w:t>
      </w:r>
    </w:p>
    <w:p>
      <w:pPr>
        <w:spacing w:after="0" w:line="13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studies have not been subjected external peer review or validation.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internal studies conducted to correlate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results with reported clinical results of reference compounds, and our ability to use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the cardiac effects, both toxic and nontoxic,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have not been subjected to external peer review or validation. It is possible, therefore, that the results we have obtained from our internal validation studies may not be replicable by external peer reviewers. We are currently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in-license or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in the future. In addition, such third-parties may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and that granting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We have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discovery, drug rescue and regenerative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w:t>
      </w:r>
      <w:r>
        <w:rPr>
          <w:rFonts w:ascii="Arial" w:cs="Arial" w:eastAsia="Arial" w:hAnsi="Arial"/>
          <w:sz w:val="11"/>
          <w:szCs w:val="11"/>
          <w:i w:val="1"/>
          <w:iCs w:val="1"/>
          <w:color w:val="auto"/>
        </w:rPr>
        <w:t>Human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Clinical Trials in a 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and material adverse effect on our potential drug discovery, drug rescue and regenerative medicine business opportunities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there can be no assurance that others are not also working toward or involved in such objectives, and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than we can to new opportunities. In light of these advantages, even if our technology is effective in producing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We may not be able to compete effectively against these organizations. Our failure to compete effectively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internally or in collaboration with others, will compete with products from other companies in the biotechnology and pharmaceutical industries.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With respect to drug rescue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Rescue Candidates</w:t>
      </w:r>
      <w:r>
        <w:rPr>
          <w:rFonts w:ascii="Arial" w:cs="Arial" w:eastAsia="Arial" w:hAnsi="Arial"/>
          <w:sz w:val="12"/>
          <w:szCs w:val="12"/>
          <w:color w:val="auto"/>
        </w:rPr>
        <w:t>. These established companies have a competitive advantage over us due to their size, cash resources and greater clinical development and commercialization capabilities. In addition, companies that perceive us to be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competitor may be unwilling to sell or license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in the future, on commercially reasonable terms, if at all, should we elect to pursue such third-party licenses. If we are unable to acquire or obtain licenses to</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we seek, our business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affected.</w:t>
      </w:r>
    </w:p>
    <w:p>
      <w:pPr>
        <w:spacing w:after="0" w:line="14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Some of our most important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exploratory nonclinical regenerative medicine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prospectus, we have ten full-time employees, which may make us more reliant on our individual employees than companies with a greater number of employees. The loss of services of any of these individuals could delay or prevent the successful development of potential expansions and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our production and assessment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or disrupt our administrative functions.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designing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or that we will derive any revenues from such future arrangements.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8" w:hanging="428"/>
        <w:spacing w:after="0" w:line="259"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for future preclinical and clinical testing and commercialization, if needed.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32"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Even if we are able to begin clinical trails for a Drug Rescue Variant, we may encounter considerable delays and/or expend considerable resources without producing a marketable product capable of generating revenue.</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may never generate revenues from sales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any other product because of a variety of risks inherent in our business, including the following:</w:t>
      </w:r>
    </w:p>
    <w:p>
      <w:pPr>
        <w:spacing w:after="0" w:line="168"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3" w:name="page24"/>
    <w:bookmarkEnd w:id="2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In the event we are able to begin a clinical trial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8" w:right="20" w:hanging="428"/>
        <w:spacing w:after="0" w:line="276" w:lineRule="auto"/>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w:t>
      </w:r>
      <w:r>
        <w:rPr>
          <w:rFonts w:ascii="Arial" w:cs="Arial" w:eastAsia="Arial" w:hAnsi="Arial"/>
          <w:sz w:val="12"/>
          <w:szCs w:val="12"/>
          <w:color w:val="auto"/>
        </w:rPr>
        <w:t>s), contract research organizations (</w:t>
      </w:r>
      <w:r>
        <w:rPr>
          <w:rFonts w:ascii="Arial" w:cs="Arial" w:eastAsia="Arial" w:hAnsi="Arial"/>
          <w:sz w:val="12"/>
          <w:szCs w:val="12"/>
          <w:i w:val="1"/>
          <w:iCs w:val="1"/>
          <w:color w:val="auto"/>
        </w:rPr>
        <w:t>CRO</w:t>
      </w:r>
      <w:r>
        <w:rPr>
          <w:rFonts w:ascii="Arial" w:cs="Arial" w:eastAsia="Arial" w:hAnsi="Arial"/>
          <w:sz w:val="12"/>
          <w:szCs w:val="12"/>
          <w:color w:val="auto"/>
        </w:rPr>
        <w:t>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as well as any future strategic partner, will need to receive regulatory approval for any new drug candidate, including each Drug Rescue Variant, biological candidate or regenerative medicine product before it may be marketed and distributed, and such regulatory approval may never occur.</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future success depends heavily on our ability to use stem cell technology, human cells derived from stem cells, proprietary human cell-based bioassay systems, especially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medicinal chemistry to produce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and, develop, obtain regulatory approval for, and commercialize lead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on our own or in strategic collaborations. We have not previously submitted a new drug application or NDA, to the FDA, or</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3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 1998,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As of July 1, 2014, we had outstanding indebtedness in the aggregate principal amount of approximately $11.3 million, including approximately $9.0 million that may be converted into, exchanged for, or is payable with, our equity securities. Unless we are able to convert such indebtedness into our equity securities, according to existing agreements or otherwise restructure such indebtedness, we may be unable to pay up to approximately $4.2 million of such indebtedness when due in the next twelve months following consummation of this Offering.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At July 1, 2014, we had outstanding indebtedness in the aggregate principal amount of approximately $11.3 million, including approximately $9.0 million of promissory notes that may be converted into or exchanged for our equity securities following the consummation of this Offering, or extinguished upon the exercise of warrants to purchase shares of our common stock associated with certain of such indebtedness. Up to approximately $4.2 million of our outstanding indebtedness is due or will become due from time to time during the next 12 months, to the extent it is not otherwise (i) restructured or (ii) converted into our equity securities following the consummation of this Offering, or otherwise in accordance with certain agreements evidencing, or related to, such indebtedness. No assurances can be given that such conversions, exchanges or extinguishment of indebtedness will occur within the next twelve months following consummation of this Offering, or at all. In the event our indebtedness is not restructured or exchanged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Our consolidated financial statements for the year ended March 31, 2014 included in this prospectus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2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27"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 xml:space="preserve">We have no current source of revenue to sustain our present activities, and we do not expect to generate revenue until, and unless, we out-license a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8" w:name="page29"/>
    <w:bookmarkEnd w:id="2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w:t>
      </w:r>
      <w:r>
        <w:rPr>
          <w:rFonts w:ascii="Arial" w:cs="Arial" w:eastAsia="Arial" w:hAnsi="Arial"/>
          <w:sz w:val="10"/>
          <w:szCs w:val="10"/>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Drug Rescue Variants 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48"/>
        <w:spacing w:after="0"/>
        <w:rPr>
          <w:rFonts w:ascii="Arial" w:cs="Arial" w:eastAsia="Arial" w:hAnsi="Arial"/>
          <w:sz w:val="12"/>
          <w:szCs w:val="12"/>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4" w:name="page35"/>
    <w:bookmarkEnd w:id="3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be able to develop technologies around some of our issued patents without infringing such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Purchasers in this Offering will experience immediate and substantial dilution in the book value of their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If we successfully sell all securities registered by this Offering, new investors will contribute approximately _____% of the total amount of equity capital raised by us through the date of this Offering, and will own approximately _____%</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of the outstanding shares. In addition, we may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2"/>
          <w:szCs w:val="12"/>
          <w:i w:val="1"/>
          <w:iCs w:val="1"/>
          <w:color w:val="auto"/>
        </w:rPr>
        <w:t>Dilution</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allocation of net proceeds of the offering set forth in the “</w:t>
      </w:r>
      <w:r>
        <w:rPr>
          <w:rFonts w:ascii="Arial" w:cs="Arial" w:eastAsia="Arial" w:hAnsi="Arial"/>
          <w:sz w:val="12"/>
          <w:szCs w:val="12"/>
          <w:i w:val="1"/>
          <w:iCs w:val="1"/>
          <w:color w:val="auto"/>
        </w:rPr>
        <w:t>Use of Proceeds</w:t>
      </w:r>
      <w:r>
        <w:rPr>
          <w:rFonts w:ascii="Arial" w:cs="Arial" w:eastAsia="Arial" w:hAnsi="Arial"/>
          <w:sz w:val="12"/>
          <w:szCs w:val="12"/>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2"/>
          <w:szCs w:val="12"/>
          <w:i w:val="1"/>
          <w:iCs w:val="1"/>
          <w:color w:val="auto"/>
        </w:rPr>
        <w:t>Use of Proceeds</w:t>
      </w:r>
      <w:r>
        <w:rPr>
          <w:rFonts w:ascii="Arial" w:cs="Arial" w:eastAsia="Arial" w:hAnsi="Arial"/>
          <w:sz w:val="12"/>
          <w:szCs w:val="12"/>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number of shares of issued and outstanding common stock represents approximately 30% of our fully diluted shares of common stock. Additional issuances of shares of common stock upon conversion and/or exercise of convertible promissory notes, preferred stock, options to purchase common stock and warrants to purchase common stock will cause substantial dilution to existing stockholders.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July 1, 2014, we had 25.5 million shares of common stock issued and outstanding. Up to an additional 61.0 million shares may be issued upon conversion of our Series A Preferred and all outstanding convertible promissory notes, and upon exercise of all outstanding options and warrants to purchase our common stock, which amount includes all reserves, resulting in a total of up to 86.5 million shares that may be issued and outstanding, assuming conversion of all outstanding convertible promissory notes, and exercise of all outstanding option and warrants to purchase our common stock. The issuance of any and all of the 61.0 million shares issuable upon exercise or conversion of our outstanding convertible securities will cause substantial dilution to existing stockholders and may depress the market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future dilution as a result of future equity offerings, including in the event we consummate a financing involving the sale of our common stock to Autilion AG.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may in the future offer additional shares of our common stock or other securities convertible into or exchangeable for our common stock, including up to 72.0 million shares of common stock to Autilion AG (</w:t>
      </w:r>
      <w:r>
        <w:rPr>
          <w:rFonts w:ascii="Arial" w:cs="Arial" w:eastAsia="Arial" w:hAnsi="Arial"/>
          <w:sz w:val="11"/>
          <w:szCs w:val="11"/>
          <w:i w:val="1"/>
          <w:iCs w:val="1"/>
          <w:color w:val="auto"/>
        </w:rPr>
        <w:t>Autilion</w:t>
      </w:r>
      <w:r>
        <w:rPr>
          <w:rFonts w:ascii="Arial" w:cs="Arial" w:eastAsia="Arial" w:hAnsi="Arial"/>
          <w:sz w:val="11"/>
          <w:szCs w:val="11"/>
          <w:color w:val="auto"/>
        </w:rPr>
        <w:t>) under the terms of an existing Securities Purchase Agreement by and between the Company and Autilion (</w:t>
      </w:r>
      <w:r>
        <w:rPr>
          <w:rFonts w:ascii="Arial" w:cs="Arial" w:eastAsia="Arial" w:hAnsi="Arial"/>
          <w:sz w:val="11"/>
          <w:szCs w:val="11"/>
          <w:i w:val="1"/>
          <w:iCs w:val="1"/>
          <w:color w:val="auto"/>
        </w:rPr>
        <w:t>Autilion Financing</w:t>
      </w:r>
      <w:r>
        <w:rPr>
          <w:rFonts w:ascii="Arial" w:cs="Arial" w:eastAsia="Arial" w:hAnsi="Arial"/>
          <w:sz w:val="11"/>
          <w:szCs w:val="11"/>
          <w:color w:val="auto"/>
        </w:rPr>
        <w:t>). While Autilion is in default under the Securities Purchase Agreement, we have not formally terminated the Agreement. Although no assurances can be given that Autilion will consummate the Autilion Financing, in the event we elect to close, or in the event we sell shares of common stock or other securities convertible into shares of our common stock in the future, additional and substantial dilution will occur. In addition, investors purchasing shares or other securities in the future could have rights superior to investors in the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approval by our stockholders in October 2011, our Articles of Incorporation permit us to issue up to 10.0 million shares of preferred stock and our board of directors has authorized the issuance of 500,000 shares of Series A Preferred, all of which shares are currently outstanding. In addition, our board of directors has authorized the creation of a new series of preferred stock, to be designated Series B Convertible Preferred Stock, for issuance promptly following consummation of the Offering upon conversion of the Platinum Notes.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for our shares may decline following the implementation of our Stock Consolidation.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will affect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No assurances can be given that the Stock Consolidation will have a long-term positive effect on the market price of our common stock. The market price of our common stock is based on factors that may be unrelated to the number of shares outstanding. These factors include our performance, general economic and market conditions and other factors, many of which are beyond our control. The market price for our post-split shares may not rise or remain constant in proportion to the reduction in the number of pre-split shares outstanding before the Stock Consolidation. Accordingly, the total market capitalization of our common stock after the Stock Consolidation may be lower than the total market capitalization before the Stock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Since we became a publicly traded company in May 2011, there has been a limited public market for shares of our common stock on the OTCQB Markets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We and the placement agent determined the Offering price of our common stock through negotiation. This price does not necessarily reflect the price at which investors in the market will be willing to buy and sell our shares following this Offering.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7" w:lineRule="exact"/>
        <w:rPr>
          <w:sz w:val="20"/>
          <w:szCs w:val="20"/>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small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OTCQB. Future sales of substantial amounts of shares of our common stock, including up to 72 million shares of common stock to Autilion and shares otherwise issued or issuable upon the exchange or conversion of our preferred stock, conversion of convertible promissory notes and exercise of outstanding options and warrants for common stock, in the public market, or the possibility of these issuances and sales occurring, could cause the prevailing market price for our common stock to fall or impair our ability to raise equity capital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“Principal Stockholders” elsewhere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considered a “penny stock.”</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we became a publicly 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which requires that we file annual, quarterly and current reports with respect to our business and financial condition, and the rules and regulations implemented by the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w:t>
      </w:r>
      <w:r>
        <w:rPr>
          <w:rFonts w:ascii="Arial" w:cs="Arial" w:eastAsia="Arial" w:hAnsi="Arial"/>
          <w:sz w:val="11"/>
          <w:szCs w:val="11"/>
          <w:i w:val="1"/>
          <w:iCs w:val="1"/>
          <w:color w:val="auto"/>
        </w:rPr>
        <w:t>Risk Factors</w:t>
      </w:r>
      <w:r>
        <w:rPr>
          <w:rFonts w:ascii="Arial" w:cs="Arial" w:eastAsia="Arial" w:hAnsi="Arial"/>
          <w:sz w:val="11"/>
          <w:szCs w:val="11"/>
          <w:color w:val="auto"/>
        </w:rPr>
        <w:t>”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estimate that the net proceeds to us from the sale of securities offered under this prospectus, after deducting the placement agent fees and our other estimated expenses, will be $13.6 million, assuming we sell the maximum amount of common stock and warrants registered herein. However, this is a best efforts Offering with no minimum, and no assurances can be given that we will receive significant proceeds.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Each share of common stock will be sold at a price of $_____ and will be accompanied by a ____-year warrant to purchase _____of a share of common stock for $____ per share. The common stock and warrants can only be purchased</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together in this Offering, but are immediately separable once purchased and will be issued separately. We will not receive proceeds from the warrants issued in connection with this Offering. However, if a warrant holder elects to exercise the warrants issued in this Offering, we may also receive up to $________ of net proceeds from the exercise of warrants, after deducting fees payable to Geller Biopharm in connection with the exercise of any warrants sold during the Offering. We cannot predict when or if the warrants will be exercised and it is possible that the warrants may expire and never be exercised.</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We expect to use the net proceeds from this Offering (including net proceeds resulting from the exercise of warrants, if any) for research and development related to our drug discovery, drug rescue and development, and regenerative medicine programs, capital expenditures, extinguishment of indebtedness, and other general corporate purposes. Such indebtedness may include certain Subordinate Convertible Promissory Bridge Notes (</w:t>
      </w:r>
      <w:r>
        <w:rPr>
          <w:rFonts w:ascii="Arial" w:cs="Arial" w:eastAsia="Arial" w:hAnsi="Arial"/>
          <w:sz w:val="11"/>
          <w:szCs w:val="11"/>
          <w:i w:val="1"/>
          <w:iCs w:val="1"/>
          <w:color w:val="auto"/>
        </w:rPr>
        <w:t>Subordinate Notes</w:t>
      </w:r>
      <w:r>
        <w:rPr>
          <w:rFonts w:ascii="Arial" w:cs="Arial" w:eastAsia="Arial" w:hAnsi="Arial"/>
          <w:sz w:val="11"/>
          <w:szCs w:val="11"/>
          <w:color w:val="auto"/>
        </w:rPr>
        <w:t xml:space="preserve">). Under the terms of the Subordinate Notes, assuming the Offering results in gross proceeds to us of at least $10.0 million, the principal and accrued interest due thereunder, totaling approximately $2.5 million at July 1, 2014 (the </w:t>
      </w:r>
      <w:r>
        <w:rPr>
          <w:rFonts w:ascii="Arial" w:cs="Arial" w:eastAsia="Arial" w:hAnsi="Arial"/>
          <w:sz w:val="11"/>
          <w:szCs w:val="11"/>
          <w:i w:val="1"/>
          <w:iCs w:val="1"/>
          <w:color w:val="auto"/>
        </w:rPr>
        <w:t>Conversion Amount</w:t>
      </w:r>
      <w:r>
        <w:rPr>
          <w:rFonts w:ascii="Arial" w:cs="Arial" w:eastAsia="Arial" w:hAnsi="Arial"/>
          <w:sz w:val="11"/>
          <w:szCs w:val="11"/>
          <w:color w:val="auto"/>
        </w:rPr>
        <w:t>), automatically converts into securities substantially similar to those issued in connection with the Offering (</w:t>
      </w:r>
      <w:r>
        <w:rPr>
          <w:rFonts w:ascii="Arial" w:cs="Arial" w:eastAsia="Arial" w:hAnsi="Arial"/>
          <w:sz w:val="11"/>
          <w:szCs w:val="11"/>
          <w:i w:val="1"/>
          <w:iCs w:val="1"/>
          <w:color w:val="auto"/>
        </w:rPr>
        <w:t>Automatic Conversion</w:t>
      </w:r>
      <w:r>
        <w:rPr>
          <w:rFonts w:ascii="Arial" w:cs="Arial" w:eastAsia="Arial" w:hAnsi="Arial"/>
          <w:sz w:val="11"/>
          <w:szCs w:val="11"/>
          <w:color w:val="auto"/>
        </w:rPr>
        <w:t>). The number of shares of common stock and warrants to be issued in connection with the Automatic Conversion is determined by multiplying the Conversion Amount by 1.25, and dividing the resulting number by the price per share of common stock and warrants sold in the Offering. Notwithstanding the Automatic Conversion, holders of Subordinate Notes may elect to receive cash payment of their Subordinate Notes by delivering written notice to us of their election to receive cash within three business days after receiving written notification of our completion of sales resulting in gross proceeds of at least $10.0 million from the Offering. Assuming all holders of Subordinate Notes elect to receive cash rather than securities issuable in connection with the Automatic Conversion, we anticipate using approximately $2.5 million in proceeds from the Offering to pay, in full, all amounts due and payable under the terms of the Subordinate Notes.</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2"/>
                <w:szCs w:val="12"/>
                <w:color w:val="auto"/>
              </w:rPr>
              <w:t>Assuming all 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2"/>
                <w:szCs w:val="12"/>
                <w:color w:val="auto"/>
              </w:rPr>
              <w:t>of Subordinate Notes: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7"/>
              </w:rPr>
              <w:t>elect Automatic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w w:val="87"/>
              </w:rPr>
              <w:t>elect to receive cash</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Conversion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in lieu of Automatic</w:t>
            </w:r>
          </w:p>
        </w:tc>
        <w:tc>
          <w:tcPr>
            <w:tcW w:w="12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Subordinate</w:t>
            </w: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(amounts in millions)</w:t>
            </w:r>
          </w:p>
        </w:tc>
        <w:tc>
          <w:tcPr>
            <w:tcW w:w="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2"/>
                <w:szCs w:val="12"/>
                <w:color w:val="auto"/>
              </w:rPr>
              <w:t>Conversion</w:t>
            </w:r>
          </w:p>
        </w:tc>
        <w:tc>
          <w:tcPr>
            <w:tcW w:w="12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color w:val="auto"/>
              </w:rPr>
              <w:t>Notes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Assumed gross proceeds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Placement agent fees and estimated offering expenses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proceeds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w w:val="92"/>
              </w:rPr>
              <w:t>Drug rescue programs, development of customized human cellular assay systems for drug discovery and drug rescue, and exploratory nonclinical regenerative medicine programs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w w:val="93"/>
              </w:rPr>
              <w:t>To extinguish, during the next twelve months, indebtedness related to prior research and development services, technology license fees and patent prosecution and maintenance</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New property, plant and equipment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Repayment of Subordinate Notes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 and other general and administrative purposes, including payment of approximately $0.9 million of certain professional service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If all holders of Subordinate Notes elect to receive cash in lieu of securities issuable in connection with the Automatic Conversion, and we receive maximum proceeds from this Offering, we expect such proceeds to provide funding for our operations for at least approximately 15 months. 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If you invest in our common stock, and assuming no value attributable to the warrants, you will experience dilution immediately to the extent of the difference between the public offering price per share of our common stock and warrants you pay in this Offering, and the pro forma net tangible book value per share of our common stock immediately after this Offering. As of March 31, 2014, our pro forma net tangible book value (deficit) was approximately $____ million,</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or $____ per share of common stock. Pro forma net tangible book value per share (deficit) is determined by dividing our total tangible assets less total liabilities, by the number of outstanding shares of our common stock, assuming we</w:t>
      </w:r>
    </w:p>
    <w:p>
      <w:pPr>
        <w:spacing w:after="0" w:line="1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issue the maximum amount of securities registered herein, and assuming all holders of Subordinate Notes automatically convert into shares of common stock and warrants substantially similar to those offered in connection with the Offering.</w:t>
      </w:r>
    </w:p>
    <w:p>
      <w:pPr>
        <w:spacing w:after="0" w:line="141"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the maximum number of shares registered herein at an assumed Offering price of $____ per share, and after deducting estimated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placement agent commissions and estimated Offering expenses payable by us, our pro forma as adjusted net tangible book value (deficit) as of March 31, 2014, would have been approximately $____ million, or $____ per share of common</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stock. This data represents an immediate increase in pro forma net tangible book value of $____ per share to existing stockholders and an immediate dilution of $____ per share to new investors purchasing shares at the Offering price.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40" w:type="dxa"/>
            <w:vAlign w:val="bottom"/>
            <w:gridSpan w:val="2"/>
          </w:tcPr>
          <w:p>
            <w:pPr>
              <w:spacing w:after="0"/>
              <w:rPr>
                <w:sz w:val="20"/>
                <w:szCs w:val="20"/>
                <w:color w:val="auto"/>
              </w:rPr>
            </w:pPr>
            <w:r>
              <w:rPr>
                <w:rFonts w:ascii="Arial" w:cs="Arial" w:eastAsia="Arial" w:hAnsi="Arial"/>
                <w:sz w:val="12"/>
                <w:szCs w:val="12"/>
                <w:color w:val="auto"/>
              </w:rPr>
              <w:t>The following table illustrates the per share dilution to investors in this Offering:</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Assumed public offering price per share</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20" w:type="dxa"/>
            <w:vAlign w:val="bottom"/>
          </w:tcPr>
          <w:p>
            <w:pPr>
              <w:spacing w:after="0" w:line="136" w:lineRule="exact"/>
              <w:rPr>
                <w:sz w:val="20"/>
                <w:szCs w:val="20"/>
                <w:color w:val="auto"/>
              </w:rPr>
            </w:pPr>
            <w:r>
              <w:rPr>
                <w:rFonts w:ascii="Arial" w:cs="Arial" w:eastAsia="Arial" w:hAnsi="Arial"/>
                <w:sz w:val="12"/>
                <w:szCs w:val="12"/>
                <w:color w:val="auto"/>
              </w:rPr>
              <w:t>Historical net tangible book value (deficit) per share as of March 31, 2014</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40" w:type="dxa"/>
            <w:vAlign w:val="bottom"/>
            <w:gridSpan w:val="2"/>
          </w:tcPr>
          <w:p>
            <w:pPr>
              <w:spacing w:after="0"/>
              <w:rPr>
                <w:sz w:val="20"/>
                <w:szCs w:val="20"/>
                <w:color w:val="auto"/>
              </w:rPr>
            </w:pPr>
            <w:r>
              <w:rPr>
                <w:rFonts w:ascii="Arial" w:cs="Arial" w:eastAsia="Arial" w:hAnsi="Arial"/>
                <w:sz w:val="12"/>
                <w:szCs w:val="12"/>
                <w:color w:val="auto"/>
              </w:rPr>
              <w:t>Conversion of Subordinate Notes into common stock and warrants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40" w:type="dxa"/>
            <w:vAlign w:val="bottom"/>
            <w:gridSpan w:val="2"/>
          </w:tcPr>
          <w:p>
            <w:pPr>
              <w:spacing w:after="0"/>
              <w:rPr>
                <w:sz w:val="20"/>
                <w:szCs w:val="20"/>
                <w:color w:val="auto"/>
              </w:rPr>
            </w:pPr>
            <w:r>
              <w:rPr>
                <w:rFonts w:ascii="Arial" w:cs="Arial" w:eastAsia="Arial" w:hAnsi="Arial"/>
                <w:sz w:val="12"/>
                <w:szCs w:val="12"/>
                <w:color w:val="auto"/>
              </w:rPr>
              <w:t>Pro forma net tangible book value (deficit) per share as of March 31, 2014</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Increase in pro forma net tangible book value per share attributable to investors in this Offering</w:t>
            </w:r>
          </w:p>
        </w:tc>
        <w:tc>
          <w:tcPr>
            <w:tcW w:w="1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 forma net tangible book value (deficit) per share as of March 31, 2014, as adjusted to give effect to this Offering</w:t>
            </w:r>
          </w:p>
        </w:tc>
        <w:tc>
          <w:tcPr>
            <w:tcW w:w="11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Less: Pro forma as adjusted dilution per share to investors in this Offering</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tbl>
      <w:tblPr>
        <w:tblLayout w:type="fixed"/>
        <w:tblInd w:w="8" w:type="dxa"/>
        <w:tblCellMar>
          <w:top w:w="0" w:type="dxa"/>
          <w:left w:w="0" w:type="dxa"/>
          <w:bottom w:w="0" w:type="dxa"/>
          <w:right w:w="0" w:type="dxa"/>
        </w:tblCellMar>
      </w:tblPr>
      <w:tr>
        <w:trPr>
          <w:trHeight w:val="126"/>
        </w:trPr>
        <w:tc>
          <w:tcPr>
            <w:tcW w:w="390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2"/>
              </w:rPr>
              <w:t>Shares purchased</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88"/>
              </w:rPr>
              <w:t>Total consideration</w:t>
            </w: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3"/>
          </w:tcPr>
          <w:p>
            <w:pPr>
              <w:jc w:val="right"/>
              <w:ind w:right="1120"/>
              <w:spacing w:after="0" w:line="129" w:lineRule="exact"/>
              <w:rPr>
                <w:sz w:val="20"/>
                <w:szCs w:val="20"/>
                <w:color w:val="auto"/>
              </w:rPr>
            </w:pPr>
            <w:r>
              <w:rPr>
                <w:rFonts w:ascii="Arial" w:cs="Arial" w:eastAsia="Arial" w:hAnsi="Arial"/>
                <w:sz w:val="12"/>
                <w:szCs w:val="12"/>
                <w:b w:val="1"/>
                <w:bCs w:val="1"/>
                <w:color w:val="auto"/>
              </w:rPr>
              <w:t>Amount</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90"/>
              </w:rPr>
              <w:t>price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92"/>
              </w:rPr>
              <w:t>Number</w:t>
            </w:r>
          </w:p>
        </w:tc>
        <w:tc>
          <w:tcPr>
            <w:tcW w:w="1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Percent</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2"/>
                <w:szCs w:val="12"/>
                <w:b w:val="1"/>
                <w:bCs w:val="1"/>
                <w:color w:val="auto"/>
              </w:rPr>
              <w:t>(in thousands)</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Percent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7"/>
              </w:rPr>
              <w:t>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Existing stockholders</w:t>
            </w:r>
          </w:p>
        </w:tc>
        <w:tc>
          <w:tcPr>
            <w:tcW w:w="144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gridSpan w:val="3"/>
          </w:tcPr>
          <w:p>
            <w:pPr>
              <w:spacing w:after="0"/>
              <w:rPr>
                <w:sz w:val="20"/>
                <w:szCs w:val="20"/>
                <w:color w:val="auto"/>
              </w:rPr>
            </w:pPr>
            <w:r>
              <w:rPr>
                <w:rFonts w:ascii="Arial" w:cs="Arial" w:eastAsia="Arial" w:hAnsi="Arial"/>
                <w:sz w:val="12"/>
                <w:szCs w:val="12"/>
                <w:color w:val="auto"/>
              </w:rPr>
              <w:t>New investors (1)</w:t>
            </w:r>
          </w:p>
        </w:tc>
        <w:tc>
          <w:tcPr>
            <w:tcW w:w="1440" w:type="dxa"/>
            <w:vAlign w:val="bottom"/>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1440" w:type="dxa"/>
            <w:vAlign w:val="bottom"/>
          </w:tcPr>
          <w:p>
            <w:pPr>
              <w:jc w:val="right"/>
              <w:ind w:right="1020"/>
              <w:spacing w:after="0" w:line="124" w:lineRule="exact"/>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___%</w:t>
            </w:r>
          </w:p>
        </w:tc>
        <w:tc>
          <w:tcPr>
            <w:tcW w:w="540" w:type="dxa"/>
            <w:vAlign w:val="bottom"/>
            <w:gridSpan w:val="2"/>
          </w:tcPr>
          <w:p>
            <w:pPr>
              <w:jc w:val="right"/>
              <w:ind w:right="360"/>
              <w:spacing w:after="0" w:line="124" w:lineRule="exact"/>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line="124" w:lineRule="exact"/>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___%</w:t>
            </w:r>
          </w:p>
        </w:tc>
        <w:tc>
          <w:tcPr>
            <w:tcW w:w="500" w:type="dxa"/>
            <w:vAlign w:val="bottom"/>
            <w:gridSpan w:val="2"/>
          </w:tcPr>
          <w:p>
            <w:pPr>
              <w:jc w:val="right"/>
              <w:ind w:right="380"/>
              <w:spacing w:after="0" w:line="124" w:lineRule="exact"/>
              <w:rPr>
                <w:sz w:val="20"/>
                <w:szCs w:val="20"/>
                <w:color w:val="auto"/>
              </w:rPr>
            </w:pPr>
            <w:r>
              <w:rPr>
                <w:rFonts w:ascii="Arial" w:cs="Arial" w:eastAsia="Arial" w:hAnsi="Arial"/>
                <w:sz w:val="12"/>
                <w:szCs w:val="12"/>
                <w:color w:val="auto"/>
              </w:rPr>
              <w:t>$</w:t>
            </w:r>
          </w:p>
        </w:tc>
        <w:tc>
          <w:tcPr>
            <w:tcW w:w="1720" w:type="dxa"/>
            <w:vAlign w:val="bottom"/>
          </w:tcPr>
          <w:p>
            <w:pPr>
              <w:jc w:val="right"/>
              <w:spacing w:after="0" w:line="124" w:lineRule="exact"/>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8" w:hanging="748"/>
        <w:spacing w:after="0"/>
        <w:tabs>
          <w:tab w:leader="none" w:pos="7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shares issuable upon exercise of the warrants registered herein.</w:t>
      </w:r>
    </w:p>
    <w:p>
      <w:pPr>
        <w:spacing w:after="0" w:line="200" w:lineRule="exact"/>
        <w:rPr>
          <w:sz w:val="20"/>
          <w:szCs w:val="20"/>
          <w:color w:val="auto"/>
        </w:rPr>
      </w:pPr>
    </w:p>
    <w:p>
      <w:pPr>
        <w:spacing w:after="0" w:line="274"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_____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4,249,271 shares of common stock issuable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stock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our Series A Preferred;</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7,500,000 shares of common stock issuable upon the exercise of warrants issuable upon the exchange of Series A Preferred; and</w:t>
      </w:r>
    </w:p>
    <w:p>
      <w:pPr>
        <w:spacing w:after="0" w:line="168" w:lineRule="exact"/>
        <w:rPr>
          <w:rFonts w:ascii="Arial" w:cs="Arial" w:eastAsia="Arial" w:hAnsi="Arial"/>
          <w:sz w:val="12"/>
          <w:szCs w:val="12"/>
          <w:color w:val="auto"/>
        </w:rPr>
      </w:pPr>
    </w:p>
    <w:p>
      <w:pPr>
        <w:ind w:left="328" w:hanging="328"/>
        <w:spacing w:after="0" w:line="276" w:lineRule="auto"/>
        <w:tabs>
          <w:tab w:leader="none" w:pos="438" w:val="left"/>
        </w:tabs>
        <w:numPr>
          <w:ilvl w:val="0"/>
          <w:numId w:val="19"/>
        </w:numPr>
        <w:rPr>
          <w:rFonts w:ascii="Arial" w:cs="Arial" w:eastAsia="Arial" w:hAnsi="Arial"/>
          <w:sz w:val="12"/>
          <w:szCs w:val="12"/>
          <w:color w:val="auto"/>
        </w:rPr>
      </w:pPr>
      <w:r>
        <w:rPr>
          <w:rFonts w:ascii="Arial" w:cs="Arial" w:eastAsia="Arial" w:hAnsi="Arial"/>
          <w:sz w:val="12"/>
          <w:szCs w:val="12"/>
          <w:color w:val="auto"/>
        </w:rPr>
        <w:t>up to approximately _____ shares of common stock reserved for issuance upon the exchange of newly created Series B Preferred, which Series B Preferred will be issued upon automatic conversion of the Subordinate Notes, assuming gross proceeds from the Offering of at least $10.0 million. See “</w:t>
      </w:r>
      <w:r>
        <w:rPr>
          <w:rFonts w:ascii="Arial" w:cs="Arial" w:eastAsia="Arial" w:hAnsi="Arial"/>
          <w:sz w:val="12"/>
          <w:szCs w:val="12"/>
          <w:i w:val="1"/>
          <w:iCs w:val="1"/>
          <w:color w:val="auto"/>
        </w:rPr>
        <w:t>Use of Proceeds</w:t>
      </w:r>
      <w:r>
        <w:rPr>
          <w:rFonts w:ascii="Arial" w:cs="Arial" w:eastAsia="Arial" w:hAnsi="Arial"/>
          <w:sz w:val="12"/>
          <w:szCs w:val="12"/>
          <w:color w:val="auto"/>
        </w:rPr>
        <w:t>” on page 35 of this prospectus for a description of the Subordinated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26"/>
        </w:trPr>
        <w:tc>
          <w:tcPr>
            <w:tcW w:w="10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7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tcPr>
          <w:p>
            <w:pPr>
              <w:ind w:left="4180"/>
              <w:spacing w:after="0"/>
              <w:rPr>
                <w:sz w:val="20"/>
                <w:szCs w:val="20"/>
                <w:color w:val="auto"/>
              </w:rPr>
            </w:pPr>
            <w:r>
              <w:rPr>
                <w:rFonts w:ascii="Arial" w:cs="Arial" w:eastAsia="Arial" w:hAnsi="Arial"/>
                <w:sz w:val="12"/>
                <w:szCs w:val="12"/>
                <w:b w:val="1"/>
                <w:bCs w:val="1"/>
                <w:color w:val="auto"/>
              </w:rPr>
              <w:t>CAPITALIZATION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40" w:type="dxa"/>
            <w:vAlign w:val="bottom"/>
            <w:gridSpan w:val="4"/>
          </w:tcPr>
          <w:p>
            <w:pPr>
              <w:spacing w:after="0"/>
              <w:rPr>
                <w:sz w:val="20"/>
                <w:szCs w:val="20"/>
                <w:color w:val="auto"/>
              </w:rPr>
            </w:pPr>
            <w:r>
              <w:rPr>
                <w:rFonts w:ascii="Arial" w:cs="Arial" w:eastAsia="Arial" w:hAnsi="Arial"/>
                <w:sz w:val="12"/>
                <w:szCs w:val="12"/>
                <w:color w:val="auto"/>
                <w:w w:val="94"/>
              </w:rPr>
              <w:t>The following table sets forth our capitalization as of March 31, 2014 that is derived from our audited financial information included elsewhere in this prospectus: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gridSpan w:val="3"/>
          </w:tcPr>
          <w:p>
            <w:pPr>
              <w:spacing w:after="0"/>
              <w:rPr>
                <w:sz w:val="20"/>
                <w:szCs w:val="20"/>
                <w:color w:val="auto"/>
              </w:rPr>
            </w:pPr>
            <w:r>
              <w:rPr>
                <w:rFonts w:ascii="Arial" w:cs="Arial" w:eastAsia="Arial" w:hAnsi="Arial"/>
                <w:sz w:val="12"/>
                <w:szCs w:val="12"/>
                <w:color w:val="auto"/>
              </w:rPr>
              <w:t>●</w:t>
            </w:r>
          </w:p>
        </w:tc>
        <w:tc>
          <w:tcPr>
            <w:tcW w:w="7000" w:type="dxa"/>
            <w:vAlign w:val="bottom"/>
          </w:tcPr>
          <w:p>
            <w:pPr>
              <w:ind w:left="20"/>
              <w:spacing w:after="0"/>
              <w:rPr>
                <w:sz w:val="20"/>
                <w:szCs w:val="20"/>
                <w:color w:val="auto"/>
              </w:rPr>
            </w:pPr>
            <w:r>
              <w:rPr>
                <w:rFonts w:ascii="Arial" w:cs="Arial" w:eastAsia="Arial" w:hAnsi="Arial"/>
                <w:sz w:val="12"/>
                <w:szCs w:val="12"/>
                <w:color w:val="auto"/>
              </w:rPr>
              <w:t>on an actual basis; and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gridSpan w:val="3"/>
          </w:tcPr>
          <w:p>
            <w:pPr>
              <w:spacing w:after="0"/>
              <w:rPr>
                <w:sz w:val="20"/>
                <w:szCs w:val="20"/>
                <w:color w:val="auto"/>
              </w:rPr>
            </w:pPr>
            <w:r>
              <w:rPr>
                <w:rFonts w:ascii="Arial" w:cs="Arial" w:eastAsia="Arial" w:hAnsi="Arial"/>
                <w:sz w:val="12"/>
                <w:szCs w:val="12"/>
                <w:color w:val="auto"/>
              </w:rPr>
              <w:t>●</w:t>
            </w:r>
          </w:p>
        </w:tc>
        <w:tc>
          <w:tcPr>
            <w:tcW w:w="7000" w:type="dxa"/>
            <w:vAlign w:val="bottom"/>
          </w:tcPr>
          <w:p>
            <w:pPr>
              <w:ind w:left="20"/>
              <w:spacing w:after="0"/>
              <w:rPr>
                <w:sz w:val="20"/>
                <w:szCs w:val="20"/>
                <w:color w:val="auto"/>
              </w:rPr>
            </w:pPr>
            <w:r>
              <w:rPr>
                <w:rFonts w:ascii="Arial" w:cs="Arial" w:eastAsia="Arial" w:hAnsi="Arial"/>
                <w:sz w:val="12"/>
                <w:szCs w:val="12"/>
                <w:color w:val="auto"/>
              </w:rPr>
              <w:t>on a pro forma basis giving effect to net proceeds from this Offering of approximately $________.</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0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As of March 31, 2014 (Amounts in dollars)</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Actual</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Pro forma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3"/>
          </w:tcPr>
          <w:p>
            <w:pPr>
              <w:spacing w:after="0"/>
              <w:rPr>
                <w:sz w:val="20"/>
                <w:szCs w:val="20"/>
                <w:color w:val="auto"/>
              </w:rPr>
            </w:pPr>
            <w:r>
              <w:rPr>
                <w:rFonts w:ascii="Arial" w:cs="Arial" w:eastAsia="Arial" w:hAnsi="Arial"/>
                <w:sz w:val="12"/>
                <w:szCs w:val="12"/>
                <w:color w:val="auto"/>
              </w:rPr>
              <w:t>Long-term debt, excluding current portion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4,784,500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0"/>
              </w:rPr>
              <w:t>Stockholders’ equity:</w:t>
            </w:r>
          </w:p>
        </w:tc>
        <w:tc>
          <w:tcPr>
            <w:tcW w:w="7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20" w:type="dxa"/>
            <w:vAlign w:val="bottom"/>
            <w:gridSpan w:val="3"/>
          </w:tcPr>
          <w:p>
            <w:pPr>
              <w:spacing w:after="0" w:line="136" w:lineRule="exact"/>
              <w:rPr>
                <w:sz w:val="20"/>
                <w:szCs w:val="20"/>
                <w:color w:val="auto"/>
              </w:rPr>
            </w:pPr>
            <w:r>
              <w:rPr>
                <w:rFonts w:ascii="Arial" w:cs="Arial" w:eastAsia="Arial" w:hAnsi="Arial"/>
                <w:sz w:val="12"/>
                <w:szCs w:val="12"/>
                <w:color w:val="auto"/>
                <w:w w:val="94"/>
              </w:rPr>
              <w:t>Preferred stock, $0.001 par value, 10,000,000 shares authorized; 500,000  Series A Preferred shares authorized, 500,000 Series A Preferred shares issued and</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40" w:type="dxa"/>
            <w:vAlign w:val="bottom"/>
            <w:gridSpan w:val="4"/>
          </w:tcPr>
          <w:p>
            <w:pPr>
              <w:spacing w:after="0"/>
              <w:rPr>
                <w:sz w:val="20"/>
                <w:szCs w:val="20"/>
                <w:color w:val="auto"/>
              </w:rPr>
            </w:pPr>
            <w:r>
              <w:rPr>
                <w:rFonts w:ascii="Arial" w:cs="Arial" w:eastAsia="Arial" w:hAnsi="Arial"/>
                <w:sz w:val="12"/>
                <w:szCs w:val="12"/>
                <w:color w:val="auto"/>
              </w:rPr>
              <w:t>outstanding, actual; ________ shares authorized, issued and outstanding, pro forma and pro forma as adjusted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2"/>
                <w:szCs w:val="12"/>
                <w:color w:val="auto"/>
              </w:rPr>
              <w:t>_____</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0"/>
              </w:rPr>
              <w:t>Common stock, $0.001 par value, 200,000,000 shares authorized; 26,210,185 shares issued, 23,486,877 outstanding, actual; ________ shares issued and ________</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shares outstanding, pro forma</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26,200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3"/>
          </w:tcPr>
          <w:p>
            <w:pPr>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61,976,500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Treasury stock, at cost, 2,713,308 shares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(3,968,100)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3"/>
          </w:tcPr>
          <w:p>
            <w:pPr>
              <w:spacing w:after="0"/>
              <w:rPr>
                <w:sz w:val="20"/>
                <w:szCs w:val="20"/>
                <w:color w:val="auto"/>
              </w:rPr>
            </w:pPr>
            <w:r>
              <w:rPr>
                <w:rFonts w:ascii="Arial" w:cs="Arial" w:eastAsia="Arial" w:hAnsi="Arial"/>
                <w:sz w:val="12"/>
                <w:szCs w:val="12"/>
                <w:color w:val="auto"/>
              </w:rPr>
              <w:t>Note receivable from sale of common 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(198,100)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Accumulated deficit</w:t>
            </w:r>
          </w:p>
        </w:tc>
        <w:tc>
          <w:tcPr>
            <w:tcW w:w="7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(70,636,900)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020" w:type="dxa"/>
            <w:vAlign w:val="bottom"/>
            <w:gridSpan w:val="3"/>
          </w:tcPr>
          <w:p>
            <w:pPr>
              <w:spacing w:after="0"/>
              <w:rPr>
                <w:sz w:val="20"/>
                <w:szCs w:val="20"/>
                <w:color w:val="auto"/>
              </w:rPr>
            </w:pPr>
            <w:r>
              <w:rPr>
                <w:rFonts w:ascii="Arial" w:cs="Arial" w:eastAsia="Arial" w:hAnsi="Arial"/>
                <w:sz w:val="12"/>
                <w:szCs w:val="12"/>
                <w:color w:val="auto"/>
              </w:rPr>
              <w:t>Total stockholders’ deficit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(12,799,900)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94"/>
              </w:rPr>
              <w:t>Total capitalization</w:t>
            </w:r>
          </w:p>
        </w:tc>
        <w:tc>
          <w:tcPr>
            <w:tcW w:w="70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(8,015,400)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_______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4,249,271 shares of common stock reserved for issuance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391" w:val="left"/>
        </w:tabs>
        <w:numPr>
          <w:ilvl w:val="0"/>
          <w:numId w:val="20"/>
        </w:numPr>
        <w:rPr>
          <w:rFonts w:ascii="Arial" w:cs="Arial" w:eastAsia="Arial" w:hAnsi="Arial"/>
          <w:sz w:val="12"/>
          <w:szCs w:val="12"/>
          <w:color w:val="auto"/>
        </w:rPr>
      </w:pPr>
      <w:r>
        <w:rPr>
          <w:rFonts w:ascii="Arial" w:cs="Arial" w:eastAsia="Arial" w:hAnsi="Arial"/>
          <w:sz w:val="12"/>
          <w:szCs w:val="12"/>
          <w:color w:val="auto"/>
        </w:rPr>
        <w:t>up to approximately _____ shares of our common stock reserved for issuance upon the exchange of newly created Series B Preferred, which Series B Preferred will be issued upon automatic conversion of the Subordinate Notes, assuming gross proceeds from the Offering of at least $10.0 million. See “</w:t>
      </w:r>
      <w:r>
        <w:rPr>
          <w:rFonts w:ascii="Arial" w:cs="Arial" w:eastAsia="Arial" w:hAnsi="Arial"/>
          <w:sz w:val="12"/>
          <w:szCs w:val="12"/>
          <w:i w:val="1"/>
          <w:iCs w:val="1"/>
          <w:color w:val="auto"/>
        </w:rPr>
        <w:t>The Offering</w:t>
      </w:r>
      <w:r>
        <w:rPr>
          <w:rFonts w:ascii="Arial" w:cs="Arial" w:eastAsia="Arial" w:hAnsi="Arial"/>
          <w:sz w:val="12"/>
          <w:szCs w:val="12"/>
          <w:color w:val="auto"/>
        </w:rPr>
        <w:t>” on page 3 of this prospectus for a description of the Subordinated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entered into a placement agency agreement, dated as of July__, 2014, with Geller Biopharm (</w:t>
      </w:r>
      <w:r>
        <w:rPr>
          <w:rFonts w:ascii="Arial" w:cs="Arial" w:eastAsia="Arial" w:hAnsi="Arial"/>
          <w:sz w:val="11"/>
          <w:szCs w:val="11"/>
          <w:i w:val="1"/>
          <w:iCs w:val="1"/>
          <w:color w:val="auto"/>
        </w:rPr>
        <w:t>Geller Biopharm</w:t>
      </w:r>
      <w:r>
        <w:rPr>
          <w:rFonts w:ascii="Arial" w:cs="Arial" w:eastAsia="Arial" w:hAnsi="Arial"/>
          <w:sz w:val="11"/>
          <w:szCs w:val="11"/>
          <w:color w:val="auto"/>
        </w:rPr>
        <w:t xml:space="preserve"> or </w:t>
      </w:r>
      <w:r>
        <w:rPr>
          <w:rFonts w:ascii="Arial" w:cs="Arial" w:eastAsia="Arial" w:hAnsi="Arial"/>
          <w:sz w:val="11"/>
          <w:szCs w:val="11"/>
          <w:i w:val="1"/>
          <w:iCs w:val="1"/>
          <w:color w:val="auto"/>
        </w:rPr>
        <w:t>Agent</w:t>
      </w:r>
      <w:r>
        <w:rPr>
          <w:rFonts w:ascii="Arial" w:cs="Arial" w:eastAsia="Arial" w:hAnsi="Arial"/>
          <w:sz w:val="11"/>
          <w:szCs w:val="11"/>
          <w:color w:val="auto"/>
        </w:rPr>
        <w:t xml:space="preserve">), a healthcare investment banking division of Financial West Group. Subject to the terms and conditions contained in the placement agency agreement, the Agent has agreed to act as the placement agent in connection with the sale of up to an aggregate of ______ (the </w:t>
      </w:r>
      <w:r>
        <w:rPr>
          <w:rFonts w:ascii="Arial" w:cs="Arial" w:eastAsia="Arial" w:hAnsi="Arial"/>
          <w:sz w:val="11"/>
          <w:szCs w:val="11"/>
          <w:i w:val="1"/>
          <w:iCs w:val="1"/>
          <w:color w:val="auto"/>
        </w:rPr>
        <w:t>Maximum Offering</w:t>
      </w:r>
      <w:r>
        <w:rPr>
          <w:rFonts w:ascii="Arial" w:cs="Arial" w:eastAsia="Arial" w:hAnsi="Arial"/>
          <w:sz w:val="11"/>
          <w:szCs w:val="11"/>
          <w:color w:val="auto"/>
        </w:rPr>
        <w:t>) shares of its common stock. For each share of</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common stock issued and sold by us, we shall issue and sell to the investor one warrant to purchase __ of one share of common stock at an exercise price of $___ per share. The Agent may engage selected dealers to assist in the placement of the securities offered hereby. The Agent is not purchasing or selling any securities offered by this prospectus, nor are they required to arrange the purchase or sale of any specific number or dollar amount of our securities. However, Geller Biopharm has agreed to use their best efforts to arrange for the sale of the securities offered hereby.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Investors wishing to participate in the Offering will be required to deliver an executed subscription agreement to the Agent and immediately available funds via wire transfer to Signature Bank, as escrow agent for the Company. All of the proceeds from the sale of the securities offered hereby will be deposited into an escrow account at the escrow agent. If the Company does not accept the subscription of an investor, all monies of such investor will be refunded promptly, without any earned interest, and without deduction for commissions or expenses, including costs of the escrow agent. The Offering period may continue until September 30, 2014 and may be extended by the Agent and us until __________ __, 2014.</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escrow agent will notify the Agent when funds to pay for the securities offered hereby have been received. The Agent shall inform the escrow agent in writing of the name, address, and the tax identification number of the investor, the amount of securities subscribed for by such investor, and the aggregate dollar amount of such subscription. The Agent and the Company will provide written instructions to the escrow agent when to release funds. Upon closing, we will deliver to each investor delivering funds the number of shares of common stock and warrants purchased by such investor. If the conditions to this Offering are not satisfied or waived by the Agent, then all investor funds that were deposited into escrow will be returned promptly to the investors, without any earned interest, and without deduction for commissions or expenses, including costs of the escrow agent and this Offering will terminate. We will pay the escrow agent a fee in connection with the escrow services.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placement agency agreement provides that the obligations of the Agent and the investors are subject to certain conditions precedent, including, among other things, the absence of any material adverse change in our business and the receipt of customary legal opinions, letters and certificates.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currently anticipate that the closing of the sale of the common stock and warrants offered hereby will take place on or before September 30, 2014.</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have agreed to pay the Agent an aggregate fee equal to 8.0% of the gross cash proceeds (equivalent to 8.0% per share of the per share Offering price of $__) of this Offering and expect the net proceeds from this Offering to be approximately $13.6 million, assuming the sale of the Maximum Offering amount, after deducting up to approximately $1,200,000 in placement agent fees and $200,000 in our estimated Offering expenses. We have also agreed to pay the Agent’s expenses relating to the Offering; </w:t>
      </w:r>
      <w:r>
        <w:rPr>
          <w:rFonts w:ascii="Arial" w:cs="Arial" w:eastAsia="Arial" w:hAnsi="Arial"/>
          <w:sz w:val="12"/>
          <w:szCs w:val="12"/>
          <w:i w:val="1"/>
          <w:iCs w:val="1"/>
          <w:color w:val="auto"/>
        </w:rPr>
        <w:t>provided, however</w:t>
      </w:r>
      <w:r>
        <w:rPr>
          <w:rFonts w:ascii="Arial" w:cs="Arial" w:eastAsia="Arial" w:hAnsi="Arial"/>
          <w:sz w:val="12"/>
          <w:szCs w:val="12"/>
          <w:color w:val="auto"/>
        </w:rPr>
        <w:t>, we shall not be required to reimburse Agent’s attorney’s fees in excess of $80,000, subject to the payment of certain additional agreed upon legal expenses. Additionally, the Agent shall be entitled to a fee of 8% on all warrant exercises for cash.</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We have paid a non-refundable deposit of $10,000 to Geller Biopharm as Agent.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We have agreed to indemnify the Agent and certain other persons against certain liabilities, including civil liabilities under the Securities Act, and to contribute to payments that Agent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Agent has informed us that they will not engage in over-allotment, stabilizing transactions or syndicate covering transactions in connection with this Offering.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certain “lock-up” agreements, we, our named executive officers and directors, and certain of our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for a period of one hundred and eighty (180) days after the date of the placement agency agreement.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lock-up period described in the preceding paragraph will be automatically extended if: (1) during the last 17 days of the restricted period, we issue an earnings release or announce material news or a material event; or (2) prior to the expiration of the lock-up period, we announce that we will release earnings results during the 16-day period beginning on the last day of the lock-up period, in which case the restrictions described in the preceding paragraph will continue to apply until the expiration of the 18-day period beginning on the date of the earnings release, unless the representative waives this extension in writing.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in Connection with Autillion AG</w:t>
      </w:r>
    </w:p>
    <w:p>
      <w:pPr>
        <w:spacing w:after="0" w:line="172" w:lineRule="exact"/>
        <w:rPr>
          <w:sz w:val="20"/>
          <w:szCs w:val="20"/>
          <w:color w:val="auto"/>
        </w:rPr>
      </w:pPr>
    </w:p>
    <w:p>
      <w:pPr>
        <w:jc w:val="both"/>
        <w:ind w:right="20" w:firstLine="34"/>
        <w:spacing w:after="0" w:line="276" w:lineRule="auto"/>
        <w:rPr>
          <w:sz w:val="20"/>
          <w:szCs w:val="20"/>
          <w:color w:val="auto"/>
        </w:rPr>
      </w:pPr>
      <w:r>
        <w:rPr>
          <w:rFonts w:ascii="Arial" w:cs="Arial" w:eastAsia="Arial" w:hAnsi="Arial"/>
          <w:sz w:val="12"/>
          <w:szCs w:val="12"/>
          <w:color w:val="auto"/>
        </w:rPr>
        <w:t>If we receive at least $25 million of funding from Autillion pursuant to the Securities Purchase Agreement, dated as of April 8, 2013, as amended, between the Company and Autillion prior to the consummation of this Offering, then we will be required to pay Geller Biopharm a non-refundable financial advisory fee equal to $500,000.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 of First Refusal</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Upon the closing of the Offering, for a period of twelve months from the expiration or termination of Agent’s engagement, if we or any of our affiliates proposes to effect any private placement of equity-linked or equity securities or other privately placed, issued or arranged financing of equity-linked or equity securities for which we propose to retain a financial advisor or placement agent, we have agreed to offer to engage the Agent as the Company’s sole financial advisor or lead placement agent, as the case may be, in connection therewith. In addition, if we or any of our affiliates proposes to effect any public, Rule 144A or similar offering, issuance or placement of equity-linked or equity securities, we have agreed to offer to engage the Agent as lead managing underwriter, initial purchaser or placement agent, as the case may be, in connection therewith. Additionally, upon closing of the Offering, for a period of twelve months from the expiration or termination of Agent’s engagement, the Agent will have an irrevocable right of first refusal to act as lead placement agent in any sale in one transaction or a series of related transactions by our existing security holders of our securities, other than in connection with an internal reorganization. In each case, such retention shall be subject to the Agent’s agreement to so act and on terms, conditions and fees customary to the Agent for similar transactions; provided, however, that the fees and commissions payable to the Agent, shall equal 8% of the gross proceeds of the securities sold in such offering or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Offer, Sale and Distribution of Shares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 prospectus in electronic format may be made available on the websites maintained by one or more of the placement agents. Other than the prospectus in electronic format, the information on these websites is not part of, nor incorporated by reference into, this prospectus or the registration statement of which this prospectus forms a part, has not been approved or endorsed by us or the placement agents should not be relied upon by investors.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Relationships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in the ordinary course of business, the Agent or its affiliates may in the future engage in investment banking, commercial banking and/or other services with us and our affiliates for which they may in the future receive customary fees and expenses.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authorized capital stock consists of 200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there were issued and outstanding, or reserved for issuance:</w:t>
      </w:r>
    </w:p>
    <w:p>
      <w:pPr>
        <w:spacing w:after="0" w:line="168" w:lineRule="exact"/>
        <w:rPr>
          <w:sz w:val="20"/>
          <w:szCs w:val="20"/>
          <w:color w:val="auto"/>
        </w:rPr>
      </w:pPr>
    </w:p>
    <w:p>
      <w:pPr>
        <w:ind w:left="428" w:hanging="428"/>
        <w:spacing w:after="0"/>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25,506,872 shares of common stock held by approximately 300 stockholders of record;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exchange of our Series A Preferred held by one institutional investor;</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4,227,357 shares of common stock reserved for issuance upon exercise of outstanding stock options under our 1999 Stock Incentive Plan and 735,200 shares of common stock reserved for future grants under our 2008 Stock Incentive Plan;</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26,481,490 shares of common stock issuable upon exercise of outstanding warrants, including warrants to purchase 7,500,000 shares of common stock, which warrants are issuable upon exchange of our Series A Preferred for common stock;</w:t>
      </w:r>
    </w:p>
    <w:p>
      <w:pPr>
        <w:spacing w:after="0" w:line="132" w:lineRule="exact"/>
        <w:rPr>
          <w:rFonts w:ascii="Arial" w:cs="Arial" w:eastAsia="Arial" w:hAnsi="Arial"/>
          <w:sz w:val="12"/>
          <w:szCs w:val="12"/>
          <w:color w:val="auto"/>
        </w:rPr>
      </w:pPr>
    </w:p>
    <w:p>
      <w:pPr>
        <w:ind w:left="468" w:hanging="468"/>
        <w:spacing w:after="0"/>
        <w:tabs>
          <w:tab w:leader="none" w:pos="468" w:val="left"/>
        </w:tabs>
        <w:numPr>
          <w:ilvl w:val="0"/>
          <w:numId w:val="21"/>
        </w:numPr>
        <w:rPr>
          <w:rFonts w:ascii="Arial" w:cs="Arial" w:eastAsia="Arial" w:hAnsi="Arial"/>
          <w:sz w:val="12"/>
          <w:szCs w:val="12"/>
          <w:color w:val="auto"/>
        </w:rPr>
      </w:pPr>
      <w:r>
        <w:rPr>
          <w:rFonts w:ascii="Arial" w:cs="Arial" w:eastAsia="Arial" w:hAnsi="Arial"/>
          <w:sz w:val="12"/>
          <w:szCs w:val="12"/>
          <w:color w:val="auto"/>
        </w:rPr>
        <w:t>________ shares of common stock reserved for issuance upon Automatic Conversion of the Subordinate Notes;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up to approximately ____ shares of our common stock reserved for issuance upon the conversion of newly issued Series B Preferred, which Series B Preferred will be issued upon conversion of the Subordinated Notes, assuming gross proceeds from the Offering of at least $10.0 million. See “</w:t>
      </w:r>
      <w:r>
        <w:rPr>
          <w:rFonts w:ascii="Arial" w:cs="Arial" w:eastAsia="Arial" w:hAnsi="Arial"/>
          <w:sz w:val="12"/>
          <w:szCs w:val="12"/>
          <w:i w:val="1"/>
          <w:iCs w:val="1"/>
          <w:color w:val="auto"/>
        </w:rPr>
        <w:t>The Offering</w:t>
      </w:r>
      <w:r>
        <w:rPr>
          <w:rFonts w:ascii="Arial" w:cs="Arial" w:eastAsia="Arial" w:hAnsi="Arial"/>
          <w:sz w:val="12"/>
          <w:szCs w:val="12"/>
          <w:color w:val="auto"/>
        </w:rPr>
        <w:t>” on page 3 of this prospectus for a description of the Subordinated Notes.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 Policy</w:t>
      </w:r>
      <w:r>
        <w:rPr>
          <w:rFonts w:ascii="Arial" w:cs="Arial" w:eastAsia="Arial" w:hAnsi="Arial"/>
          <w:sz w:val="12"/>
          <w:szCs w:val="12"/>
          <w:color w:val="auto"/>
        </w:rPr>
        <w:t>”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 preemptive or similar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A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December 2011, our board of directors authorized the creation of a series of up to 500,000 shares of Series A Preferred. At July 1,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board of directors authorized the creation of the Series B Preferred in order to provide for the conversion of certain promissory notes held by Platinum totaling approximately $4.1 million in principal and accrued interest at July 1, 2014 (</w:t>
      </w:r>
      <w:r>
        <w:rPr>
          <w:rFonts w:ascii="Arial" w:cs="Arial" w:eastAsia="Arial" w:hAnsi="Arial"/>
          <w:sz w:val="11"/>
          <w:szCs w:val="11"/>
          <w:i w:val="1"/>
          <w:iCs w:val="1"/>
          <w:color w:val="auto"/>
        </w:rPr>
        <w:t>Outstanding Balance</w:t>
      </w:r>
      <w:r>
        <w:rPr>
          <w:rFonts w:ascii="Arial" w:cs="Arial" w:eastAsia="Arial" w:hAnsi="Arial"/>
          <w:sz w:val="11"/>
          <w:szCs w:val="11"/>
          <w:color w:val="auto"/>
        </w:rPr>
        <w:t>) into Series B Preferred upon consummation of the Offering. We anticipate filing the certificate of designations for the Series B Preferred immediately prior to consummation of the Offering.</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number of shares of Series B Preferred to be issued will be calculated based on the liquidation preference for the Series B Preferred, which shall equal the Outstanding Balance as of the date of consummation of the Offering, divided by the lesser of (i) $.50 and (ii) the per-share common stock price sold in the Offering.</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By agreement with the sole holder thereof, each share of Series B Preferred will be exchangeable at the option of the holder into shares of our common stock at the price per-share of common stock sold in the Offering. The Series B Preferred will rank prior to our common stock for purposes of liquidation preference.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shall be entitled to receive, out of our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4,227,357 shares of our common stock outstanding pursuant to our 1999 Plan and our 2008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We are offering warrants to purchase up to ______ shares of our common stock to purchasers in this offering. Each warrant entitles the holder to purchase one share of common stock at an exercise price of $____ per share. The warrants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are exercisable immediately upon issuance and have an exercise term equal to _____ years.</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July 1, 2014, an additional warrants to purchase 18,981,490 shares of our common stock were outstanding, excluding warrants to purchase 7,500,000 shares of common stock issuable in connection with the exchange of our Series A Preferred for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as of July 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Number of securities to be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Number of securities remaining</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issued upon exercise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Weighted-average exercise</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available for future issuance under</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outstanding options, warrants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price of outstanding options,</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equity compensation plans [excluding</w:t>
            </w:r>
          </w:p>
        </w:tc>
      </w:tr>
      <w:tr>
        <w:trPr>
          <w:trHeight w:val="157"/>
        </w:trPr>
        <w:tc>
          <w:tcPr>
            <w:tcW w:w="3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and rights (a)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warrants and rights (b)</w:t>
            </w:r>
          </w:p>
        </w:tc>
        <w:tc>
          <w:tcPr>
            <w:tcW w:w="34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securities reflected in column (a)]</w:t>
            </w:r>
          </w:p>
        </w:tc>
        <w:tc>
          <w:tcPr>
            <w:tcW w:w="120" w:type="dxa"/>
            <w:vAlign w:val="bottom"/>
          </w:tcPr>
          <w:p>
            <w:pPr>
              <w:spacing w:after="0"/>
              <w:rPr>
                <w:sz w:val="13"/>
                <w:szCs w:val="13"/>
                <w:color w:val="auto"/>
              </w:rPr>
            </w:pPr>
          </w:p>
        </w:tc>
      </w:tr>
      <w:tr>
        <w:trPr>
          <w:trHeight w:val="142"/>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3,964,800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735,200</w:t>
            </w: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86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2"/>
                <w:szCs w:val="12"/>
                <w:color w:val="auto"/>
              </w:rPr>
              <w:t>0.58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62"/>
        </w:trPr>
        <w:tc>
          <w:tcPr>
            <w:tcW w:w="37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8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4,227,537</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line="124" w:lineRule="exact"/>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735,200</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3760" w:type="dxa"/>
            <w:vAlign w:val="bottom"/>
          </w:tcPr>
          <w:p>
            <w:pPr>
              <w:spacing w:after="0"/>
              <w:rPr>
                <w:sz w:val="24"/>
                <w:szCs w:val="24"/>
                <w:color w:val="auto"/>
              </w:rPr>
            </w:pPr>
          </w:p>
        </w:tc>
        <w:tc>
          <w:tcPr>
            <w:tcW w:w="3600" w:type="dxa"/>
            <w:vAlign w:val="bottom"/>
            <w:gridSpan w:val="3"/>
          </w:tcPr>
          <w:p>
            <w:pPr>
              <w:ind w:left="860"/>
              <w:spacing w:after="0"/>
              <w:rPr>
                <w:sz w:val="20"/>
                <w:szCs w:val="20"/>
                <w:color w:val="auto"/>
              </w:rPr>
            </w:pPr>
            <w:r>
              <w:rPr>
                <w:rFonts w:ascii="Arial" w:cs="Arial" w:eastAsia="Arial" w:hAnsi="Arial"/>
                <w:sz w:val="12"/>
                <w:szCs w:val="12"/>
                <w:b w:val="1"/>
                <w:bCs w:val="1"/>
                <w:color w:val="auto"/>
              </w:rPr>
              <w:t>SHARES ELIGIBLE FOR FUTURE SALE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this Offering, there has a limited public market for shares of our common stock. Future sales of substantial amounts of shares of our common stock, including sales of shares issued upon the conversion of outstanding convertible promissory notes,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Upon the completion of this Offering, based on the number of shares outstanding as of July 1, 2014, we will have ________ shares of common stock outstanding, assuming exercise of outstanding options or warrants, including exercise of</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warrants, and conversion of our preferred stock and convertible promissory notes. Of these outstanding shares, all ______ shares of common stock sold by us in this Offering, and the shares of common stock issuable upon exercise of</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warrants being offered in this Offering, will be freely tradable in the public market without restriction or further registration under the Securities Act, and ________ shares of common stock held by our affiliates, as that term is defined in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Rule 144 under the Securities Act, may only be sold in compliance with the limitations described below. The remaining ______ shares of common stock, and all shares of Series A Preferred and Series B Preferred outstanding after this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Offering, will be deemed restricted under the Federal securities laws.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33" w:lineRule="exact"/>
        <w:rPr>
          <w:sz w:val="20"/>
          <w:szCs w:val="20"/>
          <w:color w:val="auto"/>
        </w:rPr>
      </w:pPr>
    </w:p>
    <w:p>
      <w:pPr>
        <w:ind w:left="600" w:hanging="338"/>
        <w:spacing w:after="0"/>
        <w:tabs>
          <w:tab w:leader="none" w:pos="6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1% of the number of shares of common stock then outstanding, which will equal approximately _______ shares immediately after this Offering;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average weekly trading volume of the common stock during the four calendar weeks preceding the filing of a notice on Form 144 with respect to such sale.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are a stem cell company headquartered in South San Francisco, California, focused on producing mature, non-transformed, functional, adult human cells, and novel, customized cellular assay systems incorporating them, for our drug, discovery, drug rescue and regenerative medicine programs. 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based on a combination of proprietary and exclusively licensed technologies for controlling the differentiation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drug candidates.</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hPSC-derived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drug candidates included in our drug rescue programs.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hPSC-derived hepatocytes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highly-functional, non-transformed, mature human hapatocytes,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new drug candidates, including new drug candidates included in our drug rescue programs, early in development, long before costly, high risk human clinical trials.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cardiac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proprietary safer versions of them back into development as promising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optimized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now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optimized for efficacy and developed, we believe we can demonstrate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and preclinical development than was required of pharmaceutical companies and others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key elements of 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68" w:lineRule="exact"/>
        <w:rPr>
          <w:sz w:val="20"/>
          <w:szCs w:val="20"/>
          <w:color w:val="auto"/>
        </w:rPr>
      </w:pPr>
    </w:p>
    <w:p>
      <w:pPr>
        <w:jc w:val="both"/>
        <w:ind w:left="428" w:hanging="428"/>
        <w:spacing w:after="0" w:line="263"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providers of contract medicinal chemistry and contract clinical development services and regulatory expertise, respectively;</w:t>
      </w:r>
    </w:p>
    <w:p>
      <w:pPr>
        <w:spacing w:after="0" w:line="14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support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use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previously available when the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Candidates </w:t>
      </w:r>
      <w:r>
        <w:rPr>
          <w:rFonts w:ascii="Arial" w:cs="Arial" w:eastAsia="Arial" w:hAnsi="Arial"/>
          <w:sz w:val="12"/>
          <w:szCs w:val="12"/>
          <w:color w:val="auto"/>
        </w:rPr>
        <w:t>were originally discovered, optimized and developed by pharmaceutical companies;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with our contract medicinal chemistry collaborator,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internally develop optimized and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out-license them to a pharmaceutical or biotechnology company in a revenue-generating agreements providing for the development, market approval and commercial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have identified the following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760" w:type="dxa"/>
            <w:vAlign w:val="bottom"/>
            <w:gridSpan w:val="2"/>
          </w:tcPr>
          <w:p>
            <w:pPr>
              <w:spacing w:after="0"/>
              <w:rPr>
                <w:sz w:val="20"/>
                <w:szCs w:val="20"/>
                <w:color w:val="auto"/>
              </w:rPr>
            </w:pPr>
            <w:r>
              <w:rPr>
                <w:rFonts w:ascii="Arial" w:cs="Arial" w:eastAsia="Arial" w:hAnsi="Arial"/>
                <w:sz w:val="12"/>
                <w:szCs w:val="12"/>
                <w:b w:val="1"/>
                <w:bCs w:val="1"/>
                <w:color w:val="auto"/>
              </w:rPr>
              <w:t>Drug Rescue Candidate</w:t>
            </w:r>
          </w:p>
        </w:tc>
        <w:tc>
          <w:tcPr>
            <w:tcW w:w="2060" w:type="dxa"/>
            <w:vAlign w:val="bottom"/>
          </w:tcPr>
          <w:p>
            <w:pPr>
              <w:ind w:left="520"/>
              <w:spacing w:after="0"/>
              <w:rPr>
                <w:sz w:val="20"/>
                <w:szCs w:val="20"/>
                <w:color w:val="auto"/>
              </w:rPr>
            </w:pPr>
            <w:r>
              <w:rPr>
                <w:rFonts w:ascii="Arial" w:cs="Arial" w:eastAsia="Arial" w:hAnsi="Arial"/>
                <w:sz w:val="12"/>
                <w:szCs w:val="12"/>
                <w:b w:val="1"/>
                <w:bCs w:val="1"/>
                <w:color w:val="auto"/>
              </w:rPr>
              <w:t>Indication</w:t>
            </w:r>
          </w:p>
        </w:tc>
        <w:tc>
          <w:tcPr>
            <w:tcW w:w="2180" w:type="dxa"/>
            <w:vAlign w:val="bottom"/>
          </w:tcPr>
          <w:p>
            <w:pPr>
              <w:ind w:left="760"/>
              <w:spacing w:after="0"/>
              <w:rPr>
                <w:sz w:val="20"/>
                <w:szCs w:val="20"/>
                <w:color w:val="auto"/>
              </w:rPr>
            </w:pPr>
            <w:r>
              <w:rPr>
                <w:rFonts w:ascii="Arial" w:cs="Arial" w:eastAsia="Arial" w:hAnsi="Arial"/>
                <w:sz w:val="12"/>
                <w:szCs w:val="12"/>
                <w:b w:val="1"/>
                <w:bCs w:val="1"/>
                <w:color w:val="auto"/>
              </w:rPr>
              <w:t>Developer</w:t>
            </w:r>
          </w:p>
        </w:tc>
        <w:tc>
          <w:tcPr>
            <w:tcW w:w="2320" w:type="dxa"/>
            <w:vAlign w:val="bottom"/>
          </w:tcPr>
          <w:p>
            <w:pPr>
              <w:ind w:left="880"/>
              <w:spacing w:after="0"/>
              <w:rPr>
                <w:sz w:val="20"/>
                <w:szCs w:val="20"/>
                <w:color w:val="auto"/>
              </w:rPr>
            </w:pPr>
            <w:r>
              <w:rPr>
                <w:rFonts w:ascii="Arial" w:cs="Arial" w:eastAsia="Arial" w:hAnsi="Arial"/>
                <w:sz w:val="12"/>
                <w:szCs w:val="12"/>
                <w:b w:val="1"/>
                <w:bCs w:val="1"/>
                <w:color w:val="auto"/>
              </w:rPr>
              <w:t>Terminated</w:t>
            </w:r>
          </w:p>
        </w:tc>
        <w:tc>
          <w:tcPr>
            <w:tcW w:w="3160" w:type="dxa"/>
            <w:vAlign w:val="bottom"/>
          </w:tcPr>
          <w:p>
            <w:pPr>
              <w:ind w:left="86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VSTA-1C05</w:t>
            </w:r>
          </w:p>
        </w:tc>
        <w:tc>
          <w:tcPr>
            <w:tcW w:w="2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Cancer</w:t>
            </w:r>
          </w:p>
        </w:tc>
        <w:tc>
          <w:tcPr>
            <w:tcW w:w="21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Phase 1/2</w:t>
            </w:r>
          </w:p>
        </w:tc>
        <w:tc>
          <w:tcPr>
            <w:tcW w:w="3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Aurora kinase inhibitors</w:t>
            </w: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VSTA-1A08</w:t>
            </w:r>
          </w:p>
        </w:tc>
        <w:tc>
          <w:tcPr>
            <w:tcW w:w="2060" w:type="dxa"/>
            <w:vAlign w:val="bottom"/>
          </w:tcPr>
          <w:p>
            <w:pPr>
              <w:ind w:left="520"/>
              <w:spacing w:after="0"/>
              <w:rPr>
                <w:sz w:val="20"/>
                <w:szCs w:val="20"/>
                <w:color w:val="auto"/>
              </w:rPr>
            </w:pPr>
            <w:r>
              <w:rPr>
                <w:rFonts w:ascii="Arial" w:cs="Arial" w:eastAsia="Arial" w:hAnsi="Arial"/>
                <w:sz w:val="12"/>
                <w:szCs w:val="12"/>
                <w:color w:val="auto"/>
              </w:rPr>
              <w:t>Cancer</w:t>
            </w:r>
          </w:p>
        </w:tc>
        <w:tc>
          <w:tcPr>
            <w:tcW w:w="2180" w:type="dxa"/>
            <w:vAlign w:val="bottom"/>
          </w:tcPr>
          <w:p>
            <w:pPr>
              <w:ind w:left="760"/>
              <w:spacing w:after="0"/>
              <w:rPr>
                <w:sz w:val="20"/>
                <w:szCs w:val="20"/>
                <w:color w:val="auto"/>
              </w:rPr>
            </w:pPr>
            <w:r>
              <w:rPr>
                <w:rFonts w:ascii="Arial" w:cs="Arial" w:eastAsia="Arial" w:hAnsi="Arial"/>
                <w:sz w:val="12"/>
                <w:szCs w:val="12"/>
                <w:color w:val="auto"/>
              </w:rPr>
              <w:t>Biotech</w:t>
            </w:r>
          </w:p>
        </w:tc>
        <w:tc>
          <w:tcPr>
            <w:tcW w:w="2320" w:type="dxa"/>
            <w:vAlign w:val="bottom"/>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rPr>
                <w:sz w:val="20"/>
                <w:szCs w:val="20"/>
                <w:color w:val="auto"/>
              </w:rPr>
            </w:pPr>
            <w:r>
              <w:rPr>
                <w:rFonts w:ascii="Arial" w:cs="Arial" w:eastAsia="Arial" w:hAnsi="Arial"/>
                <w:sz w:val="12"/>
                <w:szCs w:val="12"/>
                <w:color w:val="auto"/>
              </w:rPr>
              <w:t>PI3 kinase inhibitor</w:t>
            </w: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VSTA-2A21</w:t>
            </w:r>
          </w:p>
        </w:tc>
        <w:tc>
          <w:tcPr>
            <w:tcW w:w="2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Dementia</w:t>
            </w:r>
          </w:p>
        </w:tc>
        <w:tc>
          <w:tcPr>
            <w:tcW w:w="2180" w:type="dxa"/>
            <w:vAlign w:val="bottom"/>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Nicotinic a7 receptors</w:t>
            </w: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VSTA-5A03</w:t>
            </w:r>
          </w:p>
        </w:tc>
        <w:tc>
          <w:tcPr>
            <w:tcW w:w="2060" w:type="dxa"/>
            <w:vAlign w:val="bottom"/>
          </w:tcPr>
          <w:p>
            <w:pPr>
              <w:ind w:left="520"/>
              <w:spacing w:after="0"/>
              <w:rPr>
                <w:sz w:val="20"/>
                <w:szCs w:val="20"/>
                <w:color w:val="auto"/>
              </w:rPr>
            </w:pPr>
            <w:r>
              <w:rPr>
                <w:rFonts w:ascii="Arial" w:cs="Arial" w:eastAsia="Arial" w:hAnsi="Arial"/>
                <w:sz w:val="12"/>
                <w:szCs w:val="12"/>
                <w:color w:val="auto"/>
              </w:rPr>
              <w:t>HIV</w:t>
            </w:r>
          </w:p>
        </w:tc>
        <w:tc>
          <w:tcPr>
            <w:tcW w:w="2180" w:type="dxa"/>
            <w:vAlign w:val="bottom"/>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rPr>
                <w:sz w:val="20"/>
                <w:szCs w:val="20"/>
                <w:color w:val="auto"/>
              </w:rPr>
            </w:pPr>
            <w:r>
              <w:rPr>
                <w:rFonts w:ascii="Arial" w:cs="Arial" w:eastAsia="Arial" w:hAnsi="Arial"/>
                <w:sz w:val="12"/>
                <w:szCs w:val="12"/>
                <w:color w:val="auto"/>
              </w:rPr>
              <w:t>Integrase inhibitor</w:t>
            </w: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VSTA-4E15</w:t>
            </w:r>
          </w:p>
        </w:tc>
        <w:tc>
          <w:tcPr>
            <w:tcW w:w="2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Type 2 Diabetes</w:t>
            </w:r>
          </w:p>
        </w:tc>
        <w:tc>
          <w:tcPr>
            <w:tcW w:w="2180" w:type="dxa"/>
            <w:vAlign w:val="bottom"/>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Post-NDA</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Insulin sensitizer; PPAR gamma agonist</w:t>
            </w:r>
          </w:p>
        </w:tc>
      </w:tr>
    </w:tbl>
    <w:p>
      <w:pPr>
        <w:spacing w:after="0" w:line="15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VSTA-1C05, VSTA-4E15 and VSTA-2A21. Together with our pre-existing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data, we believe the results of such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assessments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can correctly distinguish varying levels of cardiotoxicity between new drug candidates,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plan to establish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VSTA-1A08 and VSTA5A03 following consummation of this Offering.</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4" w:name="page55"/>
    <w:bookmarkEnd w:id="5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reflected in the table below, we plan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following consummation of this Offering. Our initial goal with respect to each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will be to produce a lead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 </w:t>
      </w:r>
      <w:r>
        <w:rPr>
          <w:rFonts w:ascii="Arial" w:cs="Arial" w:eastAsia="Arial" w:hAnsi="Arial"/>
          <w:sz w:val="11"/>
          <w:szCs w:val="11"/>
          <w:color w:val="auto"/>
        </w:rPr>
        <w:t>with demonstrated</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proof of concept (POC). In this context, POC means that the lead</w:t>
      </w:r>
      <w:r>
        <w:rPr>
          <w:rFonts w:ascii="Arial" w:cs="Arial" w:eastAsia="Arial" w:hAnsi="Arial"/>
          <w:sz w:val="11"/>
          <w:szCs w:val="11"/>
          <w:i w:val="1"/>
          <w:iCs w:val="1"/>
          <w:color w:val="auto"/>
        </w:rPr>
        <w:t xml:space="preserve"> Drug Rescue Variant</w:t>
      </w:r>
      <w:r>
        <w:rPr>
          <w:rFonts w:ascii="Arial" w:cs="Arial" w:eastAsia="Arial" w:hAnsi="Arial"/>
          <w:sz w:val="11"/>
          <w:szCs w:val="11"/>
          <w:color w:val="auto"/>
        </w:rPr>
        <w:t>,</w:t>
      </w:r>
      <w:r>
        <w:rPr>
          <w:rFonts w:ascii="Arial" w:cs="Arial" w:eastAsia="Arial" w:hAnsi="Arial"/>
          <w:sz w:val="11"/>
          <w:szCs w:val="11"/>
          <w:i w:val="1"/>
          <w:iCs w:val="1"/>
          <w:color w:val="auto"/>
        </w:rPr>
        <w:t xml:space="preserve"> Drug Rescue Candidate, </w:t>
      </w:r>
      <w:r>
        <w:rPr>
          <w:rFonts w:ascii="Arial" w:cs="Arial" w:eastAsia="Arial" w:hAnsi="Arial"/>
          <w:sz w:val="11"/>
          <w:szCs w:val="11"/>
          <w:color w:val="auto"/>
        </w:rPr>
        <w:t>demonstrates both (i) equal or superior efficacy in the same, or a similar,</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 xml:space="preserve">efficacy assay used by the initial developer of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prior to termination for safety reasons and (ii) significant reduction of concentration dependent cardiotoxicity in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Potential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Variant Pipeline</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Projected</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Projected</w:t>
            </w: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Projected</w:t>
            </w: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Preclinical POC</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Preclinical POC</w:t>
            </w:r>
          </w:p>
        </w:tc>
      </w:tr>
      <w:tr>
        <w:trPr>
          <w:trHeight w:val="162"/>
        </w:trPr>
        <w:tc>
          <w:tcPr>
            <w:tcW w:w="22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Drug Rescue Variant </w:t>
            </w:r>
            <w:r>
              <w:rPr>
                <w:rFonts w:ascii="Arial" w:cs="Arial" w:eastAsia="Arial" w:hAnsi="Arial"/>
                <w:sz w:val="12"/>
                <w:szCs w:val="12"/>
                <w:b w:val="1"/>
                <w:bCs w:val="1"/>
                <w:color w:val="auto"/>
              </w:rPr>
              <w:t>Program</w:t>
            </w: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Program Launch</w:t>
            </w:r>
          </w:p>
        </w:tc>
        <w:tc>
          <w:tcPr>
            <w:tcW w:w="2840" w:type="dxa"/>
            <w:vAlign w:val="bottom"/>
          </w:tcPr>
          <w:p>
            <w:pPr>
              <w:ind w:left="1000"/>
              <w:spacing w:after="0" w:line="162" w:lineRule="exact"/>
              <w:rPr>
                <w:sz w:val="20"/>
                <w:szCs w:val="20"/>
                <w:color w:val="auto"/>
              </w:rPr>
            </w:pPr>
            <w:r>
              <w:rPr>
                <w:rFonts w:ascii="Arial" w:cs="Arial" w:eastAsia="Arial" w:hAnsi="Arial"/>
                <w:sz w:val="12"/>
                <w:szCs w:val="12"/>
                <w:b w:val="1"/>
                <w:bCs w:val="1"/>
                <w:i w:val="1"/>
                <w:iCs w:val="1"/>
                <w:color w:val="auto"/>
              </w:rPr>
              <w:t xml:space="preserve">in vitro </w:t>
            </w:r>
            <w:r>
              <w:rPr>
                <w:rFonts w:ascii="Arial" w:cs="Arial" w:eastAsia="Arial" w:hAnsi="Arial"/>
                <w:sz w:val="16"/>
                <w:szCs w:val="16"/>
                <w:b w:val="1"/>
                <w:bCs w:val="1"/>
                <w:color w:val="auto"/>
                <w:vertAlign w:val="subscript"/>
              </w:rPr>
              <w:t>(1)</w:t>
            </w:r>
          </w:p>
        </w:tc>
        <w:tc>
          <w:tcPr>
            <w:tcW w:w="3900" w:type="dxa"/>
            <w:vAlign w:val="bottom"/>
          </w:tcPr>
          <w:p>
            <w:pPr>
              <w:ind w:left="1040"/>
              <w:spacing w:after="0" w:line="162" w:lineRule="exact"/>
              <w:rPr>
                <w:sz w:val="20"/>
                <w:szCs w:val="20"/>
                <w:color w:val="auto"/>
              </w:rPr>
            </w:pPr>
            <w:r>
              <w:rPr>
                <w:rFonts w:ascii="Arial" w:cs="Arial" w:eastAsia="Arial" w:hAnsi="Arial"/>
                <w:sz w:val="12"/>
                <w:szCs w:val="12"/>
                <w:b w:val="1"/>
                <w:bCs w:val="1"/>
                <w:i w:val="1"/>
                <w:iCs w:val="1"/>
                <w:color w:val="auto"/>
              </w:rPr>
              <w:t xml:space="preserve">in vivo </w:t>
            </w:r>
            <w:r>
              <w:rPr>
                <w:rFonts w:ascii="Arial" w:cs="Arial" w:eastAsia="Arial" w:hAnsi="Arial"/>
                <w:sz w:val="16"/>
                <w:szCs w:val="16"/>
                <w:b w:val="1"/>
                <w:bCs w:val="1"/>
                <w:color w:val="auto"/>
                <w:vertAlign w:val="subscript"/>
              </w:rPr>
              <w:t>(2)</w:t>
            </w: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VSTA-DRV1</w:t>
            </w:r>
          </w:p>
        </w:tc>
        <w:tc>
          <w:tcPr>
            <w:tcW w:w="25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VSTA-DRV2</w:t>
            </w:r>
          </w:p>
        </w:tc>
        <w:tc>
          <w:tcPr>
            <w:tcW w:w="2540" w:type="dxa"/>
            <w:vAlign w:val="bottom"/>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2"/>
                <w:szCs w:val="12"/>
                <w:color w:val="auto"/>
              </w:rPr>
              <w:t>VSTA-DRV3</w:t>
            </w:r>
          </w:p>
        </w:tc>
        <w:tc>
          <w:tcPr>
            <w:tcW w:w="2540" w:type="dxa"/>
            <w:vAlign w:val="bottom"/>
            <w:shd w:val="clear" w:color="auto" w:fill="CCEEFF"/>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Q1 2016</w:t>
            </w: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VSTA-DRV4</w:t>
            </w:r>
          </w:p>
        </w:tc>
        <w:tc>
          <w:tcPr>
            <w:tcW w:w="2540" w:type="dxa"/>
            <w:vAlign w:val="bottom"/>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Q1 2016</w:t>
            </w:r>
          </w:p>
        </w:tc>
      </w:tr>
    </w:tbl>
    <w:p>
      <w:pPr>
        <w:spacing w:after="0" w:line="144" w:lineRule="exact"/>
        <w:rPr>
          <w:sz w:val="20"/>
          <w:szCs w:val="20"/>
          <w:color w:val="auto"/>
        </w:rPr>
      </w:pPr>
    </w:p>
    <w:p>
      <w:pPr>
        <w:ind w:left="8" w:hanging="8"/>
        <w:spacing w:after="0" w:line="276" w:lineRule="auto"/>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Drug Rescue Variant</w:t>
      </w:r>
      <w:r>
        <w:rPr>
          <w:rFonts w:ascii="Arial" w:cs="Arial" w:eastAsia="Arial" w:hAnsi="Arial"/>
          <w:sz w:val="12"/>
          <w:szCs w:val="12"/>
          <w:color w:val="auto"/>
        </w:rPr>
        <w:t>, as compared to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demonstrates, (i) equal or superior efficacy in the same or similar</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efficacy assay used by the original developer of the</w:t>
      </w:r>
      <w:r>
        <w:rPr>
          <w:rFonts w:ascii="Arial" w:cs="Arial" w:eastAsia="Arial" w:hAnsi="Arial"/>
          <w:sz w:val="12"/>
          <w:szCs w:val="12"/>
          <w:i w:val="1"/>
          <w:iCs w:val="1"/>
          <w:color w:val="auto"/>
        </w:rPr>
        <w:t xml:space="preserve"> Drug Rescue Candidate </w:t>
      </w:r>
      <w:r>
        <w:rPr>
          <w:rFonts w:ascii="Arial" w:cs="Arial" w:eastAsia="Arial" w:hAnsi="Arial"/>
          <w:sz w:val="12"/>
          <w:szCs w:val="12"/>
          <w:color w:val="auto"/>
        </w:rPr>
        <w:t>to optimize its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efficacy and (ii) substantial reduction of concentration dependent cardiotoxicity in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safety assays.</w:t>
      </w:r>
    </w:p>
    <w:p>
      <w:pPr>
        <w:spacing w:after="0" w:line="114" w:lineRule="exact"/>
        <w:rPr>
          <w:rFonts w:ascii="Arial" w:cs="Arial" w:eastAsia="Arial" w:hAnsi="Arial"/>
          <w:sz w:val="12"/>
          <w:szCs w:val="12"/>
          <w:color w:val="auto"/>
        </w:rPr>
      </w:pPr>
    </w:p>
    <w:p>
      <w:pPr>
        <w:ind w:left="8" w:right="20" w:hanging="8"/>
        <w:spacing w:after="0" w:line="276" w:lineRule="auto"/>
        <w:tabs>
          <w:tab w:leader="none" w:pos="226"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Drug Rescue Variant</w:t>
      </w:r>
      <w:r>
        <w:rPr>
          <w:rFonts w:ascii="Arial" w:cs="Arial" w:eastAsia="Arial" w:hAnsi="Arial"/>
          <w:sz w:val="12"/>
          <w:szCs w:val="12"/>
          <w:color w:val="auto"/>
        </w:rPr>
        <w:t>, as compared to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demonstrates substantial reduction of concentration dependent cardiotoxicity in the animal model used by the original developer of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resulting in discontinuation of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We believe our exclusive focus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with our novel biological and electrophysiological insight regarding cardiac effects of new drug candidates that we can generate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help us and our medicinal chemistry partner produce and optimize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without incurring many of the high costs and risks typically inherent in new drug discovery and development. Although we plan to continue to identify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we may also seek to acquire 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by entering into contractual arrangements with third-parties.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Strategic Development and Commercialization of Drug Rescue Variants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believe many pharmaceutical companies are experiencing, and will continue to experience, critical research and development productivity issues, as measured by their lack of, or very low number of, FDA-approved products each year during the past decade. In 2013, the U.S. pharmaceutical industry invested over $51 billion in research and development, while the FDA only approved 34 new treatments, including 27 medications approved by the FDA’s Center for Drug Evaluation and Research (</w:t>
      </w:r>
      <w:r>
        <w:rPr>
          <w:rFonts w:ascii="Arial" w:cs="Arial" w:eastAsia="Arial" w:hAnsi="Arial"/>
          <w:sz w:val="12"/>
          <w:szCs w:val="12"/>
          <w:i w:val="1"/>
          <w:iCs w:val="1"/>
          <w:color w:val="auto"/>
        </w:rPr>
        <w:t>CDER</w:t>
      </w:r>
      <w:r>
        <w:rPr>
          <w:rFonts w:ascii="Arial" w:cs="Arial" w:eastAsia="Arial" w:hAnsi="Arial"/>
          <w:sz w:val="12"/>
          <w:szCs w:val="12"/>
          <w:color w:val="auto"/>
        </w:rPr>
        <w:t>). Considering CDER only approved an average of 26 medications per year between 2004 and 2012, we expect the disparity between annual spending on research and development by the U.S. pharmaceutical industry and the number of medications approved by CDER to continue.</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potentially safer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are focused on developing, including companies that originally discovered, developed and ultimately discontinued the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we select for our drug rescue programs.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Once we achieve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proof of concept (</w:t>
      </w:r>
      <w:r>
        <w:rPr>
          <w:rFonts w:ascii="Arial" w:cs="Arial" w:eastAsia="Arial" w:hAnsi="Arial"/>
          <w:sz w:val="11"/>
          <w:szCs w:val="11"/>
          <w:i w:val="1"/>
          <w:iCs w:val="1"/>
          <w:color w:val="auto"/>
        </w:rPr>
        <w:t>POC</w:t>
      </w:r>
      <w:r>
        <w:rPr>
          <w:rFonts w:ascii="Arial" w:cs="Arial" w:eastAsia="Arial" w:hAnsi="Arial"/>
          <w:sz w:val="11"/>
          <w:szCs w:val="11"/>
          <w:color w:val="auto"/>
        </w:rPr>
        <w:t xml:space="preserve">) as to the efficacy and safety of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intend to announce the results of our internal POC studies and, at that time, consider whether to further develop it internally or seek to out-license it to a pharmaceutical company, including, potentially, the company that developed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If we decide to out-license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 that we will receive licensing revenue through payments to us from the license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altering the fundamental mechanisms of disease. Upon completion of this Offering, we intend to explore opportunities to leverage our stem cell technology platform, our expertise in human biology, differentiation of human pluripotent stem cells to develop functional adult human cells and tissues involved in human disease, including blood, bone, cartilage, heart, liver and insulin-producing pancreatic beta-islet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we have successfully completed Phase 1 development of AV-101. AV-101, also known as “L-4-chlorokynurenine” and “4-Cl-KYN”,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at the FDA covers clinical development for neuropathic pain. However, we believe the Phase 1 AV-101 safety studies we have completed to date will support development of AV-101 for multiple indications, including epilepsy, depression and Parkinson’s disease. Upon completion of this Offering, we intend to seek potential opportunities for further clinical development and commercialization of AV-101 for neuropathic pain, epilepsy, depression and Parkinson’s disease, either on our own or through one strategic partnering arrangements. In the event that we successfully complete one or more strategic partnering arrangements for AV-101, we plan to use the net proceeds from such arrangement(s) to expand our stem cell technology-based drug rescue and regenerative medicine programs.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(1) their capacity to self-renew, or divide in a way that results in more stem cells; and (2)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to design and develop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NIH, 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82" w:lineRule="exact"/>
        <w:rPr>
          <w:sz w:val="20"/>
          <w:szCs w:val="20"/>
          <w:color w:val="auto"/>
        </w:rPr>
      </w:pPr>
    </w:p>
    <w:p>
      <w:pPr>
        <w:ind w:left="600" w:hanging="338"/>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31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144" w:lineRule="exact"/>
        <w:rPr>
          <w:sz w:val="20"/>
          <w:szCs w:val="20"/>
          <w:color w:val="auto"/>
        </w:rPr>
      </w:pPr>
    </w:p>
    <w:p>
      <w:pPr>
        <w:ind w:left="440" w:hanging="25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specific growth and differentiation factors used in the tissue culture medium, applied in specific combinations, at critical concentrations, and at critical times unique to each desired human cell type;</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biological markers characteristic of precursor cells, which are committed to becoming specific human cells and tissues, and which can be used to identify, enrich and purify the desired mature human cell type.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internally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3D </w:t>
      </w:r>
      <w:r>
        <w:rPr>
          <w:rFonts w:ascii="Arial" w:cs="Arial" w:eastAsia="Arial" w:hAnsi="Arial"/>
          <w:sz w:val="12"/>
          <w:szCs w:val="12"/>
          <w:b w:val="1"/>
          <w:bCs w:val="1"/>
          <w:i w:val="1"/>
          <w:iCs w:val="1"/>
          <w:color w:val="auto"/>
        </w:rPr>
        <w:t>“Micro-Organ” Culture Systems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addition to standard two-dimensional (2D)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Medicinal Chemistry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limitations of current preclinical drug testing systems used by pharmaceutical companies contribute to the high failure rate of drug candidates.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using hPSC-derived cardiomyocytes (</w:t>
      </w:r>
      <w:r>
        <w:rPr>
          <w:rFonts w:ascii="Arial" w:cs="Arial" w:eastAsia="Arial" w:hAnsi="Arial"/>
          <w:sz w:val="11"/>
          <w:szCs w:val="11"/>
          <w:i w:val="1"/>
          <w:iCs w:val="1"/>
          <w:color w:val="auto"/>
        </w:rPr>
        <w:t>hPSC-CMs</w:t>
      </w:r>
      <w:r>
        <w:rPr>
          <w:rFonts w:ascii="Arial" w:cs="Arial" w:eastAsia="Arial" w:hAnsi="Arial"/>
          <w:sz w:val="11"/>
          <w:szCs w:val="11"/>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(ICH57B).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measure the following important drug-induced cardiac biological effects:</w:t>
      </w:r>
    </w:p>
    <w:p>
      <w:pPr>
        <w:spacing w:after="0" w:line="141" w:lineRule="exact"/>
        <w:rPr>
          <w:sz w:val="20"/>
          <w:szCs w:val="20"/>
          <w:color w:val="auto"/>
        </w:rPr>
      </w:pPr>
    </w:p>
    <w:p>
      <w:pPr>
        <w:ind w:left="1120" w:hanging="155"/>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provides valuable and far more comprehensive bioanalytical tools for both assessing the effects of pharmaceutical compounds on cardiac cytotoxicity than the hERG assay and can elucidate for us and our medicinal</w:t>
      </w:r>
      <w:r>
        <w:rPr>
          <w:rFonts w:ascii="Arial" w:cs="Arial" w:eastAsia="Arial" w:hAnsi="Arial"/>
          <w:sz w:val="12"/>
          <w:szCs w:val="12"/>
          <w:i w:val="1"/>
          <w:iCs w:val="1"/>
          <w:color w:val="auto"/>
        </w:rPr>
        <w:t xml:space="preserve"> </w:t>
      </w:r>
      <w:r>
        <w:rPr>
          <w:rFonts w:ascii="Arial" w:cs="Arial" w:eastAsia="Arial" w:hAnsi="Arial"/>
          <w:sz w:val="12"/>
          <w:szCs w:val="12"/>
          <w:color w:val="auto"/>
        </w:rPr>
        <w:t>chemistry partner specific mechanisms of cardiac toxicity, thereby laying what we believe is a novel and advantageous foundation for our drug rescue programs.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940" w:hanging="143"/>
        <w:spacing w:after="0"/>
        <w:tabs>
          <w:tab w:leader="none" w:pos="19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940" w:hanging="143"/>
        <w:spacing w:after="0" w:line="187" w:lineRule="auto"/>
        <w:tabs>
          <w:tab w:leader="none" w:pos="1940" w:val="left"/>
        </w:tabs>
        <w:numPr>
          <w:ilvl w:val="0"/>
          <w:numId w:val="29"/>
        </w:numPr>
        <w:rPr>
          <w:rFonts w:ascii="Arial" w:cs="Arial" w:eastAsia="Arial" w:hAnsi="Arial"/>
          <w:sz w:val="24"/>
          <w:szCs w:val="24"/>
          <w:color w:val="auto"/>
          <w:vertAlign w:val="superscript"/>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74" w:lineRule="exact"/>
        <w:rPr>
          <w:rFonts w:ascii="Arial" w:cs="Arial" w:eastAsia="Arial" w:hAnsi="Arial"/>
          <w:sz w:val="24"/>
          <w:szCs w:val="24"/>
          <w:color w:val="auto"/>
          <w:vertAlign w:val="superscript"/>
        </w:rPr>
      </w:pPr>
    </w:p>
    <w:p>
      <w:pPr>
        <w:ind w:left="1940" w:hanging="143"/>
        <w:spacing w:after="0" w:line="249" w:lineRule="auto"/>
        <w:tabs>
          <w:tab w:leader="none" w:pos="19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940" w:hanging="143"/>
        <w:spacing w:after="0" w:line="187" w:lineRule="auto"/>
        <w:tabs>
          <w:tab w:leader="none" w:pos="1940" w:val="left"/>
        </w:tabs>
        <w:numPr>
          <w:ilvl w:val="0"/>
          <w:numId w:val="29"/>
        </w:numPr>
        <w:rPr>
          <w:rFonts w:ascii="Arial" w:cs="Arial" w:eastAsia="Arial" w:hAnsi="Arial"/>
          <w:sz w:val="24"/>
          <w:szCs w:val="24"/>
          <w:color w:val="auto"/>
          <w:vertAlign w:val="superscript"/>
        </w:rPr>
      </w:pPr>
      <w:r>
        <w:rPr>
          <w:rFonts w:ascii="Arial" w:cs="Arial" w:eastAsia="Arial" w:hAnsi="Arial"/>
          <w:sz w:val="12"/>
          <w:szCs w:val="12"/>
          <w:color w:val="auto"/>
        </w:rPr>
        <w:t>One research compound (E-4031) failed in Phase I human clinical study before being discontinued due to inducing heart arrhythmias.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we were able to distinguish between the arrhythmogenic cardiac effects of terfenadine (Seldane™), withdrawn by the FDA due to cardiotoxicity, and the cardiac effects of the closely structurally-related compound,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programs.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160"/>
              <w:spacing w:after="0"/>
              <w:rPr>
                <w:sz w:val="20"/>
                <w:szCs w:val="20"/>
                <w:color w:val="auto"/>
              </w:rPr>
            </w:pPr>
            <w:r>
              <w:rPr>
                <w:rFonts w:ascii="Arial" w:cs="Arial" w:eastAsia="Arial" w:hAnsi="Arial"/>
                <w:sz w:val="12"/>
                <w:szCs w:val="12"/>
                <w:color w:val="auto"/>
              </w:rPr>
              <w:t>Detects cardiac effects mediated by:</w:t>
            </w:r>
          </w:p>
        </w:tc>
        <w:tc>
          <w:tcPr>
            <w:tcW w:w="3220" w:type="dxa"/>
            <w:vAlign w:val="bottom"/>
            <w:tcBorders>
              <w:bottom w:val="single" w:sz="8" w:color="auto"/>
            </w:tcBorders>
          </w:tcPr>
          <w:p>
            <w:pPr>
              <w:jc w:val="center"/>
              <w:ind w:left="580"/>
              <w:spacing w:after="0"/>
              <w:rPr>
                <w:sz w:val="20"/>
                <w:szCs w:val="20"/>
                <w:color w:val="auto"/>
              </w:rPr>
            </w:pPr>
            <w:r>
              <w:rPr>
                <w:rFonts w:ascii="Arial" w:cs="Arial" w:eastAsia="Arial" w:hAnsi="Arial"/>
                <w:sz w:val="12"/>
                <w:szCs w:val="12"/>
                <w:b w:val="1"/>
                <w:bCs w:val="1"/>
                <w:color w:val="auto"/>
                <w:w w:val="88"/>
              </w:rPr>
              <w:t>hERG assay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322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89"/>
              </w:rPr>
              <w:t>ü</w:t>
            </w: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Other potassium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Sodium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Channel regulatory proteins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Apoptosis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Mitochondria</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Energy</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306"/>
        </w:trPr>
        <w:tc>
          <w:tcPr>
            <w:tcW w:w="5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assessment of kinase inhibitor-induced cardiotoxicity</w:t>
            </w:r>
          </w:p>
        </w:tc>
        <w:tc>
          <w:tcPr>
            <w:tcW w:w="32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further evaluate the potential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predict cardiac toxicity of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we have assessed cardiac effects induced by small molecule kinase inhibitors (</w:t>
      </w:r>
      <w:r>
        <w:rPr>
          <w:rFonts w:ascii="Arial" w:cs="Arial" w:eastAsia="Arial" w:hAnsi="Arial"/>
          <w:sz w:val="12"/>
          <w:szCs w:val="12"/>
          <w:i w:val="1"/>
          <w:iCs w:val="1"/>
          <w:color w:val="auto"/>
        </w:rPr>
        <w:t>KI</w:t>
      </w:r>
      <w:r>
        <w:rPr>
          <w:rFonts w:ascii="Arial" w:cs="Arial" w:eastAsia="Arial" w:hAnsi="Arial"/>
          <w:sz w:val="12"/>
          <w:szCs w:val="12"/>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as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cardiotoxicity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 are the foundation of 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4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8960" w:type="dxa"/>
            <w:vAlign w:val="bottom"/>
            <w:gridSpan w:val="4"/>
          </w:tcPr>
          <w:p>
            <w:pPr>
              <w:spacing w:after="0"/>
              <w:rPr>
                <w:sz w:val="20"/>
                <w:szCs w:val="20"/>
                <w:color w:val="auto"/>
              </w:rPr>
            </w:pPr>
            <w:r>
              <w:rPr>
                <w:rFonts w:ascii="Arial" w:cs="Arial" w:eastAsia="Arial" w:hAnsi="Arial"/>
                <w:sz w:val="12"/>
                <w:szCs w:val="12"/>
                <w:color w:val="auto"/>
                <w:w w:val="99"/>
              </w:rPr>
              <w:t xml:space="preserve">The table below reflects important characteristics of </w:t>
            </w:r>
            <w:r>
              <w:rPr>
                <w:rFonts w:ascii="Arial" w:cs="Arial" w:eastAsia="Arial" w:hAnsi="Arial"/>
                <w:sz w:val="12"/>
                <w:szCs w:val="12"/>
                <w:i w:val="1"/>
                <w:iCs w:val="1"/>
                <w:color w:val="auto"/>
                <w:w w:val="99"/>
              </w:rPr>
              <w:t>VSTA-heps</w:t>
            </w:r>
            <w:r>
              <w:rPr>
                <w:rFonts w:ascii="Arial" w:cs="Arial" w:eastAsia="Arial" w:hAnsi="Arial"/>
                <w:sz w:val="12"/>
                <w:szCs w:val="12"/>
                <w:color w:val="auto"/>
                <w:w w:val="99"/>
              </w:rPr>
              <w:t xml:space="preserve"> compared to commercially-available primary hepatocytes used in FDA-required drug metabolism studies:</w:t>
            </w:r>
          </w:p>
        </w:tc>
        <w:tc>
          <w:tcPr>
            <w:tcW w:w="25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18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34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9"/>
              </w:rPr>
              <w:t>Primary hepatocytes</w:t>
            </w:r>
          </w:p>
        </w:tc>
        <w:tc>
          <w:tcPr>
            <w:tcW w:w="25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2"/>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Human cells</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Liver enzyme activity</w:t>
            </w:r>
          </w:p>
        </w:tc>
        <w:tc>
          <w:tcPr>
            <w:tcW w:w="3480" w:type="dxa"/>
            <w:vAlign w:val="bottom"/>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Batch-to-batch reproducibility</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Maintenance of function in culture</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Uniform genetic background between batches</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Gene “reporters” can be genetically inserted</w:t>
            </w:r>
          </w:p>
        </w:tc>
        <w:tc>
          <w:tcPr>
            <w:tcW w:w="3480" w:type="dxa"/>
            <w:vAlign w:val="bottom"/>
          </w:tcPr>
          <w:p>
            <w:pPr>
              <w:spacing w:after="0"/>
              <w:rPr>
                <w:sz w:val="13"/>
                <w:szCs w:val="13"/>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Parkinson’s disease.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NIH has awarded us $8.8 million of grant funding for our preclinical and Phase 1 clinical development of AV-101. AV-101 is currently available for out-license to a strategic corporate partner. During 2014, we plan to seek strategic partnering arrangements for further clinical development and commercialization of AV-101 for neuropathic pain, epilepsy, depression and Parkinson’s disease.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AV-101 is an orally-available, non-sedating prodrug candidate that is converted in the brain into an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which regulates the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2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The effect of AV-101 on chronic neuropathic pain due to inflammation and nerve damage was assessed in rats by using the Chung nerve ligation model. AV-101 effects were compared to either saline and MK-801, or gabapentin (</w:t>
      </w:r>
      <w:r>
        <w:rPr>
          <w:rFonts w:ascii="Arial" w:cs="Arial" w:eastAsia="Arial" w:hAnsi="Arial"/>
          <w:sz w:val="10"/>
          <w:szCs w:val="10"/>
          <w:i w:val="1"/>
          <w:iCs w:val="1"/>
          <w:color w:val="auto"/>
        </w:rPr>
        <w:t>NeurontinTM</w:t>
      </w:r>
      <w:r>
        <w:rPr>
          <w:rFonts w:ascii="Arial" w:cs="Arial" w:eastAsia="Arial" w:hAnsi="Arial"/>
          <w:sz w:val="10"/>
          <w:szCs w:val="10"/>
          <w:color w:val="auto"/>
        </w:rPr>
        <w:t>)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440" w:hanging="259"/>
        <w:spacing w:after="0"/>
        <w:tabs>
          <w:tab w:leader="none" w:pos="4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and Duke University, for hPSC technology research and development;</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CERC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The Toronto-based Centre for Commercialization of Regenerative Medicine (</w:t>
      </w:r>
      <w:r>
        <w:rPr>
          <w:rFonts w:ascii="Arial" w:cs="Arial" w:eastAsia="Arial" w:hAnsi="Arial"/>
          <w:sz w:val="10"/>
          <w:szCs w:val="10"/>
          <w:i w:val="1"/>
          <w:iCs w:val="1"/>
          <w:color w:val="auto"/>
        </w:rPr>
        <w:t>CCRM</w:t>
      </w:r>
      <w:r>
        <w:rPr>
          <w:rFonts w:ascii="Arial" w:cs="Arial" w:eastAsia="Arial" w:hAnsi="Arial"/>
          <w:sz w:val="10"/>
          <w:szCs w:val="10"/>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68" w:lineRule="exact"/>
        <w:rPr>
          <w:sz w:val="20"/>
          <w:szCs w:val="20"/>
          <w:color w:val="auto"/>
        </w:rPr>
      </w:pPr>
    </w:p>
    <w:p>
      <w:pPr>
        <w:ind w:left="588" w:hanging="588"/>
        <w:spacing w:after="0"/>
        <w:tabs>
          <w:tab w:leader="none" w:pos="5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2"/>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68" w:lineRule="exact"/>
        <w:rPr>
          <w:rFonts w:ascii="Arial" w:cs="Arial" w:eastAsia="Arial" w:hAnsi="Arial"/>
          <w:sz w:val="12"/>
          <w:szCs w:val="12"/>
          <w:color w:val="auto"/>
        </w:rPr>
      </w:pPr>
    </w:p>
    <w:p>
      <w:pPr>
        <w:ind w:left="588" w:hanging="588"/>
        <w:spacing w:after="0"/>
        <w:tabs>
          <w:tab w:leader="none" w:pos="588" w:val="left"/>
        </w:tabs>
        <w:numPr>
          <w:ilvl w:val="0"/>
          <w:numId w:val="32"/>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2"/>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68" w:lineRule="exact"/>
        <w:rPr>
          <w:rFonts w:ascii="Arial" w:cs="Arial" w:eastAsia="Arial" w:hAnsi="Arial"/>
          <w:sz w:val="12"/>
          <w:szCs w:val="12"/>
          <w:color w:val="auto"/>
        </w:rPr>
      </w:pPr>
    </w:p>
    <w:p>
      <w:pPr>
        <w:ind w:left="8" w:right="1740" w:hanging="8"/>
        <w:spacing w:after="0" w:line="639" w:lineRule="auto"/>
        <w:tabs>
          <w:tab w:leader="none" w:pos="612" w:val="left"/>
        </w:tabs>
        <w:numPr>
          <w:ilvl w:val="0"/>
          <w:numId w:val="32"/>
        </w:numPr>
        <w:rPr>
          <w:rFonts w:ascii="Arial" w:cs="Arial" w:eastAsia="Arial" w:hAnsi="Arial"/>
          <w:sz w:val="10"/>
          <w:szCs w:val="10"/>
          <w:color w:val="auto"/>
        </w:rPr>
      </w:pPr>
      <w:r>
        <w:rPr>
          <w:rFonts w:ascii="Arial" w:cs="Arial" w:eastAsia="Arial" w:hAnsi="Arial"/>
          <w:sz w:val="10"/>
          <w:szCs w:val="10"/>
          <w:color w:val="auto"/>
        </w:rPr>
        <w:t>Based on a force per cardiomyocyte metric, cardiac tissue engineering methodology that used VistaGen’s cardiomyocytes exhibited 4-700-fold higher efficiency than previously reported; and Cardiac tissue patches generated using VistaGen’s cardiomyocytes exhibited velocities of electrical signal propagation 5-fold higher compared to previous reports in human engineered cardiac tissues.</w:t>
      </w:r>
    </w:p>
    <w:p>
      <w:pPr>
        <w:ind w:left="8"/>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Research</w:t>
      </w:r>
    </w:p>
    <w:p>
      <w:pPr>
        <w:spacing w:after="0" w:line="168" w:lineRule="exact"/>
        <w:rPr>
          <w:sz w:val="20"/>
          <w:szCs w:val="20"/>
          <w:color w:val="auto"/>
        </w:rPr>
      </w:pPr>
    </w:p>
    <w:p>
      <w:pPr>
        <w:jc w:val="both"/>
        <w:ind w:left="8"/>
        <w:spacing w:after="0" w:line="313" w:lineRule="auto"/>
        <w:rPr>
          <w:sz w:val="20"/>
          <w:szCs w:val="20"/>
          <w:color w:val="auto"/>
        </w:rPr>
      </w:pPr>
      <w:r>
        <w:rPr>
          <w:rFonts w:ascii="Arial" w:cs="Arial" w:eastAsia="Arial" w:hAnsi="Arial"/>
          <w:sz w:val="10"/>
          <w:szCs w:val="10"/>
          <w:color w:val="auto"/>
        </w:rPr>
        <w:t>Cato Research is a contract research and development organization (</w:t>
      </w:r>
      <w:r>
        <w:rPr>
          <w:rFonts w:ascii="Arial" w:cs="Arial" w:eastAsia="Arial" w:hAnsi="Arial"/>
          <w:sz w:val="10"/>
          <w:szCs w:val="10"/>
          <w:i w:val="1"/>
          <w:iCs w:val="1"/>
          <w:color w:val="auto"/>
        </w:rPr>
        <w:t>CRO</w:t>
      </w:r>
      <w:r>
        <w:rPr>
          <w:rFonts w:ascii="Arial" w:cs="Arial" w:eastAsia="Arial" w:hAnsi="Arial"/>
          <w:sz w:val="10"/>
          <w:szCs w:val="10"/>
          <w:color w:val="auto"/>
        </w:rPr>
        <w:t xml:space="preserve">),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BioVentures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Cato BioVentures</w:t>
      </w:r>
      <w:r>
        <w:rPr>
          <w:rFonts w:ascii="Arial" w:cs="Arial" w:eastAsia="Arial" w:hAnsi="Arial"/>
          <w:sz w:val="12"/>
          <w:szCs w:val="12"/>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8" w:name="page69"/>
    <w:bookmarkEnd w:id="6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Our Relationship with 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Cato Research is our primary CRO for development of AV-101. Cato BioVentures is among our largest, long-term institutional investors.</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w:t>
      </w:r>
      <w:r>
        <w:rPr>
          <w:rFonts w:ascii="Arial" w:cs="Arial" w:eastAsia="Arial" w:hAnsi="Arial"/>
          <w:sz w:val="11"/>
          <w:szCs w:val="11"/>
          <w:color w:val="auto"/>
        </w:rPr>
        <w:t>t</w:t>
      </w:r>
      <w:r>
        <w:rPr>
          <w:rFonts w:ascii="Arial" w:cs="Arial" w:eastAsia="Arial" w:hAnsi="Arial"/>
          <w:sz w:val="11"/>
          <w:szCs w:val="11"/>
          <w:i w:val="1"/>
          <w:iCs w:val="1"/>
          <w:color w:val="auto"/>
        </w:rPr>
        <w: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rather than out-license them to strategic partners.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w:t>
      </w:r>
      <w:r>
        <w:rPr>
          <w:rFonts w:ascii="Arial" w:cs="Arial" w:eastAsia="Arial" w:hAnsi="Arial"/>
          <w:sz w:val="12"/>
          <w:szCs w:val="12"/>
          <w:i w:val="1"/>
          <w:iCs w:val="1"/>
          <w:color w:val="auto"/>
        </w:rPr>
        <w:t>Proposition 71</w:t>
      </w:r>
      <w:r>
        <w:rPr>
          <w:rFonts w:ascii="Arial" w:cs="Arial" w:eastAsia="Arial" w:hAnsi="Arial"/>
          <w:sz w:val="12"/>
          <w:szCs w:val="12"/>
          <w:color w:val="auto"/>
        </w:rPr>
        <w:t>)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68" w:lineRule="exact"/>
        <w:rPr>
          <w:sz w:val="20"/>
          <w:szCs w:val="20"/>
          <w:color w:val="auto"/>
        </w:rPr>
      </w:pPr>
    </w:p>
    <w:p>
      <w:pPr>
        <w:ind w:left="428" w:hanging="428"/>
        <w:spacing w:after="0"/>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patents,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41" w:lineRule="exact"/>
        <w:rPr>
          <w:sz w:val="20"/>
          <w:szCs w:val="20"/>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prospectus, we either own or license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exclusive licenses to seven issued U.S. patents held by NJH, certain of which are not essential to our current operations and will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600" w:hanging="323"/>
        <w:spacing w:after="0"/>
        <w:tabs>
          <w:tab w:leader="none" w:pos="60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600" w:hanging="338"/>
        <w:spacing w:after="0" w:line="276" w:lineRule="auto"/>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600" w:hanging="338"/>
        <w:spacing w:after="0"/>
        <w:tabs>
          <w:tab w:leader="none" w:pos="6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drug discovery and development. Foreign counterparts have been filed in Australia, Canada, Europe, China, India, Hong Kong, Israel, Brazil, South Korea, India, Mexico, and New Zealand. The subject matter of these patents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hESC lines and composition of matter and use claims relating to hESCs important to drug discovery, and drug rescue screening. We have rights to:</w:t>
      </w:r>
    </w:p>
    <w:p>
      <w:pPr>
        <w:spacing w:after="0" w:line="141" w:lineRule="exact"/>
        <w:rPr>
          <w:sz w:val="20"/>
          <w:szCs w:val="20"/>
          <w:color w:val="auto"/>
        </w:rPr>
      </w:pPr>
    </w:p>
    <w:p>
      <w:pPr>
        <w:ind w:left="600" w:hanging="338"/>
        <w:spacing w:after="0"/>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that vary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40" w:type="dxa"/>
            <w:vAlign w:val="bottom"/>
          </w:tcPr>
          <w:p>
            <w:pPr>
              <w:spacing w:after="0"/>
              <w:rPr>
                <w:sz w:val="13"/>
                <w:szCs w:val="13"/>
                <w:color w:val="auto"/>
              </w:rPr>
            </w:pPr>
          </w:p>
        </w:tc>
        <w:tc>
          <w:tcPr>
            <w:tcW w:w="16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Patent No.</w:t>
            </w:r>
          </w:p>
        </w:tc>
        <w:tc>
          <w:tcPr>
            <w:tcW w:w="140" w:type="dxa"/>
            <w:vAlign w:val="bottom"/>
          </w:tcPr>
          <w:p>
            <w:pPr>
              <w:spacing w:after="0"/>
              <w:rPr>
                <w:sz w:val="13"/>
                <w:szCs w:val="13"/>
                <w:color w:val="auto"/>
              </w:rPr>
            </w:pPr>
          </w:p>
        </w:tc>
        <w:tc>
          <w:tcPr>
            <w:tcW w:w="4780" w:type="dxa"/>
            <w:vAlign w:val="bottom"/>
            <w:tcBorders>
              <w:bottom w:val="single" w:sz="8" w:color="auto"/>
            </w:tcBorders>
          </w:tcPr>
          <w:p>
            <w:pPr>
              <w:ind w:left="1780"/>
              <w:spacing w:after="0"/>
              <w:rPr>
                <w:sz w:val="20"/>
                <w:szCs w:val="20"/>
                <w:color w:val="auto"/>
              </w:rPr>
            </w:pPr>
            <w:r>
              <w:rPr>
                <w:rFonts w:ascii="Arial" w:cs="Arial" w:eastAsia="Arial" w:hAnsi="Arial"/>
                <w:sz w:val="12"/>
                <w:szCs w:val="12"/>
                <w:b w:val="1"/>
                <w:bCs w:val="1"/>
                <w:color w:val="auto"/>
              </w:rPr>
              <w:t>General Subject Matter</w:t>
            </w:r>
          </w:p>
        </w:tc>
        <w:tc>
          <w:tcPr>
            <w:tcW w:w="14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7,763,466</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1980" w:type="dxa"/>
            <w:vAlign w:val="bottom"/>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tcPr>
          <w:p>
            <w:pPr>
              <w:jc w:val="right"/>
              <w:ind w:right="500"/>
              <w:spacing w:after="0"/>
              <w:rPr>
                <w:sz w:val="20"/>
                <w:szCs w:val="20"/>
                <w:color w:val="auto"/>
              </w:rPr>
            </w:pPr>
            <w:r>
              <w:rPr>
                <w:rFonts w:ascii="Arial" w:cs="Arial" w:eastAsia="Arial" w:hAnsi="Arial"/>
                <w:sz w:val="12"/>
                <w:szCs w:val="12"/>
                <w:color w:val="auto"/>
              </w:rPr>
              <w:t>7,955,849</w:t>
            </w:r>
          </w:p>
        </w:tc>
        <w:tc>
          <w:tcPr>
            <w:tcW w:w="14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14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8,143,009</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projects under the agreement. We anticipate finalizing such discussions following consummation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We intend to utilize the licensed technology to develop hematopoietic precursor stem cells from human pluripotent stem cells, with the goal of developing drug discovery screening and regenerative medicine applications for human blood system disorders. This technology is included in a United States patent application. The terms of this agreement provide for a royalty payment equal to 3% of the first $25.0 million of certain revenues received from the licensed technology, and 2% thereafter.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exclusive licenses to issued U.S. patents related to the use and function of AV-101, and various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)-active molecules related to AV-101. These patents are held by the University of Maryland, Baltimore, the Cornell Research Foundation, Inc. and Aventis, Inc. The principle U.S. method of use patent related to AV-101 has expired. Foreign counterparts to that U.S. patent also have expired. However, we have filed three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1"/>
          <w:szCs w:val="11"/>
          <w:i w:val="1"/>
          <w:iCs w:val="1"/>
          <w:color w:val="auto"/>
        </w:rPr>
        <w:t>FDCA</w:t>
      </w:r>
      <w:r>
        <w:rPr>
          <w:rFonts w:ascii="Arial" w:cs="Arial" w:eastAsia="Arial" w:hAnsi="Arial"/>
          <w:sz w:val="11"/>
          <w:szCs w:val="11"/>
          <w:color w:val="auto"/>
        </w:rPr>
        <w:t>). The FDA’s New Drug Product Exclusivity is available for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1"/>
          <w:szCs w:val="11"/>
          <w:i w:val="1"/>
          <w:iCs w:val="1"/>
          <w:color w:val="auto"/>
        </w:rPr>
        <w:t>ANDAs</w:t>
      </w:r>
      <w:r>
        <w:rPr>
          <w:rFonts w:ascii="Arial" w:cs="Arial" w:eastAsia="Arial" w:hAnsi="Arial"/>
          <w:sz w:val="11"/>
          <w:szCs w:val="11"/>
          <w:color w:val="auto"/>
        </w:rPr>
        <w:t>), during the up to five-year exclusivity period, except that such applications may be submitted after four years if they contain a certification of patent invalidity or non-infringement.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license agreement requires us to make royalty payments on 2% of net sales of products using the patent rights, including products containing compounds covered by the patent rights. Additionally, the license agreement requires us to pay a 1% royalty on net sales of combination products that use patent rights, or contain compounds covered by the patent rights. Consequently, future sales of AV-101 are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2"/>
          <w:szCs w:val="12"/>
          <w:i w:val="1"/>
          <w:iCs w:val="1"/>
          <w:color w:val="auto"/>
        </w:rPr>
        <w:t>NMEs</w:t>
      </w:r>
      <w:r>
        <w:rPr>
          <w:rFonts w:ascii="Arial" w:cs="Arial" w:eastAsia="Arial" w:hAnsi="Arial"/>
          <w:sz w:val="12"/>
          <w:szCs w:val="12"/>
          <w:color w:val="auto"/>
        </w:rPr>
        <w:t xml:space="preserve">),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4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43" w:lineRule="exact"/>
        <w:rPr>
          <w:sz w:val="20"/>
          <w:szCs w:val="20"/>
          <w:color w:val="auto"/>
        </w:rPr>
      </w:pPr>
    </w:p>
    <w:p>
      <w:pPr>
        <w:ind w:left="748" w:hanging="748"/>
        <w:spacing w:after="0"/>
        <w:tabs>
          <w:tab w:leader="none" w:pos="74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additional regulations may arise during development that may affect approval or delay the submission or review of an application.</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 owned subsidiaries are managed by our senior management team based in South San Francisco, California.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w:t>
      </w:r>
      <w:r>
        <w:rPr>
          <w:rFonts w:ascii="Arial" w:cs="Arial" w:eastAsia="Arial" w:hAnsi="Arial"/>
          <w:sz w:val="11"/>
          <w:szCs w:val="11"/>
          <w:i w:val="1"/>
          <w:iCs w:val="1"/>
          <w:color w:val="auto"/>
        </w:rPr>
        <w:t>Business – Strategic Transactions and Relationships</w:t>
      </w:r>
      <w:r>
        <w:rPr>
          <w:rFonts w:ascii="Arial" w:cs="Arial" w:eastAsia="Arial" w:hAnsi="Arial"/>
          <w:sz w:val="11"/>
          <w:szCs w:val="1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may be a party to litigation and subject to claims incident to the ordinary course of business. We are not currently a party to any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Securities Purchase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8, 2013, we entered into a Securities Purchase Agreement with Autilion, as amended, pursuant to which we agreed to sell to Autilion 72.0 million shares of our common stock for $0.50 per share, on or before April 30, 2013, resulting in gross proceeds to us of $36.0 million. The Securities Purchase Agreement also provides for the election of one Autilion designee to the Company’s Board of Directors. Prior to giving effect to the Offering, assuming consummation of the Autilion Financing, Autilion will beneficially own in excess of a majority of the our currently issued and outstanding common stock.</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Contemporaneous with the execution of the Securities Purchase Agreement, Autilion entered into a Voting Agreement, pursuant to which Autilion agreed to vote all shares of capital stock held by Autilion consistent with the recommendation of a majority of the members of our board of directors. In addition, in the event of a Change in Control of the Company, as defined in the Voting Agreement, or an extraordinary transaction outside of the ordinary course of the Company’s business, in each case approved by a majority of our board of directors, including the Autilion’s designee to the board of directors, as well as by the holders of a majority of the outstanding shares of common stock held by stockholders unaffiliated with Autilion (</w:t>
      </w:r>
      <w:r>
        <w:rPr>
          <w:rFonts w:ascii="Arial" w:cs="Arial" w:eastAsia="Arial" w:hAnsi="Arial"/>
          <w:sz w:val="11"/>
          <w:szCs w:val="11"/>
          <w:i w:val="1"/>
          <w:iCs w:val="1"/>
          <w:color w:val="auto"/>
        </w:rPr>
        <w:t>Approved Transaction</w:t>
      </w:r>
      <w:r>
        <w:rPr>
          <w:rFonts w:ascii="Arial" w:cs="Arial" w:eastAsia="Arial" w:hAnsi="Arial"/>
          <w:sz w:val="11"/>
          <w:szCs w:val="11"/>
          <w:color w:val="auto"/>
        </w:rPr>
        <w:t>), Autilion is required to vote all shares of capital stock held by Autilion for such Approved Transaction.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and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Markets Group Inc.’s OTCQB tier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0.74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0.28</w:t>
            </w:r>
          </w:p>
        </w:tc>
      </w:tr>
      <w:tr>
        <w:trPr>
          <w:trHeight w:val="288"/>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0.89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0.28</w:t>
            </w:r>
          </w:p>
        </w:tc>
      </w:tr>
      <w:tr>
        <w:trPr>
          <w:trHeight w:val="279"/>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0.16</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1.52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On July 24, 2014 the closing price of our common stock on the OTCQB was $0.64 per share.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any dividend. We may, as our Board of Directors deems appropriate, continue to retain all earnings to use in our business or may consider paying dividends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at July 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Number of securities remaining available for</w:t>
            </w:r>
          </w:p>
        </w:tc>
      </w:t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future issuance under equity compensation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Number of securities to be issued upon exercise</w:t>
            </w:r>
          </w:p>
        </w:tc>
        <w:tc>
          <w:tcPr>
            <w:tcW w:w="2640" w:type="dxa"/>
            <w:vAlign w:val="bottom"/>
            <w:gridSpan w:val="3"/>
          </w:tcPr>
          <w:p>
            <w:pPr>
              <w:spacing w:after="0"/>
              <w:rPr>
                <w:sz w:val="20"/>
                <w:szCs w:val="20"/>
                <w:color w:val="auto"/>
              </w:rPr>
            </w:pPr>
            <w:r>
              <w:rPr>
                <w:rFonts w:ascii="Arial" w:cs="Arial" w:eastAsia="Arial" w:hAnsi="Arial"/>
                <w:sz w:val="12"/>
                <w:szCs w:val="12"/>
                <w:b w:val="1"/>
                <w:bCs w:val="1"/>
                <w:color w:val="auto"/>
                <w:w w:val="95"/>
              </w:rPr>
              <w:t>Weighted-average exercise price of outstanding</w:t>
            </w: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plans (excluding securities reflected in column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of outstanding options, warrants and rights</w:t>
            </w:r>
          </w:p>
        </w:tc>
        <w:tc>
          <w:tcPr>
            <w:tcW w:w="260" w:type="dxa"/>
            <w:vAlign w:val="bottom"/>
          </w:tcPr>
          <w:p>
            <w:pPr>
              <w:spacing w:after="0"/>
              <w:rPr>
                <w:sz w:val="12"/>
                <w:szCs w:val="12"/>
                <w:color w:val="auto"/>
              </w:rPr>
            </w:pPr>
          </w:p>
        </w:tc>
        <w:tc>
          <w:tcPr>
            <w:tcW w:w="2380" w:type="dxa"/>
            <w:vAlign w:val="bottom"/>
            <w:gridSpan w:val="2"/>
          </w:tcPr>
          <w:p>
            <w:pPr>
              <w:ind w:left="220"/>
              <w:spacing w:after="0"/>
              <w:rPr>
                <w:sz w:val="20"/>
                <w:szCs w:val="20"/>
                <w:color w:val="auto"/>
              </w:rPr>
            </w:pPr>
            <w:r>
              <w:rPr>
                <w:rFonts w:ascii="Arial" w:cs="Arial" w:eastAsia="Arial" w:hAnsi="Arial"/>
                <w:sz w:val="12"/>
                <w:szCs w:val="12"/>
                <w:b w:val="1"/>
                <w:bCs w:val="1"/>
                <w:color w:val="auto"/>
              </w:rPr>
              <w:t>options, warrants and rights</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360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20" w:type="dxa"/>
            <w:vAlign w:val="bottom"/>
          </w:tcPr>
          <w:p>
            <w:pPr>
              <w:spacing w:after="0"/>
              <w:rPr>
                <w:sz w:val="13"/>
                <w:szCs w:val="13"/>
                <w:color w:val="auto"/>
              </w:rPr>
            </w:pPr>
          </w:p>
        </w:tc>
      </w:tr>
      <w:tr>
        <w:trPr>
          <w:trHeight w:val="14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3,964,800</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2"/>
                <w:szCs w:val="12"/>
                <w:color w:val="auto"/>
              </w:rPr>
            </w:pP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0.58</w:t>
            </w:r>
          </w:p>
        </w:tc>
        <w:tc>
          <w:tcPr>
            <w:tcW w:w="200" w:type="dxa"/>
            <w:vAlign w:val="bottom"/>
          </w:tcPr>
          <w:p>
            <w:pPr>
              <w:spacing w:after="0"/>
              <w:rPr>
                <w:sz w:val="12"/>
                <w:szCs w:val="12"/>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8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4,227,537</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5"/>
                <w:szCs w:val="15"/>
                <w:color w:val="auto"/>
              </w:rPr>
            </w:pPr>
          </w:p>
        </w:tc>
      </w:tr>
      <w:tr>
        <w:trPr>
          <w:trHeight w:val="543"/>
        </w:trPr>
        <w:tc>
          <w:tcPr>
            <w:tcW w:w="3600" w:type="dxa"/>
            <w:vAlign w:val="bottom"/>
            <w:tcBorders>
              <w:top w:val="single" w:sz="8" w:color="CCEEFF"/>
            </w:tcBorders>
          </w:tcPr>
          <w:p>
            <w:pPr>
              <w:spacing w:after="0"/>
              <w:rPr>
                <w:sz w:val="24"/>
                <w:szCs w:val="24"/>
                <w:color w:val="auto"/>
              </w:rPr>
            </w:pPr>
          </w:p>
        </w:tc>
        <w:tc>
          <w:tcPr>
            <w:tcW w:w="244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-71-</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60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biotechnology company with expertise applying human pluripotent stem cell technology for drug rescue and regenerative medicine.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and using the cells we produce to design customized biological assay systems for drug discovery and drug rescue, as well as regenerative medicine applications.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mature heart cells produced from stem cells, we have developed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 novel bioassay system for assessing potential cardiotoxicity of new drug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predicting the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cardiac effects, both toxic and non-toxic, of small molecule drug candidates before they are ever tested in animals or humans. With mature, functional hepatocytes (liver cells) we have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human liver cell-based bioassay system, for assessing potential liver toxicity and adverse drug-drug interactions early in development. We are now focused on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small molecule drugs with reported clinical results involving liver toxicity, including drug-induced liver injury and metabolism issues that can result in serious adverse drug-drug interactions. We believe our novel, customized human pluripotent stem cell-derived bioassay systems will allow us to assess the heart and liver safety profile of new small molecule drug candidates with greater speed and precision than nonclinical surrogate safety testing models currently used in drug development.</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drug rescue business model involves using our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medicinal chemistry to generate and either develop internally or out-license to third-parties, new, potentially safer proprietary variants of once-promising small molecule drug candidates that pharmaceutical companies and others have discovered, optimized for efficacy and evaluated as having commercial potential, but ultimately discontinued prior to market approval due to unexpected heart or liver safety concerns. We refer to these once-promising drug candidates we believe are now suitable for our drug rescue programs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we refer to the new, potentially safer proprietary variants we intend to generate in our drug rescue programs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Our drug rescue strategy is to leverage substantial prior investment in the discovery and optimization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Candidates </w:t>
      </w:r>
      <w:r>
        <w:rPr>
          <w:rFonts w:ascii="Arial" w:cs="Arial" w:eastAsia="Arial" w:hAnsi="Arial"/>
          <w:sz w:val="11"/>
          <w:szCs w:val="11"/>
          <w:color w:val="auto"/>
        </w:rPr>
        <w:t>by pharmaceutical companies and others, unique and new heart and liver biology insight regarding such</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we generate by screening them in</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contract medicinal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chemistry expertise to generate novel,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for development and commercialization.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utilizing the vast amount of information available in the public domain with respect to identification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may also seek to in-license or acquire rights to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produce and internally develop or out-license, including, in the case of out-licensed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customary up-front payments, development milestone payments and, if approved for commercial sale, royalty payments on sales.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addition to our drug rescue programs, upon completion of this Offering, we are planning to initiate several exploratory nonclinical development programs with Dr. Gordon Keller, one of the world’s most experienced stem cell research scientists, relating to differentiation and production of multiple cell types for regenerative medicine purposes, including stem cell-based small molecule drug discovery, with an emphasis on blood, bone, cartilage, heart, liver and pancreas (insulin-producing beta-islet) cells. Each of these exploratory regenerative medicine programs would be based on the proprietary controlled differentiation and production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 grant funding from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we have successfully completed Phase 1 development of AV-101. AV-101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We were awarded over $8.8 million of grant funding from the NIH to support our nonclinical and Phase I clinical development of AV-101 for neuropathic pain. We intend to seek potential strategic partnering alternatives for further clinical development and commercialization of AV-101 for neuropathic pain, epilepsy, depression and Parkinson’s disease.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foreseeable future as we expand our drug rescue activities and the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During fiscal 2014, our scientific personnel have continued to expand the drug rescue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further develop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internal scientific operations were curtailed somewhat during our second fiscal quarter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following the move, resulting in part from a third-party institutional investor’s failure to close the financing described below, continued to restrict certain scientific activities and collaborations for the remainder of the fiscal year. Nevertheless, we have continued to advance the drug rescue capabilities of our heart and liver cells and cellular assay systems and pursue our internal evaluation of prospective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We successfully completed Phase 1 clinical development of AV-101 during our fiscal year ended March 31, 2013 and directed effort during the first quarter of fiscal 2014 to finalizing AV-101 Phase 1b clinical study</w:t>
      </w:r>
      <w:r>
        <w:rPr>
          <w:rFonts w:ascii="Arial" w:cs="Arial" w:eastAsia="Arial" w:hAnsi="Arial"/>
          <w:sz w:val="11"/>
          <w:szCs w:val="11"/>
          <w:i w:val="1"/>
          <w:iCs w:val="1"/>
          <w:color w:val="auto"/>
        </w:rPr>
        <w:t xml:space="preserve"> </w:t>
      </w:r>
      <w:r>
        <w:rPr>
          <w:rFonts w:ascii="Arial" w:cs="Arial" w:eastAsia="Arial" w:hAnsi="Arial"/>
          <w:sz w:val="11"/>
          <w:szCs w:val="11"/>
          <w:color w:val="auto"/>
        </w:rPr>
        <w:t>reports, as required under the terms of our NIH grant awards and to facilitate further collaborative development of AV-101.</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our common stock at a purchase price of $0.50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To meet our working capital needs as a result of Autilion’s default under the Securities Purchase Agreement, during June and July 2013, we offered certain warrant holders the opportunity to exercise outstanding warrants having an exercise price of $1.50 per share to purchase shares of our restricted common stock at a reduced exercise price of $0.50 per share. Participating warrant holders exercised modified warrants to purchase an aggregate of 528,370 restricted shares of our common stock and we received cash proceeds of $264,200. In addition, certain long-term warrant holders exercised modified warrants to purchase 16,646 restricted shares of our common stock in lieu of payment by us in satisfaction of amounts due for professional services in the aggregate amount of $8,300. Additionally, in July 2013, we issued to Platinum Long Term Growth Fund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our largest institutional investor, a senior secured convertible note in the face amount of $250,000 (the </w:t>
      </w:r>
      <w:r>
        <w:rPr>
          <w:rFonts w:ascii="Arial" w:cs="Arial" w:eastAsia="Arial" w:hAnsi="Arial"/>
          <w:sz w:val="11"/>
          <w:szCs w:val="11"/>
          <w:i w:val="1"/>
          <w:iCs w:val="1"/>
          <w:color w:val="auto"/>
        </w:rPr>
        <w:t>July 2013 Note</w:t>
      </w:r>
      <w:r>
        <w:rPr>
          <w:rFonts w:ascii="Arial" w:cs="Arial" w:eastAsia="Arial" w:hAnsi="Arial"/>
          <w:sz w:val="11"/>
          <w:szCs w:val="11"/>
          <w:color w:val="auto"/>
        </w:rPr>
        <w:t>) and a five-year warrant to purchase 250,000 restricted shares of our common stock at an exercise price of $0.50 per share. Between August 2013 and March 14, 2014, we entered into securities purchase agreements with certain accredited investors pursuant to which we sold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July 1, 2014, we entered into subscription agreements with accredited investors, including Platinum, pursuant to which we sold Units consisting, in aggregate, of: (i) 10% convertible notes maturing on March 31, 2015 in the aggregate face amount of $1,570,000; (ii) an aggregate of 1,570,000 restricted shares of our common stock; and (iii) warrants exercisable through December 31, 2016 to purchase an aggregate of 1,570,000 restricted shares of our common stock at an exercise price of $0.50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2014</w:t>
            </w:r>
          </w:p>
        </w:tc>
        <w:tc>
          <w:tcPr>
            <w:tcW w:w="106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Grant revenue</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60"/>
              <w:spacing w:after="0"/>
              <w:rPr>
                <w:sz w:val="20"/>
                <w:szCs w:val="20"/>
                <w:color w:val="auto"/>
              </w:rPr>
            </w:pPr>
            <w:r>
              <w:rPr>
                <w:rFonts w:ascii="Arial" w:cs="Arial" w:eastAsia="Arial" w:hAnsi="Arial"/>
                <w:sz w:val="12"/>
                <w:szCs w:val="12"/>
                <w:color w:val="auto"/>
              </w:rPr>
              <w:t>Total operating expenses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expenses, net: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Change in warrant liabilities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early extinguishment of debt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8840" w:type="dxa"/>
            <w:vAlign w:val="bottom"/>
          </w:tcPr>
          <w:p>
            <w:pPr>
              <w:ind w:left="60"/>
              <w:spacing w:after="0"/>
              <w:rPr>
                <w:sz w:val="20"/>
                <w:szCs w:val="20"/>
                <w:color w:val="auto"/>
              </w:rPr>
            </w:pPr>
            <w:r>
              <w:rPr>
                <w:rFonts w:ascii="Arial" w:cs="Arial" w:eastAsia="Arial" w:hAnsi="Arial"/>
                <w:sz w:val="12"/>
                <w:szCs w:val="12"/>
                <w:color w:val="auto"/>
              </w:rPr>
              <w:t>Deemed dividend on Series A Preferred Stock</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epilepsy and Parkinson’s disease.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41" w:lineRule="exact"/>
        <w:rPr>
          <w:sz w:val="20"/>
          <w:szCs w:val="20"/>
          <w:color w:val="auto"/>
        </w:rPr>
      </w:pPr>
    </w:p>
    <w:p>
      <w:pPr>
        <w:ind w:left="740" w:hanging="411"/>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such licensed technology and our internally generated inventions: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60" w:lineRule="exact"/>
        <w:rPr>
          <w:rFonts w:ascii="Arial" w:cs="Arial" w:eastAsia="Arial" w:hAnsi="Arial"/>
          <w:sz w:val="12"/>
          <w:szCs w:val="12"/>
          <w:color w:val="auto"/>
        </w:rPr>
      </w:pPr>
    </w:p>
    <w:p>
      <w:pPr>
        <w:ind w:left="740" w:hanging="418"/>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2"/>
          <w:szCs w:val="12"/>
          <w:color w:val="auto"/>
        </w:rPr>
        <w:t>leasing and depreciation of laboratory equipment; and</w:t>
      </w:r>
    </w:p>
    <w:p>
      <w:pPr>
        <w:spacing w:after="0" w:line="171" w:lineRule="exact"/>
        <w:rPr>
          <w:rFonts w:ascii="Arial" w:cs="Arial" w:eastAsia="Arial" w:hAnsi="Arial"/>
          <w:sz w:val="14"/>
          <w:szCs w:val="14"/>
          <w:color w:val="auto"/>
        </w:rPr>
      </w:pPr>
    </w:p>
    <w:p>
      <w:pPr>
        <w:ind w:left="740" w:hanging="411"/>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 Foerster, Cato Research Ltd. and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UHN,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2" w:name="page83"/>
    <w:bookmarkEnd w:id="8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428" w:hanging="428"/>
        <w:spacing w:after="0" w:line="281" w:lineRule="auto"/>
        <w:tabs>
          <w:tab w:leader="none" w:pos="4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428" w:hanging="428"/>
        <w:spacing w:after="0" w:line="263" w:lineRule="auto"/>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See Note 3 to the consolidated financial statements included elsewhere in this prospectus for information on recent accounting pronouncements.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The following table compares our primary revenue sources between the periods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decreased by 28% or $900,000 to $2.5 million in fiscal 2014 compared to $3.4 million in fiscal 2013. The following table compares the primary components of research and development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Consulting services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AV-101</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 including CardioSafe and LiverSafe</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Rent</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5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Arial" w:cs="Arial" w:eastAsia="Arial" w:hAnsi="Arial"/>
                <w:sz w:val="12"/>
                <w:szCs w:val="12"/>
                <w:color w:val="auto"/>
              </w:rPr>
              <w:t>-78-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4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or $1.0 million to $2.5 million in fiscal 2014 compared to $3.6 million in fiscal 2013. The following table compares the primary components of general and administrative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-79-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w w:val="91"/>
              </w:rPr>
              <w:t>The following table compares the primary components of net interest expense between the periods (in thousands):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fair value of replacement warrants issued in connection</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with exercise of modified warrants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of common stock or notes payable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investment banker warrants related to February 2012 Convertible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promissory notes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Notes to Platinum under June and October 2012 agreements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540" w:type="dxa"/>
            <w:vAlign w:val="bottom"/>
            <w:tcBorders>
              <w:top w:val="single" w:sz="8" w:color="CCEEFF"/>
            </w:tcBorders>
          </w:tcPr>
          <w:p>
            <w:pPr>
              <w:spacing w:after="0"/>
              <w:rPr>
                <w:sz w:val="24"/>
                <w:szCs w:val="24"/>
                <w:color w:val="auto"/>
              </w:rPr>
            </w:pPr>
          </w:p>
        </w:tc>
        <w:tc>
          <w:tcPr>
            <w:tcW w:w="3280" w:type="dxa"/>
            <w:vAlign w:val="bottom"/>
            <w:tcBorders>
              <w:top w:val="single" w:sz="8" w:color="CCEEFF"/>
            </w:tcBorders>
          </w:tcPr>
          <w:p>
            <w:pPr>
              <w:jc w:val="right"/>
              <w:ind w:right="2940"/>
              <w:spacing w:after="0"/>
              <w:rPr>
                <w:sz w:val="20"/>
                <w:szCs w:val="20"/>
                <w:color w:val="auto"/>
              </w:rPr>
            </w:pPr>
            <w:r>
              <w:rPr>
                <w:rFonts w:ascii="Arial" w:cs="Arial" w:eastAsia="Arial" w:hAnsi="Arial"/>
                <w:sz w:val="12"/>
                <w:szCs w:val="12"/>
                <w:color w:val="auto"/>
              </w:rPr>
              <w:t>-80-</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4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Promissory Notes and Other Notes Payable, </w:t>
      </w:r>
      <w:r>
        <w:rPr>
          <w:rFonts w:ascii="Arial" w:cs="Arial" w:eastAsia="Arial" w:hAnsi="Arial"/>
          <w:sz w:val="11"/>
          <w:szCs w:val="11"/>
          <w:color w:val="auto"/>
        </w:rPr>
        <w:t>in the Consolidated Financial Statements included elsewhere in this prospectus), and the contingent issuance of the Series A Exchange Warrant to Platinum upon Platinum’s exchange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of our Series A Preferred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fiscal 2013, in connection with the October 2012 Note Exchange and Purchase Agreement we entered with Platinum,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10, </w:t>
      </w:r>
      <w:r>
        <w:rPr>
          <w:rFonts w:ascii="Arial" w:cs="Arial" w:eastAsia="Arial" w:hAnsi="Arial"/>
          <w:sz w:val="12"/>
          <w:szCs w:val="12"/>
          <w:i w:val="1"/>
          <w:iCs w:val="1"/>
          <w:color w:val="auto"/>
        </w:rPr>
        <w:t>Capital Stock</w:t>
      </w:r>
      <w:r>
        <w:rPr>
          <w:rFonts w:ascii="Arial" w:cs="Arial" w:eastAsia="Arial" w:hAnsi="Arial"/>
          <w:sz w:val="12"/>
          <w:szCs w:val="12"/>
          <w:color w:val="auto"/>
        </w:rPr>
        <w:t>, in the Consolidated Financial Statements included elsewhere in this prospectus, we recorded a non-cash 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or an alternate debt- or equity-based financing, through July 1, 2014, we entered into securities purchase agreements with accredited investors pursuant to which we sold to such accredited investors certain Units for aggregate cash proceeds of $1,520,000, consisting of: (i) 10% subordinate convertible promissory notes in the aggregate face amount of $1,520,000 maturing on March 31, 2015; (ii) an aggregate of 1,520,000 restricted shares of our common stock; and (iii) warrants exercisable through December 31, 2016 to purchase an aggregate of 1,520,000 restricted shares of our common stock at an exercise price of $0.50 per share. We anticipate that our cash expenditures during the next twelve months will be approximately $4.0 to $6.0 million.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72.0 million restricted shares of our common stock at a purchase price of $0.50 per share for aggregate cash proceeds to us of $36.0 million. To date, Autilion has completed only a nominal closing under the Securities Purchase Agreement. Autilion is therefore in default under the Securities Purchase Agreement, and no assurances can be given that Autilion will consummate additional investments under the Securities Purchase Agreement. In the event that Autilion does not complete a material closing under the Securities Purchase Agreement in the near term, we anticipate that we will need to raise between $4.0 million and $6.0 million from alternative financing sources to execute our current business plan, which we intend to obtain as a result of the consummation of the Offering, although no assurances can be given that we will raise the maximum Offering amount or a sufficient amount to fund our operations and satisfy our outstanding obligations.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26 million shares of our restricted common stock in connection with such closing, without giving effect to any closings in connection with the Offering,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9" w:name="page90"/>
    <w:bookmarkEnd w:id="89"/>
    <w:tbl>
      <w:tblPr>
        <w:tblLayout w:type="fixed"/>
        <w:tblInd w:w="8" w:type="dxa"/>
        <w:tblCellMar>
          <w:top w:w="0" w:type="dxa"/>
          <w:left w:w="0" w:type="dxa"/>
          <w:bottom w:w="0" w:type="dxa"/>
          <w:right w:w="0" w:type="dxa"/>
        </w:tblCellMar>
      </w:tblPr>
      <w:tr>
        <w:trPr>
          <w:trHeight w:val="126"/>
        </w:trPr>
        <w:tc>
          <w:tcPr>
            <w:tcW w:w="3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80" w:type="dxa"/>
            <w:vAlign w:val="bottom"/>
            <w:gridSpan w:val="2"/>
          </w:tcPr>
          <w:p>
            <w:pPr>
              <w:ind w:left="180"/>
              <w:spacing w:after="0"/>
              <w:rPr>
                <w:sz w:val="20"/>
                <w:szCs w:val="20"/>
                <w:color w:val="auto"/>
              </w:rPr>
            </w:pPr>
            <w:r>
              <w:rPr>
                <w:rFonts w:ascii="Arial" w:cs="Arial" w:eastAsia="Arial" w:hAnsi="Arial"/>
                <w:sz w:val="12"/>
                <w:szCs w:val="12"/>
                <w:b w:val="1"/>
                <w:bCs w:val="1"/>
                <w:color w:val="auto"/>
              </w:rPr>
              <w:t>MANAGEMENT</w:t>
            </w: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color w:val="auto"/>
              </w:rPr>
              <w:t>Our directors and executive officers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6380" w:type="dxa"/>
            <w:vAlign w:val="bottom"/>
            <w:gridSpan w:val="2"/>
          </w:tcPr>
          <w:p>
            <w:pPr>
              <w:ind w:left="32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Chief Executive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64</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Founder, President, Chief Scientific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61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Vice President, Chief Financial Officer and Secretary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Jon S. Saxe (1)</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78</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Brian J. Underdown, PhD. (2)</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73</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2"/>
          <w:szCs w:val="12"/>
          <w:i w:val="1"/>
          <w:iCs w:val="1"/>
          <w:color w:val="auto"/>
        </w:rPr>
        <w:t>BIO</w:t>
      </w:r>
      <w:r>
        <w:rPr>
          <w:rFonts w:ascii="Arial" w:cs="Arial" w:eastAsia="Arial" w:hAnsi="Arial"/>
          <w:sz w:val="12"/>
          <w:szCs w:val="12"/>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90" w:name="page91"/>
    <w:bookmarkEnd w:id="9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2008.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2" w:name="page93"/>
    <w:bookmarkEnd w:id="9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33" w:lineRule="exact"/>
        <w:rPr>
          <w:sz w:val="20"/>
          <w:szCs w:val="20"/>
          <w:color w:val="auto"/>
        </w:rPr>
      </w:pPr>
    </w:p>
    <w:p>
      <w:pPr>
        <w:ind w:left="428" w:hanging="428"/>
        <w:spacing w:after="0" w:line="323" w:lineRule="auto"/>
        <w:tabs>
          <w:tab w:leader="none" w:pos="428"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3" w:name="page94"/>
    <w:bookmarkEnd w:id="9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Monitoring the administration of incentive-compensation plans and equity-based incentive plans as in effect and as adopted from time to time by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3" w:lineRule="exact"/>
        <w:rPr>
          <w:sz w:val="20"/>
          <w:szCs w:val="20"/>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Code of Business Conduct and Ethics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at www.vistagen.com or in filings with the SEC under the Exchange Act.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4" w:name="page95"/>
    <w:bookmarkEnd w:id="9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 Compensation Table for Fiscal Years 2014 and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section provides compensation information about the following individuals:</w:t>
      </w:r>
    </w:p>
    <w:p>
      <w:pPr>
        <w:spacing w:after="0" w:line="168" w:lineRule="exact"/>
        <w:rPr>
          <w:sz w:val="20"/>
          <w:szCs w:val="20"/>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Shawn K. Singh, J.D.,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director;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H. Ralph Snodgrass, Ph.D., our President,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and director;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Jerrold D. Dotson, CPA, our Vice President,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and Secretary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discussion below, we refer to this group of executives as the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This group includes the executive officers for whom disclosure is required under the applicable rules of the SEC.</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in the fiscal years ended March 31, 2014 and 2013:</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4"/>
              </w:rPr>
              <w:t>Option and Warrant</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All Other</w:t>
            </w: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760" w:type="dxa"/>
            <w:vAlign w:val="bottom"/>
          </w:tcPr>
          <w:p>
            <w:pPr>
              <w:jc w:val="center"/>
              <w:ind w:right="100"/>
              <w:spacing w:after="0"/>
              <w:rPr>
                <w:sz w:val="20"/>
                <w:szCs w:val="20"/>
                <w:color w:val="auto"/>
              </w:rPr>
            </w:pPr>
            <w:r>
              <w:rPr>
                <w:rFonts w:ascii="Arial" w:cs="Arial" w:eastAsia="Arial" w:hAnsi="Arial"/>
                <w:sz w:val="12"/>
                <w:szCs w:val="12"/>
                <w:b w:val="1"/>
                <w:bCs w:val="1"/>
                <w:color w:val="auto"/>
                <w:w w:val="88"/>
              </w:rPr>
              <w:t>Fiscal Year</w:t>
            </w:r>
          </w:p>
        </w:tc>
        <w:tc>
          <w:tcPr>
            <w:tcW w:w="12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Salary ($)</w:t>
            </w:r>
          </w:p>
        </w:tc>
        <w:tc>
          <w:tcPr>
            <w:tcW w:w="1360" w:type="dxa"/>
            <w:vAlign w:val="bottom"/>
            <w:gridSpan w:val="2"/>
          </w:tcPr>
          <w:p>
            <w:pPr>
              <w:ind w:left="320"/>
              <w:spacing w:after="0"/>
              <w:rPr>
                <w:sz w:val="20"/>
                <w:szCs w:val="20"/>
                <w:color w:val="auto"/>
              </w:rPr>
            </w:pPr>
            <w:r>
              <w:rPr>
                <w:rFonts w:ascii="Arial" w:cs="Arial" w:eastAsia="Arial" w:hAnsi="Arial"/>
                <w:sz w:val="12"/>
                <w:szCs w:val="12"/>
                <w:b w:val="1"/>
                <w:bCs w:val="1"/>
                <w:color w:val="auto"/>
              </w:rPr>
              <w:t>Bonus ($)</w:t>
            </w:r>
          </w:p>
        </w:tc>
        <w:tc>
          <w:tcPr>
            <w:tcW w:w="14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Awards (7) ($)</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Compensation ($)</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 (1)</w:t>
            </w:r>
          </w:p>
        </w:tc>
        <w:tc>
          <w:tcPr>
            <w:tcW w:w="176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250,000(4)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159,802(8)</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409,802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(9)</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760" w:type="dxa"/>
            <w:vAlign w:val="bottom"/>
          </w:tcPr>
          <w:p>
            <w:pPr>
              <w:jc w:val="center"/>
              <w:ind w:right="100"/>
              <w:spacing w:after="0"/>
              <w:rPr>
                <w:sz w:val="20"/>
                <w:szCs w:val="20"/>
                <w:color w:val="auto"/>
              </w:rPr>
            </w:pPr>
            <w:r>
              <w:rPr>
                <w:rFonts w:ascii="Arial" w:cs="Arial" w:eastAsia="Arial" w:hAnsi="Arial"/>
                <w:sz w:val="12"/>
                <w:szCs w:val="12"/>
                <w:color w:val="auto"/>
                <w:w w:val="89"/>
              </w:rPr>
              <w:t>2013</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201,646</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2"/>
                <w:szCs w:val="12"/>
                <w:color w:val="auto"/>
              </w:rPr>
              <w:t>802,411(10)</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2"/>
                <w:szCs w:val="12"/>
                <w:color w:val="auto"/>
              </w:rPr>
              <w:t>1,004,057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2"/>
                <w:szCs w:val="12"/>
                <w:color w:val="auto"/>
              </w:rPr>
              <w:t>H. Ralph Snodgrass, Ph.D. (2)</w:t>
            </w:r>
          </w:p>
        </w:tc>
        <w:tc>
          <w:tcPr>
            <w:tcW w:w="1760" w:type="dxa"/>
            <w:vAlign w:val="bottom"/>
          </w:tcPr>
          <w:p>
            <w:pPr>
              <w:jc w:val="center"/>
              <w:ind w:right="100"/>
              <w:spacing w:after="0"/>
              <w:rPr>
                <w:sz w:val="20"/>
                <w:szCs w:val="20"/>
                <w:color w:val="auto"/>
              </w:rPr>
            </w:pPr>
            <w:r>
              <w:rPr>
                <w:rFonts w:ascii="Arial" w:cs="Arial" w:eastAsia="Arial" w:hAnsi="Arial"/>
                <w:sz w:val="12"/>
                <w:szCs w:val="12"/>
                <w:color w:val="auto"/>
                <w:w w:val="89"/>
              </w:rPr>
              <w:t>2014</w:t>
            </w:r>
          </w:p>
        </w:tc>
        <w:tc>
          <w:tcPr>
            <w:tcW w:w="1480" w:type="dxa"/>
            <w:vAlign w:val="bottom"/>
            <w:gridSpan w:val="3"/>
          </w:tcPr>
          <w:p>
            <w:pPr>
              <w:jc w:val="right"/>
              <w:ind w:right="100"/>
              <w:spacing w:after="0"/>
              <w:rPr>
                <w:sz w:val="20"/>
                <w:szCs w:val="20"/>
                <w:color w:val="auto"/>
              </w:rPr>
            </w:pPr>
            <w:r>
              <w:rPr>
                <w:rFonts w:ascii="Arial" w:cs="Arial" w:eastAsia="Arial" w:hAnsi="Arial"/>
                <w:sz w:val="12"/>
                <w:szCs w:val="12"/>
                <w:color w:val="auto"/>
              </w:rPr>
              <w:t>250,000(5)</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102,353(8)</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352,353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76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89"/>
              </w:rPr>
              <w:t>2013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203,086</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534,941(10)</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 (3)</w:t>
            </w:r>
          </w:p>
        </w:tc>
        <w:tc>
          <w:tcPr>
            <w:tcW w:w="176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200,000(6)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36,846(8)</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line="136" w:lineRule="exact"/>
              <w:rPr>
                <w:sz w:val="20"/>
                <w:szCs w:val="20"/>
                <w:color w:val="auto"/>
              </w:rPr>
            </w:pPr>
            <w:r>
              <w:rPr>
                <w:rFonts w:ascii="Arial" w:cs="Arial" w:eastAsia="Arial" w:hAnsi="Arial"/>
                <w:sz w:val="12"/>
                <w:szCs w:val="12"/>
                <w:i w:val="1"/>
                <w:iCs w:val="1"/>
                <w:color w:val="auto"/>
              </w:rPr>
              <w:t>Vice President, Chief Financial Officer,</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Arial" w:cs="Arial" w:eastAsia="Arial" w:hAnsi="Arial"/>
                <w:sz w:val="12"/>
                <w:szCs w:val="12"/>
                <w:i w:val="1"/>
                <w:iCs w:val="1"/>
                <w:color w:val="auto"/>
              </w:rPr>
              <w:t>Secretary</w:t>
            </w:r>
          </w:p>
        </w:tc>
        <w:tc>
          <w:tcPr>
            <w:tcW w:w="1760" w:type="dxa"/>
            <w:vAlign w:val="bottom"/>
          </w:tcPr>
          <w:p>
            <w:pPr>
              <w:jc w:val="center"/>
              <w:ind w:right="10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40"/>
              <w:spacing w:after="0"/>
              <w:rPr>
                <w:sz w:val="20"/>
                <w:szCs w:val="20"/>
                <w:color w:val="auto"/>
              </w:rPr>
            </w:pPr>
            <w:r>
              <w:rPr>
                <w:rFonts w:ascii="Arial" w:cs="Arial" w:eastAsia="Arial" w:hAnsi="Arial"/>
                <w:sz w:val="12"/>
                <w:szCs w:val="12"/>
                <w:color w:val="auto"/>
              </w:rPr>
              <w:t>97,269</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2"/>
                <w:szCs w:val="12"/>
                <w:color w:val="auto"/>
              </w:rPr>
              <w:t>134,316(11)</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62,333(12)</w:t>
            </w:r>
          </w:p>
        </w:tc>
        <w:tc>
          <w:tcPr>
            <w:tcW w:w="1720" w:type="dxa"/>
            <w:vAlign w:val="bottom"/>
            <w:gridSpan w:val="2"/>
          </w:tcPr>
          <w:p>
            <w:pPr>
              <w:jc w:val="right"/>
              <w:ind w:right="20"/>
              <w:spacing w:after="0"/>
              <w:rPr>
                <w:sz w:val="20"/>
                <w:szCs w:val="20"/>
                <w:color w:val="auto"/>
              </w:rPr>
            </w:pPr>
            <w:r>
              <w:rPr>
                <w:rFonts w:ascii="Arial" w:cs="Arial" w:eastAsia="Arial" w:hAnsi="Arial"/>
                <w:sz w:val="12"/>
                <w:szCs w:val="12"/>
                <w:color w:val="auto"/>
              </w:rPr>
              <w:t>293,918</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248" w:right="20" w:hanging="248"/>
        <w:spacing w:after="0" w:line="257" w:lineRule="auto"/>
        <w:tabs>
          <w:tab w:leader="none" w:pos="24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25" w:lineRule="exact"/>
        <w:rPr>
          <w:rFonts w:ascii="Arial" w:cs="Arial" w:eastAsia="Arial" w:hAnsi="Arial"/>
          <w:sz w:val="12"/>
          <w:szCs w:val="12"/>
          <w:color w:val="auto"/>
        </w:rPr>
      </w:pPr>
    </w:p>
    <w:p>
      <w:pPr>
        <w:jc w:val="both"/>
        <w:ind w:left="248" w:right="20" w:hanging="248"/>
        <w:spacing w:after="0" w:line="286" w:lineRule="auto"/>
        <w:tabs>
          <w:tab w:leader="none" w:pos="2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11" w:lineRule="exact"/>
        <w:rPr>
          <w:rFonts w:ascii="Arial" w:cs="Arial" w:eastAsia="Arial" w:hAnsi="Arial"/>
          <w:sz w:val="11"/>
          <w:szCs w:val="11"/>
          <w:color w:val="auto"/>
        </w:rPr>
      </w:pPr>
    </w:p>
    <w:p>
      <w:pPr>
        <w:ind w:left="248" w:hanging="248"/>
        <w:spacing w:after="0"/>
        <w:tabs>
          <w:tab w:leader="none" w:pos="24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a full-time employee of the Company.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5" w:name="page96"/>
    <w:bookmarkEnd w:id="9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248" w:hanging="248"/>
        <w:spacing w:after="0"/>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Of this amount, Mr. Singh received only $125,000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Of this amount, Dr. Snodgrass received only $149,606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Of this amount, Mr. Dotson received only $143,333 in cash; the remaining balance has been accrued for future payment.</w:t>
      </w:r>
    </w:p>
    <w:p>
      <w:pPr>
        <w:spacing w:after="0" w:line="150" w:lineRule="exact"/>
        <w:rPr>
          <w:rFonts w:ascii="Arial" w:cs="Arial" w:eastAsia="Arial" w:hAnsi="Arial"/>
          <w:sz w:val="12"/>
          <w:szCs w:val="12"/>
          <w:color w:val="auto"/>
        </w:rPr>
      </w:pPr>
    </w:p>
    <w:p>
      <w:pPr>
        <w:jc w:val="both"/>
        <w:ind w:left="248" w:right="20" w:hanging="248"/>
        <w:spacing w:after="0" w:line="255" w:lineRule="auto"/>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amounts in Option and Warrant Awards column do not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147"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2"/>
                <w:szCs w:val="12"/>
                <w:color w:val="auto"/>
                <w:w w:val="92"/>
              </w:rPr>
              <w:t>Option/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Option</w:t>
            </w:r>
          </w:p>
        </w:tc>
        <w:tc>
          <w:tcPr>
            <w:tcW w:w="18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Warrant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Option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2"/>
                <w:szCs w:val="12"/>
                <w:color w:val="auto"/>
                <w:w w:val="88"/>
              </w:rPr>
              <w:t>Warrant Exchange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Grant</w:t>
            </w:r>
          </w:p>
        </w:tc>
        <w:tc>
          <w:tcPr>
            <w:tcW w:w="18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color w:val="auto"/>
                <w:w w:val="86"/>
              </w:rPr>
              <w:t>Grant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Modification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9"/>
              </w:rPr>
              <w:t>Modification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2"/>
                <w:szCs w:val="12"/>
                <w:color w:val="auto"/>
                <w:w w:val="95"/>
              </w:rPr>
              <w:t>(a)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89"/>
              </w:rPr>
              <w:t>10/27/2013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93"/>
              </w:rPr>
              <w:t>3/19/2014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89"/>
              </w:rPr>
              <w:t>12/20/2013</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9"/>
              </w:rPr>
              <w:t>12/20/2013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89"/>
              </w:rPr>
              <w:t>3/19/2014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Singh</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Snodgrass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14,560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56,835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Dotson</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43,680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Before</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After</w:t>
            </w:r>
          </w:p>
        </w:tc>
        <w:tc>
          <w:tcPr>
            <w:tcW w:w="220" w:type="dxa"/>
            <w:vAlign w:val="bottom"/>
            <w:tcBorders>
              <w:top w:val="single" w:sz="8" w:color="CCEEFF"/>
            </w:tcBorders>
            <w:gridSpan w:val="2"/>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Before</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rPr>
              <w:t>After</w:t>
            </w:r>
          </w:p>
        </w:tc>
        <w:tc>
          <w:tcPr>
            <w:tcW w:w="20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Before</w:t>
            </w:r>
          </w:p>
        </w:tc>
        <w:tc>
          <w:tcPr>
            <w:tcW w:w="18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After</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0.40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80" w:type="dxa"/>
            <w:vAlign w:val="bottom"/>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$0.75 to $2.10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$0.50 to $1.75</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0.50</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0.50</w:t>
            </w:r>
          </w:p>
        </w:tc>
        <w:tc>
          <w:tcPr>
            <w:tcW w:w="2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0.07%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0.75%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0.7% to 2.68%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4"/>
              </w:rPr>
              <w:t>0.12% to 2.68%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68.76% to</w:t>
            </w:r>
          </w:p>
        </w:tc>
        <w:tc>
          <w:tcPr>
            <w:tcW w:w="280" w:type="dxa"/>
            <w:vAlign w:val="bottom"/>
          </w:tcPr>
          <w:p>
            <w:pPr>
              <w:spacing w:after="0"/>
              <w:rPr>
                <w:sz w:val="11"/>
                <w:szCs w:val="11"/>
                <w:color w:val="auto"/>
              </w:rPr>
            </w:pPr>
          </w:p>
        </w:tc>
        <w:tc>
          <w:tcPr>
            <w:tcW w:w="960" w:type="dxa"/>
            <w:vAlign w:val="bottom"/>
            <w:gridSpan w:val="3"/>
          </w:tcPr>
          <w:p>
            <w:pPr>
              <w:jc w:val="right"/>
              <w:ind w:right="180"/>
              <w:spacing w:after="0" w:line="136" w:lineRule="exact"/>
              <w:rPr>
                <w:sz w:val="20"/>
                <w:szCs w:val="20"/>
                <w:color w:val="auto"/>
              </w:rPr>
            </w:pPr>
            <w:r>
              <w:rPr>
                <w:rFonts w:ascii="Arial" w:cs="Arial" w:eastAsia="Arial" w:hAnsi="Arial"/>
                <w:sz w:val="12"/>
                <w:szCs w:val="12"/>
                <w:color w:val="auto"/>
              </w:rPr>
              <w:t>76.51%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2"/>
                <w:szCs w:val="12"/>
                <w:color w:val="auto"/>
              </w:rPr>
              <w:t>Volatility</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99.53%</w:t>
            </w: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68.8% to 97.6%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68.8% to 97.6%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78.21%</w:t>
            </w:r>
          </w:p>
        </w:tc>
        <w:tc>
          <w:tcPr>
            <w:tcW w:w="2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78.21%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68.96 %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80.57%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0.87 to</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0.03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3.03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0.25 to 8.86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w:t>
            </w:r>
          </w:p>
        </w:tc>
        <w:tc>
          <w:tcPr>
            <w:tcW w:w="2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3.96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Dividend rate</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28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0.32</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$0.00 to $0.32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$0.07 to $0.34</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$0.00 to $0.11</w:t>
            </w:r>
          </w:p>
        </w:tc>
        <w:tc>
          <w:tcPr>
            <w:tcW w:w="2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8"/>
              </w:rPr>
              <w:t>$0.18 to $0.21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Aggregate shares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2,322,500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2,322,500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166,052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166,052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-89-</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6" w:name="page97"/>
    <w:bookmarkEnd w:id="9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jc w:val="both"/>
        <w:ind w:left="8" w:hanging="8"/>
        <w:spacing w:after="0" w:line="259" w:lineRule="auto"/>
        <w:tabs>
          <w:tab w:leader="none" w:pos="21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43" w:lineRule="exact"/>
        <w:rPr>
          <w:sz w:val="20"/>
          <w:szCs w:val="20"/>
          <w:color w:val="auto"/>
        </w:rPr>
      </w:pPr>
    </w:p>
    <w:p>
      <w:pPr>
        <w:ind w:left="348" w:right="20" w:hanging="348"/>
        <w:spacing w:after="0" w:line="276" w:lineRule="auto"/>
        <w:tabs>
          <w:tab w:leader="none" w:pos="348"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82" w:lineRule="exact"/>
        <w:rPr>
          <w:rFonts w:ascii="Arial" w:cs="Arial" w:eastAsia="Arial" w:hAnsi="Arial"/>
          <w:sz w:val="12"/>
          <w:szCs w:val="12"/>
          <w:color w:val="auto"/>
        </w:rPr>
      </w:pPr>
    </w:p>
    <w:p>
      <w:pPr>
        <w:ind w:left="288" w:hanging="288"/>
        <w:spacing w:after="0"/>
        <w:tabs>
          <w:tab w:leader="none" w:pos="288" w:val="left"/>
        </w:tabs>
        <w:numPr>
          <w:ilvl w:val="0"/>
          <w:numId w:val="49"/>
        </w:numPr>
        <w:rPr>
          <w:rFonts w:ascii="Arial" w:cs="Arial" w:eastAsia="Arial" w:hAnsi="Arial"/>
          <w:sz w:val="24"/>
          <w:szCs w:val="24"/>
          <w:color w:val="auto"/>
          <w:vertAlign w:val="superscript"/>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Expected Term (years)</w:t>
            </w:r>
          </w:p>
        </w:tc>
        <w:tc>
          <w:tcPr>
            <w:tcW w:w="148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Dividend rate</w:t>
            </w:r>
          </w:p>
        </w:tc>
        <w:tc>
          <w:tcPr>
            <w:tcW w:w="1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160" w:type="dxa"/>
            <w:vAlign w:val="bottom"/>
          </w:tcPr>
          <w:p>
            <w:pPr>
              <w:ind w:left="260"/>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(11)</w:t>
      </w:r>
    </w:p>
    <w:p>
      <w:pPr>
        <w:spacing w:after="0" w:line="78" w:lineRule="exact"/>
        <w:rPr>
          <w:sz w:val="20"/>
          <w:szCs w:val="20"/>
          <w:color w:val="auto"/>
        </w:rPr>
      </w:pPr>
    </w:p>
    <w:p>
      <w:pPr>
        <w:jc w:val="both"/>
        <w:ind w:left="288"/>
        <w:spacing w:after="0" w:line="257" w:lineRule="auto"/>
        <w:rPr>
          <w:sz w:val="20"/>
          <w:szCs w:val="20"/>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200" w:lineRule="exact"/>
        <w:rPr>
          <w:sz w:val="20"/>
          <w:szCs w:val="20"/>
          <w:color w:val="auto"/>
        </w:rPr>
      </w:pPr>
    </w:p>
    <w:p>
      <w:pPr>
        <w:spacing w:after="0" w:line="214" w:lineRule="exact"/>
        <w:rPr>
          <w:sz w:val="20"/>
          <w:szCs w:val="20"/>
          <w:color w:val="auto"/>
        </w:rPr>
      </w:pPr>
    </w:p>
    <w:p>
      <w:pPr>
        <w:ind w:left="8" w:right="2300" w:hanging="8"/>
        <w:spacing w:after="0" w:line="444" w:lineRule="auto"/>
        <w:tabs>
          <w:tab w:leader="none" w:pos="305" w:val="left"/>
        </w:tabs>
        <w:numPr>
          <w:ilvl w:val="0"/>
          <w:numId w:val="50"/>
        </w:numPr>
        <w:rPr>
          <w:rFonts w:ascii="Arial" w:cs="Arial" w:eastAsia="Arial" w:hAnsi="Arial"/>
          <w:sz w:val="24"/>
          <w:szCs w:val="24"/>
          <w:color w:val="auto"/>
          <w:vertAlign w:val="superscript"/>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 None of the NEOs is entitled to perquisites or other personal benefits that, in the aggregate, are worth over $50,000 or over 10% of their base salary.</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7" w:name="page98"/>
    <w:bookmarkEnd w:id="9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Named Executive Officers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Stock Options</w:t>
            </w:r>
          </w:p>
        </w:tc>
        <w:tc>
          <w:tcPr>
            <w:tcW w:w="1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4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3"/>
              </w:rPr>
              <w:t>Number of</w:t>
            </w:r>
          </w:p>
        </w:tc>
        <w:tc>
          <w:tcPr>
            <w:tcW w:w="2480" w:type="dxa"/>
            <w:vAlign w:val="bottom"/>
            <w:gridSpan w:val="3"/>
          </w:tcPr>
          <w:p>
            <w:pPr>
              <w:jc w:val="center"/>
              <w:ind w:right="760"/>
              <w:spacing w:after="0" w:line="129" w:lineRule="exact"/>
              <w:rPr>
                <w:sz w:val="20"/>
                <w:szCs w:val="20"/>
                <w:color w:val="auto"/>
              </w:rPr>
            </w:pPr>
            <w:r>
              <w:rPr>
                <w:rFonts w:ascii="Arial" w:cs="Arial" w:eastAsia="Arial" w:hAnsi="Arial"/>
                <w:sz w:val="12"/>
                <w:szCs w:val="12"/>
                <w:b w:val="1"/>
                <w:bCs w:val="1"/>
                <w:color w:val="auto"/>
                <w:w w:val="93"/>
              </w:rPr>
              <w:t>Number of</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87"/>
              </w:rPr>
              <w:t>Securities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Underlying</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92"/>
              </w:rPr>
              <w:t>Underlying</w:t>
            </w:r>
          </w:p>
        </w:tc>
        <w:tc>
          <w:tcPr>
            <w:tcW w:w="154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Option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Unexercised</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9"/>
              </w:rPr>
              <w:t>Unexercised</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4"/>
              </w:rPr>
              <w:t>Exercise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Options (#)</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Options (#)</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8"/>
              </w:rPr>
              <w:t>Price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57"/>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Exercisable</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Unexercisable</w:t>
            </w:r>
          </w:p>
        </w:tc>
        <w:tc>
          <w:tcPr>
            <w:tcW w:w="1300" w:type="dxa"/>
            <w:vAlign w:val="bottom"/>
          </w:tcPr>
          <w:p>
            <w:pPr>
              <w:jc w:val="center"/>
              <w:ind w:right="340"/>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40,000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0.72</w:t>
            </w:r>
          </w:p>
        </w:tc>
        <w:tc>
          <w:tcPr>
            <w:tcW w:w="1600" w:type="dxa"/>
            <w:vAlign w:val="bottom"/>
          </w:tcPr>
          <w:p>
            <w:pPr>
              <w:spacing w:after="0"/>
              <w:rPr>
                <w:sz w:val="20"/>
                <w:szCs w:val="20"/>
                <w:color w:val="auto"/>
              </w:rPr>
            </w:pPr>
            <w:r>
              <w:rPr>
                <w:rFonts w:ascii="Arial" w:cs="Arial" w:eastAsia="Arial" w:hAnsi="Arial"/>
                <w:sz w:val="12"/>
                <w:szCs w:val="12"/>
                <w:color w:val="auto"/>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22,500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425,000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80,338</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35,714</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690,000</w:t>
            </w:r>
          </w:p>
        </w:tc>
        <w:tc>
          <w:tcPr>
            <w:tcW w:w="220" w:type="dxa"/>
            <w:vAlign w:val="bottom"/>
          </w:tcPr>
          <w:p>
            <w:pPr>
              <w:spacing w:after="0"/>
              <w:rPr>
                <w:sz w:val="12"/>
                <w:szCs w:val="12"/>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2"/>
                <w:szCs w:val="12"/>
                <w:color w:val="auto"/>
              </w:rPr>
              <w:t>750,000(1)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2,636,468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25,000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6,362</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250,000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2"/>
                <w:szCs w:val="12"/>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2"/>
                <w:szCs w:val="12"/>
                <w:color w:val="auto"/>
              </w:rPr>
              <w:t>500,000(1)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50,000(2)</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2"/>
                <w:szCs w:val="12"/>
                <w:color w:val="auto"/>
              </w:rPr>
              <w:t>150,000(2)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904,278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74,782</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25,218</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4,166</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15,834</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1600" w:type="dxa"/>
            <w:vAlign w:val="bottom"/>
          </w:tcPr>
          <w:p>
            <w:pPr>
              <w:spacing w:after="0"/>
              <w:rPr>
                <w:sz w:val="20"/>
                <w:szCs w:val="20"/>
                <w:color w:val="auto"/>
              </w:rPr>
            </w:pPr>
            <w:r>
              <w:rPr>
                <w:rFonts w:ascii="Arial" w:cs="Arial" w:eastAsia="Arial" w:hAnsi="Arial"/>
                <w:sz w:val="12"/>
                <w:szCs w:val="12"/>
                <w:color w:val="auto"/>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100,000(1)</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2"/>
                <w:szCs w:val="12"/>
                <w:color w:val="auto"/>
              </w:rPr>
              <w:t>100,000(2)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178,948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241,052</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08" w:right="20" w:hanging="608"/>
        <w:spacing w:after="0" w:line="263" w:lineRule="auto"/>
        <w:tabs>
          <w:tab w:leader="none" w:pos="6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Arial" w:cs="Arial" w:eastAsia="Arial" w:hAnsi="Arial"/>
          <w:sz w:val="12"/>
          <w:szCs w:val="12"/>
          <w:i w:val="1"/>
          <w:iCs w:val="1"/>
          <w:color w:val="auto"/>
        </w:rPr>
        <w:t>.</w:t>
      </w:r>
    </w:p>
    <w:p>
      <w:pPr>
        <w:spacing w:after="0" w:line="122" w:lineRule="exact"/>
        <w:rPr>
          <w:rFonts w:ascii="Arial" w:cs="Arial" w:eastAsia="Arial" w:hAnsi="Arial"/>
          <w:sz w:val="12"/>
          <w:szCs w:val="12"/>
          <w:color w:val="auto"/>
        </w:rPr>
      </w:pPr>
    </w:p>
    <w:p>
      <w:pPr>
        <w:jc w:val="both"/>
        <w:ind w:left="608" w:right="20" w:hanging="578"/>
        <w:spacing w:after="0" w:line="263" w:lineRule="auto"/>
        <w:tabs>
          <w:tab w:leader="none" w:pos="608" w:val="left"/>
        </w:tabs>
        <w:numPr>
          <w:ilvl w:val="1"/>
          <w:numId w:val="51"/>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8" w:name="page99"/>
    <w:bookmarkEnd w:id="9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Employment or Severance Agreements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Singh Agreement</w:t>
      </w:r>
    </w:p>
    <w:p>
      <w:pPr>
        <w:spacing w:after="0" w:line="168"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12" w:lineRule="exact"/>
        <w:rPr>
          <w:sz w:val="20"/>
          <w:szCs w:val="20"/>
          <w:color w:val="auto"/>
        </w:rPr>
      </w:pPr>
    </w:p>
    <w:p>
      <w:pPr>
        <w:ind w:left="608" w:hanging="608"/>
        <w:spacing w:after="0"/>
        <w:tabs>
          <w:tab w:leader="none" w:pos="6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Mr. Singh terminates his employment with good reason following a change of control, he is entitled to twelve months of his then-current base salary payable in the form of salary continuation.</w:t>
      </w:r>
    </w:p>
    <w:p>
      <w:pPr>
        <w:spacing w:after="0" w:line="168"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that are included elsewhere in this prospectus.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68"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86" w:lineRule="exact"/>
        <w:rPr>
          <w:sz w:val="20"/>
          <w:szCs w:val="20"/>
          <w:color w:val="auto"/>
        </w:rPr>
      </w:pPr>
    </w:p>
    <w:p>
      <w:pPr>
        <w:ind w:left="740" w:hanging="411"/>
        <w:spacing w:after="0"/>
        <w:tabs>
          <w:tab w:leader="none" w:pos="7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following the Merger except for reductions that are comparable to reductions generally applicable to similarly situated executives of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stockholders adopted our 2008 Stock Incentive Plan (</w:t>
      </w:r>
      <w:r>
        <w:rPr>
          <w:rFonts w:ascii="Arial" w:cs="Arial" w:eastAsia="Arial" w:hAnsi="Arial"/>
          <w:sz w:val="11"/>
          <w:szCs w:val="11"/>
          <w:i w:val="1"/>
          <w:iCs w:val="1"/>
          <w:color w:val="auto"/>
        </w:rPr>
        <w:t>2008 Plan</w:t>
      </w:r>
      <w:r>
        <w:rPr>
          <w:rFonts w:ascii="Arial" w:cs="Arial" w:eastAsia="Arial" w:hAnsi="Arial"/>
          <w:sz w:val="11"/>
          <w:szCs w:val="11"/>
          <w:color w:val="auto"/>
        </w:rPr>
        <w:t xml:space="preserve">)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1"/>
          <w:szCs w:val="11"/>
          <w:i w:val="1"/>
          <w:iCs w:val="1"/>
          <w:color w:val="auto"/>
        </w:rPr>
        <w:t>Code</w:t>
      </w:r>
      <w:r>
        <w:rPr>
          <w:rFonts w:ascii="Arial" w:cs="Arial" w:eastAsia="Arial" w:hAnsi="Arial"/>
          <w:sz w:val="11"/>
          <w:szCs w:val="11"/>
          <w:color w:val="auto"/>
        </w:rPr>
        <w:t>), is 5.0 million.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600" w:hanging="338"/>
        <w:spacing w:after="0"/>
        <w:tabs>
          <w:tab w:leader="none" w:pos="6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600" w:hanging="338"/>
        <w:spacing w:after="0"/>
        <w:tabs>
          <w:tab w:leader="none" w:pos="6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1" w:name="page102"/>
    <w:bookmarkEnd w:id="10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33" w:lineRule="exact"/>
        <w:rPr>
          <w:sz w:val="20"/>
          <w:szCs w:val="20"/>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cash flow;</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revenue;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expenses;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2" w:name="page103"/>
    <w:bookmarkEnd w:id="10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68" w:lineRule="exact"/>
        <w:rPr>
          <w:sz w:val="20"/>
          <w:szCs w:val="20"/>
          <w:color w:val="auto"/>
        </w:rPr>
      </w:pPr>
    </w:p>
    <w:p>
      <w:pPr>
        <w:ind w:left="748" w:right="20"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748" w:right="20" w:hanging="748"/>
        <w:spacing w:after="0" w:line="263"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748" w:hanging="748"/>
        <w:spacing w:after="0"/>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we had options to purchase an aggregate of 3,964,800 shares of common stock outstanding under our 2008 Plan.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3" w:name="page104"/>
    <w:bookmarkEnd w:id="10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an aggregate of 262,557 shares of our common stock outstanding under our 1999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4" w:name="page105"/>
    <w:bookmarkEnd w:id="10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Director Compensation Table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Fees Earned or Paid</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in</w:t>
            </w: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Option and Warrant</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7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Cash (1)</w:t>
            </w: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Awards (2)</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0"/>
              </w:rPr>
              <w:t>Other Compensation</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Total</w:t>
            </w:r>
          </w:p>
        </w:tc>
      </w:tr>
      <w:tr>
        <w:trPr>
          <w:trHeight w:val="142"/>
        </w:trPr>
        <w:tc>
          <w:tcPr>
            <w:tcW w:w="472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Jon S. Saxe (3)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40,683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54,683</w:t>
            </w:r>
          </w:p>
        </w:tc>
      </w:tr>
      <w:tr>
        <w:trPr>
          <w:trHeight w:val="153"/>
        </w:trPr>
        <w:tc>
          <w:tcPr>
            <w:tcW w:w="4720" w:type="dxa"/>
            <w:vAlign w:val="bottom"/>
          </w:tcPr>
          <w:p>
            <w:pPr>
              <w:spacing w:after="0"/>
              <w:rPr>
                <w:sz w:val="20"/>
                <w:szCs w:val="20"/>
                <w:color w:val="auto"/>
              </w:rPr>
            </w:pPr>
            <w:r>
              <w:rPr>
                <w:rFonts w:ascii="Arial" w:cs="Arial" w:eastAsia="Arial" w:hAnsi="Arial"/>
                <w:sz w:val="12"/>
                <w:szCs w:val="12"/>
                <w:color w:val="auto"/>
              </w:rPr>
              <w:t>Brian J. Underdown, Ph.D. (4)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12,000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32,267</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tcPr>
          <w:p>
            <w:pPr>
              <w:jc w:val="right"/>
              <w:ind w:right="120"/>
              <w:spacing w:after="0"/>
              <w:rPr>
                <w:sz w:val="20"/>
                <w:szCs w:val="20"/>
                <w:color w:val="auto"/>
              </w:rPr>
            </w:pPr>
            <w:r>
              <w:rPr>
                <w:rFonts w:ascii="Arial" w:cs="Arial" w:eastAsia="Arial" w:hAnsi="Arial"/>
                <w:sz w:val="12"/>
                <w:szCs w:val="12"/>
                <w:color w:val="auto"/>
              </w:rPr>
              <w:t>44,267</w:t>
            </w:r>
          </w:p>
        </w:tc>
      </w:tr>
    </w:tbl>
    <w:p>
      <w:pPr>
        <w:spacing w:after="0" w:line="144" w:lineRule="exact"/>
        <w:rPr>
          <w:sz w:val="20"/>
          <w:szCs w:val="20"/>
          <w:color w:val="auto"/>
        </w:rPr>
      </w:pPr>
    </w:p>
    <w:p>
      <w:pPr>
        <w:ind w:left="440" w:hanging="300"/>
        <w:spacing w:after="0"/>
        <w:tabs>
          <w:tab w:leader="none" w:pos="4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50" w:lineRule="exact"/>
        <w:rPr>
          <w:rFonts w:ascii="Arial" w:cs="Arial" w:eastAsia="Arial" w:hAnsi="Arial"/>
          <w:sz w:val="12"/>
          <w:szCs w:val="12"/>
          <w:color w:val="auto"/>
        </w:rPr>
      </w:pPr>
    </w:p>
    <w:p>
      <w:pPr>
        <w:jc w:val="both"/>
        <w:ind w:left="440" w:right="20" w:hanging="300"/>
        <w:spacing w:after="0" w:line="286" w:lineRule="auto"/>
        <w:tabs>
          <w:tab w:leader="none" w:pos="4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jc w:val="both"/>
        <w:ind w:left="440" w:right="20" w:hanging="300"/>
        <w:spacing w:after="0" w:line="263" w:lineRule="auto"/>
        <w:tabs>
          <w:tab w:leader="none" w:pos="4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22" w:lineRule="exact"/>
        <w:rPr>
          <w:rFonts w:ascii="Arial" w:cs="Arial" w:eastAsia="Arial" w:hAnsi="Arial"/>
          <w:sz w:val="12"/>
          <w:szCs w:val="12"/>
          <w:color w:val="auto"/>
        </w:rPr>
      </w:pPr>
    </w:p>
    <w:p>
      <w:pPr>
        <w:ind w:left="440" w:right="20" w:hanging="300"/>
        <w:spacing w:after="0" w:line="380" w:lineRule="auto"/>
        <w:tabs>
          <w:tab w:leader="none" w:pos="440" w:val="left"/>
        </w:tabs>
        <w:numPr>
          <w:ilvl w:val="0"/>
          <w:numId w:val="58"/>
        </w:numPr>
        <w:rPr>
          <w:rFonts w:ascii="Arial" w:cs="Arial" w:eastAsia="Arial" w:hAnsi="Arial"/>
          <w:sz w:val="10"/>
          <w:szCs w:val="10"/>
          <w:color w:val="auto"/>
        </w:rPr>
      </w:pPr>
      <w:r>
        <w:rPr>
          <w:rFonts w:ascii="Arial" w:cs="Arial" w:eastAsia="Arial" w:hAnsi="Arial"/>
          <w:sz w:val="10"/>
          <w:szCs w:val="10"/>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5" w:name="page106"/>
    <w:bookmarkEnd w:id="10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40" w:right="20" w:hanging="418"/>
        <w:spacing w:after="0" w:line="276" w:lineRule="auto"/>
        <w:tabs>
          <w:tab w:leader="none" w:pos="4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Warrant Grant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2"/>
                <w:szCs w:val="12"/>
                <w:color w:val="auto"/>
              </w:rPr>
              <w:t>Option Modification</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ind w:left="20"/>
              <w:spacing w:after="0"/>
              <w:rPr>
                <w:sz w:val="20"/>
                <w:szCs w:val="20"/>
                <w:color w:val="auto"/>
              </w:rPr>
            </w:pPr>
            <w:r>
              <w:rPr>
                <w:rFonts w:ascii="Arial" w:cs="Arial" w:eastAsia="Arial" w:hAnsi="Arial"/>
                <w:sz w:val="12"/>
                <w:szCs w:val="12"/>
                <w:color w:val="auto"/>
              </w:rPr>
              <w:t>Warrant Modification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3/19/2014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2"/>
                <w:szCs w:val="12"/>
                <w:color w:val="auto"/>
              </w:rPr>
              <w:t>12/20/2013</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12/20/2013</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Saxe</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7"/>
              </w:rPr>
              <w:t>18,928</w:t>
            </w:r>
          </w:p>
        </w:tc>
        <w:tc>
          <w:tcPr>
            <w:tcW w:w="1000" w:type="dxa"/>
            <w:vAlign w:val="bottom"/>
            <w:gridSpan w:val="2"/>
            <w:shd w:val="clear" w:color="auto" w:fill="CCEEFF"/>
          </w:tcPr>
          <w:p>
            <w:pPr>
              <w:jc w:val="right"/>
              <w:ind w:right="58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15,291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6,464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40,683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2"/>
          </w:tcPr>
          <w:p>
            <w:pPr>
              <w:spacing w:after="0"/>
              <w:rPr>
                <w:sz w:val="20"/>
                <w:szCs w:val="20"/>
                <w:color w:val="auto"/>
              </w:rPr>
            </w:pPr>
            <w:r>
              <w:rPr>
                <w:rFonts w:ascii="Arial" w:cs="Arial" w:eastAsia="Arial" w:hAnsi="Arial"/>
                <w:sz w:val="12"/>
                <w:szCs w:val="12"/>
                <w:color w:val="auto"/>
              </w:rPr>
              <w:t>Underdown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14,560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11,243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6,464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32,267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33,488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58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26,534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2"/>
                <w:szCs w:val="12"/>
                <w:color w:val="auto"/>
              </w:rPr>
              <w:t>12,928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72,950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2"/>
                <w:szCs w:val="12"/>
                <w:color w:val="auto"/>
              </w:rPr>
              <w:t>Before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160"/>
              <w:spacing w:after="0"/>
              <w:rPr>
                <w:sz w:val="20"/>
                <w:szCs w:val="20"/>
                <w:color w:val="auto"/>
              </w:rPr>
            </w:pPr>
            <w:r>
              <w:rPr>
                <w:rFonts w:ascii="Arial" w:cs="Arial" w:eastAsia="Arial" w:hAnsi="Arial"/>
                <w:sz w:val="12"/>
                <w:szCs w:val="12"/>
                <w:color w:val="auto"/>
              </w:rPr>
              <w:t>After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560"/>
              <w:spacing w:after="0"/>
              <w:rPr>
                <w:sz w:val="20"/>
                <w:szCs w:val="20"/>
                <w:color w:val="auto"/>
              </w:rPr>
            </w:pPr>
            <w:r>
              <w:rPr>
                <w:rFonts w:ascii="Arial" w:cs="Arial" w:eastAsia="Arial" w:hAnsi="Arial"/>
                <w:sz w:val="12"/>
                <w:szCs w:val="12"/>
                <w:color w:val="auto"/>
              </w:rPr>
              <w:t>Before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color w:val="auto"/>
              </w:rPr>
              <w:t>After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0.46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0.50</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1.13 to $2.10</w:t>
            </w:r>
          </w:p>
        </w:tc>
        <w:tc>
          <w:tcPr>
            <w:tcW w:w="7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0.50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1.24% to 2.40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1.24% to 2.40</w:t>
            </w: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4.25</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Volatility</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80.57%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78.9% to 97.62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78.9% to 97.62</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76.10</w:t>
            </w:r>
          </w:p>
        </w:tc>
        <w:tc>
          <w:tcPr>
            <w:tcW w:w="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76.10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Dividend rate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0.10 to $0.27</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0.21 to $0.32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Aggregate shares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115,000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422,500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422,500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6" w:name="page107"/>
    <w:bookmarkEnd w:id="10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July 1, 2014 and as adjusted to reflect the sale of all common stock offered by us in this Offering for:</w:t>
      </w:r>
    </w:p>
    <w:p>
      <w:pPr>
        <w:spacing w:after="0" w:line="168" w:lineRule="exact"/>
        <w:rPr>
          <w:sz w:val="20"/>
          <w:szCs w:val="20"/>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Applicable percentage ownership is based on 25,506,877 shares of capital stock outstanding at July 1,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Unless otherwise noted below, the address of each beneficial owner listed in the table is c/o VistaGen Therapeutics, Inc., 343 Allerton Avenue, South San Francisco, California 94080.</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7" w:name="page108"/>
    <w:bookmarkEnd w:id="107"/>
    <w:tbl>
      <w:tblPr>
        <w:tblLayout w:type="fixed"/>
        <w:tblInd w:w="8" w:type="dxa"/>
        <w:tblCellMar>
          <w:top w:w="0" w:type="dxa"/>
          <w:left w:w="0" w:type="dxa"/>
          <w:bottom w:w="0" w:type="dxa"/>
          <w:right w:w="0" w:type="dxa"/>
        </w:tblCellMar>
      </w:tblPr>
      <w:tr>
        <w:trPr>
          <w:trHeight w:val="126"/>
        </w:trPr>
        <w:tc>
          <w:tcPr>
            <w:tcW w:w="596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Percent of shares beneficially</w:t>
            </w: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Percent of shares beneficially</w:t>
            </w:r>
          </w:p>
        </w:tc>
        <w:tc>
          <w:tcPr>
            <w:tcW w:w="0" w:type="dxa"/>
            <w:vAlign w:val="bottom"/>
          </w:tcPr>
          <w:p>
            <w:pPr>
              <w:spacing w:after="0"/>
              <w:rPr>
                <w:sz w:val="1"/>
                <w:szCs w:val="1"/>
                <w:color w:val="auto"/>
              </w:rPr>
            </w:pPr>
          </w:p>
        </w:tc>
      </w:tr>
      <w:tr>
        <w:trPr>
          <w:trHeight w:val="144"/>
        </w:trPr>
        <w:tc>
          <w:tcPr>
            <w:tcW w:w="5960" w:type="dxa"/>
            <w:vAlign w:val="bottom"/>
            <w:gridSpan w:val="3"/>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9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Number of shares beneficially</w:t>
            </w: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4"/>
              </w:rPr>
              <w:t>owned</w:t>
            </w:r>
          </w:p>
        </w:tc>
        <w:tc>
          <w:tcPr>
            <w:tcW w:w="1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rPr>
              <w:t>owned</w:t>
            </w: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before Offering</w:t>
            </w:r>
          </w:p>
        </w:tc>
        <w:tc>
          <w:tcPr>
            <w:tcW w:w="1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after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Shawn K. Singh, JD (1)</w:t>
            </w:r>
          </w:p>
        </w:tc>
        <w:tc>
          <w:tcPr>
            <w:tcW w:w="1820" w:type="dxa"/>
            <w:vAlign w:val="bottom"/>
          </w:tcPr>
          <w:p>
            <w:pPr>
              <w:jc w:val="right"/>
              <w:spacing w:after="0"/>
              <w:rPr>
                <w:sz w:val="20"/>
                <w:szCs w:val="20"/>
                <w:color w:val="auto"/>
              </w:rPr>
            </w:pPr>
            <w:r>
              <w:rPr>
                <w:rFonts w:ascii="Arial" w:cs="Arial" w:eastAsia="Arial" w:hAnsi="Arial"/>
                <w:sz w:val="12"/>
                <w:szCs w:val="12"/>
                <w:color w:val="auto"/>
              </w:rPr>
              <w:t>3,467,459</w:t>
            </w:r>
          </w:p>
        </w:tc>
        <w:tc>
          <w:tcPr>
            <w:tcW w:w="140" w:type="dxa"/>
            <w:vAlign w:val="bottom"/>
          </w:tcPr>
          <w:p>
            <w:pPr>
              <w:spacing w:after="0"/>
              <w:rPr>
                <w:sz w:val="12"/>
                <w:szCs w:val="1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12.14%</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 Ralph Snodgrass, PhD (2)</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2,469,163</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9.22%</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Jerrold D. Dotson (3)</w:t>
            </w:r>
          </w:p>
        </w:tc>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314,107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1.22%</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Jon S. Saxe (4)</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474,158</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1.83%</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Brian J. Underdown, PhD (5)</w:t>
            </w:r>
          </w:p>
        </w:tc>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364,166</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1.41%</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i w:val="1"/>
                <w:iCs w:val="1"/>
                <w:color w:val="auto"/>
              </w:rPr>
              <w:t>5% Stockholders</w:t>
            </w: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Cato BioVentures (6)</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4,708,257</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17.50%</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Platinum Long Term Growth Fund VII (7)</w:t>
            </w:r>
          </w:p>
        </w:tc>
        <w:tc>
          <w:tcPr>
            <w:tcW w:w="1820" w:type="dxa"/>
            <w:vAlign w:val="bottom"/>
          </w:tcPr>
          <w:p>
            <w:pPr>
              <w:jc w:val="right"/>
              <w:spacing w:after="0"/>
              <w:rPr>
                <w:sz w:val="20"/>
                <w:szCs w:val="20"/>
                <w:color w:val="auto"/>
              </w:rPr>
            </w:pPr>
            <w:r>
              <w:rPr>
                <w:rFonts w:ascii="Arial" w:cs="Arial" w:eastAsia="Arial" w:hAnsi="Arial"/>
                <w:sz w:val="12"/>
                <w:szCs w:val="12"/>
                <w:color w:val="auto"/>
              </w:rPr>
              <w:t>1,540,000</w:t>
            </w:r>
          </w:p>
        </w:tc>
        <w:tc>
          <w:tcPr>
            <w:tcW w:w="140" w:type="dxa"/>
            <w:vAlign w:val="bottom"/>
          </w:tcPr>
          <w:p>
            <w:pPr>
              <w:spacing w:after="0"/>
              <w:rPr>
                <w:sz w:val="12"/>
                <w:szCs w:val="1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6.04%</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Morrison &amp; Foerster LLP (8)</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2,233,957</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8.11%</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David Young (9)</w:t>
            </w:r>
          </w:p>
        </w:tc>
        <w:tc>
          <w:tcPr>
            <w:tcW w:w="1820" w:type="dxa"/>
            <w:vAlign w:val="bottom"/>
          </w:tcPr>
          <w:p>
            <w:pPr>
              <w:jc w:val="right"/>
              <w:spacing w:after="0"/>
              <w:rPr>
                <w:sz w:val="20"/>
                <w:szCs w:val="20"/>
                <w:color w:val="auto"/>
              </w:rPr>
            </w:pPr>
            <w:r>
              <w:rPr>
                <w:rFonts w:ascii="Arial" w:cs="Arial" w:eastAsia="Arial" w:hAnsi="Arial"/>
                <w:sz w:val="12"/>
                <w:szCs w:val="12"/>
                <w:color w:val="auto"/>
              </w:rPr>
              <w:t>2,104,977</w:t>
            </w:r>
          </w:p>
        </w:tc>
        <w:tc>
          <w:tcPr>
            <w:tcW w:w="140" w:type="dxa"/>
            <w:vAlign w:val="bottom"/>
          </w:tcPr>
          <w:p>
            <w:pPr>
              <w:spacing w:after="0"/>
              <w:rPr>
                <w:sz w:val="12"/>
                <w:szCs w:val="1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7.88%</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University Health Network (10)</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1,758,463</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6.73%</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40" w:type="dxa"/>
            <w:vAlign w:val="bottom"/>
            <w:gridSpan w:val="2"/>
          </w:tcPr>
          <w:p>
            <w:pPr>
              <w:spacing w:after="0"/>
              <w:rPr>
                <w:sz w:val="20"/>
                <w:szCs w:val="20"/>
                <w:color w:val="auto"/>
              </w:rPr>
            </w:pPr>
            <w:r>
              <w:rPr>
                <w:rFonts w:ascii="Arial" w:cs="Arial" w:eastAsia="Arial" w:hAnsi="Arial"/>
                <w:sz w:val="12"/>
                <w:szCs w:val="12"/>
                <w:color w:val="auto"/>
              </w:rPr>
              <w:t>All executive officers and directors as a group (5 persons) (11)</w:t>
            </w:r>
          </w:p>
        </w:tc>
        <w:tc>
          <w:tcPr>
            <w:tcW w:w="1820" w:type="dxa"/>
            <w:vAlign w:val="bottom"/>
          </w:tcPr>
          <w:p>
            <w:pPr>
              <w:jc w:val="right"/>
              <w:spacing w:after="0"/>
              <w:rPr>
                <w:sz w:val="20"/>
                <w:szCs w:val="20"/>
                <w:color w:val="auto"/>
              </w:rPr>
            </w:pPr>
            <w:r>
              <w:rPr>
                <w:rFonts w:ascii="Arial" w:cs="Arial" w:eastAsia="Arial" w:hAnsi="Arial"/>
                <w:sz w:val="12"/>
                <w:szCs w:val="12"/>
                <w:color w:val="auto"/>
              </w:rPr>
              <w:t>7,089,053</w:t>
            </w:r>
          </w:p>
        </w:tc>
        <w:tc>
          <w:tcPr>
            <w:tcW w:w="140" w:type="dxa"/>
            <w:vAlign w:val="bottom"/>
          </w:tcPr>
          <w:p>
            <w:pPr>
              <w:spacing w:after="0"/>
              <w:rPr>
                <w:sz w:val="12"/>
                <w:szCs w:val="1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22.91%</w:t>
            </w:r>
          </w:p>
        </w:tc>
        <w:tc>
          <w:tcPr>
            <w:tcW w:w="1720" w:type="dxa"/>
            <w:vAlign w:val="bottom"/>
            <w:gridSpan w:val="2"/>
          </w:tcPr>
          <w:p>
            <w:pPr>
              <w:jc w:val="right"/>
              <w:ind w:right="8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bl>
    <w:p>
      <w:pPr>
        <w:ind w:left="608" w:right="20" w:hanging="608"/>
        <w:spacing w:after="0" w:line="259" w:lineRule="auto"/>
        <w:tabs>
          <w:tab w:leader="none" w:pos="6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1,690,833 restricted shares of common stock exercisable within 60 days of July 1, 2014; warrants to purchase 1,331,052 restricted shares of common stock exercisable within 60 days of July 1, 2014, and 33,400 restricted shares of common stock upon conversion of a currently convertible promissory note and accrued interest.</w:t>
      </w:r>
    </w:p>
    <w:p>
      <w:pPr>
        <w:spacing w:after="0" w:line="142"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414,695 restricted shares of common stock exercisable within 60 days of July 1, 2014 and warrants to purchase 850,000 restricted shares of common stock exercisable within 60 days of July 1, 2014.</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114,107 restricted shares of common stock exercisable within 60 days of July 1, 2014, including options to purchase 12,979 shares of common stock held by Mr. Dotson’s wife, and warrants to purchase 200,000 restricted shares of common stock exercisable within 60 days of July 1, 2014.</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241,666 restricted shares of common stock exercisable within 60 days of July 1, 2014 and warrants to purchase 195,000 restricted shares of common stock exercisable within 60 days of July 1, 2014.</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options to purchase 176,666 restricted shares of common stock exercisable within 60 days of July 1, 2014 and warrants to purchase 187,500 restricted shares of common stock exercisable within 60 days of July 1, 2014.</w:t>
      </w:r>
    </w:p>
    <w:p>
      <w:pPr>
        <w:spacing w:after="0" w:line="114" w:lineRule="exact"/>
        <w:rPr>
          <w:rFonts w:ascii="Arial" w:cs="Arial" w:eastAsia="Arial" w:hAnsi="Arial"/>
          <w:sz w:val="12"/>
          <w:szCs w:val="12"/>
          <w:color w:val="auto"/>
        </w:rPr>
      </w:pPr>
    </w:p>
    <w:p>
      <w:pPr>
        <w:ind w:left="608" w:right="20" w:hanging="608"/>
        <w:spacing w:after="0" w:line="323" w:lineRule="auto"/>
        <w:tabs>
          <w:tab w:leader="none" w:pos="608" w:val="left"/>
        </w:tabs>
        <w:numPr>
          <w:ilvl w:val="0"/>
          <w:numId w:val="61"/>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Includes currently exercisable warrants to purchase 1,397,421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08" w:name="page109"/>
    <w:bookmarkEnd w:id="10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608" w:hanging="608"/>
        <w:spacing w:after="0" w:line="257"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14, 2014, we have assumed that Platinum has transferred or assigned, or agreed to transfer or assign, 15% of its holdings of our common stock and other securities as of December 31, 2013 to a third-party or multiple third-parties. The figures reported in the table above and in this note reflect the impact of Platinum’s assumed transfer or assignment and are adjusted for securities sold to Platinum in transactions completed on April 1, 2014, May 14, 2014 and June 18, 2014, involving an aggregate of 750,000 restricted shares of our common stock, currently exercisable warrants to purchase 750,000 shares of our restricted common stock (subject to beneficial ownership restrictions noted below); and currently convertible promissory notes (subject to beneficial ownership restrictions noted below). The number of beneficially owned shares reported at July 1, 2014 includes 1,540,000 restricted shares of common stock owned by Platinum.</w:t>
      </w:r>
    </w:p>
    <w:p>
      <w:pPr>
        <w:spacing w:after="0" w:line="125" w:lineRule="exact"/>
        <w:rPr>
          <w:rFonts w:ascii="Arial" w:cs="Arial" w:eastAsia="Arial" w:hAnsi="Arial"/>
          <w:sz w:val="12"/>
          <w:szCs w:val="12"/>
          <w:color w:val="auto"/>
        </w:rPr>
      </w:pPr>
    </w:p>
    <w:p>
      <w:pPr>
        <w:jc w:val="both"/>
        <w:ind w:left="608"/>
        <w:spacing w:after="0" w:line="290" w:lineRule="auto"/>
        <w:rPr>
          <w:rFonts w:ascii="Arial" w:cs="Arial" w:eastAsia="Arial" w:hAnsi="Arial"/>
          <w:sz w:val="12"/>
          <w:szCs w:val="12"/>
          <w:color w:val="auto"/>
        </w:rPr>
      </w:pPr>
      <w:r>
        <w:rPr>
          <w:rFonts w:ascii="Arial" w:cs="Arial" w:eastAsia="Arial" w:hAnsi="Arial"/>
          <w:sz w:val="11"/>
          <w:szCs w:val="11"/>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Pursuant to the October 11, 2012 Note Exchange and Purchase Agreement by and between us and Platinum, there is a limitation on exchange such that the number of shares of our common stock that may be acquired by Platinum upon exchange of the Series A Preferred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09" w:lineRule="exact"/>
        <w:rPr>
          <w:rFonts w:ascii="Arial" w:cs="Arial" w:eastAsia="Arial" w:hAnsi="Arial"/>
          <w:sz w:val="12"/>
          <w:szCs w:val="12"/>
          <w:color w:val="auto"/>
        </w:rPr>
      </w:pPr>
    </w:p>
    <w:p>
      <w:pPr>
        <w:jc w:val="both"/>
        <w:ind w:left="608"/>
        <w:spacing w:after="0" w:line="283" w:lineRule="auto"/>
        <w:rPr>
          <w:rFonts w:ascii="Arial" w:cs="Arial" w:eastAsia="Arial" w:hAnsi="Arial"/>
          <w:sz w:val="12"/>
          <w:szCs w:val="12"/>
          <w:color w:val="auto"/>
        </w:rPr>
      </w:pPr>
      <w:r>
        <w:rPr>
          <w:rFonts w:ascii="Arial" w:cs="Arial" w:eastAsia="Arial" w:hAnsi="Arial"/>
          <w:sz w:val="11"/>
          <w:szCs w:val="11"/>
          <w:color w:val="auto"/>
        </w:rPr>
        <w:t xml:space="preserve">Further, the reported number of shares beneficially owned also excludes an aggregate of 12,265,775 restricted shares of our common stock that may be acquired by Platinum upon (i) conversion of various Senior Secured Convertible Promissory Notes in the aggregate face amount of $2,994,190 and Subordinate Convertible Promissory Notes in the aggregate face amount of $750,000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3,744,190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2"/>
          <w:szCs w:val="12"/>
          <w:color w:val="auto"/>
        </w:rPr>
      </w:pPr>
    </w:p>
    <w:p>
      <w:pPr>
        <w:ind w:left="608"/>
        <w:spacing w:after="0" w:line="323" w:lineRule="auto"/>
        <w:rPr>
          <w:rFonts w:ascii="Arial" w:cs="Arial" w:eastAsia="Arial" w:hAnsi="Arial"/>
          <w:sz w:val="12"/>
          <w:szCs w:val="12"/>
          <w:color w:val="auto"/>
        </w:rPr>
      </w:pPr>
      <w:r>
        <w:rPr>
          <w:rFonts w:ascii="Arial" w:cs="Arial" w:eastAsia="Arial" w:hAnsi="Arial"/>
          <w:sz w:val="11"/>
          <w:szCs w:val="11"/>
          <w:color w:val="auto"/>
        </w:rPr>
        <w:t>Including the shares otherwise excluded due to the beneficial ownership restrictions noted above, Platinum beneficially owns 32,930,776 shares or 57.88% of our common stock prior to the Offering. The primary business address of Platinum Long Term Growth Fund VII is 152 West 57th Street, 54th Floor, New York, New York 10019. Mark Nordlicht has voting and investment control over the shares held by Platinum.</w:t>
      </w:r>
    </w:p>
    <w:p>
      <w:pPr>
        <w:spacing w:after="0" w:line="91" w:lineRule="exact"/>
        <w:rPr>
          <w:rFonts w:ascii="Arial" w:cs="Arial" w:eastAsia="Arial" w:hAnsi="Arial"/>
          <w:sz w:val="12"/>
          <w:szCs w:val="12"/>
          <w:color w:val="auto"/>
        </w:rPr>
      </w:pPr>
    </w:p>
    <w:p>
      <w:pPr>
        <w:ind w:left="608" w:hanging="608"/>
        <w:spacing w:after="0"/>
        <w:tabs>
          <w:tab w:leader="none" w:pos="608"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2,033,957 restricted shares of common stock. The primary business address of Morrison &amp; Foerster is 555 Market Street, San Francisco, California 94105.</w:t>
      </w:r>
    </w:p>
    <w:p>
      <w:pPr>
        <w:spacing w:after="0" w:line="161" w:lineRule="exact"/>
        <w:rPr>
          <w:rFonts w:ascii="Arial" w:cs="Arial" w:eastAsia="Arial" w:hAnsi="Arial"/>
          <w:sz w:val="11"/>
          <w:szCs w:val="11"/>
          <w:color w:val="auto"/>
        </w:rPr>
      </w:pPr>
    </w:p>
    <w:p>
      <w:pPr>
        <w:ind w:left="608" w:right="20"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658,728 restricted shares of common stock and 542,035 restricted shares of common stock upon conversion of currently convertible promissory notes and accrued interest.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620,408 restricted shares of common stock. The primary business address of University Health Network is 101 College Street, Suite 150, Toronto, Ontario Canada M5G 1L7.</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an aggregate of 2,637,967 restricted shares of common stock exercisable within 60 days of July 1, 2014, warrants to purchase an aggregate of 2,763,552 restricted shares of common stock exercisable within 60 days of July 1, 2014 and 33,400 restricted shares of common stock upon conversion of a currently convertible promissory note and accrued interest.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9" w:name="page110"/>
    <w:bookmarkEnd w:id="10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Cato Holding Company (</w:t>
      </w:r>
      <w:r>
        <w:rPr>
          <w:rFonts w:ascii="Arial" w:cs="Arial" w:eastAsia="Arial" w:hAnsi="Arial"/>
          <w:sz w:val="12"/>
          <w:szCs w:val="12"/>
          <w:i w:val="1"/>
          <w:iCs w:val="1"/>
          <w:color w:val="auto"/>
        </w:rPr>
        <w:t>CHC</w:t>
      </w:r>
      <w:r>
        <w:rPr>
          <w:rFonts w:ascii="Arial" w:cs="Arial" w:eastAsia="Arial" w:hAnsi="Arial"/>
          <w:sz w:val="12"/>
          <w:szCs w:val="12"/>
          <w:color w:val="auto"/>
        </w:rPr>
        <w:t>),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2"/>
          <w:szCs w:val="12"/>
          <w:i w:val="1"/>
          <w:iCs w:val="1"/>
          <w:color w:val="auto"/>
        </w:rPr>
        <w:t>2011 CHC Note</w:t>
      </w:r>
      <w:r>
        <w:rPr>
          <w:rFonts w:ascii="Arial" w:cs="Arial" w:eastAsia="Arial" w:hAnsi="Arial"/>
          <w:sz w:val="12"/>
          <w:szCs w:val="12"/>
          <w:color w:val="auto"/>
        </w:rPr>
        <w:t>). On October 10, 2012, we agreed with CHC to cancel the 2011 CHC Note and exchange it for a new unsecured promissory note in the principal amount of $310,400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our common stock at a price of $1.50 per share (</w:t>
      </w:r>
      <w:r>
        <w:rPr>
          <w:rFonts w:ascii="Arial" w:cs="Arial" w:eastAsia="Arial" w:hAnsi="Arial"/>
          <w:sz w:val="12"/>
          <w:szCs w:val="12"/>
          <w:i w:val="1"/>
          <w:iCs w:val="1"/>
          <w:color w:val="auto"/>
        </w:rPr>
        <w:t>CHC Warrant</w:t>
      </w:r>
      <w:r>
        <w:rPr>
          <w:rFonts w:ascii="Arial" w:cs="Arial" w:eastAsia="Arial" w:hAnsi="Arial"/>
          <w:sz w:val="12"/>
          <w:szCs w:val="12"/>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2"/>
          <w:szCs w:val="12"/>
          <w:i w:val="1"/>
          <w:iCs w:val="1"/>
          <w:color w:val="auto"/>
        </w:rPr>
        <w:t>CRL</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2"/>
          <w:szCs w:val="12"/>
          <w:i w:val="1"/>
          <w:iCs w:val="1"/>
          <w:color w:val="auto"/>
        </w:rPr>
        <w:t xml:space="preserve"> </w:t>
      </w:r>
      <w:r>
        <w:rPr>
          <w:rFonts w:ascii="Arial" w:cs="Arial" w:eastAsia="Arial" w:hAnsi="Arial"/>
          <w:sz w:val="12"/>
          <w:szCs w:val="12"/>
          <w:color w:val="auto"/>
        </w:rPr>
        <w:t>warrant to purchase, at a price of $1.00 per share, 1,009,000 restricted shares of our common stock. Total interest expense on notes payable to CHC and CRL was $167,900 and $101,700 for the fiscal years ended March 31,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 Agreements with Directors and Executive Officers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and our Bylaws provide that we shall indemnify our directors to the fullest extent permitted by the Nevada Revised Statutes. For more information regarding these agreements, see “Executive compensation—Limitations of Liability and Indemnification.”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0" w:name="page111"/>
    <w:bookmarkEnd w:id="1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Law Group, San Diego, California, will pass upon the validity of the securities offered hereby. A partner of the Disclosure Law Group holds warrants to purchase 58,334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as of March 31, 2014 and 2013,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NAMED EXPERTS AND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41"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26"/>
        </w:trPr>
        <w:tc>
          <w:tcPr>
            <w:tcW w:w="4260" w:type="dxa"/>
            <w:vAlign w:val="bottom"/>
            <w:gridSpan w:val="10"/>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2"/>
                <w:szCs w:val="12"/>
                <w:b w:val="1"/>
                <w:bCs w:val="1"/>
                <w:color w:val="auto"/>
              </w:rPr>
              <w:t>VISTAGEN THERAPEUTICS INC.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2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rPr>
              <w:t>INDEX TO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2"/>
        </w:trPr>
        <w:tc>
          <w:tcPr>
            <w:tcW w:w="4260" w:type="dxa"/>
            <w:vAlign w:val="bottom"/>
            <w:gridSpan w:val="10"/>
          </w:tcPr>
          <w:p>
            <w:pPr>
              <w:spacing w:after="0" w:line="115" w:lineRule="exact"/>
              <w:rPr>
                <w:rFonts w:ascii="Arial" w:cs="Arial" w:eastAsia="Arial" w:hAnsi="Arial"/>
                <w:sz w:val="12"/>
                <w:szCs w:val="12"/>
                <w:b w:val="1"/>
                <w:bCs w:val="1"/>
                <w:color w:val="0000EE"/>
                <w:w w:val="99"/>
              </w:rPr>
            </w:pPr>
            <w:hyperlink w:anchor="page113">
              <w:r>
                <w:rPr>
                  <w:rFonts w:ascii="Arial" w:cs="Arial" w:eastAsia="Arial" w:hAnsi="Arial"/>
                  <w:sz w:val="12"/>
                  <w:szCs w:val="12"/>
                  <w:b w:val="1"/>
                  <w:bCs w:val="1"/>
                  <w:color w:val="0000EE"/>
                  <w:w w:val="99"/>
                </w:rPr>
                <w:t>Audited Financial Statements for the years ended March 31, 2014 and 2013</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Borders>
              <w:top w:val="single" w:sz="8" w:color="0000EE"/>
            </w:tcBorders>
            <w:gridSpan w:val="8"/>
            <w:shd w:val="clear" w:color="auto" w:fill="CCEEFF"/>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Report of Independent Registered Public Accounting Firm</w:t>
              </w:r>
            </w:hyperlink>
          </w:p>
        </w:tc>
        <w:tc>
          <w:tcPr>
            <w:tcW w:w="420" w:type="dxa"/>
            <w:vAlign w:val="bottom"/>
            <w:shd w:val="clear" w:color="auto" w:fill="CCEEFF"/>
          </w:tcPr>
          <w:p>
            <w:pPr>
              <w:spacing w:after="0"/>
              <w:rPr>
                <w:sz w:val="10"/>
                <w:szCs w:val="10"/>
                <w:color w:val="auto"/>
              </w:rPr>
            </w:pPr>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114">
              <w:r>
                <w:rPr>
                  <w:rFonts w:ascii="Arial" w:cs="Arial" w:eastAsia="Arial" w:hAnsi="Arial"/>
                  <w:sz w:val="12"/>
                  <w:szCs w:val="12"/>
                  <w:color w:val="0000EE"/>
                </w:rPr>
                <w:t>Consolidated Balance Sheets</w:t>
              </w:r>
            </w:hyperlink>
          </w:p>
        </w:tc>
        <w:tc>
          <w:tcPr>
            <w:tcW w:w="1460" w:type="dxa"/>
            <w:vAlign w:val="bottom"/>
            <w:tcBorders>
              <w:top w:val="single" w:sz="8" w:color="CCEEFF"/>
            </w:tcBorders>
            <w:gridSpan w:val="3"/>
          </w:tcPr>
          <w:p>
            <w:pPr>
              <w:spacing w:after="0"/>
              <w:rPr>
                <w:sz w:val="10"/>
                <w:szCs w:val="10"/>
                <w:color w:val="auto"/>
              </w:rPr>
            </w:pPr>
          </w:p>
        </w:tc>
        <w:tc>
          <w:tcPr>
            <w:tcW w:w="6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115">
              <w:r>
                <w:rPr>
                  <w:rFonts w:ascii="Arial" w:cs="Arial" w:eastAsia="Arial" w:hAnsi="Arial"/>
                  <w:sz w:val="12"/>
                  <w:szCs w:val="12"/>
                  <w:color w:val="0000EE"/>
                  <w:w w:val="88"/>
                </w:rPr>
                <w:t>Consolidated Statements of Operations and Comprehensive Loss</w:t>
              </w:r>
            </w:hyperlink>
          </w:p>
        </w:tc>
        <w:tc>
          <w:tcPr>
            <w:tcW w:w="1140" w:type="dxa"/>
            <w:vAlign w:val="bottom"/>
            <w:tcBorders>
              <w:bottom w:val="single" w:sz="8" w:color="CCEEFF"/>
            </w:tcBorders>
            <w:gridSpan w:val="2"/>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gridSpan w:val="9"/>
          </w:tcPr>
          <w:p>
            <w:pPr>
              <w:spacing w:after="0" w:line="117" w:lineRule="exact"/>
              <w:rPr>
                <w:rFonts w:ascii="Arial" w:cs="Arial" w:eastAsia="Arial" w:hAnsi="Arial"/>
                <w:sz w:val="12"/>
                <w:szCs w:val="12"/>
                <w:color w:val="0000EE"/>
              </w:rPr>
            </w:pPr>
            <w:hyperlink w:anchor="page116">
              <w:r>
                <w:rPr>
                  <w:rFonts w:ascii="Arial" w:cs="Arial" w:eastAsia="Arial" w:hAnsi="Arial"/>
                  <w:sz w:val="12"/>
                  <w:szCs w:val="12"/>
                  <w:color w:val="0000EE"/>
                </w:rPr>
                <w:t>Consolidated Statements of Cash Flows</w:t>
              </w:r>
            </w:hyperlink>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118">
              <w:r>
                <w:rPr>
                  <w:rFonts w:ascii="Arial" w:cs="Arial" w:eastAsia="Arial" w:hAnsi="Arial"/>
                  <w:sz w:val="12"/>
                  <w:szCs w:val="12"/>
                  <w:color w:val="0000EE"/>
                  <w:w w:val="87"/>
                </w:rPr>
                <w:t>Consolidated Statements of Preferred Stock</w:t>
              </w:r>
            </w:hyperlink>
          </w:p>
        </w:tc>
        <w:tc>
          <w:tcPr>
            <w:tcW w:w="2160" w:type="dxa"/>
            <w:vAlign w:val="bottom"/>
            <w:tcBorders>
              <w:bottom w:val="single" w:sz="8" w:color="CCEEFF"/>
            </w:tcBorders>
            <w:gridSpan w:val="5"/>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119">
              <w:r>
                <w:rPr>
                  <w:rFonts w:ascii="Arial" w:cs="Arial" w:eastAsia="Arial" w:hAnsi="Arial"/>
                  <w:sz w:val="12"/>
                  <w:szCs w:val="12"/>
                  <w:color w:val="0000EE"/>
                  <w:w w:val="89"/>
                </w:rPr>
                <w:t>Consolidated Statements of Stockholders' Deficit</w:t>
              </w:r>
            </w:hyperlink>
          </w:p>
        </w:tc>
        <w:tc>
          <w:tcPr>
            <w:tcW w:w="1900" w:type="dxa"/>
            <w:vAlign w:val="bottom"/>
            <w:gridSpan w:val="4"/>
          </w:tcPr>
          <w:p>
            <w:pPr>
              <w:spacing w:after="0"/>
              <w:rPr>
                <w:sz w:val="10"/>
                <w:szCs w:val="10"/>
                <w:color w:val="auto"/>
              </w:rPr>
            </w:pPr>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9"/>
            <w:shd w:val="clear" w:color="auto" w:fill="CCEEFF"/>
          </w:tcPr>
          <w:p>
            <w:pPr>
              <w:spacing w:after="0" w:line="117" w:lineRule="exact"/>
              <w:rPr>
                <w:rFonts w:ascii="Arial" w:cs="Arial" w:eastAsia="Arial" w:hAnsi="Arial"/>
                <w:sz w:val="12"/>
                <w:szCs w:val="12"/>
                <w:color w:val="0000EE"/>
              </w:rPr>
            </w:pPr>
            <w:hyperlink w:anchor="page123">
              <w:r>
                <w:rPr>
                  <w:rFonts w:ascii="Arial" w:cs="Arial" w:eastAsia="Arial" w:hAnsi="Arial"/>
                  <w:sz w:val="12"/>
                  <w:szCs w:val="12"/>
                  <w:color w:val="0000EE"/>
                </w:rPr>
                <w:t>Notes to Consolidated Financial Statements</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F-10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gridSpan w:val="2"/>
          </w:tcPr>
          <w:p>
            <w:pPr>
              <w:jc w:val="center"/>
              <w:ind w:right="4200"/>
              <w:spacing w:after="0"/>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2" w:name="page113"/>
    <w:bookmarkEnd w:id="11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26"/>
        </w:trPr>
        <w:tc>
          <w:tcPr>
            <w:tcW w:w="884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2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80" w:type="dxa"/>
            <w:vAlign w:val="bottom"/>
          </w:tcPr>
          <w:p>
            <w:pPr>
              <w:jc w:val="center"/>
              <w:ind w:left="1700"/>
              <w:spacing w:after="0" w:line="133" w:lineRule="exact"/>
              <w:rPr>
                <w:sz w:val="20"/>
                <w:szCs w:val="20"/>
                <w:color w:val="auto"/>
              </w:rPr>
            </w:pPr>
            <w:r>
              <w:rPr>
                <w:rFonts w:ascii="Arial" w:cs="Arial" w:eastAsia="Arial" w:hAnsi="Arial"/>
                <w:sz w:val="12"/>
                <w:szCs w:val="12"/>
                <w:b w:val="1"/>
                <w:bCs w:val="1"/>
                <w:color w:val="auto"/>
                <w:w w:val="91"/>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70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26"/>
        </w:trPr>
        <w:tc>
          <w:tcPr>
            <w:tcW w:w="296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8" w:name="page119"/>
    <w:bookmarkEnd w:id="1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vMerge w:val="restart"/>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1" w:right="199" w:bottom="0" w:gutter="0" w:footer="0" w:header="0"/>
        </w:sectPr>
      </w:pPr>
    </w:p>
    <w:bookmarkStart w:id="119" w:name="page120"/>
    <w:bookmarkEnd w:id="11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Stock issued in Fall</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63,570</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920" w:type="dxa"/>
            <w:vAlign w:val="bottom"/>
          </w:tcPr>
          <w:p>
            <w:pPr>
              <w:jc w:val="right"/>
              <w:spacing w:after="0"/>
              <w:rPr>
                <w:sz w:val="20"/>
                <w:szCs w:val="20"/>
                <w:color w:val="auto"/>
              </w:rPr>
            </w:pPr>
            <w:r>
              <w:rPr>
                <w:rFonts w:ascii="Arial" w:cs="Arial" w:eastAsia="Arial" w:hAnsi="Arial"/>
                <w:sz w:val="12"/>
                <w:szCs w:val="12"/>
                <w:color w:val="auto"/>
              </w:rPr>
              <w:t>231,090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45,980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159,985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437,055</w:t>
            </w:r>
          </w:p>
        </w:tc>
        <w:tc>
          <w:tcPr>
            <w:tcW w:w="240" w:type="dxa"/>
            <w:vAlign w:val="bottom"/>
          </w:tcPr>
          <w:p>
            <w:pPr>
              <w:spacing w:after="0"/>
              <w:rPr>
                <w:sz w:val="13"/>
                <w:szCs w:val="13"/>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18,704,267</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-3133725</wp:posOffset>
            </wp:positionV>
            <wp:extent cx="729234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-2675890</wp:posOffset>
            </wp:positionV>
            <wp:extent cx="7292340" cy="549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-1852295</wp:posOffset>
            </wp:positionV>
            <wp:extent cx="7292340" cy="549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-662940</wp:posOffset>
            </wp:positionV>
            <wp:extent cx="7292340" cy="182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-285115</wp:posOffset>
            </wp:positionV>
            <wp:extent cx="7292340" cy="91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111,200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111,300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60" w:space="340"/>
            <w:col w:w="5100"/>
          </w:cols>
          <w:pgMar w:left="220" w:top="131" w:right="279" w:bottom="1440" w:gutter="0" w:footer="0" w:header="0"/>
        </w:sectPr>
      </w:pPr>
    </w:p>
    <w:p>
      <w:pPr>
        <w:jc w:val="center"/>
        <w:ind w:right="-79"/>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20" w:name="page121"/>
    <w:bookmarkEnd w:id="120"/>
    <w:p>
      <w:pPr>
        <w:spacing w:after="0" w:line="62" w:lineRule="exact"/>
        <w:rPr>
          <w:sz w:val="20"/>
          <w:szCs w:val="20"/>
          <w:color w:val="auto"/>
        </w:rPr>
      </w:pPr>
    </w:p>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34" w:right="19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122" w:name="page123"/>
    <w:bookmarkEnd w:id="1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jc w:val="both"/>
        <w:ind w:left="8" w:firstLine="456"/>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potentially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potentially safer and proprietary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that it produces with its contract medicinal chemistry collaborator and validates internally in its human cell-based bioassay systems prior to license. The Company anticipates that each validated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471"/>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exploratory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28" w:lineRule="exact"/>
        <w:rPr>
          <w:sz w:val="20"/>
          <w:szCs w:val="20"/>
          <w:color w:val="auto"/>
        </w:rPr>
      </w:pPr>
    </w:p>
    <w:p>
      <w:pPr>
        <w:jc w:val="both"/>
        <w:ind w:left="8" w:firstLine="474"/>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01" w:lineRule="exact"/>
        <w:rPr>
          <w:sz w:val="20"/>
          <w:szCs w:val="20"/>
          <w:color w:val="auto"/>
        </w:rPr>
      </w:pPr>
    </w:p>
    <w:p>
      <w:pPr>
        <w:ind w:left="8" w:firstLine="454"/>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 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July 1, 2014, the Company entered into securities purchase agreements with accredited investors and institutions pursuant to which it sold to such accredited investors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for aggregate proceeds of $1,465,000, consisting of: (i) 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April 2013, the Company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the Company’s common stock at a purchase price of $0.50 per share for aggregate cash proceeds to us of $36.0 million (the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the Company can provide no assurance that</w:t>
      </w:r>
      <w:r>
        <w:rPr>
          <w:rFonts w:ascii="Arial" w:cs="Arial" w:eastAsia="Arial" w:hAnsi="Arial"/>
          <w:sz w:val="12"/>
          <w:szCs w:val="12"/>
          <w:i w:val="1"/>
          <w:iCs w:val="1"/>
          <w:color w:val="auto"/>
        </w:rPr>
        <w:t xml:space="preserve"> </w:t>
      </w:r>
      <w:r>
        <w:rPr>
          <w:rFonts w:ascii="Arial" w:cs="Arial" w:eastAsia="Arial" w:hAnsi="Arial"/>
          <w:sz w:val="12"/>
          <w:szCs w:val="12"/>
          <w:color w:val="auto"/>
        </w:rPr>
        <w:t>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left="680"/>
        <w:spacing w:after="0" w:line="281" w:lineRule="auto"/>
        <w:rPr>
          <w:sz w:val="20"/>
          <w:szCs w:val="20"/>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both"/>
        <w:ind w:left="680"/>
        <w:spacing w:after="0" w:line="254" w:lineRule="auto"/>
        <w:rPr>
          <w:sz w:val="20"/>
          <w:szCs w:val="20"/>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272" w:lineRule="exact"/>
        <w:rPr>
          <w:sz w:val="20"/>
          <w:szCs w:val="20"/>
          <w:color w:val="auto"/>
        </w:rPr>
      </w:pPr>
    </w:p>
    <w:p>
      <w:pPr>
        <w:ind w:left="680" w:right="20" w:hanging="377"/>
        <w:spacing w:after="0" w:line="276" w:lineRule="auto"/>
        <w:tabs>
          <w:tab w:leader="none" w:pos="6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7" w:name="page128"/>
    <w:bookmarkEnd w:id="12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26"/>
        </w:trPr>
        <w:tc>
          <w:tcPr>
            <w:tcW w:w="884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0" w:type="dxa"/>
            <w:vAlign w:val="bottom"/>
            <w:tcBorders>
              <w:top w:val="single" w:sz="8" w:color="CCEEFF"/>
            </w:tcBorders>
            <w:gridSpan w:val="2"/>
          </w:tcPr>
          <w:p>
            <w:pPr>
              <w:spacing w:after="0" w:line="111" w:lineRule="exact"/>
              <w:rPr>
                <w:sz w:val="20"/>
                <w:szCs w:val="20"/>
                <w:color w:val="auto"/>
              </w:rPr>
            </w:pPr>
            <w:r>
              <w:rPr>
                <w:rFonts w:ascii="Arial" w:cs="Arial" w:eastAsia="Arial" w:hAnsi="Arial"/>
                <w:sz w:val="12"/>
                <w:szCs w:val="12"/>
                <w:color w:val="auto"/>
                <w:w w:val="89"/>
              </w:rPr>
              <w:t>____________</w:t>
            </w:r>
          </w:p>
        </w:tc>
        <w:tc>
          <w:tcPr>
            <w:tcW w:w="80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80" w:type="dxa"/>
            <w:vAlign w:val="bottom"/>
          </w:tcPr>
          <w:p>
            <w:pPr>
              <w:ind w:left="4860"/>
              <w:spacing w:after="0"/>
              <w:rPr>
                <w:sz w:val="20"/>
                <w:szCs w:val="20"/>
                <w:color w:val="auto"/>
              </w:rPr>
            </w:pPr>
            <w:r>
              <w:rPr>
                <w:rFonts w:ascii="Arial" w:cs="Arial" w:eastAsia="Arial" w:hAnsi="Arial"/>
                <w:sz w:val="12"/>
                <w:szCs w:val="12"/>
                <w:color w:val="auto"/>
              </w:rPr>
              <w:t>F-16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680" w:hanging="382"/>
        <w:spacing w:after="0"/>
        <w:tabs>
          <w:tab w:leader="none" w:pos="680" w:val="left"/>
        </w:tabs>
        <w:numPr>
          <w:ilvl w:val="1"/>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60" w:right="20" w:hanging="371"/>
        <w:spacing w:after="0" w:line="276" w:lineRule="auto"/>
        <w:tabs>
          <w:tab w:leader="none" w:pos="660" w:val="left"/>
        </w:tabs>
        <w:numPr>
          <w:ilvl w:val="1"/>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w:t>
      </w:r>
      <w:r>
        <w:rPr>
          <w:rFonts w:ascii="Arial" w:cs="Arial" w:eastAsia="Arial" w:hAnsi="Arial"/>
          <w:sz w:val="12"/>
          <w:szCs w:val="12"/>
          <w:i w:val="1"/>
          <w:iCs w:val="1"/>
          <w:color w:val="auto"/>
        </w:rPr>
        <w:t xml:space="preserve"> </w:t>
      </w:r>
      <w:r>
        <w:rPr>
          <w:rFonts w:ascii="Arial" w:cs="Arial" w:eastAsia="Arial" w:hAnsi="Arial"/>
          <w:sz w:val="12"/>
          <w:szCs w:val="12"/>
          <w:color w:val="auto"/>
        </w:rPr>
        <w:t>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40" w:right="20" w:hanging="355"/>
        <w:spacing w:after="0" w:line="276" w:lineRule="auto"/>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w:t>
      </w:r>
      <w:r>
        <w:rPr>
          <w:rFonts w:ascii="Arial" w:cs="Arial" w:eastAsia="Arial" w:hAnsi="Arial"/>
          <w:sz w:val="12"/>
          <w:szCs w:val="12"/>
          <w:i w:val="1"/>
          <w:iCs w:val="1"/>
          <w:color w:val="auto"/>
        </w:rPr>
        <w:t xml:space="preserve"> </w:t>
      </w:r>
      <w:r>
        <w:rPr>
          <w:rFonts w:ascii="Arial" w:cs="Arial" w:eastAsia="Arial" w:hAnsi="Arial"/>
          <w:sz w:val="12"/>
          <w:szCs w:val="12"/>
          <w:color w:val="auto"/>
        </w:rPr>
        <w:t>or 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F-18</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in July and August 2012, and under the October 2012 Agreement with Platinum, the Company entered into a Security Agreement with 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2" w:name="page133"/>
    <w:bookmarkEnd w:id="132"/>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2"/>
                <w:szCs w:val="12"/>
                <w:color w:val="auto"/>
                <w:w w:val="92"/>
              </w:rPr>
              <w:t>____________</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66"/>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21"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type w:val="continuous"/>
        </w:sectPr>
      </w:pPr>
    </w:p>
    <w:bookmarkStart w:id="133" w:name="page134"/>
    <w:bookmarkEnd w:id="13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4" w:name="page135"/>
    <w:bookmarkEnd w:id="13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 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 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that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0" w:name="page141"/>
    <w:bookmarkEnd w:id="14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w:t>
      </w:r>
      <w:r>
        <w:rPr>
          <w:rFonts w:ascii="Arial" w:cs="Arial" w:eastAsia="Arial" w:hAnsi="Arial"/>
          <w:sz w:val="12"/>
          <w:szCs w:val="12"/>
          <w:i w:val="1"/>
          <w:iCs w:val="1"/>
          <w:color w:val="auto"/>
        </w:rPr>
        <w:t xml:space="preserve"> </w:t>
      </w:r>
      <w:r>
        <w:rPr>
          <w:rFonts w:ascii="Arial" w:cs="Arial" w:eastAsia="Arial" w:hAnsi="Arial"/>
          <w:sz w:val="12"/>
          <w:szCs w:val="12"/>
          <w:color w:val="auto"/>
        </w:rPr>
        <w:t>Stock 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 decreased.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2" w:name="page153"/>
    <w:bookmarkEnd w:id="15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69"/>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69"/>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34"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F-40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type w:val="continuous"/>
        </w:sectPr>
      </w:pPr>
    </w:p>
    <w:bookmarkStart w:id="153" w:name="page154"/>
    <w:bookmarkEnd w:id="15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F-44</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8" w:name="page159"/>
    <w:bookmarkEnd w:id="1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0" w:name="page161"/>
    <w:bookmarkEnd w:id="16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Between March 31, 2014 and June 23, 2014,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70"/>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F-50</w:t>
            </w: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26"/>
        </w:trPr>
        <w:tc>
          <w:tcPr>
            <w:tcW w:w="102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9460" w:type="dxa"/>
            <w:vAlign w:val="bottom"/>
          </w:tcPr>
          <w:p>
            <w:pPr>
              <w:jc w:val="center"/>
              <w:ind w:left="440"/>
              <w:spacing w:after="0"/>
              <w:rPr>
                <w:sz w:val="20"/>
                <w:szCs w:val="20"/>
                <w:color w:val="auto"/>
              </w:rPr>
            </w:pPr>
            <w:r>
              <w:rPr>
                <w:rFonts w:ascii="Arial" w:cs="Arial" w:eastAsia="Arial" w:hAnsi="Arial"/>
                <w:sz w:val="12"/>
                <w:szCs w:val="12"/>
                <w:b w:val="1"/>
                <w:bCs w:val="1"/>
                <w:color w:val="auto"/>
              </w:rPr>
              <w:t>PART II</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60" w:type="dxa"/>
            <w:vAlign w:val="bottom"/>
          </w:tcPr>
          <w:p>
            <w:pPr>
              <w:jc w:val="center"/>
              <w:ind w:left="420"/>
              <w:spacing w:after="0"/>
              <w:rPr>
                <w:sz w:val="20"/>
                <w:szCs w:val="20"/>
                <w:color w:val="auto"/>
              </w:rPr>
            </w:pPr>
            <w:r>
              <w:rPr>
                <w:rFonts w:ascii="Arial" w:cs="Arial" w:eastAsia="Arial" w:hAnsi="Arial"/>
                <w:sz w:val="12"/>
                <w:szCs w:val="12"/>
                <w:b w:val="1"/>
                <w:bCs w:val="1"/>
                <w:color w:val="auto"/>
                <w:w w:val="90"/>
              </w:rPr>
              <w:t>Information Not Required in Prospectus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13. Other Expenses of Issuance and Distribution</w:t>
            </w:r>
            <w:r>
              <w:rPr>
                <w:rFonts w:ascii="Arial" w:cs="Arial" w:eastAsia="Arial" w:hAnsi="Arial"/>
                <w:sz w:val="12"/>
                <w:szCs w:val="12"/>
                <w:color w:val="auto"/>
              </w:rPr>
              <w:t>.</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color w:val="auto"/>
              </w:rPr>
              <w:t>The following table sets forth all expenses to be paid by the Registrant in connection with this registration statement. All amounts shown are estimates except for the SEC registration fee.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 Filing fees</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FINRA fees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and filing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Transfer agent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Legal fees and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Accounting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Miscellaneous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46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14. Indemnification of Officers and Directors</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of liability and indemnification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4" w:name="page165"/>
    <w:bookmarkEnd w:id="1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Since June 2011, we have made the following sales of unregistered securities in private placement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 March 2014 – July 2014</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Through July 1, 2014, we entered into securities purchase agreements with accredited investors pursuant to which we sold to such accredited investors units (</w:t>
      </w:r>
      <w:r>
        <w:rPr>
          <w:rFonts w:ascii="Arial" w:cs="Arial" w:eastAsia="Arial" w:hAnsi="Arial"/>
          <w:sz w:val="11"/>
          <w:szCs w:val="11"/>
          <w:i w:val="1"/>
          <w:iCs w:val="1"/>
          <w:color w:val="auto"/>
        </w:rPr>
        <w:t>2014 Units</w:t>
      </w:r>
      <w:r>
        <w:rPr>
          <w:rFonts w:ascii="Arial" w:cs="Arial" w:eastAsia="Arial" w:hAnsi="Arial"/>
          <w:sz w:val="11"/>
          <w:szCs w:val="11"/>
          <w:color w:val="auto"/>
        </w:rPr>
        <w:t>) consisting, in aggregate, of: (i) 10% subordinate convertible promissory notes maturing on March 31, 2015 in the aggregate face amount of $1,570,000; (ii) an aggregate of 1,570,000 shares of our restricted common stock; and (iii) warrants exercisable through December 31, 2016 to purchase an aggregate of 1,570,000 restricted shares of our common stock at an exercise price of $0.50 per share. We received cash proceeds of $1,570,000 from the sale of the 2014 Units.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License Settlement: April 2014</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$30,000 of which has been paid as of June 30, 2014; (ii) 300,000 restricted shares of our common stock; and (iii) a warrant exercisable through March 31, 2019 to purchase an aggregate of 300,000 restricted shares of our common stock at an exercise price of $0.50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 August 2013 – March 2014</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Exercise of Warrants: June and October 2013</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 previously outstanding warrant to purchase an aggregate of 60,000 shares of our restricted common stock at an exercise price of $0.64 per share and we received proceeds of $38,400 from his exercise.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Exercise of Warrants: June – July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June 2013, we offered certain long term accredited investors holding warrants to purchase common stock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5" w:name="page166"/>
    <w:bookmarkEnd w:id="1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Financing: June 2013</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April 2013, we entered into a Securities Purchase Agreement (</w:t>
      </w:r>
      <w:r>
        <w:rPr>
          <w:rFonts w:ascii="Arial" w:cs="Arial" w:eastAsia="Arial" w:hAnsi="Arial"/>
          <w:sz w:val="11"/>
          <w:szCs w:val="11"/>
          <w:i w:val="1"/>
          <w:iCs w:val="1"/>
          <w:color w:val="auto"/>
        </w:rPr>
        <w:t>Autilion Agreement</w:t>
      </w:r>
      <w:r>
        <w:rPr>
          <w:rFonts w:ascii="Arial" w:cs="Arial" w:eastAsia="Arial" w:hAnsi="Arial"/>
          <w:sz w:val="11"/>
          <w:szCs w:val="11"/>
          <w:color w:val="auto"/>
        </w:rPr>
        <w:t>) pursuant to which, as amended, we agreed to sell, and Autilion agreed to purchase, 72.0 million restricted shares of our common stock for $0.50 per share resulting in aggregate gross cash proceeds to us of $36.0 million. Through the date of this prospectus, Autilion has completed only a nominal initial closing of the Autilion Financing in which we issued 50,000 restricted shares of our common stock and received $25,000 in cash proceeds. Autilion is in default under the Securities Purchase Agreement and no assurances can be given that any further closings will occur under the Securities Purchase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 July 2012 – July 2013</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2, 2012 and on August 31, 2012, we issued to Platinum senior secured convertible promissory notes in the principal amount of $500,000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w:t>
      </w:r>
      <w:r>
        <w:rPr>
          <w:rFonts w:ascii="Arial" w:cs="Arial" w:eastAsia="Arial" w:hAnsi="Arial"/>
          <w:sz w:val="12"/>
          <w:szCs w:val="12"/>
          <w:i w:val="1"/>
          <w:iCs w:val="1"/>
          <w:color w:val="auto"/>
        </w:rPr>
        <w:t>August 2012 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October 11, 2012, we entered into a Note Exchange and Purchase Agreement with Platinum (</w:t>
      </w:r>
      <w:r>
        <w:rPr>
          <w:rFonts w:ascii="Arial" w:cs="Arial" w:eastAsia="Arial" w:hAnsi="Arial"/>
          <w:sz w:val="12"/>
          <w:szCs w:val="12"/>
          <w:i w:val="1"/>
          <w:iCs w:val="1"/>
          <w:color w:val="auto"/>
        </w:rPr>
        <w:t>October 2012 Agreement</w:t>
      </w:r>
      <w:r>
        <w:rPr>
          <w:rFonts w:ascii="Arial" w:cs="Arial" w:eastAsia="Arial" w:hAnsi="Arial"/>
          <w:sz w:val="12"/>
          <w:szCs w:val="12"/>
          <w:color w:val="auto"/>
        </w:rPr>
        <w:t xml:space="preserve">) in which the July 2012 Platinum Note and the August 2012 Platinum Note (together, the </w:t>
      </w:r>
      <w:r>
        <w:rPr>
          <w:rFonts w:ascii="Arial" w:cs="Arial" w:eastAsia="Arial" w:hAnsi="Arial"/>
          <w:sz w:val="12"/>
          <w:szCs w:val="12"/>
          <w:i w:val="1"/>
          <w:iCs w:val="1"/>
          <w:color w:val="auto"/>
        </w:rPr>
        <w:t>Existing Notes</w:t>
      </w:r>
      <w:r>
        <w:rPr>
          <w:rFonts w:ascii="Arial" w:cs="Arial" w:eastAsia="Arial" w:hAnsi="Arial"/>
          <w:sz w:val="12"/>
          <w:szCs w:val="12"/>
          <w:color w:val="auto"/>
        </w:rPr>
        <w:t>), as well as the related accrued interest, were consolidated into and exchanged for a single senior secured convertible note in the amount of $1,272,600 (</w:t>
      </w:r>
      <w:r>
        <w:rPr>
          <w:rFonts w:ascii="Arial" w:cs="Arial" w:eastAsia="Arial" w:hAnsi="Arial"/>
          <w:sz w:val="12"/>
          <w:szCs w:val="12"/>
          <w:i w:val="1"/>
          <w:iCs w:val="1"/>
          <w:color w:val="auto"/>
        </w:rPr>
        <w:t>Exchange Note</w:t>
      </w:r>
      <w:r>
        <w:rPr>
          <w:rFonts w:ascii="Arial" w:cs="Arial" w:eastAsia="Arial" w:hAnsi="Arial"/>
          <w:sz w:val="12"/>
          <w:szCs w:val="12"/>
          <w:color w:val="auto"/>
        </w:rPr>
        <w:t>) and Platinum agreed to purchase four additional 10% senior secured convertible promissory notes in the aggregate principal amount of $2.0 million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November 14, 2012 and January 31, 2013, we entered into amendments to the October 2012 Agreement (the </w:t>
      </w:r>
      <w:r>
        <w:rPr>
          <w:rFonts w:ascii="Arial" w:cs="Arial" w:eastAsia="Arial" w:hAnsi="Arial"/>
          <w:sz w:val="12"/>
          <w:szCs w:val="12"/>
          <w:i w:val="1"/>
          <w:iCs w:val="1"/>
          <w:color w:val="auto"/>
        </w:rPr>
        <w:t>NEPA Amendments</w:t>
      </w:r>
      <w:r>
        <w:rPr>
          <w:rFonts w:ascii="Arial" w:cs="Arial" w:eastAsia="Arial" w:hAnsi="Arial"/>
          <w:sz w:val="12"/>
          <w:szCs w:val="12"/>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2"/>
          <w:szCs w:val="12"/>
          <w:i w:val="1"/>
          <w:iCs w:val="1"/>
          <w:color w:val="auto"/>
        </w:rPr>
        <w:t>$1.0 Million Note</w:t>
      </w:r>
      <w:r>
        <w:rPr>
          <w:rFonts w:ascii="Arial" w:cs="Arial" w:eastAsia="Arial" w:hAnsi="Arial"/>
          <w:sz w:val="12"/>
          <w:szCs w:val="12"/>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2"/>
          <w:szCs w:val="12"/>
          <w:i w:val="1"/>
          <w:iCs w:val="1"/>
          <w:color w:val="auto"/>
        </w:rPr>
        <w:t>Additional Financing</w:t>
      </w:r>
      <w:r>
        <w:rPr>
          <w:rFonts w:ascii="Arial" w:cs="Arial" w:eastAsia="Arial" w:hAnsi="Arial"/>
          <w:sz w:val="12"/>
          <w:szCs w:val="12"/>
          <w:color w:val="auto"/>
        </w:rPr>
        <w:t xml:space="preserve"> </w:t>
      </w:r>
      <w:r>
        <w:rPr>
          <w:rFonts w:ascii="Arial" w:cs="Arial" w:eastAsia="Arial" w:hAnsi="Arial"/>
          <w:sz w:val="12"/>
          <w:szCs w:val="12"/>
          <w:i w:val="1"/>
          <w:iCs w:val="1"/>
          <w:color w:val="auto"/>
        </w:rPr>
        <w:t>Requirement</w:t>
      </w:r>
      <w:r>
        <w:rPr>
          <w:rFonts w:ascii="Arial" w:cs="Arial" w:eastAsia="Arial" w:hAnsi="Arial"/>
          <w:sz w:val="12"/>
          <w:szCs w:val="12"/>
          <w:color w:val="auto"/>
        </w:rPr>
        <w:t>). We satisfied the Additional Financing Requirement on February 12, 2013 (see 2012 Private Placement of Units, below). Effective February 22, 2013, we entered into an additional amendment to the October 2012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6" w:name="page167"/>
    <w:bookmarkEnd w:id="1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xml:space="preserve">). In addition, we issued Platinum a warrant to purchase 1,272,577 shares of our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Platinum Exchange Warrant and each Investment Warrant had a term of five years and an exercise price of $1.50 per share, subject to certain adjustments. We have subsequently reduced the 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price of the Exchange and Investment Warrants to $0.50 per share.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July 26, 2013, we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xml:space="preserve">).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Private Placement of Units: September 2012 – March 2013</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Convertible Notes and Warrants: February 2012</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 February 28, 2012, we consummated a private placement of convertible promissory notes to accredited investors in the aggregate principal amount of $500,000 (the </w:t>
      </w:r>
      <w:r>
        <w:rPr>
          <w:rFonts w:ascii="Arial" w:cs="Arial" w:eastAsia="Arial" w:hAnsi="Arial"/>
          <w:sz w:val="11"/>
          <w:szCs w:val="11"/>
          <w:i w:val="1"/>
          <w:iCs w:val="1"/>
          <w:color w:val="auto"/>
        </w:rPr>
        <w:t>Notes</w:t>
      </w:r>
      <w:r>
        <w:rPr>
          <w:rFonts w:ascii="Arial" w:cs="Arial" w:eastAsia="Arial" w:hAnsi="Arial"/>
          <w:sz w:val="11"/>
          <w:szCs w:val="11"/>
          <w:color w:val="auto"/>
        </w:rPr>
        <w:t xml:space="preserve">).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holder of each Note could voluntarily convert the outstanding principal amount of the Notes, together with all accrued and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into that number of shares of our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7" w:name="page168"/>
    <w:bookmarkEnd w:id="16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Noble Financial Capital Markets served as the lead placement agent for us in connection with the Note Offering and received cash fees totaling $21,000.</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November 15, 2012, the holders of the February 2012 Notes entered into an Exchange Agreement with us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October 2011 Private Placement</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Discounted Warrant Exercise Program: October – December 2011</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133" w:lineRule="exact"/>
        <w:rPr>
          <w:sz w:val="20"/>
          <w:szCs w:val="20"/>
          <w:color w:val="auto"/>
        </w:rPr>
      </w:pPr>
    </w:p>
    <w:p>
      <w:pPr>
        <w:ind w:left="540" w:hanging="314"/>
        <w:spacing w:after="0"/>
        <w:tabs>
          <w:tab w:leader="none" w:pos="5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issued 965,734 shares of our common stock and received cash proceeds of $1,106,129;</w:t>
      </w:r>
    </w:p>
    <w:p>
      <w:pPr>
        <w:spacing w:after="0" w:line="150" w:lineRule="exact"/>
        <w:rPr>
          <w:rFonts w:ascii="Arial" w:cs="Arial" w:eastAsia="Arial" w:hAnsi="Arial"/>
          <w:sz w:val="12"/>
          <w:szCs w:val="12"/>
          <w:color w:val="auto"/>
        </w:rPr>
      </w:pPr>
    </w:p>
    <w:p>
      <w:pPr>
        <w:ind w:left="540" w:hanging="314"/>
        <w:spacing w:after="0"/>
        <w:tabs>
          <w:tab w:leader="none" w:pos="540" w:val="left"/>
        </w:tabs>
        <w:numPr>
          <w:ilvl w:val="0"/>
          <w:numId w:val="71"/>
        </w:numPr>
        <w:rPr>
          <w:rFonts w:ascii="Arial" w:cs="Arial" w:eastAsia="Arial" w:hAnsi="Arial"/>
          <w:sz w:val="11"/>
          <w:szCs w:val="11"/>
          <w:color w:val="auto"/>
        </w:rPr>
      </w:pPr>
      <w:r>
        <w:rPr>
          <w:rFonts w:ascii="Arial" w:cs="Arial" w:eastAsia="Arial" w:hAnsi="Arial"/>
          <w:sz w:val="11"/>
          <w:szCs w:val="11"/>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1" w:lineRule="exact"/>
        <w:rPr>
          <w:rFonts w:ascii="Arial" w:cs="Arial" w:eastAsia="Arial" w:hAnsi="Arial"/>
          <w:sz w:val="11"/>
          <w:szCs w:val="11"/>
          <w:color w:val="auto"/>
        </w:rPr>
      </w:pPr>
    </w:p>
    <w:p>
      <w:pPr>
        <w:ind w:left="540" w:hanging="314"/>
        <w:spacing w:after="0" w:line="276" w:lineRule="auto"/>
        <w:tabs>
          <w:tab w:leader="none" w:pos="5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Additionally, in December 2011, we entered into an Agreement Regarding Payment of Invoices and Warrant Exercises with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and certain individual warrant holders affiliated with CHC and CRL (collectively, </w:t>
      </w:r>
      <w:r>
        <w:rPr>
          <w:rFonts w:ascii="Arial" w:cs="Arial" w:eastAsia="Arial" w:hAnsi="Arial"/>
          <w:sz w:val="12"/>
          <w:szCs w:val="12"/>
          <w:i w:val="1"/>
          <w:iCs w:val="1"/>
          <w:color w:val="auto"/>
        </w:rPr>
        <w:t>CHC Affiliates</w:t>
      </w:r>
      <w:r>
        <w:rPr>
          <w:rFonts w:ascii="Arial" w:cs="Arial" w:eastAsia="Arial" w:hAnsi="Arial"/>
          <w:sz w:val="12"/>
          <w:szCs w:val="12"/>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Common Stock Exchange Agreement with Platinum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December 22, 2011, we entered into a Common Stock Exchange Agreement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with Platinum, pursuant to which Platinum converted 484,000 restricted shares of our common stock into 45,980 restricted shares of our then newly created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Note and Warrant Exchange Agreement with Platinum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Exchange Agreement with Platinum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On June 29, 2012, we entered into an Exchange Agreement with Platinum (the </w:t>
      </w:r>
      <w:r>
        <w:rPr>
          <w:rFonts w:ascii="Arial" w:cs="Arial" w:eastAsia="Arial" w:hAnsi="Arial"/>
          <w:sz w:val="11"/>
          <w:szCs w:val="11"/>
          <w:i w:val="1"/>
          <w:iCs w:val="1"/>
          <w:color w:val="auto"/>
        </w:rPr>
        <w:t>2012 Platinum Exchange Agreement</w:t>
      </w:r>
      <w:r>
        <w:rPr>
          <w:rFonts w:ascii="Arial" w:cs="Arial" w:eastAsia="Arial" w:hAnsi="Arial"/>
          <w:sz w:val="11"/>
          <w:szCs w:val="11"/>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Arial" w:cs="Arial" w:eastAsia="Arial" w:hAnsi="Arial"/>
          <w:sz w:val="11"/>
          <w:szCs w:val="11"/>
          <w:i w:val="1"/>
          <w:iCs w:val="1"/>
          <w:color w:val="auto"/>
        </w:rPr>
        <w:t>Senior Secured Convertible Promissory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Notes Issued to Platinum: July 2012 – July 2013. </w:t>
      </w:r>
      <w:r>
        <w:rPr>
          <w:rFonts w:ascii="Arial" w:cs="Arial" w:eastAsia="Arial" w:hAnsi="Arial"/>
          <w:sz w:val="11"/>
          <w:szCs w:val="11"/>
          <w:color w:val="auto"/>
        </w:rPr>
        <w:t>Under the terms of the 2012 Platinum Exchange Agreement, Platinum, at its option, could have exchanged all or a portion of its Series A Preferred for the securities issued in connection</w:t>
      </w:r>
      <w:r>
        <w:rPr>
          <w:rFonts w:ascii="Arial" w:cs="Arial" w:eastAsia="Arial" w:hAnsi="Arial"/>
          <w:sz w:val="11"/>
          <w:szCs w:val="11"/>
          <w:i w:val="1"/>
          <w:iCs w:val="1"/>
          <w:color w:val="auto"/>
        </w:rPr>
        <w:t xml:space="preserve"> </w:t>
      </w:r>
      <w:r>
        <w:rPr>
          <w:rFonts w:ascii="Arial" w:cs="Arial" w:eastAsia="Arial" w:hAnsi="Arial"/>
          <w:sz w:val="11"/>
          <w:szCs w:val="11"/>
          <w:color w:val="auto"/>
        </w:rPr>
        <w:t>with a qualified financing, an equity or equity-based financing, or series of financing transactions resulting in gross proceeds to the Company of at least $3.0 million, based on the stated value of $15.00 per share of Series A Preferred.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Morrison &amp; Foerster: May 2011, restructured August 2012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5, 2011, we amended a previously-outstanding note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our intellectual property counsel, that we had issued in payment of legal services (the </w:t>
      </w:r>
      <w:r>
        <w:rPr>
          <w:rFonts w:ascii="Arial" w:cs="Arial" w:eastAsia="Arial" w:hAnsi="Arial"/>
          <w:sz w:val="12"/>
          <w:szCs w:val="12"/>
          <w:i w:val="1"/>
          <w:iCs w:val="1"/>
          <w:color w:val="auto"/>
        </w:rPr>
        <w:t>Amended</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Under the Amended Note, the principal balance of the Original Note was increased to $2,200,000, interest accrued at the rate of 7.5% per annum, and we were required to make an additional payment of $100,000 within three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days of the date of the Amended Note, which we made in a timely manner.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8" w:name="page169"/>
    <w:bookmarkEnd w:id="16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On August 31, 2012, we restructured the Amended Note (</w:t>
      </w:r>
      <w:r>
        <w:rPr>
          <w:rFonts w:ascii="Arial" w:cs="Arial" w:eastAsia="Arial" w:hAnsi="Arial"/>
          <w:sz w:val="10"/>
          <w:szCs w:val="10"/>
          <w:i w:val="1"/>
          <w:iCs w:val="1"/>
          <w:color w:val="auto"/>
        </w:rPr>
        <w:t>Restructuring Agreement</w:t>
      </w:r>
      <w:r>
        <w:rPr>
          <w:rFonts w:ascii="Arial" w:cs="Arial" w:eastAsia="Arial" w:hAnsi="Arial"/>
          <w:sz w:val="10"/>
          <w:szCs w:val="10"/>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0"/>
          <w:szCs w:val="10"/>
          <w:i w:val="1"/>
          <w:iCs w:val="1"/>
          <w:color w:val="auto"/>
        </w:rPr>
        <w:t>Replacement Note A</w:t>
      </w:r>
      <w:r>
        <w:rPr>
          <w:rFonts w:ascii="Arial" w:cs="Arial" w:eastAsia="Arial" w:hAnsi="Arial"/>
          <w:sz w:val="10"/>
          <w:szCs w:val="10"/>
          <w:color w:val="auto"/>
        </w:rPr>
        <w:t>) and the other in the principal amount of $1,379,400 (</w:t>
      </w:r>
      <w:r>
        <w:rPr>
          <w:rFonts w:ascii="Arial" w:cs="Arial" w:eastAsia="Arial" w:hAnsi="Arial"/>
          <w:sz w:val="10"/>
          <w:szCs w:val="10"/>
          <w:i w:val="1"/>
          <w:iCs w:val="1"/>
          <w:color w:val="auto"/>
        </w:rPr>
        <w:t>Replacement Note B</w:t>
      </w:r>
      <w:r>
        <w:rPr>
          <w:rFonts w:ascii="Arial" w:cs="Arial" w:eastAsia="Arial" w:hAnsi="Arial"/>
          <w:sz w:val="10"/>
          <w:szCs w:val="10"/>
          <w:color w:val="auto"/>
        </w:rPr>
        <w:t xml:space="preserve">) (together, the </w:t>
      </w:r>
      <w:r>
        <w:rPr>
          <w:rFonts w:ascii="Arial" w:cs="Arial" w:eastAsia="Arial" w:hAnsi="Arial"/>
          <w:sz w:val="10"/>
          <w:szCs w:val="10"/>
          <w:i w:val="1"/>
          <w:iCs w:val="1"/>
          <w:color w:val="auto"/>
        </w:rPr>
        <w:t>Replacement Notes</w:t>
      </w:r>
      <w:r>
        <w:rPr>
          <w:rFonts w:ascii="Arial" w:cs="Arial" w:eastAsia="Arial" w:hAnsi="Arial"/>
          <w:sz w:val="10"/>
          <w:szCs w:val="10"/>
          <w:color w:val="auto"/>
        </w:rPr>
        <w:t xml:space="preserve">); amended an outstanding warrant to purchase 425,000 restricted shares of our common stock (the </w:t>
      </w:r>
      <w:r>
        <w:rPr>
          <w:rFonts w:ascii="Arial" w:cs="Arial" w:eastAsia="Arial" w:hAnsi="Arial"/>
          <w:sz w:val="10"/>
          <w:szCs w:val="10"/>
          <w:i w:val="1"/>
          <w:iCs w:val="1"/>
          <w:color w:val="auto"/>
        </w:rPr>
        <w:t>Amended M&amp;F Warrant</w:t>
      </w:r>
      <w:r>
        <w:rPr>
          <w:rFonts w:ascii="Arial" w:cs="Arial" w:eastAsia="Arial" w:hAnsi="Arial"/>
          <w:sz w:val="10"/>
          <w:szCs w:val="10"/>
          <w:color w:val="auto"/>
        </w:rPr>
        <w:t>); and issued a new warrant to purchase 1,379,376 restricted shares of our common stock (</w:t>
      </w:r>
      <w:r>
        <w:rPr>
          <w:rFonts w:ascii="Arial" w:cs="Arial" w:eastAsia="Arial" w:hAnsi="Arial"/>
          <w:sz w:val="10"/>
          <w:szCs w:val="10"/>
          <w:i w:val="1"/>
          <w:iCs w:val="1"/>
          <w:color w:val="auto"/>
        </w:rPr>
        <w:t>New M&amp;F Warrant</w:t>
      </w:r>
      <w:r>
        <w:rPr>
          <w:rFonts w:ascii="Arial" w:cs="Arial" w:eastAsia="Arial" w:hAnsi="Arial"/>
          <w:sz w:val="10"/>
          <w:szCs w:val="10"/>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 (</w:t>
      </w:r>
      <w:r>
        <w:rPr>
          <w:rFonts w:ascii="Arial" w:cs="Arial" w:eastAsia="Arial" w:hAnsi="Arial"/>
          <w:sz w:val="12"/>
          <w:szCs w:val="12"/>
          <w:b w:val="1"/>
          <w:bCs w:val="1"/>
          <w:i w:val="1"/>
          <w:iCs w:val="1"/>
          <w:color w:val="auto"/>
        </w:rPr>
        <w:t>UHN</w:t>
      </w:r>
      <w:r>
        <w:rPr>
          <w:rFonts w:ascii="Arial" w:cs="Arial" w:eastAsia="Arial" w:hAnsi="Arial"/>
          <w:sz w:val="12"/>
          <w:szCs w:val="12"/>
          <w:b w:val="1"/>
          <w:bCs w:val="1"/>
          <w:color w:val="auto"/>
        </w:rPr>
        <w:t>): October 2012</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$1.00 per share, 549,500 restricted shares of our common stock, the amount equal to the sum of the principal amount of the UHN Note, plus all accrued interest thereon, divided by $1.00 per share (the </w:t>
      </w:r>
      <w:r>
        <w:rPr>
          <w:rFonts w:ascii="Arial" w:cs="Arial" w:eastAsia="Arial" w:hAnsi="Arial"/>
          <w:sz w:val="11"/>
          <w:szCs w:val="11"/>
          <w:i w:val="1"/>
          <w:iCs w:val="1"/>
          <w:color w:val="auto"/>
        </w:rPr>
        <w:t>UHN Warrant</w:t>
      </w:r>
      <w:r>
        <w:rPr>
          <w:rFonts w:ascii="Arial" w:cs="Arial" w:eastAsia="Arial" w:hAnsi="Arial"/>
          <w:sz w:val="11"/>
          <w:szCs w:val="11"/>
          <w:color w:val="auto"/>
        </w:rPr>
        <w:t>). The UHN Note is due and payable on March 31, 2016 and is payable solely by UHN's surrender from time to time of all or a portion of the principal and interest balance due on the UHN Note in connection with its</w:t>
      </w:r>
      <w:r>
        <w:rPr>
          <w:rFonts w:ascii="Arial" w:cs="Arial" w:eastAsia="Arial" w:hAnsi="Arial"/>
          <w:sz w:val="11"/>
          <w:szCs w:val="11"/>
          <w:i w:val="1"/>
          <w:iCs w:val="1"/>
          <w:color w:val="auto"/>
        </w:rPr>
        <w:t xml:space="preserve"> </w:t>
      </w:r>
      <w:r>
        <w:rPr>
          <w:rFonts w:ascii="Arial" w:cs="Arial" w:eastAsia="Arial" w:hAnsi="Arial"/>
          <w:sz w:val="11"/>
          <w:szCs w:val="11"/>
          <w:color w:val="auto"/>
        </w:rPr>
        <w:t>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 April 2011, Restructured October 2012</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April 2011, all amounts we owed to CHC, a related party, and its affiliates, were consolidated into a single note, in the principal amount of $352,300 (the </w:t>
      </w:r>
      <w:r>
        <w:rPr>
          <w:rFonts w:ascii="Arial" w:cs="Arial" w:eastAsia="Arial" w:hAnsi="Arial"/>
          <w:sz w:val="11"/>
          <w:szCs w:val="11"/>
          <w:i w:val="1"/>
          <w:iCs w:val="1"/>
          <w:color w:val="auto"/>
        </w:rPr>
        <w:t>2011 CHC Note</w:t>
      </w:r>
      <w:r>
        <w:rPr>
          <w:rFonts w:ascii="Arial" w:cs="Arial" w:eastAsia="Arial" w:hAnsi="Arial"/>
          <w:sz w:val="11"/>
          <w:szCs w:val="11"/>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October 10, 2012, we agreed with CHC to cancel the 2011 CHC Note in exchange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250,000 shares of our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9" w:name="page170"/>
    <w:bookmarkEnd w:id="1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 October 2012</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xml:space="preserve">)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3"/>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10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13"/>
        </w:trPr>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83"/>
              </w:rPr>
              <w:t>16.</w:t>
            </w:r>
          </w:p>
        </w:tc>
        <w:tc>
          <w:tcPr>
            <w:tcW w:w="1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Exhibits and Financial Statement Schedules</w:t>
            </w: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(a) Exhibits</w:t>
            </w:r>
          </w:p>
        </w:tc>
        <w:tc>
          <w:tcPr>
            <w:tcW w:w="10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Exhibit No.</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Description*</w:t>
            </w: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1"/>
              </w:rPr>
              <w:t>2.1</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c>
          <w:tcPr>
            <w:tcW w:w="1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3.1</w:t>
            </w:r>
          </w:p>
        </w:tc>
        <w:tc>
          <w:tcPr>
            <w:tcW w:w="600" w:type="dxa"/>
            <w:vAlign w:val="bottom"/>
          </w:tcPr>
          <w:p>
            <w:pPr>
              <w:ind w:left="20"/>
              <w:spacing w:after="0"/>
              <w:rPr>
                <w:sz w:val="20"/>
                <w:szCs w:val="20"/>
                <w:color w:val="auto"/>
              </w:rPr>
            </w:pPr>
            <w:r>
              <w:rPr>
                <w:rFonts w:ascii="Arial" w:cs="Arial" w:eastAsia="Arial" w:hAnsi="Arial"/>
                <w:sz w:val="12"/>
                <w:szCs w:val="12"/>
                <w:color w:val="auto"/>
              </w:rPr>
              <w:t>*</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3.2</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6"/>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3.3</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3.4</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3.5</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5.1</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Opinion of Disclosure Law Group (filed herewith).</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10.1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10.5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10.21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0"/>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1"/>
              </w:rPr>
              <w:t>amended by that certain Second Amendment to License Agreement dated November 6, 2002, as amended by that certain Third Amendment to License Agreement dated March 1, 2003, and as amended by that</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certain Fourth Amendment to License Agreement dated April 15, 2010.</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10.23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5"/>
              </w:rPr>
              <w:t>Non-Exclusive License Agreement, dated December 5, 2008, by and between VistaGen and Wisconsin Alumni Research Foundation, as amended by that certain Wisconsin Materials Addendum, dated</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February 2, 2009.</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10.24 *</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1"/>
              </w:rPr>
              <w:t>Sponsored Research Collaboration Agreement, dated September 18, 2007, between VistaGen and University Health Network, as amended by that certain Amendment No. 1 and Amendment No. 2, dated April</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19, 2010 and December 15, 2010, respectively.</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10.27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Non-exclusive License Agreement, dated September 1, 2010, by and between VistaGen and TET Systems GmbH &amp; Co. KG.</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Desjardins Securities.</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10.32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McCarthy Tetrault LLP.</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10.34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Promissory Note dated February 25, 2010 issued by VistaGen to The Regents of the University of California.</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10.40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10.41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10.46</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5"/>
              </w:rPr>
              <w:t>Notice of Award by National Institutes of Health, Small Business Innovation Research Program, to VistaGen Therapeutics, Inc. for project, Clinical Development of 4-CI-KYN to Treat Pain dated June 22,</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2009, with revisions dated July 19, 2010 and August 9, 2011, incorporated by reference from Exhibit 10.46 to the Company’s Current Report on Form 8-K/A filed on December 20, 2011.</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Notice of Grant Award by California Institute of Regenerative Medicine and VistaGen Therapeutics, Inc. for Project: Development of an hES Cell-Based Assay System for Hepatocyte Differentiation Studies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and Predictive Toxicology Drug Screening, dated April 1, 2009, 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Amendment No. 4, dated October 24, 2011, to Sponsored Research Collaboration Agreement between VistaGen and University Health Network, incorporated by reference from Exhibit 10.2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License Agreement No. 1, dated as of October 24, 2011 between University Health Network and VistaGen Therapeutics, Inc., incorporated by reference from Exhibit 10.1 to the Company’s Current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Strategic Medicinal Chemistry Services Agreement, dated as of December 6, 2011, between Synterys, Inc. and VistaGen Therapeutics, Inc., incorporated by reference from Exhibit 10.1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December 7,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Common Stock Exchange Agreement, dated as of December 22,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December 23,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Note and Warrant Exchange Agreement, dated as of December 28,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January 4, 2012.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260" w:type="dxa"/>
            <w:vAlign w:val="bottom"/>
            <w:shd w:val="clear" w:color="auto" w:fill="CCEEFF"/>
          </w:tcPr>
          <w:p>
            <w:pPr>
              <w:spacing w:after="0"/>
              <w:rPr>
                <w:sz w:val="12"/>
                <w:szCs w:val="12"/>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9"/>
              </w:rPr>
              <w:t>Form of Warrant to Purchase Common Stock, dated as of February 28, 2012, incorporated by reference from Exhibit 10.3 to the Company’s Current Report on Form 8-K filed on March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License Agreement No. 2, dated as of March 19, 2012 between University Health Network and VistaGen Therapeutics, Inc., incorporated by reference from Exhibit 10.57 to the Company’s Annual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Exchange Agreement dated as of June 29, 2012 between Platinum Long Term Growth VII, LLC and VistaGen Therapeutics. Inc., incorporated by reference from Exhibit 10.58 to the Company’s Annual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Report on 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$1,000,000 issued to Morrison &amp; Foerster LLP on August 31, 2012 (Replacement Note A), incorporated by reference from Exhibit 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$1,379,376 issued to Morrison &amp; Foerster LLP on August 31, 2012 (Replacement Note B), incorporated by reference from Exhibit 10.4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Stock Purchase Warrant issued to Morrison &amp; Foerster LLP on August 31, 2012 to purchase 1,379,376 shares of the Company’s common stock (New Morrison &amp; Foerster Warrant), incorporated by reference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from Exhibit 10.5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7"/>
              </w:rPr>
              <w:t>Warrant to Purchase Common Stock issued to Morrison &amp; Foerster LLP on August 31, 2012 to purchase 425,000 shares of the Company’s common stock (Amended Morrison &amp; Foerster Warrant),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incorporated by reference from Exhibit 10.6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Note Exchange and Purchase Agreement dated as of October 11, 2012 by and between VistaGen Therapeutics, Inc. and Platinum Long Term Growth VII, LLP,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the 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Form of Senior Secured Convertible Promissory Note issued to Platinum Long Term Growth VII, LLP under the Note Exchange and Purchase Agreement, incorporated by reference from Exhibit 10.2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10.69</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Form of Warrant to Purchase Shares of Common Stock issued to Platinum Long Term Growth VII, LLP under the Note Exchange and Purchase Agreement, incorporated by reference from Exhibit 10.3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10.70</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6"/>
              </w:rPr>
              <w:t>Amended and Restated Security Agreement as of October 11, 2012 between VistaGen Therapeutics, Inc. and Platinum Long Term Growth VII, LLP, incorporated by reference from Exhibit 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10.71</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Intellectual Property Security and Stock Pledge Agreement as of October 11, 2012 between VistaGen California and Platinum Long Term Growth VII, LLP, incorporated by reference from Exhibit 10.5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10.72</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Negative Covenant Agreement dated October 11, 2012 between VistaGen California, Artemis Neuroscience, Inc. and Platinum Long Term Growth VII, LLP, incorporated by reference from Exhibit 10.6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10.73</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to the 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10.1 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No. 3 to Note Exchange and Purchase Agreement as of February 22,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10.1 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the 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Securities Purchase Agreement between VistaGen Therapeutics, Inc., and Autilion AG dated April 8, 2013,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5"/>
              </w:rPr>
              <w:t>Voting Agreement between VistaGen Therapeutics, Inc., and Autilion AG dated April 8, 2013, incorporated by reference from Exhibit 10.2 to the Company’s Current Report on Form 8-K filed on April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10.80</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Note Conversion Agreement as of April 4, 2013 between VistaGen Therapeutics Inc. and Platinum Long Term Growth VII, LLP, incorporated by reference from Exhibit 10.3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on Form 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Assignment and Assumption Agreement between Autilion AG and Bergamo Acquisition Corp. PTE LTD dated April 12, 2013, incorporated by reference from Exhibit 10.81 to the Company’s Annual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on Form 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10.82</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10.83</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Lease between Bayside Area Development, LLC and VistaGen Therapeutics, Inc. (California) dated April 24, 2013, incorporated by reference from Exhibit 10.83 to the Company’s Annual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K filed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10.84</w:t>
            </w:r>
          </w:p>
        </w:tc>
        <w:tc>
          <w:tcPr>
            <w:tcW w:w="260" w:type="dxa"/>
            <w:vAlign w:val="bottom"/>
          </w:tcPr>
          <w:p>
            <w:pPr>
              <w:spacing w:after="0"/>
              <w:rPr>
                <w:sz w:val="12"/>
                <w:szCs w:val="12"/>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w w:val="92"/>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1"/>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Jerrold D. Dotson, incorporated by reference from Exhibit 10.88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and Waiver effective May 24, 2013 between the Company and Platinum Long Term Growth VII, LLC,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filed on June 3, 2013.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60" w:type="dxa"/>
            <w:vAlign w:val="bottom"/>
          </w:tcPr>
          <w:p>
            <w:pPr>
              <w:ind w:left="4600"/>
              <w:spacing w:after="0"/>
              <w:rPr>
                <w:sz w:val="20"/>
                <w:szCs w:val="20"/>
                <w:color w:val="auto"/>
              </w:rPr>
            </w:pPr>
            <w:r>
              <w:rPr>
                <w:rFonts w:ascii="Arial" w:cs="Arial" w:eastAsia="Arial" w:hAnsi="Arial"/>
                <w:sz w:val="12"/>
                <w:szCs w:val="12"/>
                <w:color w:val="auto"/>
              </w:rPr>
              <w:t>II-10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4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3" w:name="page174"/>
    <w:bookmarkEnd w:id="17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10.90</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4"/>
              </w:rPr>
              <w:t>Amendment No 2 to Securities Purchase Agreement dated June 27, 2013 between the Company, Autilion AG and Bergamo Acquisition Corp. PTE LTD, incorporated by reference from Exhibit 10.1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June 28,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Senior Secured Convertible Promissory Note, dated July 26, 2013 issued to Platinum Long Term Growth VII, LLP, incorporated by reference from Exhibit 10.1 to the Company’s Current Report on Form 8-K</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filed on August 2, 2013.</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1"/>
              </w:rPr>
              <w:t>Common Stock Warrant, dated July 26, 2013 issued to Platinum Long Term Growth VII, LLP, incorporated by reference from Exhibit 10.2 to the Company’s Current Report on Form 8-K filed on August 2,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Subscription Agreement between the Company and investors in the Fall 2013 Unit Private Placement, incorporated by reference from Exhibit 10.93 to the Company’s Annual Report on Form 10-K filed</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Convertible Promissory Note between the Company and investors in the Fall 2013 Unit Private Placement, incorporated by reference from Exhibit 10.94 to the Company’s Annual Report on Form 10-K</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Fall 2013 Unit Private Placement, incorporated by reference from Exhibit 10.95 to the Company’s Annual Report on Form</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10.96</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Amendment to Convertible Promissory Note and Warrant between the Company and investors in the Fall 2013 Unit Private Placement, effective May 31, 2014, incorporated by reference from Exhibit</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10.96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10.97</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Unit Subscription Agreement between the Company and investors in the Spring 2014 Unit Private Placement dated April 1, 2014, incorporated by reference from Exhibit 10.1 to the Company’s Current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10.98</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5"/>
              </w:rPr>
              <w:t>Form of Subordinate Convertible Promissory Note between the Company and investors in the Spring 2014 Unit Private Placement dated April 1, 2014, incorporated by reference from Exhibit 10.2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April 8,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10.99</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Form of Common Stock Purchase Warrant between the Company and investors in the Spring 2014 Unit Private Placement dated April 1, 2014, incorporated by reference from Exhibit 10.3 to the Company’s</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Current 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10.100</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1"/>
              </w:rPr>
              <w:t>Common Stock Purchase Warrant between the Company and Platinum Long Term Growth Fund VII dated May 14, 2014, incorporated by reference from Exhibit 10.1 to the Company’s Current Report on Form</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8-K filed on May 19,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Subordinate Convertible Promissory Note between the Company and Platinum Long Term Growth Fund VII dated May 14, 2014, incorporated by reference from Exhibit 10.2 to the Company’s Current Report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Form 8-K filed on May 19,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10.102</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7"/>
              </w:rPr>
              <w:t>Form of Promissory Note and Form of Warrant issued by the Company to Icahn School of Business at Mount Sinai effective April 10, 2014 in satisfaction of technology license maintenance fees and</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reimbursable patent costs, incorporated by reference from Exhibit 10.102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5"/>
              </w:rPr>
              <w:t>Amendment No. 3 to Sponsored Research Collaboration Agreement, dated April 25, 2011, by and between VistaGen and University Health Network, incorporated by reference from Exhibit 10.103 to the</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3"/>
              </w:rPr>
              <w:t>Amendment No. 5 to Sponsored Research Collaboration Agreement, dated October 10, 2012, by and between VistaGen and University Health Network, incorporated by reference from Exhibit 10.104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Amended and Restated Note Conversion Agreement and Warrant Amendment, by and between VistaGen Therapeutics, Inc. and Platinum Long Term Growth VII, LLC, dated July 18, 2014, incorporated by</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reference from Exhibit 10.1 to the Company’s Current Report on Form 8-K filed on July 22,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10.106</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Subscription Agreement (filed herewith).</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10.107</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Warrant (filed herewith).</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10.108</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Placement Agency Agreement, by and between VistaGen Therapeutics, Inc. and Geller Biopharm, a healthcare investment banking division of Financial West Group (filed herewith).</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10.109</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Escrow Agreement (filed herewith).</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21.1*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List of Subsidiaries.</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23.1</w:t>
            </w:r>
          </w:p>
        </w:tc>
        <w:tc>
          <w:tcPr>
            <w:tcW w:w="10660" w:type="dxa"/>
            <w:vAlign w:val="bottom"/>
          </w:tcPr>
          <w:p>
            <w:pPr>
              <w:ind w:left="480"/>
              <w:spacing w:after="0"/>
              <w:rPr>
                <w:sz w:val="20"/>
                <w:szCs w:val="20"/>
                <w:color w:val="auto"/>
              </w:rPr>
            </w:pPr>
            <w:r>
              <w:rPr>
                <w:rFonts w:ascii="Arial" w:cs="Arial" w:eastAsia="Arial" w:hAnsi="Arial"/>
                <w:sz w:val="12"/>
                <w:szCs w:val="12"/>
                <w:color w:val="auto"/>
              </w:rPr>
              <w:t>Consent of OUM &amp; Co., LLP, independent registered public accounting firm (filed herewith)</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24.1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Power of Attorney, incorporated by reference from Exhibit 24.1 to the Company's Registration Statement on Form S-1 filed on May 12, 2014.</w:t>
            </w:r>
          </w:p>
        </w:tc>
      </w:tr>
    </w:tbl>
    <w:p>
      <w:pPr>
        <w:spacing w:after="0" w:line="135" w:lineRule="exact"/>
        <w:rPr>
          <w:sz w:val="20"/>
          <w:szCs w:val="20"/>
          <w:color w:val="auto"/>
        </w:rPr>
      </w:pPr>
    </w:p>
    <w:p>
      <w:pPr>
        <w:jc w:val="right"/>
        <w:ind w:left="5628" w:right="5620" w:hanging="5628"/>
        <w:spacing w:after="0" w:line="785" w:lineRule="auto"/>
        <w:tabs>
          <w:tab w:leader="none" w:pos="124" w:val="left"/>
        </w:tabs>
        <w:numPr>
          <w:ilvl w:val="0"/>
          <w:numId w:val="72"/>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5" w:right="199" w:bottom="1440" w:gutter="0" w:footer="0" w:header="0"/>
        </w:sectPr>
      </w:pPr>
    </w:p>
    <w:bookmarkStart w:id="174" w:name="page175"/>
    <w:bookmarkEnd w:id="17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Financial Statement Schedules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 financial schedules have been omitted because they are not applicable or the information is included in the Registrant’s financial statements or related notes.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17. Undertakings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Registrant hereby undertakes:</w:t>
      </w:r>
    </w:p>
    <w:p>
      <w:pPr>
        <w:spacing w:after="0" w:line="150" w:lineRule="exact"/>
        <w:rPr>
          <w:sz w:val="20"/>
          <w:szCs w:val="20"/>
          <w:color w:val="auto"/>
        </w:rPr>
      </w:pPr>
    </w:p>
    <w:p>
      <w:pPr>
        <w:ind w:left="600" w:hanging="176"/>
        <w:spacing w:after="0"/>
        <w:tabs>
          <w:tab w:leader="none" w:pos="6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73"/>
        </w:numPr>
        <w:rPr>
          <w:rFonts w:ascii="Arial" w:cs="Arial" w:eastAsia="Arial" w:hAnsi="Arial"/>
          <w:sz w:val="12"/>
          <w:szCs w:val="12"/>
          <w:color w:val="auto"/>
        </w:rPr>
      </w:pPr>
      <w:r>
        <w:rPr>
          <w:rFonts w:ascii="Arial" w:cs="Arial" w:eastAsia="Arial" w:hAnsi="Arial"/>
          <w:sz w:val="12"/>
          <w:szCs w:val="12"/>
          <w:color w:val="auto"/>
        </w:rPr>
        <w:t>To include any prospectus required by Section l0 (a)(3) of the Securities Act:</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44" w:val="left"/>
        </w:tabs>
        <w:numPr>
          <w:ilvl w:val="1"/>
          <w:numId w:val="73"/>
        </w:numPr>
        <w:rPr>
          <w:rFonts w:ascii="Arial" w:cs="Arial" w:eastAsia="Arial" w:hAnsi="Arial"/>
          <w:sz w:val="12"/>
          <w:szCs w:val="12"/>
          <w:color w:val="auto"/>
        </w:rPr>
      </w:pPr>
      <w:r>
        <w:rPr>
          <w:rFonts w:ascii="Arial" w:cs="Arial" w:eastAsia="Arial" w:hAnsi="Arial"/>
          <w:sz w:val="12"/>
          <w:szCs w:val="12"/>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rFonts w:ascii="Arial" w:cs="Arial" w:eastAsia="Arial" w:hAnsi="Arial"/>
          <w:sz w:val="12"/>
          <w:szCs w:val="12"/>
          <w:color w:val="auto"/>
        </w:rPr>
      </w:pPr>
    </w:p>
    <w:p>
      <w:pPr>
        <w:ind w:left="1060" w:hanging="203"/>
        <w:spacing w:after="0"/>
        <w:tabs>
          <w:tab w:leader="none" w:pos="1060" w:val="left"/>
        </w:tabs>
        <w:numPr>
          <w:ilvl w:val="1"/>
          <w:numId w:val="73"/>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Arial" w:cs="Arial" w:eastAsia="Arial" w:hAnsi="Arial"/>
          <w:sz w:val="11"/>
          <w:szCs w:val="11"/>
          <w:color w:val="auto"/>
        </w:rPr>
      </w:pPr>
    </w:p>
    <w:p>
      <w:pPr>
        <w:ind w:firstLine="424"/>
        <w:spacing w:after="0" w:line="276" w:lineRule="auto"/>
        <w:tabs>
          <w:tab w:leader="none" w:pos="612"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that remain unsold at the termination of the offering.</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Insofar as indemnification for liabilities arising under the Securities Act of l933 (the “</w:t>
      </w:r>
      <w:r>
        <w:rPr>
          <w:rFonts w:ascii="Arial" w:cs="Arial" w:eastAsia="Arial" w:hAnsi="Arial"/>
          <w:sz w:val="11"/>
          <w:szCs w:val="11"/>
          <w:i w:val="1"/>
          <w:iCs w:val="1"/>
          <w:color w:val="auto"/>
        </w:rPr>
        <w:t>Act</w:t>
      </w:r>
      <w:r>
        <w:rPr>
          <w:rFonts w:ascii="Arial" w:cs="Arial" w:eastAsia="Arial" w:hAnsi="Arial"/>
          <w:sz w:val="11"/>
          <w:szCs w:val="11"/>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1" w:lineRule="exact"/>
        <w:rPr>
          <w:sz w:val="20"/>
          <w:szCs w:val="20"/>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 If the Registrant is relying on Rule 430B:</w:t>
      </w:r>
    </w:p>
    <w:p>
      <w:pPr>
        <w:spacing w:after="0" w:line="168" w:lineRule="exact"/>
        <w:rPr>
          <w:rFonts w:ascii="Arial" w:cs="Arial" w:eastAsia="Arial" w:hAnsi="Arial"/>
          <w:sz w:val="12"/>
          <w:szCs w:val="12"/>
          <w:color w:val="auto"/>
        </w:rPr>
      </w:pPr>
    </w:p>
    <w:p>
      <w:pPr>
        <w:ind w:left="1060" w:hanging="203"/>
        <w:spacing w:after="0"/>
        <w:tabs>
          <w:tab w:leader="none" w:pos="10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Each prospectus filed by the Registrant pursuant to Rule 424(b)(3) shall be deemed to be part of the registration statement as of the date the filed prospectus was deemed part of and included in the registration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statement;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75" w:name="page176"/>
    <w:bookmarkEnd w:id="1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857"/>
        <w:spacing w:after="0" w:line="281" w:lineRule="auto"/>
        <w:tabs>
          <w:tab w:leader="none" w:pos="1059" w:val="left"/>
        </w:tabs>
        <w:numPr>
          <w:ilvl w:val="1"/>
          <w:numId w:val="75"/>
        </w:numPr>
        <w:rPr>
          <w:rFonts w:ascii="Arial" w:cs="Arial" w:eastAsia="Arial" w:hAnsi="Arial"/>
          <w:sz w:val="11"/>
          <w:szCs w:val="11"/>
          <w:color w:val="auto"/>
        </w:rPr>
      </w:pPr>
      <w:r>
        <w:rPr>
          <w:rFonts w:ascii="Arial" w:cs="Arial" w:eastAsia="Arial" w:hAnsi="Arial"/>
          <w:sz w:val="11"/>
          <w:szCs w:val="11"/>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4" w:lineRule="exact"/>
        <w:rPr>
          <w:rFonts w:ascii="Arial" w:cs="Arial" w:eastAsia="Arial" w:hAnsi="Arial"/>
          <w:sz w:val="11"/>
          <w:szCs w:val="11"/>
          <w:color w:val="auto"/>
        </w:rPr>
      </w:pPr>
    </w:p>
    <w:p>
      <w:pPr>
        <w:jc w:val="both"/>
        <w:ind w:firstLine="424"/>
        <w:spacing w:after="0" w:line="257" w:lineRule="auto"/>
        <w:tabs>
          <w:tab w:leader="none" w:pos="626" w:val="left"/>
        </w:tabs>
        <w:numPr>
          <w:ilvl w:val="0"/>
          <w:numId w:val="76"/>
        </w:numPr>
        <w:rPr>
          <w:rFonts w:ascii="Arial" w:cs="Arial" w:eastAsia="Arial" w:hAnsi="Arial"/>
          <w:sz w:val="12"/>
          <w:szCs w:val="12"/>
          <w:color w:val="auto"/>
        </w:rPr>
      </w:pPr>
      <w:r>
        <w:rPr>
          <w:rFonts w:ascii="Arial" w:cs="Arial" w:eastAsia="Arial" w:hAnsi="Arial"/>
          <w:sz w:val="12"/>
          <w:szCs w:val="12"/>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 That, for the purpose of determining liability of the Registrant under the Securities Act of 1933 to any purchaser in the initial distribution of the securities:</w:t>
      </w:r>
    </w:p>
    <w:p>
      <w:pPr>
        <w:spacing w:after="0" w:line="150"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560" w:hanging="136"/>
        <w:spacing w:after="0"/>
        <w:tabs>
          <w:tab w:leader="none" w:pos="5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Arial" w:cs="Arial" w:eastAsia="Arial" w:hAnsi="Arial"/>
          <w:sz w:val="11"/>
          <w:szCs w:val="11"/>
          <w:color w:val="auto"/>
        </w:rPr>
      </w:pPr>
    </w:p>
    <w:p>
      <w:pPr>
        <w:ind w:left="620" w:hanging="196"/>
        <w:spacing w:after="0"/>
        <w:tabs>
          <w:tab w:leader="none" w:pos="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68" w:lineRule="exact"/>
        <w:rPr>
          <w:rFonts w:ascii="Arial" w:cs="Arial" w:eastAsia="Arial" w:hAnsi="Arial"/>
          <w:sz w:val="12"/>
          <w:szCs w:val="12"/>
          <w:color w:val="auto"/>
        </w:rPr>
      </w:pPr>
    </w:p>
    <w:p>
      <w:pPr>
        <w:ind w:left="820" w:hanging="276"/>
        <w:spacing w:after="0"/>
        <w:tabs>
          <w:tab w:leader="none" w:pos="820" w:val="left"/>
        </w:tabs>
        <w:numPr>
          <w:ilvl w:val="1"/>
          <w:numId w:val="77"/>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168" w:lineRule="exact"/>
        <w:rPr>
          <w:sz w:val="20"/>
          <w:szCs w:val="20"/>
          <w:color w:val="auto"/>
        </w:rPr>
      </w:pPr>
    </w:p>
    <w:p>
      <w:pPr>
        <w:ind w:left="100" w:firstLine="324"/>
        <w:spacing w:after="0" w:line="323" w:lineRule="auto"/>
        <w:tabs>
          <w:tab w:leader="none" w:pos="571" w:val="left"/>
        </w:tabs>
        <w:numPr>
          <w:ilvl w:val="0"/>
          <w:numId w:val="78"/>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1"/>
          <w:szCs w:val="11"/>
          <w:color w:val="auto"/>
        </w:rPr>
      </w:pPr>
    </w:p>
    <w:p>
      <w:pPr>
        <w:ind w:left="100" w:right="20" w:firstLine="324"/>
        <w:spacing w:after="0" w:line="276" w:lineRule="auto"/>
        <w:tabs>
          <w:tab w:leader="none" w:pos="610" w:val="left"/>
        </w:tabs>
        <w:numPr>
          <w:ilvl w:val="0"/>
          <w:numId w:val="78"/>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6" w:name="page177"/>
    <w:bookmarkEnd w:id="1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Pursuant to the requirements of the Securities Act of l933, the registrant has duly caused this Registration Statement to be signed on its behalf by the undersigned, thereunto duly authorized, in the City of South San Francisco, California on the 25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July 2014.</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Shawn K. Singh, JD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p>
      <w:pPr>
        <w:spacing w:after="0" w:line="14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Jerrold D. Dotson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and Accounting Officer</w:t>
      </w:r>
      <w:r>
        <w:rPr>
          <w:rFonts w:ascii="Arial" w:cs="Arial" w:eastAsia="Arial" w:hAnsi="Arial"/>
          <w:sz w:val="12"/>
          <w:szCs w:val="12"/>
          <w:color w:val="auto"/>
        </w:rPr>
        <w: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40" w:type="dxa"/>
            <w:vAlign w:val="bottom"/>
            <w:gridSpan w:val="5"/>
          </w:tcPr>
          <w:p>
            <w:pPr>
              <w:spacing w:after="0"/>
              <w:rPr>
                <w:sz w:val="20"/>
                <w:szCs w:val="20"/>
                <w:color w:val="auto"/>
              </w:rPr>
            </w:pPr>
            <w:r>
              <w:rPr>
                <w:rFonts w:ascii="Arial" w:cs="Arial" w:eastAsia="Arial" w:hAnsi="Arial"/>
                <w:sz w:val="12"/>
                <w:szCs w:val="12"/>
                <w:color w:val="auto"/>
                <w:w w:val="95"/>
              </w:rPr>
              <w:t>Pursuant to the requirements of the Securities Act of l933, this Registration Statement has been signed by the following persons in the capacities and on the dates indicated: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2"/>
                <w:szCs w:val="12"/>
                <w:color w:val="auto"/>
                <w:w w:val="85"/>
              </w:rPr>
              <w:t>Signature</w:t>
            </w:r>
          </w:p>
        </w:tc>
        <w:tc>
          <w:tcPr>
            <w:tcW w:w="3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Arial" w:cs="Arial" w:eastAsia="Arial" w:hAnsi="Arial"/>
                <w:sz w:val="12"/>
                <w:szCs w:val="12"/>
                <w:color w:val="auto"/>
              </w:rPr>
              <w:t>Title</w:t>
            </w:r>
          </w:p>
        </w:tc>
        <w:tc>
          <w:tcPr>
            <w:tcW w:w="740" w:type="dxa"/>
            <w:vAlign w:val="bottom"/>
          </w:tcPr>
          <w:p>
            <w:pPr>
              <w:spacing w:after="0"/>
              <w:rPr>
                <w:sz w:val="22"/>
                <w:szCs w:val="22"/>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5"/>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25,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Shawn K. Singh, JD</w:t>
            </w: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(Principal Executive Officer) and Director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President and Chief Scientific Officer and</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25,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25,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Jon S. Saxe</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25,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Brian J. Underdown</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96490"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9649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Attorney-in-fact</w:t>
      </w:r>
    </w:p>
    <w:p>
      <w:pPr>
        <w:sectPr>
          <w:pgSz w:w="11900" w:h="16838" w:orient="portrait"/>
          <w:cols w:equalWidth="0" w:num="1">
            <w:col w:w="11480"/>
          </w:cols>
          <w:pgMar w:left="220" w:top="134"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12065</wp:posOffset>
            </wp:positionV>
            <wp:extent cx="2001520" cy="1223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0152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July 25,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acting as counsel for VistaGen Therapeutics, Inc., a Nevada corporation (the “Company”), in connection with the filing of a Registration Statement on Form S-1, Registration No. 333-195901 (such Registration Statement, as amended from time to time, is herein referred to as the “Registration Statement”) filed by the Company with the Securities and Exchange Commission (the “Commission”) under the Securities Act of 1933, as amended (the “Act”). The Registration Statement covers the proposed public offering of up to $15,000,000 consisting of (i) a to be determined number of shares of the Company’s common stock (“Common Stock”), par value $0.001 per share (the “Shares”), (ii) warrants (“Warrants”) to purchase shares of the Company’s Common Stock (“Warrant Shares”); and (iii) the issuance of the Warrant Shares upon exercise of the Warrants. The Shares, Warrants and Warrant Shares are collectively referred to herein as “Securities”.</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Shares and Warrants, when issued and sold in the manner contemplated by the Registration Statement, will be duly authorized, validly issued, fully paid and nonassessable, and (ii) the Warrant Shares, when issued by the Company upon the exercise of the Warrants in accordance with the terms thereof, will be duly authorized, validly issued, fully paid and nonassessable.</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are members of the Bar of the State of California, and the opinions expressed herein are limited to questions arising under the laws of the State of California, the Corporation Code of the State of Nevada and the federal laws of the United States of America, and we disclaim any opinion whatsoever with respect to matters governed by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78" w:name="page179"/>
    <w:bookmarkEnd w:id="178"/>
    <w:p>
      <w:pPr>
        <w:ind w:firstLine="432"/>
        <w:spacing w:after="0" w:line="276" w:lineRule="auto"/>
        <w:rPr>
          <w:sz w:val="20"/>
          <w:szCs w:val="20"/>
          <w:color w:val="auto"/>
        </w:rPr>
      </w:pPr>
      <w:r>
        <w:rPr>
          <w:rFonts w:ascii="Arial" w:cs="Arial" w:eastAsia="Arial" w:hAnsi="Arial"/>
          <w:sz w:val="12"/>
          <w:szCs w:val="12"/>
          <w:color w:val="auto"/>
        </w:rPr>
        <w:t>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Very truly yours,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Law Group</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Daniel W. Rumsey Esq.</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Daniel W. Rumsey, Esq.</w:t>
      </w:r>
    </w:p>
    <w:p>
      <w:pPr>
        <w:sectPr>
          <w:pgSz w:w="11900" w:h="16838" w:orient="portrait"/>
          <w:cols w:equalWidth="0" w:num="1">
            <w:col w:w="11460"/>
          </w:cols>
          <w:pgMar w:left="220" w:top="392"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7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hereby consent to the use in this Registration Statement (No. 333-195901) on Form S-1, Amendment No. 3, of our report dated June 23, 2014 (which report expresses an unqualified opinion and includes an emphasis of matter paragraph concerning the Company’s ability to continue as a going concern) relating to the consolidated financial statements of VistaGen Therapeutics, Inc. which appear in such Registration Statement.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references to us under the heading “Experts” in such Registration Statement.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24, 2014</w:t>
      </w:r>
    </w:p>
    <w:p>
      <w:pPr>
        <w:sectPr>
          <w:pgSz w:w="11900" w:h="16838" w:orient="portrait"/>
          <w:cols w:equalWidth="0" w:num="1">
            <w:col w:w="11480"/>
          </w:cols>
          <w:pgMar w:left="220" w:top="127" w:right="1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2"/>
          <w:szCs w:val="12"/>
          <w:b w:val="1"/>
          <w:bCs w:val="1"/>
          <w:color w:val="auto"/>
        </w:rPr>
        <w:t>Exhibit 10.106</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Form of Subscription Agreement</w:t>
      </w:r>
    </w:p>
    <w:p>
      <w:pPr>
        <w:spacing w:after="0" w:line="17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This Subscription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is dated as of [___], 2014 between VistaGen Therapeutics, Inc., a Nevada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each purchaser identified on the signature pages hereto (each, including its successors and assigns, a “</w:t>
      </w:r>
      <w:r>
        <w:rPr>
          <w:rFonts w:ascii="Arial" w:cs="Arial" w:eastAsia="Arial" w:hAnsi="Arial"/>
          <w:sz w:val="12"/>
          <w:szCs w:val="12"/>
          <w:u w:val="single" w:color="auto"/>
          <w:color w:val="auto"/>
        </w:rPr>
        <w:t>Purchaser</w:t>
      </w:r>
      <w:r>
        <w:rPr>
          <w:rFonts w:ascii="Arial" w:cs="Arial" w:eastAsia="Arial" w:hAnsi="Arial"/>
          <w:sz w:val="12"/>
          <w:szCs w:val="12"/>
          <w:color w:val="auto"/>
        </w:rPr>
        <w:t>”).</w:t>
      </w:r>
    </w:p>
    <w:p>
      <w:pPr>
        <w:spacing w:after="0" w:line="115" w:lineRule="exact"/>
        <w:rPr>
          <w:sz w:val="20"/>
          <w:szCs w:val="20"/>
          <w:color w:val="auto"/>
        </w:rPr>
      </w:pPr>
    </w:p>
    <w:p>
      <w:pPr>
        <w:jc w:val="both"/>
        <w:ind w:left="8" w:firstLine="409"/>
        <w:spacing w:after="0" w:line="276" w:lineRule="auto"/>
        <w:rPr>
          <w:sz w:val="20"/>
          <w:szCs w:val="20"/>
          <w:color w:val="auto"/>
        </w:rPr>
      </w:pPr>
      <w:r>
        <w:rPr>
          <w:rFonts w:ascii="Arial" w:cs="Arial" w:eastAsia="Arial" w:hAnsi="Arial"/>
          <w:sz w:val="12"/>
          <w:szCs w:val="12"/>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15" w:lineRule="exact"/>
        <w:rPr>
          <w:sz w:val="20"/>
          <w:szCs w:val="20"/>
          <w:color w:val="auto"/>
        </w:rPr>
      </w:pPr>
    </w:p>
    <w:p>
      <w:pPr>
        <w:ind w:left="508"/>
        <w:spacing w:after="0"/>
        <w:rPr>
          <w:sz w:val="20"/>
          <w:szCs w:val="20"/>
          <w:color w:val="auto"/>
        </w:rPr>
      </w:pPr>
      <w:r>
        <w:rPr>
          <w:rFonts w:ascii="Arial" w:cs="Arial" w:eastAsia="Arial" w:hAnsi="Arial"/>
          <w:sz w:val="11"/>
          <w:szCs w:val="11"/>
          <w:color w:val="auto"/>
        </w:rPr>
        <w:t>NOW, THEREFORE, in consideration of the mutual covenants contained in this Agreement, and for other good and valuable consideration, the receipt and adequacy of which are hereby acknowledged, the Company and each</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Purchaser agree as follows: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ARTICLE I.</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u w:val="single" w:color="auto"/>
          <w:color w:val="auto"/>
        </w:rPr>
        <w:t>DEFINITIONS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xml:space="preserve">. In addition to the terms defined elsewhere in this Agreement, for all purposes of this Agreement, the following terms have the meanings set forth in this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Board of Directors</w:t>
      </w:r>
      <w:r>
        <w:rPr>
          <w:rFonts w:ascii="Arial" w:cs="Arial" w:eastAsia="Arial" w:hAnsi="Arial"/>
          <w:sz w:val="12"/>
          <w:szCs w:val="12"/>
          <w:color w:val="auto"/>
        </w:rPr>
        <w:t>” means the board of directors of the Company.</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means the closing of the purchase and sale of the Securities pursuant to </w:t>
      </w:r>
      <w:r>
        <w:rPr>
          <w:rFonts w:ascii="Arial" w:cs="Arial" w:eastAsia="Arial" w:hAnsi="Arial"/>
          <w:sz w:val="12"/>
          <w:szCs w:val="12"/>
          <w:u w:val="single" w:color="auto"/>
          <w:color w:val="auto"/>
        </w:rPr>
        <w:t>Section 2.1</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means the third Trading Day following the date hereof or such other date as the Placement Agent and the Company may agree in writing, in either case,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Commission</w:t>
      </w:r>
      <w:r>
        <w:rPr>
          <w:rFonts w:ascii="Arial" w:cs="Arial" w:eastAsia="Arial" w:hAnsi="Arial"/>
          <w:sz w:val="12"/>
          <w:szCs w:val="12"/>
          <w:color w:val="auto"/>
        </w:rPr>
        <w:t>” means the United States Securities and Exchange Commission.</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Stock</w:t>
      </w:r>
      <w:r>
        <w:rPr>
          <w:rFonts w:ascii="Arial" w:cs="Arial" w:eastAsia="Arial" w:hAnsi="Arial"/>
          <w:sz w:val="12"/>
          <w:szCs w:val="12"/>
          <w:color w:val="auto"/>
        </w:rPr>
        <w:t>” means the shares of the Company’s common stock, par value $0.001 per share.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150"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Material Adverse Effect</w:t>
      </w:r>
      <w:r>
        <w:rPr>
          <w:rFonts w:ascii="Arial" w:cs="Arial" w:eastAsia="Arial" w:hAnsi="Arial"/>
          <w:sz w:val="10"/>
          <w:szCs w:val="10"/>
          <w:color w:val="auto"/>
        </w:rPr>
        <w:t>” means (i) a material adverse effect on the legality, validity or enforceability of any Transaction Document, (ii) a material adverse effect on the results of operations, assets, business, prospects or condition (financial or otherwise) of the Company and its Subsidiaries, taken as a whole, (iii) a material adverse effect on the Company’s ability to perform in any material respect on a timely basis its obligations under any Transaction Document; or</w:t>
      </w:r>
    </w:p>
    <w:p>
      <w:pPr>
        <w:jc w:val="both"/>
        <w:ind w:left="8" w:hanging="8"/>
        <w:spacing w:after="0" w:line="254" w:lineRule="auto"/>
        <w:tabs>
          <w:tab w:leader="none" w:pos="214" w:val="left"/>
        </w:tabs>
        <w:numPr>
          <w:ilvl w:val="0"/>
          <w:numId w:val="79"/>
        </w:numPr>
        <w:rPr>
          <w:rFonts w:ascii="Arial" w:cs="Arial" w:eastAsia="Arial" w:hAnsi="Arial"/>
          <w:sz w:val="12"/>
          <w:szCs w:val="12"/>
          <w:color w:val="auto"/>
        </w:rPr>
      </w:pPr>
      <w:r>
        <w:rPr>
          <w:rFonts w:ascii="Arial" w:cs="Arial" w:eastAsia="Arial" w:hAnsi="Arial"/>
          <w:sz w:val="12"/>
          <w:szCs w:val="12"/>
          <w:color w:val="auto"/>
        </w:rPr>
        <w:t>trading in the Common Stock or quotation on the over the counter bulletin board or OTC Markets Group Inc. shall have been suspended by the Commission or Financial Industry Regulatory Authority (“FINRA”), trading in securities generally as reported by Bloomberg L/P. shall have been suspended or limited, or minimum prices shall have been established on any Trading Market, or a banking moratorium has been declared either by the United States of New York State banking authorities. For the purpose of this Agreement, the terms Material Adverse Effect or material adverse change shall not include any such effects resulting, directly or indirectly, from the filing of the Prospectus or the performance of the transactions contemplated by, or pursuant to, the Placement Agent Agreement or this Agreement.</w:t>
      </w: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81" w:name="page182"/>
    <w:bookmarkEnd w:id="181"/>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 Share Purchase Price</w:t>
      </w:r>
      <w:r>
        <w:rPr>
          <w:rFonts w:ascii="Arial" w:cs="Arial" w:eastAsia="Arial" w:hAnsi="Arial"/>
          <w:sz w:val="12"/>
          <w:szCs w:val="12"/>
          <w:color w:val="auto"/>
        </w:rPr>
        <w:t>” equals $[___].</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Placement Agent</w:t>
      </w:r>
      <w:r>
        <w:rPr>
          <w:rFonts w:ascii="Arial" w:cs="Arial" w:eastAsia="Arial" w:hAnsi="Arial"/>
          <w:sz w:val="12"/>
          <w:szCs w:val="12"/>
          <w:color w:val="auto"/>
        </w:rPr>
        <w:t>” means Geller Biopharm, a healthcare investment banking division of Financial West Group.</w:t>
      </w:r>
    </w:p>
    <w:p>
      <w:pPr>
        <w:spacing w:after="0" w:line="16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Preliminary Prospectus</w:t>
      </w:r>
      <w:r>
        <w:rPr>
          <w:rFonts w:ascii="Arial" w:cs="Arial" w:eastAsia="Arial" w:hAnsi="Arial"/>
          <w:sz w:val="12"/>
          <w:szCs w:val="12"/>
          <w:color w:val="auto"/>
        </w:rPr>
        <w:t>” means each prospectus used prior to the effectiveness of the Registration Statement, and each prospectus that omitted the Rule 430A Information that was used after such effectiveness and prior to the execution and delivery of the Placement Agency Agreement.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Pricing Prospectus</w:t>
      </w:r>
      <w:r>
        <w:rPr>
          <w:rFonts w:ascii="Arial" w:cs="Arial" w:eastAsia="Arial" w:hAnsi="Arial"/>
          <w:sz w:val="12"/>
          <w:szCs w:val="12"/>
          <w:color w:val="auto"/>
        </w:rPr>
        <w:t>” means the Preliminary Prospectus, subject to completion, dated [_____], 2014, that was included in the Registration Statement immediately prior to the Time of Sale.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Proceeding</w:t>
      </w:r>
      <w:r>
        <w:rPr>
          <w:rFonts w:ascii="Arial" w:cs="Arial" w:eastAsia="Arial" w:hAnsi="Arial"/>
          <w:sz w:val="12"/>
          <w:szCs w:val="12"/>
          <w:color w:val="auto"/>
        </w:rPr>
        <w:t>” means an action, claim, suit, investigation or proceeding (including, without limitation, an informal investigation or partial proceeding, such as a deposition), whether commenced or threatened.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Prospectus</w:t>
      </w:r>
      <w:r>
        <w:rPr>
          <w:rFonts w:ascii="Arial" w:cs="Arial" w:eastAsia="Arial" w:hAnsi="Arial"/>
          <w:sz w:val="12"/>
          <w:szCs w:val="12"/>
          <w:color w:val="auto"/>
        </w:rPr>
        <w:t>” means the final prospectus in the form first furnished to the Placement Agent for use in the Offering.</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means the effective registration statement on Form S-1 with Commission (file no. 333-195901) which registers the sale of the Securities (including the Securities of Common Stock issuable upon exercise of the Warrants) to the Purchasers (including the documents incorporated by reference therein, if any).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w:t>
      </w:r>
      <w:r>
        <w:rPr>
          <w:rFonts w:ascii="Arial" w:cs="Arial" w:eastAsia="Arial" w:hAnsi="Arial"/>
          <w:sz w:val="12"/>
          <w:szCs w:val="12"/>
          <w:color w:val="auto"/>
        </w:rPr>
        <w:t>” means the Shares, the Warrants and the Warrant Shares.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and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means the shares of Common Stock issued or issuable to each Purchaser pursuant to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Short Sales</w:t>
      </w:r>
      <w:r>
        <w:rPr>
          <w:rFonts w:ascii="Arial" w:cs="Arial" w:eastAsia="Arial" w:hAnsi="Arial"/>
          <w:sz w:val="12"/>
          <w:szCs w:val="12"/>
          <w:color w:val="auto"/>
        </w:rPr>
        <w:t>” means all “short sales” as defined in Rule 200 of Regulation SHO under the Exchange Act (but shall not be deemed to include the location and/or reservation of borrowable Ordinary Shares).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Subscription Amount</w:t>
      </w:r>
      <w:r>
        <w:rPr>
          <w:rFonts w:ascii="Arial" w:cs="Arial" w:eastAsia="Arial" w:hAnsi="Arial"/>
          <w:sz w:val="11"/>
          <w:szCs w:val="11"/>
          <w:color w:val="auto"/>
        </w:rPr>
        <w:t>” means, as to each Purchaser, the aggregate amount to be paid for Securities hereunder as specified below on the signature page of this Agreement in United States dollars and in immediately available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funds.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Subsidiaries</w:t>
      </w:r>
      <w:r>
        <w:rPr>
          <w:rFonts w:ascii="Arial" w:cs="Arial" w:eastAsia="Arial" w:hAnsi="Arial"/>
          <w:sz w:val="12"/>
          <w:szCs w:val="12"/>
          <w:color w:val="auto"/>
        </w:rPr>
        <w:t>” means [______].</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Time of Sale</w:t>
      </w:r>
      <w:r>
        <w:rPr>
          <w:rFonts w:ascii="Arial" w:cs="Arial" w:eastAsia="Arial" w:hAnsi="Arial"/>
          <w:sz w:val="12"/>
          <w:szCs w:val="12"/>
          <w:color w:val="auto"/>
        </w:rPr>
        <w:t>” with respect to any Purchaser, means the time of receipt and acceptance of an executed copy of this Agreement from such Purchaser.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means a day on which the principal Trading Market is open for trading.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Market</w:t>
      </w:r>
      <w:r>
        <w:rPr>
          <w:rFonts w:ascii="Arial" w:cs="Arial" w:eastAsia="Arial" w:hAnsi="Arial"/>
          <w:sz w:val="12"/>
          <w:szCs w:val="12"/>
          <w:color w:val="auto"/>
        </w:rPr>
        <w:t>” means the principal trading market in the United States on which the shares of Common Stock are listed or quoted for trading on the date in question.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Documents</w:t>
      </w:r>
      <w:r>
        <w:rPr>
          <w:rFonts w:ascii="Arial" w:cs="Arial" w:eastAsia="Arial" w:hAnsi="Arial"/>
          <w:sz w:val="12"/>
          <w:szCs w:val="12"/>
          <w:color w:val="auto"/>
        </w:rPr>
        <w:t>” means this Agreement, the form of Warrant and any other documents or agreements executed in connection with the transactions contemplated 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Transfer Agent</w:t>
      </w:r>
      <w:r>
        <w:rPr>
          <w:rFonts w:ascii="Arial" w:cs="Arial" w:eastAsia="Arial" w:hAnsi="Arial"/>
          <w:sz w:val="12"/>
          <w:szCs w:val="12"/>
          <w:color w:val="auto"/>
        </w:rPr>
        <w:t>” means [_____], the current transfer agent of the Company, with a mailing address of [______] and a facsimile number of [_____], and any successor transfer agent of the Company.</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w:t>
      </w:r>
      <w:r>
        <w:rPr>
          <w:rFonts w:ascii="Arial" w:cs="Arial" w:eastAsia="Arial" w:hAnsi="Arial"/>
          <w:sz w:val="12"/>
          <w:szCs w:val="12"/>
          <w:color w:val="auto"/>
        </w:rPr>
        <w:t xml:space="preserve">” means the warrant to purchase Common Stock in the form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 Shares</w:t>
      </w:r>
      <w:r>
        <w:rPr>
          <w:rFonts w:ascii="Arial" w:cs="Arial" w:eastAsia="Arial" w:hAnsi="Arial"/>
          <w:sz w:val="12"/>
          <w:szCs w:val="12"/>
          <w:color w:val="auto"/>
        </w:rPr>
        <w:t>” means the shares of Common Stock issuable upon exercise of the Warrants.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2"/>
          <w:szCs w:val="12"/>
          <w:color w:val="auto"/>
        </w:rPr>
        <w:t>ARTICLE II.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PURCHASE AND SALE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u w:val="single" w:color="auto"/>
          <w:color w:val="auto"/>
        </w:rPr>
        <w:t>Closing</w:t>
      </w:r>
      <w:r>
        <w:rPr>
          <w:rFonts w:ascii="Arial" w:cs="Arial" w:eastAsia="Arial" w:hAnsi="Arial"/>
          <w:sz w:val="11"/>
          <w:szCs w:val="11"/>
          <w:color w:val="auto"/>
        </w:rPr>
        <w:t>. On the Closing Date, upon the terms and subject to the conditions set forth herein, the Company agrees to sell, and the Purchasers, severally and not jointly, agree to purchase up to an aggregate of $[______] of</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Shares (the “</w:t>
      </w:r>
      <w:r>
        <w:rPr>
          <w:rFonts w:ascii="Arial" w:cs="Arial" w:eastAsia="Arial" w:hAnsi="Arial"/>
          <w:sz w:val="11"/>
          <w:szCs w:val="11"/>
          <w:u w:val="single" w:color="auto"/>
          <w:color w:val="auto"/>
        </w:rPr>
        <w:t>Maximum Offering</w:t>
      </w:r>
      <w:r>
        <w:rPr>
          <w:rFonts w:ascii="Arial" w:cs="Arial" w:eastAsia="Arial" w:hAnsi="Arial"/>
          <w:sz w:val="11"/>
          <w:szCs w:val="11"/>
          <w:color w:val="auto"/>
        </w:rPr>
        <w:t>”) shares. For each Share issued and sold by the Company, the Company shall issue and sell to the Purchaser one Warrant to purchase [__]% of one share of Common Stock at an exercise price of $[__] per share . Each Purchaser shall deliver to Signature Bank, as escrow agent (the “</w:t>
      </w:r>
      <w:r>
        <w:rPr>
          <w:rFonts w:ascii="Arial" w:cs="Arial" w:eastAsia="Arial" w:hAnsi="Arial"/>
          <w:sz w:val="11"/>
          <w:szCs w:val="11"/>
          <w:u w:val="single" w:color="auto"/>
          <w:color w:val="auto"/>
        </w:rPr>
        <w:t>Escrow Agent</w:t>
      </w:r>
      <w:r>
        <w:rPr>
          <w:rFonts w:ascii="Arial" w:cs="Arial" w:eastAsia="Arial" w:hAnsi="Arial"/>
          <w:sz w:val="11"/>
          <w:szCs w:val="11"/>
          <w:color w:val="auto"/>
        </w:rPr>
        <w:t xml:space="preserve">”), via wire transfer of immediately available funds pursuant to the wire instructions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attached hereto, equal to such Purchaser’s Subscription Amount as set forth on the signature page hereto executed by such Purchaser and, at Closing, the Company shall deliver to each Purchaser its respective Securities as determined pursuant to </w:t>
      </w:r>
      <w:r>
        <w:rPr>
          <w:rFonts w:ascii="Arial" w:cs="Arial" w:eastAsia="Arial" w:hAnsi="Arial"/>
          <w:sz w:val="11"/>
          <w:szCs w:val="11"/>
          <w:u w:val="single" w:color="auto"/>
          <w:color w:val="auto"/>
        </w:rPr>
        <w:t>Section 2.2(a)</w:t>
      </w:r>
      <w:r>
        <w:rPr>
          <w:rFonts w:ascii="Arial" w:cs="Arial" w:eastAsia="Arial" w:hAnsi="Arial"/>
          <w:sz w:val="11"/>
          <w:szCs w:val="11"/>
          <w:color w:val="auto"/>
        </w:rPr>
        <w:t xml:space="preserve">, and the Company and each Purchaser shall deliver the other items set forth in </w:t>
      </w:r>
      <w:r>
        <w:rPr>
          <w:rFonts w:ascii="Arial" w:cs="Arial" w:eastAsia="Arial" w:hAnsi="Arial"/>
          <w:sz w:val="11"/>
          <w:szCs w:val="11"/>
          <w:u w:val="single" w:color="auto"/>
          <w:color w:val="auto"/>
        </w:rPr>
        <w:t>Section 2.2</w:t>
      </w:r>
      <w:r>
        <w:rPr>
          <w:rFonts w:ascii="Arial" w:cs="Arial" w:eastAsia="Arial" w:hAnsi="Arial"/>
          <w:sz w:val="11"/>
          <w:szCs w:val="11"/>
          <w:color w:val="auto"/>
        </w:rPr>
        <w:t xml:space="preserve"> deliverable at the Closing. Upon satisfaction of the covenants and conditions set forth in </w:t>
      </w:r>
      <w:r>
        <w:rPr>
          <w:rFonts w:ascii="Arial" w:cs="Arial" w:eastAsia="Arial" w:hAnsi="Arial"/>
          <w:sz w:val="11"/>
          <w:szCs w:val="11"/>
          <w:u w:val="single" w:color="auto"/>
          <w:color w:val="auto"/>
        </w:rPr>
        <w:t>Section 2.2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2.3</w:t>
      </w:r>
      <w:r>
        <w:rPr>
          <w:rFonts w:ascii="Arial" w:cs="Arial" w:eastAsia="Arial" w:hAnsi="Arial"/>
          <w:sz w:val="11"/>
          <w:szCs w:val="11"/>
          <w:color w:val="auto"/>
        </w:rPr>
        <w:t>, the Closing shall occur at the offices of Sichenzia Ross Friedman Ference LLP, counsel for the Placement Agent, located at 61 Broadway, 32</w:t>
      </w:r>
      <w:r>
        <w:rPr>
          <w:rFonts w:ascii="Arial" w:cs="Arial" w:eastAsia="Arial" w:hAnsi="Arial"/>
          <w:sz w:val="15"/>
          <w:szCs w:val="15"/>
          <w:color w:val="auto"/>
          <w:vertAlign w:val="superscript"/>
        </w:rPr>
        <w:t>nd</w:t>
      </w:r>
      <w:r>
        <w:rPr>
          <w:rFonts w:ascii="Arial" w:cs="Arial" w:eastAsia="Arial" w:hAnsi="Arial"/>
          <w:sz w:val="11"/>
          <w:szCs w:val="11"/>
          <w:color w:val="auto"/>
        </w:rPr>
        <w:t xml:space="preserve"> Floor, New York, NY 10006, or such other location as the parties shall mutually agree.</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Deliveries</w:t>
      </w:r>
      <w:r>
        <w:rPr>
          <w:rFonts w:ascii="Arial" w:cs="Arial" w:eastAsia="Arial" w:hAnsi="Arial"/>
          <w:sz w:val="12"/>
          <w:szCs w:val="12"/>
          <w:color w:val="auto"/>
        </w:rPr>
        <w:t>.</w:t>
      </w:r>
    </w:p>
    <w:p>
      <w:pPr>
        <w:spacing w:after="0" w:line="150" w:lineRule="exact"/>
        <w:rPr>
          <w:sz w:val="20"/>
          <w:szCs w:val="20"/>
          <w:color w:val="auto"/>
        </w:rPr>
      </w:pPr>
    </w:p>
    <w:p>
      <w:pPr>
        <w:ind w:left="580" w:hanging="156"/>
        <w:spacing w:after="0"/>
        <w:tabs>
          <w:tab w:leader="none" w:pos="5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On or prior to the Closing Date, the Company shall deliver or cause to be delivered to each Purchaser the following:</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80"/>
        </w:numPr>
        <w:rPr>
          <w:rFonts w:ascii="Arial" w:cs="Arial" w:eastAsia="Arial" w:hAnsi="Arial"/>
          <w:sz w:val="12"/>
          <w:szCs w:val="12"/>
          <w:color w:val="auto"/>
        </w:rPr>
      </w:pPr>
      <w:r>
        <w:rPr>
          <w:rFonts w:ascii="Arial" w:cs="Arial" w:eastAsia="Arial" w:hAnsi="Arial"/>
          <w:sz w:val="12"/>
          <w:szCs w:val="12"/>
          <w:color w:val="auto"/>
        </w:rPr>
        <w:t>this Agreement duly executed by the Company;</w:t>
      </w:r>
    </w:p>
    <w:p>
      <w:pPr>
        <w:spacing w:after="0" w:line="150" w:lineRule="exact"/>
        <w:rPr>
          <w:rFonts w:ascii="Arial" w:cs="Arial" w:eastAsia="Arial" w:hAnsi="Arial"/>
          <w:sz w:val="12"/>
          <w:szCs w:val="12"/>
          <w:color w:val="auto"/>
        </w:rPr>
      </w:pPr>
    </w:p>
    <w:p>
      <w:pPr>
        <w:ind w:firstLine="857"/>
        <w:spacing w:after="0" w:line="276" w:lineRule="auto"/>
        <w:tabs>
          <w:tab w:leader="none" w:pos="1050" w:val="left"/>
        </w:tabs>
        <w:numPr>
          <w:ilvl w:val="1"/>
          <w:numId w:val="80"/>
        </w:numPr>
        <w:rPr>
          <w:rFonts w:ascii="Arial" w:cs="Arial" w:eastAsia="Arial" w:hAnsi="Arial"/>
          <w:sz w:val="12"/>
          <w:szCs w:val="12"/>
          <w:color w:val="auto"/>
        </w:rPr>
      </w:pPr>
      <w:r>
        <w:rPr>
          <w:rFonts w:ascii="Arial" w:cs="Arial" w:eastAsia="Arial" w:hAnsi="Arial"/>
          <w:sz w:val="12"/>
          <w:szCs w:val="12"/>
          <w:color w:val="auto"/>
        </w:rPr>
        <w:t>a copy of the irrevocable instructions to the Transfer Agent instructing the Transfer Agent to deliver on an expedited basis equal to such Purchaser’s Subscription Amount divided by the Per Share Purchase Price, registered in the name of such Purchaser. The Shares shall be delivered to each Purchaser through delivery by electronic book entry at DTC;</w:t>
      </w:r>
    </w:p>
    <w:p>
      <w:pPr>
        <w:spacing w:after="0" w:line="132" w:lineRule="exact"/>
        <w:rPr>
          <w:rFonts w:ascii="Arial" w:cs="Arial" w:eastAsia="Arial" w:hAnsi="Arial"/>
          <w:sz w:val="12"/>
          <w:szCs w:val="12"/>
          <w:color w:val="auto"/>
        </w:rPr>
      </w:pPr>
    </w:p>
    <w:p>
      <w:pPr>
        <w:ind w:left="1220" w:hanging="333"/>
        <w:spacing w:after="0"/>
        <w:tabs>
          <w:tab w:leader="none" w:pos="1220" w:val="left"/>
        </w:tabs>
        <w:numPr>
          <w:ilvl w:val="2"/>
          <w:numId w:val="80"/>
        </w:numPr>
        <w:rPr>
          <w:rFonts w:ascii="Arial" w:cs="Arial" w:eastAsia="Arial" w:hAnsi="Arial"/>
          <w:sz w:val="12"/>
          <w:szCs w:val="12"/>
          <w:color w:val="auto"/>
        </w:rPr>
      </w:pPr>
      <w:r>
        <w:rPr>
          <w:rFonts w:ascii="Arial" w:cs="Arial" w:eastAsia="Arial" w:hAnsi="Arial"/>
          <w:sz w:val="12"/>
          <w:szCs w:val="12"/>
          <w:color w:val="auto"/>
        </w:rPr>
        <w:t>a Warrant to purchase such number of shares of Common Stock as shall equal [__]% of the number of Shares purchased by such Purchaser pursuant to this Agreement; and</w:t>
      </w:r>
    </w:p>
    <w:p>
      <w:pPr>
        <w:spacing w:after="0" w:line="168" w:lineRule="exact"/>
        <w:rPr>
          <w:sz w:val="20"/>
          <w:szCs w:val="20"/>
          <w:color w:val="auto"/>
        </w:rPr>
      </w:pPr>
    </w:p>
    <w:p>
      <w:pPr>
        <w:ind w:left="1360" w:hanging="503"/>
        <w:spacing w:after="0"/>
        <w:tabs>
          <w:tab w:leader="none" w:pos="13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Pricing Prospectus and Prospectus (which may be delivered in accordance with Rule 172 under the Securities Act).</w:t>
      </w:r>
    </w:p>
    <w:p>
      <w:pPr>
        <w:spacing w:after="0" w:line="150" w:lineRule="exact"/>
        <w:rPr>
          <w:sz w:val="20"/>
          <w:szCs w:val="20"/>
          <w:color w:val="auto"/>
        </w:rPr>
      </w:pPr>
    </w:p>
    <w:p>
      <w:pPr>
        <w:ind w:firstLine="857"/>
        <w:spacing w:after="0" w:line="276" w:lineRule="auto"/>
        <w:tabs>
          <w:tab w:leader="none" w:pos="1038" w:val="left"/>
        </w:tabs>
        <w:numPr>
          <w:ilvl w:val="0"/>
          <w:numId w:val="82"/>
        </w:numPr>
        <w:rPr>
          <w:rFonts w:ascii="Arial" w:cs="Arial" w:eastAsia="Arial" w:hAnsi="Arial"/>
          <w:sz w:val="12"/>
          <w:szCs w:val="12"/>
          <w:color w:val="auto"/>
        </w:rPr>
      </w:pPr>
      <w:r>
        <w:rPr>
          <w:rFonts w:ascii="Arial" w:cs="Arial" w:eastAsia="Arial" w:hAnsi="Arial"/>
          <w:sz w:val="12"/>
          <w:szCs w:val="12"/>
          <w:color w:val="auto"/>
        </w:rPr>
        <w:t xml:space="preserve">On or prior to the Closing Date, each Purchaser shall deliver or cause to be delivered to the Company such Purchaser’s Subscription Amount by wire transfer to the Escrow Agent pursuant to the wire instructions set forth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Closing Conditions</w:t>
      </w:r>
      <w:r>
        <w:rPr>
          <w:rFonts w:ascii="Arial" w:cs="Arial" w:eastAsia="Arial" w:hAnsi="Arial"/>
          <w:sz w:val="12"/>
          <w:szCs w:val="12"/>
          <w:color w:val="auto"/>
        </w:rPr>
        <w:t>.</w:t>
      </w:r>
    </w:p>
    <w:p>
      <w:pPr>
        <w:spacing w:after="0" w:line="150" w:lineRule="exact"/>
        <w:rPr>
          <w:sz w:val="20"/>
          <w:szCs w:val="20"/>
          <w:color w:val="auto"/>
        </w:rPr>
      </w:pPr>
    </w:p>
    <w:p>
      <w:pPr>
        <w:ind w:left="580" w:hanging="156"/>
        <w:spacing w:after="0"/>
        <w:tabs>
          <w:tab w:leader="none" w:pos="5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obligations of the Company hereunder in connection with the Closing with respect to each Purchaser are subject to the following conditions being met:</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83"/>
        </w:numPr>
        <w:rPr>
          <w:rFonts w:ascii="Arial" w:cs="Arial" w:eastAsia="Arial" w:hAnsi="Arial"/>
          <w:sz w:val="11"/>
          <w:szCs w:val="11"/>
          <w:color w:val="auto"/>
        </w:rPr>
      </w:pPr>
      <w:r>
        <w:rPr>
          <w:rFonts w:ascii="Arial" w:cs="Arial" w:eastAsia="Arial" w:hAnsi="Arial"/>
          <w:sz w:val="11"/>
          <w:szCs w:val="11"/>
          <w:color w:val="auto"/>
        </w:rPr>
        <w:t>the accuracy in all material respects on the Closing Date of the representations and warranties of such Purchaser contained herein (unless as of a specific date therein in which case they shall be accurate as of such</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41" w:lineRule="exact"/>
        <w:rPr>
          <w:sz w:val="20"/>
          <w:szCs w:val="20"/>
          <w:color w:val="auto"/>
        </w:rPr>
      </w:pPr>
    </w:p>
    <w:p>
      <w:pPr>
        <w:ind w:left="1040" w:hanging="183"/>
        <w:spacing w:after="0"/>
        <w:tabs>
          <w:tab w:leader="none" w:pos="1040" w:val="left"/>
        </w:tabs>
        <w:numPr>
          <w:ilvl w:val="1"/>
          <w:numId w:val="84"/>
        </w:numPr>
        <w:rPr>
          <w:rFonts w:ascii="Arial" w:cs="Arial" w:eastAsia="Arial" w:hAnsi="Arial"/>
          <w:sz w:val="12"/>
          <w:szCs w:val="12"/>
          <w:color w:val="auto"/>
        </w:rPr>
      </w:pPr>
      <w:r>
        <w:rPr>
          <w:rFonts w:ascii="Arial" w:cs="Arial" w:eastAsia="Arial" w:hAnsi="Arial"/>
          <w:sz w:val="12"/>
          <w:szCs w:val="12"/>
          <w:color w:val="auto"/>
        </w:rPr>
        <w:t>all obligations, covenants and agreements of such Purchaser required to be performed at or prior to the Closing Date shall have been performed; and</w:t>
      </w:r>
    </w:p>
    <w:p>
      <w:pPr>
        <w:spacing w:after="0" w:line="150" w:lineRule="exact"/>
        <w:rPr>
          <w:rFonts w:ascii="Arial" w:cs="Arial" w:eastAsia="Arial" w:hAnsi="Arial"/>
          <w:sz w:val="12"/>
          <w:szCs w:val="12"/>
          <w:color w:val="auto"/>
        </w:rPr>
      </w:pPr>
    </w:p>
    <w:p>
      <w:pPr>
        <w:ind w:left="1060" w:hanging="203"/>
        <w:spacing w:after="0"/>
        <w:tabs>
          <w:tab w:leader="none" w:pos="10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the delivery by such Purchaser of such Purchaser’s Subscription Amount.</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respective obligations of the Purchasers hereunder in connection with the Closing are subject to the following conditions being met: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3" w:name="page184"/>
    <w:bookmarkEnd w:id="183"/>
    <w:p>
      <w:pPr>
        <w:ind w:left="860"/>
        <w:spacing w:after="0"/>
        <w:rPr>
          <w:sz w:val="20"/>
          <w:szCs w:val="20"/>
          <w:color w:val="auto"/>
        </w:rPr>
      </w:pPr>
      <w:r>
        <w:rPr>
          <w:rFonts w:ascii="Arial" w:cs="Arial" w:eastAsia="Arial" w:hAnsi="Arial"/>
          <w:sz w:val="10"/>
          <w:szCs w:val="10"/>
          <w:color w:val="auto"/>
        </w:rPr>
        <w:t>(i) the accuracy in all material respects when made and on the Closing Date of the representations and warranties of the Company contained herein (unless as of a specific date therein in which case they shall be accurate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as of such date);</w:t>
      </w:r>
    </w:p>
    <w:p>
      <w:pPr>
        <w:spacing w:after="0" w:line="141" w:lineRule="exact"/>
        <w:rPr>
          <w:sz w:val="20"/>
          <w:szCs w:val="20"/>
          <w:color w:val="auto"/>
        </w:rPr>
      </w:pPr>
    </w:p>
    <w:p>
      <w:pPr>
        <w:ind w:left="1040" w:hanging="183"/>
        <w:spacing w:after="0"/>
        <w:tabs>
          <w:tab w:leader="none" w:pos="10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all obligations, covenants and agreements of the Company required to be performed at or prior to the Closing Date shall have been performed;</w:t>
      </w:r>
    </w:p>
    <w:p>
      <w:pPr>
        <w:spacing w:after="0" w:line="150" w:lineRule="exact"/>
        <w:rPr>
          <w:rFonts w:ascii="Arial" w:cs="Arial" w:eastAsia="Arial" w:hAnsi="Arial"/>
          <w:sz w:val="12"/>
          <w:szCs w:val="12"/>
          <w:color w:val="auto"/>
        </w:rPr>
      </w:pPr>
    </w:p>
    <w:p>
      <w:pPr>
        <w:ind w:left="1060" w:hanging="203"/>
        <w:spacing w:after="0"/>
        <w:tabs>
          <w:tab w:leader="none" w:pos="10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the delivery by the Company of the items set forth in </w:t>
      </w:r>
      <w:r>
        <w:rPr>
          <w:rFonts w:ascii="Arial" w:cs="Arial" w:eastAsia="Arial" w:hAnsi="Arial"/>
          <w:sz w:val="12"/>
          <w:szCs w:val="12"/>
          <w:u w:val="single" w:color="auto"/>
          <w:color w:val="auto"/>
        </w:rPr>
        <w:t>Section 2.2(a)</w:t>
      </w:r>
      <w:r>
        <w:rPr>
          <w:rFonts w:ascii="Arial" w:cs="Arial" w:eastAsia="Arial" w:hAnsi="Arial"/>
          <w:sz w:val="12"/>
          <w:szCs w:val="12"/>
          <w:color w:val="auto"/>
        </w:rPr>
        <w:t xml:space="preserve"> of this Agreement; and</w:t>
      </w:r>
    </w:p>
    <w:p>
      <w:pPr>
        <w:spacing w:after="0" w:line="150" w:lineRule="exact"/>
        <w:rPr>
          <w:rFonts w:ascii="Arial" w:cs="Arial" w:eastAsia="Arial" w:hAnsi="Arial"/>
          <w:sz w:val="12"/>
          <w:szCs w:val="12"/>
          <w:color w:val="auto"/>
        </w:rPr>
      </w:pPr>
    </w:p>
    <w:p>
      <w:pPr>
        <w:ind w:left="1060" w:hanging="203"/>
        <w:spacing w:after="0"/>
        <w:tabs>
          <w:tab w:leader="none" w:pos="10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there shall have been no Material Adverse Effect with respect to the Company since the date hereof.</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Subscription Agreements; Purchasers</w:t>
      </w:r>
      <w:r>
        <w:rPr>
          <w:rFonts w:ascii="Arial" w:cs="Arial" w:eastAsia="Arial" w:hAnsi="Arial"/>
          <w:sz w:val="12"/>
          <w:szCs w:val="12"/>
          <w:color w:val="auto"/>
        </w:rPr>
        <w:t>. The Company proposes to enter into subscription agreements in substantially the form of this Agreement (collectively with this Agreement, the “</w:t>
      </w:r>
      <w:r>
        <w:rPr>
          <w:rFonts w:ascii="Arial" w:cs="Arial" w:eastAsia="Arial" w:hAnsi="Arial"/>
          <w:sz w:val="12"/>
          <w:szCs w:val="12"/>
          <w:u w:val="single" w:color="auto"/>
          <w:color w:val="auto"/>
        </w:rPr>
        <w:t>Agreements</w:t>
      </w:r>
      <w:r>
        <w:rPr>
          <w:rFonts w:ascii="Arial" w:cs="Arial" w:eastAsia="Arial" w:hAnsi="Arial"/>
          <w:sz w:val="12"/>
          <w:szCs w:val="12"/>
          <w:color w:val="auto"/>
        </w:rPr>
        <w:t>”) with certain other investors (collectively with the Purchaser, the “</w:t>
      </w:r>
      <w:r>
        <w:rPr>
          <w:rFonts w:ascii="Arial" w:cs="Arial" w:eastAsia="Arial" w:hAnsi="Arial"/>
          <w:sz w:val="12"/>
          <w:szCs w:val="12"/>
          <w:u w:val="single" w:color="auto"/>
          <w:color w:val="auto"/>
        </w:rPr>
        <w:t>Purchasers</w:t>
      </w:r>
      <w:r>
        <w:rPr>
          <w:rFonts w:ascii="Arial" w:cs="Arial" w:eastAsia="Arial" w:hAnsi="Arial"/>
          <w:sz w:val="12"/>
          <w:szCs w:val="12"/>
          <w:color w:val="auto"/>
        </w:rPr>
        <w:t>”).</w:t>
      </w:r>
    </w:p>
    <w:p>
      <w:pPr>
        <w:spacing w:after="0" w:line="13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u w:val="single" w:color="auto"/>
          <w:color w:val="auto"/>
        </w:rPr>
        <w:t>Placement Agent</w:t>
      </w:r>
      <w:r>
        <w:rPr>
          <w:rFonts w:ascii="Arial" w:cs="Arial" w:eastAsia="Arial" w:hAnsi="Arial"/>
          <w:sz w:val="10"/>
          <w:szCs w:val="10"/>
          <w:color w:val="auto"/>
        </w:rPr>
        <w:t>. The Purchaser acknowledges that the Company has agreed to pay the Placement Agent in respect of the sales of the Securities to the Purchaser.</w:t>
      </w:r>
    </w:p>
    <w:p>
      <w:pPr>
        <w:spacing w:after="0" w:line="16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 xml:space="preserve">2.6 </w:t>
      </w:r>
      <w:r>
        <w:rPr>
          <w:rFonts w:ascii="Arial" w:cs="Arial" w:eastAsia="Arial" w:hAnsi="Arial"/>
          <w:sz w:val="11"/>
          <w:szCs w:val="11"/>
          <w:u w:val="single" w:color="auto"/>
          <w:color w:val="auto"/>
        </w:rPr>
        <w:t>Escrow Agreement</w:t>
      </w:r>
      <w:r>
        <w:rPr>
          <w:rFonts w:ascii="Arial" w:cs="Arial" w:eastAsia="Arial" w:hAnsi="Arial"/>
          <w:sz w:val="11"/>
          <w:szCs w:val="11"/>
          <w:color w:val="auto"/>
        </w:rPr>
        <w:t>. The Purchaser acknowledges that its Subscription Amount will be released by the Escrow Agent to the Company at the Closing pursuant to the terms and conditions of the Escrow Agreement without any further instruction or consent from the Purchaser. The Closing will occur upon satisfaction, in the judgment of the Company and the Placement Agent, of the conditions set forth in Section 2.3 of this Agreement.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III.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REPRESENTATIONS AND WARRANTIES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Representations and Warranties of the Company</w:t>
      </w:r>
      <w:r>
        <w:rPr>
          <w:rFonts w:ascii="Arial" w:cs="Arial" w:eastAsia="Arial" w:hAnsi="Arial"/>
          <w:sz w:val="12"/>
          <w:szCs w:val="12"/>
          <w:color w:val="auto"/>
        </w:rPr>
        <w:t>. The Company hereby represents and warrants to each Purchaser as follows. The following representations and warranties also apply to the Subsidiaries, whether so expressed or not, unless the context clearly requires otherwise.</w:t>
      </w:r>
    </w:p>
    <w:p>
      <w:pPr>
        <w:spacing w:after="0" w:line="133" w:lineRule="exact"/>
        <w:rPr>
          <w:sz w:val="20"/>
          <w:szCs w:val="20"/>
          <w:color w:val="auto"/>
        </w:rPr>
      </w:pPr>
    </w:p>
    <w:p>
      <w:pPr>
        <w:jc w:val="both"/>
        <w:ind w:firstLine="454"/>
        <w:spacing w:after="0" w:line="259" w:lineRule="auto"/>
        <w:tabs>
          <w:tab w:leader="none" w:pos="626"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Organization, Good Standing and Power; Subsidiaries</w:t>
      </w:r>
      <w:r>
        <w:rPr>
          <w:rFonts w:ascii="Arial" w:cs="Arial" w:eastAsia="Arial" w:hAnsi="Arial"/>
          <w:sz w:val="12"/>
          <w:szCs w:val="12"/>
          <w:color w:val="auto"/>
        </w:rPr>
        <w:t>. The Company has been duly incorporated or organized, is validly existing as a corporation or other legal entity in good standing (or the foreign equivalent thereof) under the laws of its jurisdiction of incorporation and has the requisite corporate power to own, lease and operate its properties and assets and to conduct its business as it is now being conducted. The Company is duly qualified as a foreign corporation to do business and is in good standing in every jurisdiction in which the nature of the business conducted or property owned by it makes such qualification necessary except for any jurisdiction(s) (alone or in the aggregate) in which the failure to be so qualified will not have or reasonably be expected not to have a Material Adverse Effect.</w:t>
      </w:r>
    </w:p>
    <w:p>
      <w:pPr>
        <w:spacing w:after="0" w:line="125"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The Subsidiaries are direct subsidiaries of the Company. The Company (i) owns, directly or indirectly, all of the capital stock or other equity interests of each Subsidiary free and clear of any Liens (as such term is defined below), and (ii) all of the issued and outstanding shares of capital stock of each Subsidiary are validly issued and are fully paid, non-assessable and free of preemptive and similar rights to subscribe for or purchase securities.</w:t>
      </w:r>
    </w:p>
    <w:p>
      <w:pPr>
        <w:spacing w:after="0" w:line="92" w:lineRule="exact"/>
        <w:rPr>
          <w:sz w:val="20"/>
          <w:szCs w:val="20"/>
          <w:color w:val="auto"/>
        </w:rPr>
      </w:pPr>
    </w:p>
    <w:p>
      <w:pPr>
        <w:jc w:val="both"/>
        <w:ind w:firstLine="424"/>
        <w:spacing w:after="0" w:line="283" w:lineRule="auto"/>
        <w:tabs>
          <w:tab w:leader="none" w:pos="602" w:val="left"/>
        </w:tabs>
        <w:numPr>
          <w:ilvl w:val="0"/>
          <w:numId w:val="88"/>
        </w:numPr>
        <w:rPr>
          <w:rFonts w:ascii="Arial" w:cs="Arial" w:eastAsia="Arial" w:hAnsi="Arial"/>
          <w:sz w:val="11"/>
          <w:szCs w:val="11"/>
          <w:color w:val="auto"/>
        </w:rPr>
      </w:pPr>
      <w:r>
        <w:rPr>
          <w:rFonts w:ascii="Arial" w:cs="Arial" w:eastAsia="Arial" w:hAnsi="Arial"/>
          <w:sz w:val="11"/>
          <w:szCs w:val="11"/>
          <w:u w:val="single" w:color="auto"/>
          <w:color w:val="auto"/>
        </w:rPr>
        <w:t>Authorization; Enforcement</w:t>
      </w:r>
      <w:r>
        <w:rPr>
          <w:rFonts w:ascii="Arial" w:cs="Arial" w:eastAsia="Arial" w:hAnsi="Arial"/>
          <w:sz w:val="11"/>
          <w:szCs w:val="11"/>
          <w:color w:val="auto"/>
        </w:rPr>
        <w:t>. The Company has the requisite corporate power and authority to enter into and perform this Agreement and to issue and sell the Securities in accordance with the terms hereof (and to issue the Common Stock issuable upon exercise of the Warrants). The execution, delivery and performance of this Agreement by the Company and the consummation by it of the transactions contemplated hereby have been duly and validly authorized by all necessary action on the part of the Company, and no further action, consent or authorization of the Company or its Board of Directors or stockholders is required in connection therewith. Each Transaction Document to which it is a party has been (or upon delivery will have been) duly executed and delivered by the Company. Each Transaction Document, and the Securities, constitute the valid and binding obligations of the Company enforceable against the Company in accordance with their terms, except as such enforceability may be limited by applicable bankruptcy, insolvency, reorganization, moratorium, liquidation, conservatorship, receivership or similar laws relating to, or affecting generally the enforcement of, creditor’s rights and remedies or by equitable principles of general application and insofar as indemnification and contribution provisions may be limited by applicable law.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4" w:name="page185"/>
    <w:bookmarkEnd w:id="184"/>
    <w:p>
      <w:pPr>
        <w:jc w:val="both"/>
        <w:ind w:firstLine="424"/>
        <w:spacing w:after="0" w:line="259" w:lineRule="auto"/>
        <w:tabs>
          <w:tab w:leader="none" w:pos="596"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Capitalization</w:t>
      </w:r>
      <w:r>
        <w:rPr>
          <w:rFonts w:ascii="Arial" w:cs="Arial" w:eastAsia="Arial" w:hAnsi="Arial"/>
          <w:sz w:val="12"/>
          <w:szCs w:val="12"/>
          <w:color w:val="auto"/>
        </w:rPr>
        <w:t>. As of the date hereof, but prior to the issuance of any Securities pursuant to this Agreement, the authorized capital stock of the Company consists of [•] shares of Common Stock, of which [•] are issued and outstanding, [•] shares of authorized preferred stock of which (i) [•] shares are designated as Series A Convertible Preferred Stock, of which [•] are issued and outstanding, [•] shares are designated as Series B Preferred Stock, of which [•] are issued and outstanding and [•] shares are designated as Series C Convertible Preferred Stock, of which [•] are issued and outstanding. All of the issued shares of capital stock of the Company have been duly and validly authorized and issued, are fully paid and non-assessable, have been issued in compliance with federal and state securities laws.</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Articles of Incorporation and Bylaws of the Company, each amended to date, currently on file with the Commission (as so amended, the “</w:t>
      </w:r>
      <w:r>
        <w:rPr>
          <w:rFonts w:ascii="Arial" w:cs="Arial" w:eastAsia="Arial" w:hAnsi="Arial"/>
          <w:sz w:val="12"/>
          <w:szCs w:val="12"/>
          <w:u w:val="single" w:color="auto"/>
          <w:color w:val="auto"/>
        </w:rPr>
        <w:t>Charter Documents</w:t>
      </w:r>
      <w:r>
        <w:rPr>
          <w:rFonts w:ascii="Arial" w:cs="Arial" w:eastAsia="Arial" w:hAnsi="Arial"/>
          <w:sz w:val="12"/>
          <w:szCs w:val="12"/>
          <w:color w:val="auto"/>
        </w:rPr>
        <w:t>”) are true and correct. All of the outstanding shares of capital stock of the Company have been duly and validly authorized and are fully paid and non-assessable. None of the Securities (or Warrant Shares issuable upon exercise of the Warrants) are subject to preemptive rights. The Company is not a party to, and it has no knowledge of, any agreement restricting the voting of any shares of its common stock or restricting the transfer of its securities.</w:t>
      </w:r>
    </w:p>
    <w:p>
      <w:pPr>
        <w:spacing w:after="0" w:line="141" w:lineRule="exact"/>
        <w:rPr>
          <w:sz w:val="20"/>
          <w:szCs w:val="20"/>
          <w:color w:val="auto"/>
        </w:rPr>
      </w:pPr>
    </w:p>
    <w:p>
      <w:pPr>
        <w:jc w:val="both"/>
        <w:ind w:firstLine="33"/>
        <w:spacing w:after="0" w:line="279" w:lineRule="auto"/>
        <w:rPr>
          <w:sz w:val="20"/>
          <w:szCs w:val="20"/>
          <w:color w:val="auto"/>
        </w:rPr>
      </w:pPr>
      <w:r>
        <w:rPr>
          <w:rFonts w:ascii="Arial" w:cs="Arial" w:eastAsia="Arial" w:hAnsi="Arial"/>
          <w:sz w:val="11"/>
          <w:szCs w:val="11"/>
          <w:color w:val="auto"/>
        </w:rPr>
        <w:t>The Company has not issued any capital stock since its most recently filed report under the Exchange Act, other than pursuant to the exercise of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described in the Company’s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securities of the Company or shares of Common Stock, or contracts, commitments, understandings or arrangements by which the Company or any Subsidiary is or may become bound to issue additional shares of Common Stock or shares of Common Stock or common stock equivalents, other than as a result of the purchase and sale of the Securities or the exercise of the Warrants. The issuance and sale of the Securities, and the issuance of Warrant Shares upon exercise of the Warrants, will not obligate the Company to issue shares of Common Stock or other securities to any Person (other than the Purchasers) and will not result in a right of any holder of Company securities to adjust the exercise, conversion, exchange or reset price under any of such securities. No further approval or authorization of any stockholder, the Board of Directors or others is required for the issuance and sale of the Securities or the issuance of Warrant Shares upon exercise of the Warrants. There are no stockholders agreements, voting agreements or other similar agreements with respect to the Company’s capital stock to which the Company is a party or, to the knowledge of the Company, between or among any of the Company’s stockholders that are not described in the SEC Reports.</w:t>
      </w:r>
    </w:p>
    <w:p>
      <w:pPr>
        <w:spacing w:after="0" w:line="115" w:lineRule="exact"/>
        <w:rPr>
          <w:sz w:val="20"/>
          <w:szCs w:val="20"/>
          <w:color w:val="auto"/>
        </w:rPr>
      </w:pPr>
    </w:p>
    <w:p>
      <w:pPr>
        <w:jc w:val="both"/>
        <w:ind w:firstLine="424"/>
        <w:spacing w:after="0" w:line="307" w:lineRule="auto"/>
        <w:tabs>
          <w:tab w:leader="none" w:pos="611" w:val="left"/>
        </w:tabs>
        <w:numPr>
          <w:ilvl w:val="0"/>
          <w:numId w:val="90"/>
        </w:numPr>
        <w:rPr>
          <w:rFonts w:ascii="Arial" w:cs="Arial" w:eastAsia="Arial" w:hAnsi="Arial"/>
          <w:sz w:val="10"/>
          <w:szCs w:val="10"/>
          <w:color w:val="auto"/>
        </w:rPr>
      </w:pPr>
      <w:r>
        <w:rPr>
          <w:rFonts w:ascii="Arial" w:cs="Arial" w:eastAsia="Arial" w:hAnsi="Arial"/>
          <w:sz w:val="10"/>
          <w:szCs w:val="10"/>
          <w:u w:val="single" w:color="auto"/>
          <w:color w:val="auto"/>
        </w:rPr>
        <w:t>Issuance of the Securities; Registration</w:t>
      </w:r>
      <w:r>
        <w:rPr>
          <w:rFonts w:ascii="Arial" w:cs="Arial" w:eastAsia="Arial" w:hAnsi="Arial"/>
          <w:sz w:val="10"/>
          <w:szCs w:val="10"/>
          <w:color w:val="auto"/>
        </w:rPr>
        <w:t>. At Closing, the Securities to be sold to the Purchaser (and the issuance of the Warrant Shares upon exercise of the Warrants) will be duly and validly authorized by all necessary corporate action and, when the Securities are paid for in accordance with the terms hereof (and when the Warrant Shares are issued upon exercise of the Warrants), will be validly issued and outstanding, fully paid and non-assessable shares of the capital stock of the Corporation. The Company has reserved from its duly authorized capital stock the maximum number of shares of Common Stock issuable pursuant to this Agreement and the Securities. The Company has prepared and filed the Registration Statement in conformity with the requirements of the Securities Act, which became effective on _________________ (the “</w:t>
      </w:r>
      <w:r>
        <w:rPr>
          <w:rFonts w:ascii="Arial" w:cs="Arial" w:eastAsia="Arial" w:hAnsi="Arial"/>
          <w:sz w:val="10"/>
          <w:szCs w:val="10"/>
          <w:u w:val="single" w:color="auto"/>
          <w:color w:val="auto"/>
        </w:rPr>
        <w:t>Effective Date</w:t>
      </w:r>
      <w:r>
        <w:rPr>
          <w:rFonts w:ascii="Arial" w:cs="Arial" w:eastAsia="Arial" w:hAnsi="Arial"/>
          <w:sz w:val="10"/>
          <w:szCs w:val="10"/>
          <w:color w:val="auto"/>
        </w:rPr>
        <w:t>”), including the Prospectus contained therein at the time of effectiveness (the “</w:t>
      </w:r>
      <w:r>
        <w:rPr>
          <w:rFonts w:ascii="Arial" w:cs="Arial" w:eastAsia="Arial" w:hAnsi="Arial"/>
          <w:sz w:val="10"/>
          <w:szCs w:val="10"/>
          <w:u w:val="single" w:color="auto"/>
          <w:color w:val="auto"/>
        </w:rPr>
        <w:t>Prospectus</w:t>
      </w:r>
      <w:r>
        <w:rPr>
          <w:rFonts w:ascii="Arial" w:cs="Arial" w:eastAsia="Arial" w:hAnsi="Arial"/>
          <w:sz w:val="10"/>
          <w:szCs w:val="10"/>
          <w:color w:val="auto"/>
        </w:rPr>
        <w:t>”), and such amendments and supplements thereto as may have been required to the Effective Date.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At the time the Registration Statement and any amendments thereto became effective,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meets all of the requirements for the use of Form S-1 under the Securities Act for the offering and sale of the Securities contemplated by this Agreement and the other Transaction Documents, and the Commission has not notified the Company of any objection to the use of the form of the Registration Statement pursuant to Rule 401(g)(1) under the Securities Act. The Registration Statement meets the requirements set forth in Rule 415(a)(1)(x) under the Securities Act. The Company and the Placement Agent have made or caused to be made all filings required to be made with FINRA in connection with the offer and sale of the Securities hereunder.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5" w:name="page186"/>
    <w:bookmarkEnd w:id="185"/>
    <w:p>
      <w:pPr>
        <w:jc w:val="both"/>
        <w:ind w:firstLine="424"/>
        <w:spacing w:after="0" w:line="290" w:lineRule="auto"/>
        <w:tabs>
          <w:tab w:leader="none" w:pos="596" w:val="left"/>
        </w:tabs>
        <w:numPr>
          <w:ilvl w:val="0"/>
          <w:numId w:val="91"/>
        </w:numPr>
        <w:rPr>
          <w:rFonts w:ascii="Arial" w:cs="Arial" w:eastAsia="Arial" w:hAnsi="Arial"/>
          <w:sz w:val="11"/>
          <w:szCs w:val="11"/>
          <w:color w:val="auto"/>
        </w:rPr>
      </w:pPr>
      <w:r>
        <w:rPr>
          <w:rFonts w:ascii="Arial" w:cs="Arial" w:eastAsia="Arial" w:hAnsi="Arial"/>
          <w:sz w:val="11"/>
          <w:szCs w:val="11"/>
          <w:u w:val="single" w:color="auto"/>
          <w:color w:val="auto"/>
        </w:rPr>
        <w:t>No Conflicts</w:t>
      </w:r>
      <w:r>
        <w:rPr>
          <w:rFonts w:ascii="Arial" w:cs="Arial" w:eastAsia="Arial" w:hAnsi="Arial"/>
          <w:sz w:val="11"/>
          <w:szCs w:val="11"/>
          <w:color w:val="auto"/>
        </w:rPr>
        <w:t>. The execution, delivery and performance of this Agreement by the Company, and the performance by the Company of its obligations contemplated herein and under the Transaction Documents do not and will not (i) violate any provision of the Charter Documents, (ii) conflict with, or constitute a default under any material agreement, mortgage, deed of trust, indenture, note, bond, license, lease agreement, instrument or obligation to which the Company is a party, or (iii) create or impose a lien, mortgage, security interest, charge or encumbrance of any nature on any property of the Company under any agreement or any commitment to which the Company is a party or by which the Company is bound or by which any of its respective properties or assets are bound, except, with respect to clauses (ii) and (iii) above, to the extent any such contravention would not result in a Material Adverse Effect.</w:t>
      </w:r>
    </w:p>
    <w:p>
      <w:pPr>
        <w:spacing w:after="0" w:line="109" w:lineRule="exact"/>
        <w:rPr>
          <w:rFonts w:ascii="Arial" w:cs="Arial" w:eastAsia="Arial" w:hAnsi="Arial"/>
          <w:sz w:val="11"/>
          <w:szCs w:val="11"/>
          <w:color w:val="auto"/>
        </w:rPr>
      </w:pPr>
    </w:p>
    <w:p>
      <w:pPr>
        <w:jc w:val="both"/>
        <w:ind w:firstLine="424"/>
        <w:spacing w:after="0" w:line="281" w:lineRule="auto"/>
        <w:tabs>
          <w:tab w:leader="none" w:pos="591" w:val="left"/>
        </w:tabs>
        <w:numPr>
          <w:ilvl w:val="0"/>
          <w:numId w:val="91"/>
        </w:numPr>
        <w:rPr>
          <w:rFonts w:ascii="Arial" w:cs="Arial" w:eastAsia="Arial" w:hAnsi="Arial"/>
          <w:sz w:val="11"/>
          <w:szCs w:val="11"/>
          <w:color w:val="auto"/>
        </w:rPr>
      </w:pPr>
      <w:r>
        <w:rPr>
          <w:rFonts w:ascii="Arial" w:cs="Arial" w:eastAsia="Arial" w:hAnsi="Arial"/>
          <w:sz w:val="11"/>
          <w:szCs w:val="11"/>
          <w:u w:val="single" w:color="auto"/>
          <w:color w:val="auto"/>
        </w:rPr>
        <w:t>Financial Statements</w:t>
      </w:r>
      <w:r>
        <w:rPr>
          <w:rFonts w:ascii="Arial" w:cs="Arial" w:eastAsia="Arial" w:hAnsi="Arial"/>
          <w:sz w:val="11"/>
          <w:szCs w:val="11"/>
          <w:color w:val="auto"/>
        </w:rPr>
        <w:t>. The Company’s audited financial statements for the fiscal years ended March 31, 2014 and 2013, on file with the Commission have been prepared in accordance with accounting principles generally accepted in the United States (“</w:t>
      </w:r>
      <w:r>
        <w:rPr>
          <w:rFonts w:ascii="Arial" w:cs="Arial" w:eastAsia="Arial" w:hAnsi="Arial"/>
          <w:sz w:val="11"/>
          <w:szCs w:val="11"/>
          <w:u w:val="single" w:color="auto"/>
          <w:color w:val="auto"/>
        </w:rPr>
        <w:t>GAAP</w:t>
      </w:r>
      <w:r>
        <w:rPr>
          <w:rFonts w:ascii="Arial" w:cs="Arial" w:eastAsia="Arial" w:hAnsi="Arial"/>
          <w:sz w:val="11"/>
          <w:szCs w:val="11"/>
          <w:color w:val="auto"/>
        </w:rPr>
        <w:t>”) applied on a consistent basis during the periods involved (except as may be otherwise indicated in such financial statements or the notes thereto). Since the date of the latest audited financial statements on file with the Commission, except as specifically disclosed in a subsequent SEC Report (as defined below)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w:t>
      </w:r>
    </w:p>
    <w:p>
      <w:pPr>
        <w:spacing w:after="0" w:line="116" w:lineRule="exact"/>
        <w:rPr>
          <w:rFonts w:ascii="Arial" w:cs="Arial" w:eastAsia="Arial" w:hAnsi="Arial"/>
          <w:sz w:val="11"/>
          <w:szCs w:val="11"/>
          <w:color w:val="auto"/>
        </w:rPr>
      </w:pPr>
    </w:p>
    <w:p>
      <w:pPr>
        <w:jc w:val="both"/>
        <w:ind w:firstLine="424"/>
        <w:spacing w:after="0" w:line="263" w:lineRule="auto"/>
        <w:tabs>
          <w:tab w:leader="none" w:pos="602"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Title to Assets</w:t>
      </w:r>
      <w:r>
        <w:rPr>
          <w:rFonts w:ascii="Arial" w:cs="Arial" w:eastAsia="Arial" w:hAnsi="Arial"/>
          <w:sz w:val="12"/>
          <w:szCs w:val="12"/>
          <w:color w:val="auto"/>
        </w:rPr>
        <w:t>. The Company has good and marketable title to all of its owned real and personal property whether tangible or intangible (collectively, the “</w:t>
      </w:r>
      <w:r>
        <w:rPr>
          <w:rFonts w:ascii="Arial" w:cs="Arial" w:eastAsia="Arial" w:hAnsi="Arial"/>
          <w:sz w:val="12"/>
          <w:szCs w:val="12"/>
          <w:u w:val="single" w:color="auto"/>
          <w:color w:val="auto"/>
        </w:rPr>
        <w:t>Assets</w:t>
      </w:r>
      <w:r>
        <w:rPr>
          <w:rFonts w:ascii="Arial" w:cs="Arial" w:eastAsia="Arial" w:hAnsi="Arial"/>
          <w:sz w:val="12"/>
          <w:szCs w:val="12"/>
          <w:color w:val="auto"/>
        </w:rPr>
        <w:t>”), free and clear of any mortgages, pledges, charges, liens, security interests, claim, community property interest, condition, equitable interest or other encumbrances, license, option, right of first refusal or restriction of any kind, including any restriction on use, voting, transfer, receipt of income or exercise of any other attribute of ownership (“</w:t>
      </w:r>
      <w:r>
        <w:rPr>
          <w:rFonts w:ascii="Arial" w:cs="Arial" w:eastAsia="Arial" w:hAnsi="Arial"/>
          <w:sz w:val="12"/>
          <w:szCs w:val="12"/>
          <w:u w:val="single" w:color="auto"/>
          <w:color w:val="auto"/>
        </w:rPr>
        <w:t>Liens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firstLine="424"/>
        <w:spacing w:after="0" w:line="290" w:lineRule="auto"/>
        <w:tabs>
          <w:tab w:leader="none" w:pos="611" w:val="left"/>
        </w:tabs>
        <w:numPr>
          <w:ilvl w:val="0"/>
          <w:numId w:val="91"/>
        </w:numPr>
        <w:rPr>
          <w:rFonts w:ascii="Arial" w:cs="Arial" w:eastAsia="Arial" w:hAnsi="Arial"/>
          <w:sz w:val="11"/>
          <w:szCs w:val="11"/>
          <w:color w:val="auto"/>
        </w:rPr>
      </w:pPr>
      <w:r>
        <w:rPr>
          <w:rFonts w:ascii="Arial" w:cs="Arial" w:eastAsia="Arial" w:hAnsi="Arial"/>
          <w:sz w:val="11"/>
          <w:szCs w:val="11"/>
          <w:u w:val="single" w:color="auto"/>
          <w:color w:val="auto"/>
        </w:rPr>
        <w:t>Taxes</w:t>
      </w:r>
      <w:r>
        <w:rPr>
          <w:rFonts w:ascii="Arial" w:cs="Arial" w:eastAsia="Arial" w:hAnsi="Arial"/>
          <w:sz w:val="11"/>
          <w:szCs w:val="11"/>
          <w:color w:val="auto"/>
        </w:rPr>
        <w:t>. The Company has accurately prepared and filed all material foreign, federal, state income and all other tax returns, reports and declarations required by law to be paid or filed by it by any jurisdiction to which the Company is subject. The Company has no knowledge of any assessments, adjustments or contingent tax liability (whether federal or state) of any nature whatsoever, whether pending or threatened against the Company for any period, nor of any basis for any such assessment, adjustment or contingency. The Company has complied in all material respects with all applicable legal requirements relating to the payment and withholding of taxes and, within the time and in the manner prescribed by law, has withheld from wages, fees and other payments, and paid over to the proper governments or regulatory authorities, all amounts required.</w:t>
      </w:r>
    </w:p>
    <w:p>
      <w:pPr>
        <w:spacing w:after="0" w:line="109" w:lineRule="exact"/>
        <w:rPr>
          <w:rFonts w:ascii="Arial" w:cs="Arial" w:eastAsia="Arial" w:hAnsi="Arial"/>
          <w:sz w:val="11"/>
          <w:szCs w:val="11"/>
          <w:color w:val="auto"/>
        </w:rPr>
      </w:pPr>
    </w:p>
    <w:p>
      <w:pPr>
        <w:jc w:val="both"/>
        <w:ind w:firstLine="424"/>
        <w:spacing w:after="0" w:line="263" w:lineRule="auto"/>
        <w:tabs>
          <w:tab w:leader="none" w:pos="576"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Filings, Consents and Approvals</w:t>
      </w:r>
      <w:r>
        <w:rPr>
          <w:rFonts w:ascii="Arial" w:cs="Arial" w:eastAsia="Arial" w:hAnsi="Arial"/>
          <w:sz w:val="12"/>
          <w:szCs w:val="12"/>
          <w:color w:val="auto"/>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Arial" w:cs="Arial" w:eastAsia="Arial" w:hAnsi="Arial"/>
          <w:sz w:val="12"/>
          <w:szCs w:val="12"/>
          <w:u w:val="single" w:color="auto"/>
          <w:color w:val="auto"/>
        </w:rPr>
        <w:t>Section 4.1</w:t>
      </w:r>
      <w:r>
        <w:rPr>
          <w:rFonts w:ascii="Arial" w:cs="Arial" w:eastAsia="Arial" w:hAnsi="Arial"/>
          <w:sz w:val="12"/>
          <w:szCs w:val="12"/>
          <w:color w:val="auto"/>
        </w:rPr>
        <w:t xml:space="preserve"> of this Agreement or (ii) such filings as are required to be made under applicable state securities laws.</w:t>
      </w:r>
    </w:p>
    <w:p>
      <w:pPr>
        <w:spacing w:after="0" w:line="140" w:lineRule="exact"/>
        <w:rPr>
          <w:rFonts w:ascii="Arial" w:cs="Arial" w:eastAsia="Arial" w:hAnsi="Arial"/>
          <w:sz w:val="12"/>
          <w:szCs w:val="12"/>
          <w:color w:val="auto"/>
        </w:rPr>
      </w:pPr>
    </w:p>
    <w:p>
      <w:pPr>
        <w:jc w:val="both"/>
        <w:ind w:firstLine="424"/>
        <w:spacing w:after="0" w:line="257" w:lineRule="auto"/>
        <w:tabs>
          <w:tab w:leader="none" w:pos="576"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SEC Reports</w:t>
      </w:r>
      <w:r>
        <w:rPr>
          <w:rFonts w:ascii="Arial" w:cs="Arial" w:eastAsia="Arial" w:hAnsi="Arial"/>
          <w:sz w:val="12"/>
          <w:szCs w:val="12"/>
          <w:color w:val="auto"/>
        </w:rPr>
        <w:t>. The Company has filed with the Commission all reports, schedules, forms, statements and other documents required to be filed by the Company under the Securities Act and the Exchange Act, including pursuant to Section 13(a) or 15(d) thereof, for the last two (2) fiscal years (the foregoing materials, including the exhibits thereto and documents incorporated by reference therein, together with the Prospectus, being collectively referred to herein as the “</w:t>
      </w:r>
      <w:r>
        <w:rPr>
          <w:rFonts w:ascii="Arial" w:cs="Arial" w:eastAsia="Arial" w:hAnsi="Arial"/>
          <w:sz w:val="12"/>
          <w:szCs w:val="12"/>
          <w:u w:val="single" w:color="auto"/>
          <w:color w:val="auto"/>
        </w:rPr>
        <w:t>SEC Reports</w:t>
      </w:r>
      <w:r>
        <w:rPr>
          <w:rFonts w:ascii="Arial" w:cs="Arial" w:eastAsia="Arial" w:hAnsi="Arial"/>
          <w:sz w:val="12"/>
          <w:szCs w:val="12"/>
          <w:color w:val="auto"/>
        </w:rPr>
        <w:t>”) on a timely basis.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6" w:name="page187"/>
    <w:bookmarkEnd w:id="186"/>
    <w:p>
      <w:pPr>
        <w:jc w:val="both"/>
        <w:ind w:firstLine="424"/>
        <w:spacing w:after="0" w:line="279" w:lineRule="auto"/>
        <w:tabs>
          <w:tab w:leader="none" w:pos="602"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Material Changes; Undisclosed Events, Liabilities or Developments</w:t>
      </w:r>
      <w:r>
        <w:rPr>
          <w:rFonts w:ascii="Arial" w:cs="Arial" w:eastAsia="Arial" w:hAnsi="Arial"/>
          <w:sz w:val="11"/>
          <w:szCs w:val="11"/>
          <w:color w:val="auto"/>
        </w:rPr>
        <w:t>. Since the date of the latest audited financial statements included within the SEC Reports, except as specifically disclosed in a subsequent SEC Report filed prior to the Effective Date,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Securities of its capital stock and (v) the Company has not issued any equity securities to any officer, director or Affiliate, except pursuant to existing Company stock option plans. Except for confidential treatment requests described in the SEC Reports,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 prospects, properties, operations, assets or financial condition that would be required to be disclosed by the Company under applicable securities laws at the time this representation is made or deemed made that has not been publicly disclosed on or before the date that this representation is made.</w:t>
      </w:r>
    </w:p>
    <w:p>
      <w:pPr>
        <w:spacing w:after="0" w:line="117" w:lineRule="exact"/>
        <w:rPr>
          <w:rFonts w:ascii="Arial" w:cs="Arial" w:eastAsia="Arial" w:hAnsi="Arial"/>
          <w:sz w:val="11"/>
          <w:szCs w:val="11"/>
          <w:color w:val="auto"/>
        </w:rPr>
      </w:pPr>
    </w:p>
    <w:p>
      <w:pPr>
        <w:jc w:val="both"/>
        <w:ind w:firstLine="424"/>
        <w:spacing w:after="0" w:line="283" w:lineRule="auto"/>
        <w:tabs>
          <w:tab w:leader="none" w:pos="576"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Litigation</w:t>
      </w:r>
      <w:r>
        <w:rPr>
          <w:rFonts w:ascii="Arial" w:cs="Arial" w:eastAsia="Arial" w:hAnsi="Arial"/>
          <w:sz w:val="11"/>
          <w:szCs w:val="11"/>
          <w:color w:val="auto"/>
        </w:rPr>
        <w:t>. There is no action, suit, inquiry, notice of violation, proceeding or investigation pending or, to the knowledge of the Company, threatened against or affecting the Company, its Subsidiaries, or its properties before or by any court, arbitrator, governmental or administrative agency or regulatory authority (federal, state, county, local or foreign, including FINRA) (collectively, an “</w:t>
      </w:r>
      <w:r>
        <w:rPr>
          <w:rFonts w:ascii="Arial" w:cs="Arial" w:eastAsia="Arial" w:hAnsi="Arial"/>
          <w:sz w:val="11"/>
          <w:szCs w:val="11"/>
          <w:u w:val="single" w:color="auto"/>
          <w:color w:val="auto"/>
        </w:rPr>
        <w:t>Action</w:t>
      </w:r>
      <w:r>
        <w:rPr>
          <w:rFonts w:ascii="Arial" w:cs="Arial" w:eastAsia="Arial" w:hAnsi="Arial"/>
          <w:sz w:val="11"/>
          <w:szCs w:val="11"/>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None of the Company and its directors and officers, in their capacities as such,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or FINRA involving the Company or any current or former director or officer of the Company. The Commission has not issued any stop order or other order suspending the effectiveness of any registration statement filed by the Company under the Exchange Act or the Securities Act.</w:t>
      </w:r>
    </w:p>
    <w:p>
      <w:pPr>
        <w:spacing w:after="0" w:line="113" w:lineRule="exact"/>
        <w:rPr>
          <w:rFonts w:ascii="Arial" w:cs="Arial" w:eastAsia="Arial" w:hAnsi="Arial"/>
          <w:sz w:val="11"/>
          <w:szCs w:val="11"/>
          <w:color w:val="auto"/>
        </w:rPr>
      </w:pPr>
    </w:p>
    <w:p>
      <w:pPr>
        <w:jc w:val="both"/>
        <w:ind w:firstLine="424"/>
        <w:spacing w:after="0" w:line="281" w:lineRule="auto"/>
        <w:tabs>
          <w:tab w:leader="none" w:pos="636"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Disclosure</w:t>
      </w:r>
      <w:r>
        <w:rPr>
          <w:rFonts w:ascii="Arial" w:cs="Arial" w:eastAsia="Arial" w:hAnsi="Arial"/>
          <w:sz w:val="11"/>
          <w:szCs w:val="11"/>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The Company understands and confirms that the Purchasers will rely on the foregoing representation in effecting transactions in securities of the Company. All disclosures furnished by or on behalf of the Company to the Purchasers regarding the Company, its business and the transactions contemplated hereby are true and correct and did not and do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34" w:lineRule="exact"/>
        <w:rPr>
          <w:rFonts w:ascii="Arial" w:cs="Arial" w:eastAsia="Arial" w:hAnsi="Arial"/>
          <w:sz w:val="11"/>
          <w:szCs w:val="11"/>
          <w:color w:val="auto"/>
        </w:rPr>
      </w:pPr>
    </w:p>
    <w:p>
      <w:pPr>
        <w:jc w:val="both"/>
        <w:ind w:firstLine="424"/>
        <w:spacing w:after="0" w:line="263" w:lineRule="auto"/>
        <w:tabs>
          <w:tab w:leader="none" w:pos="602"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Regulatory Permits</w:t>
      </w:r>
      <w:r>
        <w:rPr>
          <w:rFonts w:ascii="Arial" w:cs="Arial" w:eastAsia="Arial" w:hAnsi="Arial"/>
          <w:sz w:val="12"/>
          <w:szCs w:val="12"/>
          <w:color w:val="auto"/>
        </w:rPr>
        <w:t>. Except as set forth in the SEC Reports,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2"/>
          <w:szCs w:val="12"/>
          <w:u w:val="single" w:color="auto"/>
          <w:color w:val="auto"/>
        </w:rPr>
        <w:t>Material Permits</w:t>
      </w:r>
      <w:r>
        <w:rPr>
          <w:rFonts w:ascii="Arial" w:cs="Arial" w:eastAsia="Arial" w:hAnsi="Arial"/>
          <w:sz w:val="12"/>
          <w:szCs w:val="12"/>
          <w:color w:val="auto"/>
        </w:rPr>
        <w:t>”), and neither the Company nor any Subsidiary has received any notice of proceedings relating to the revocation or modification of any Material Permit.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7" w:name="page188"/>
    <w:bookmarkEnd w:id="187"/>
    <w:p>
      <w:pPr>
        <w:jc w:val="both"/>
        <w:ind w:firstLine="424"/>
        <w:spacing w:after="0" w:line="257" w:lineRule="auto"/>
        <w:tabs>
          <w:tab w:leader="none" w:pos="602" w:val="left"/>
        </w:tabs>
        <w:numPr>
          <w:ilvl w:val="0"/>
          <w:numId w:val="93"/>
        </w:numPr>
        <w:rPr>
          <w:rFonts w:ascii="Arial" w:cs="Arial" w:eastAsia="Arial" w:hAnsi="Arial"/>
          <w:sz w:val="12"/>
          <w:szCs w:val="12"/>
          <w:color w:val="auto"/>
        </w:rPr>
      </w:pPr>
      <w:r>
        <w:rPr>
          <w:rFonts w:ascii="Arial" w:cs="Arial" w:eastAsia="Arial" w:hAnsi="Arial"/>
          <w:sz w:val="12"/>
          <w:szCs w:val="12"/>
          <w:u w:val="single" w:color="auto"/>
          <w:color w:val="auto"/>
        </w:rPr>
        <w:t>Title to Assets</w:t>
      </w:r>
      <w:r>
        <w:rPr>
          <w:rFonts w:ascii="Arial" w:cs="Arial" w:eastAsia="Arial" w:hAnsi="Arial"/>
          <w:sz w:val="12"/>
          <w:szCs w:val="12"/>
          <w:color w:val="auto"/>
        </w:rPr>
        <w:t>. The Company and its Subsidiaries have good and marketable title in fee simple to all real property owned by them and good and marketable title to all personal property owned by them that is material to the business of the Company and its Subsidiaries, in each case free and clear of all Liens,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materially interfere with the use made and proposed to be made of such property and facilities by the Company and its Subsidiary.</w:t>
      </w:r>
    </w:p>
    <w:p>
      <w:pPr>
        <w:spacing w:after="0" w:line="143" w:lineRule="exact"/>
        <w:rPr>
          <w:rFonts w:ascii="Arial" w:cs="Arial" w:eastAsia="Arial" w:hAnsi="Arial"/>
          <w:sz w:val="12"/>
          <w:szCs w:val="12"/>
          <w:color w:val="auto"/>
        </w:rPr>
      </w:pPr>
    </w:p>
    <w:p>
      <w:pPr>
        <w:jc w:val="both"/>
        <w:ind w:firstLine="454"/>
        <w:spacing w:after="0" w:line="263" w:lineRule="auto"/>
        <w:tabs>
          <w:tab w:leader="none" w:pos="632" w:val="left"/>
        </w:tabs>
        <w:numPr>
          <w:ilvl w:val="1"/>
          <w:numId w:val="93"/>
        </w:numPr>
        <w:rPr>
          <w:rFonts w:ascii="Arial" w:cs="Arial" w:eastAsia="Arial" w:hAnsi="Arial"/>
          <w:sz w:val="12"/>
          <w:szCs w:val="12"/>
          <w:color w:val="auto"/>
        </w:rPr>
      </w:pPr>
      <w:r>
        <w:rPr>
          <w:rFonts w:ascii="Arial" w:cs="Arial" w:eastAsia="Arial" w:hAnsi="Arial"/>
          <w:sz w:val="12"/>
          <w:szCs w:val="12"/>
          <w:u w:val="single" w:color="auto"/>
          <w:color w:val="auto"/>
        </w:rPr>
        <w:t>No Integrated Offering</w:t>
      </w:r>
      <w:r>
        <w:rPr>
          <w:rFonts w:ascii="Arial" w:cs="Arial" w:eastAsia="Arial" w:hAnsi="Arial"/>
          <w:sz w:val="12"/>
          <w:szCs w:val="12"/>
          <w:color w:val="auto"/>
        </w:rPr>
        <w:t xml:space="preserve">. Assuming the accuracy of each Purchaser’s representations and warranties set forth in </w:t>
      </w:r>
      <w:r>
        <w:rPr>
          <w:rFonts w:ascii="Arial" w:cs="Arial" w:eastAsia="Arial" w:hAnsi="Arial"/>
          <w:sz w:val="12"/>
          <w:szCs w:val="12"/>
          <w:u w:val="single" w:color="auto"/>
          <w:color w:val="auto"/>
        </w:rPr>
        <w:t>Section 3.2</w:t>
      </w:r>
      <w:r>
        <w:rPr>
          <w:rFonts w:ascii="Arial" w:cs="Arial" w:eastAsia="Arial" w:hAnsi="Arial"/>
          <w:sz w:val="12"/>
          <w:szCs w:val="12"/>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23" w:lineRule="exact"/>
        <w:rPr>
          <w:sz w:val="20"/>
          <w:szCs w:val="20"/>
          <w:color w:val="auto"/>
        </w:rPr>
      </w:pPr>
    </w:p>
    <w:p>
      <w:pPr>
        <w:jc w:val="both"/>
        <w:ind w:firstLine="424"/>
        <w:spacing w:after="0" w:line="257" w:lineRule="auto"/>
        <w:tabs>
          <w:tab w:leader="none" w:pos="602"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Patents and Trademarks</w:t>
      </w:r>
      <w:r>
        <w:rPr>
          <w:rFonts w:ascii="Arial" w:cs="Arial" w:eastAsia="Arial" w:hAnsi="Arial"/>
          <w:sz w:val="12"/>
          <w:szCs w:val="12"/>
          <w:color w:val="auto"/>
        </w:rPr>
        <w:t>. To the knowledge of the Company, the Company owns or has the right to use all patents, patent applications, trademarks, trademark applications, service marks, trade names, trade secrets, inventions, copyrights, licenses and other intellectual property rights and similar rights necessary or material for use in connection with its business (collectively, the “</w:t>
      </w:r>
      <w:r>
        <w:rPr>
          <w:rFonts w:ascii="Arial" w:cs="Arial" w:eastAsia="Arial" w:hAnsi="Arial"/>
          <w:sz w:val="12"/>
          <w:szCs w:val="12"/>
          <w:u w:val="single" w:color="auto"/>
          <w:color w:val="auto"/>
        </w:rPr>
        <w:t>Intellectual Property Rights</w:t>
      </w:r>
      <w:r>
        <w:rPr>
          <w:rFonts w:ascii="Arial" w:cs="Arial" w:eastAsia="Arial" w:hAnsi="Arial"/>
          <w:sz w:val="12"/>
          <w:szCs w:val="12"/>
          <w:color w:val="auto"/>
        </w:rPr>
        <w:t>”). The Company (i) has not received a notice (written or otherwise) that any of the Intellectual Property Rights used by the Company violates or infringes upon the rights of any Person and (ii) is unaware of any infringement by a third party of any of the Company’s Intellectual Property Rights. To the knowledge of the Company, all of its Intellectual Property Rights are enforceable. The Company and its Subsidiary have taken reasonable security measures to protect the secrecy, confidentiality and value of all of their intellectual property.</w:t>
      </w:r>
    </w:p>
    <w:p>
      <w:pPr>
        <w:spacing w:after="0" w:line="143" w:lineRule="exact"/>
        <w:rPr>
          <w:rFonts w:ascii="Arial" w:cs="Arial" w:eastAsia="Arial" w:hAnsi="Arial"/>
          <w:sz w:val="12"/>
          <w:szCs w:val="12"/>
          <w:color w:val="auto"/>
        </w:rPr>
      </w:pPr>
    </w:p>
    <w:p>
      <w:pPr>
        <w:jc w:val="both"/>
        <w:ind w:firstLine="424"/>
        <w:spacing w:after="0" w:line="298" w:lineRule="auto"/>
        <w:tabs>
          <w:tab w:leader="none" w:pos="582" w:val="left"/>
        </w:tabs>
        <w:numPr>
          <w:ilvl w:val="0"/>
          <w:numId w:val="94"/>
        </w:numPr>
        <w:rPr>
          <w:rFonts w:ascii="Arial" w:cs="Arial" w:eastAsia="Arial" w:hAnsi="Arial"/>
          <w:sz w:val="11"/>
          <w:szCs w:val="11"/>
          <w:color w:val="auto"/>
        </w:rPr>
      </w:pPr>
      <w:r>
        <w:rPr>
          <w:rFonts w:ascii="Arial" w:cs="Arial" w:eastAsia="Arial" w:hAnsi="Arial"/>
          <w:sz w:val="11"/>
          <w:szCs w:val="11"/>
          <w:u w:val="single" w:color="auto"/>
          <w:color w:val="auto"/>
        </w:rPr>
        <w:t>Insurance</w:t>
      </w:r>
      <w:r>
        <w:rPr>
          <w:rFonts w:ascii="Arial" w:cs="Arial" w:eastAsia="Arial" w:hAnsi="Arial"/>
          <w:sz w:val="11"/>
          <w:szCs w:val="11"/>
          <w:color w:val="auto"/>
        </w:rPr>
        <w:t>. The Company and its Subsidiary are insured by insurers of recognized financial responsibility against such losses and risks and in such amounts as are prudent and customary in the businesses in which the Company and its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23" w:lineRule="exact"/>
        <w:rPr>
          <w:rFonts w:ascii="Arial" w:cs="Arial" w:eastAsia="Arial" w:hAnsi="Arial"/>
          <w:sz w:val="11"/>
          <w:szCs w:val="11"/>
          <w:color w:val="auto"/>
        </w:rPr>
      </w:pPr>
    </w:p>
    <w:p>
      <w:pPr>
        <w:jc w:val="both"/>
        <w:ind w:firstLine="424"/>
        <w:spacing w:after="0" w:line="257" w:lineRule="auto"/>
        <w:tabs>
          <w:tab w:leader="none" w:pos="589"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Transactions With Affiliates and Employees</w:t>
      </w:r>
      <w:r>
        <w:rPr>
          <w:rFonts w:ascii="Arial" w:cs="Arial" w:eastAsia="Arial" w:hAnsi="Arial"/>
          <w:sz w:val="12"/>
          <w:szCs w:val="12"/>
          <w:color w:val="auto"/>
        </w:rPr>
        <w:t>. Except as set forth in the SEC Reports,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43" w:lineRule="exact"/>
        <w:rPr>
          <w:rFonts w:ascii="Arial" w:cs="Arial" w:eastAsia="Arial" w:hAnsi="Arial"/>
          <w:sz w:val="12"/>
          <w:szCs w:val="12"/>
          <w:color w:val="auto"/>
        </w:rPr>
      </w:pPr>
    </w:p>
    <w:p>
      <w:pPr>
        <w:ind w:left="560" w:hanging="136"/>
        <w:spacing w:after="0"/>
        <w:tabs>
          <w:tab w:leader="none" w:pos="560"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Sarbanes-Oxley</w:t>
      </w:r>
      <w:r>
        <w:rPr>
          <w:rFonts w:ascii="Arial" w:cs="Arial" w:eastAsia="Arial" w:hAnsi="Arial"/>
          <w:sz w:val="12"/>
          <w:szCs w:val="12"/>
          <w:color w:val="auto"/>
        </w:rPr>
        <w:t>. The Company is in material compliance with all provisions of the Sarbanes-Oxley Act of 2002 that are applicable to it as of the Closing Date.</w:t>
      </w:r>
    </w:p>
    <w:p>
      <w:pPr>
        <w:spacing w:after="0" w:line="168" w:lineRule="exact"/>
        <w:rPr>
          <w:rFonts w:ascii="Arial" w:cs="Arial" w:eastAsia="Arial" w:hAnsi="Arial"/>
          <w:sz w:val="12"/>
          <w:szCs w:val="12"/>
          <w:color w:val="auto"/>
        </w:rPr>
      </w:pPr>
    </w:p>
    <w:p>
      <w:pPr>
        <w:jc w:val="both"/>
        <w:ind w:firstLine="424"/>
        <w:spacing w:after="0" w:line="263" w:lineRule="auto"/>
        <w:tabs>
          <w:tab w:leader="none" w:pos="602"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Certain Fees</w:t>
      </w:r>
      <w:r>
        <w:rPr>
          <w:rFonts w:ascii="Arial" w:cs="Arial" w:eastAsia="Arial" w:hAnsi="Arial"/>
          <w:sz w:val="12"/>
          <w:szCs w:val="12"/>
          <w:color w:val="auto"/>
        </w:rPr>
        <w:t>. Except with respect to fees payable to the Placement Agent, no brokerage or finder’s fees or commissions are or will be payable by the Company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8" w:name="page189"/>
    <w:bookmarkEnd w:id="188"/>
    <w:p>
      <w:pPr>
        <w:ind w:left="600" w:hanging="176"/>
        <w:spacing w:after="0"/>
        <w:tabs>
          <w:tab w:leader="none" w:pos="600"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Investment Company</w:t>
      </w:r>
      <w:r>
        <w:rPr>
          <w:rFonts w:ascii="Arial" w:cs="Arial" w:eastAsia="Arial" w:hAnsi="Arial"/>
          <w:sz w:val="11"/>
          <w:szCs w:val="11"/>
          <w:color w:val="auto"/>
        </w:rPr>
        <w:t>. The Company is not, and immediately after receipt of payment for the Securities, will not be an “investment company” within the meaning of the Investment Company Act of 1940, as amended.</w:t>
      </w:r>
    </w:p>
    <w:p>
      <w:pPr>
        <w:spacing w:after="0" w:line="179" w:lineRule="exact"/>
        <w:rPr>
          <w:rFonts w:ascii="Arial" w:cs="Arial" w:eastAsia="Arial" w:hAnsi="Arial"/>
          <w:sz w:val="11"/>
          <w:szCs w:val="11"/>
          <w:color w:val="auto"/>
        </w:rPr>
      </w:pPr>
    </w:p>
    <w:p>
      <w:pPr>
        <w:ind w:left="620" w:hanging="196"/>
        <w:spacing w:after="0"/>
        <w:tabs>
          <w:tab w:leader="none" w:pos="620"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Registration Rights</w:t>
      </w:r>
      <w:r>
        <w:rPr>
          <w:rFonts w:ascii="Arial" w:cs="Arial" w:eastAsia="Arial" w:hAnsi="Arial"/>
          <w:sz w:val="11"/>
          <w:szCs w:val="11"/>
          <w:color w:val="auto"/>
        </w:rPr>
        <w:t>. No Person has any right to cause the Company to effect the registration under the Securities Act of any securities of the Company as a result of the transactions contemplated by this Agreement.</w:t>
      </w:r>
    </w:p>
    <w:p>
      <w:pPr>
        <w:spacing w:after="0" w:line="179" w:lineRule="exact"/>
        <w:rPr>
          <w:rFonts w:ascii="Arial" w:cs="Arial" w:eastAsia="Arial" w:hAnsi="Arial"/>
          <w:sz w:val="11"/>
          <w:szCs w:val="11"/>
          <w:color w:val="auto"/>
        </w:rPr>
      </w:pPr>
    </w:p>
    <w:p>
      <w:pPr>
        <w:jc w:val="both"/>
        <w:ind w:firstLine="424"/>
        <w:spacing w:after="0" w:line="290" w:lineRule="auto"/>
        <w:tabs>
          <w:tab w:leader="none" w:pos="602"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Listing and Maintenance Requirements</w:t>
      </w:r>
      <w:r>
        <w:rPr>
          <w:rFonts w:ascii="Arial" w:cs="Arial" w:eastAsia="Arial" w:hAnsi="Arial"/>
          <w:sz w:val="11"/>
          <w:szCs w:val="11"/>
          <w:color w:val="auto"/>
        </w:rPr>
        <w:t>. The Common Stock is registered pursuant to Section 12(b) or 12(g) of the Exchange Act, and the Company has taken no action designed to, or that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Effective Date, received notice from any Trading Market on which the Common Stock is or has been listed or quoted to the effect that the Company is not in compliance with the listing or maintenance requirements of such Trading Market. The Company is in compliance with all such listing and maintenance requirements.</w:t>
      </w:r>
    </w:p>
    <w:p>
      <w:pPr>
        <w:spacing w:after="0" w:line="127" w:lineRule="exact"/>
        <w:rPr>
          <w:rFonts w:ascii="Arial" w:cs="Arial" w:eastAsia="Arial" w:hAnsi="Arial"/>
          <w:sz w:val="11"/>
          <w:szCs w:val="11"/>
          <w:color w:val="auto"/>
        </w:rPr>
      </w:pPr>
    </w:p>
    <w:p>
      <w:pPr>
        <w:jc w:val="both"/>
        <w:ind w:firstLine="424"/>
        <w:spacing w:after="0" w:line="259" w:lineRule="auto"/>
        <w:tabs>
          <w:tab w:leader="none" w:pos="602"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Application of Takeover Protections</w:t>
      </w:r>
      <w:r>
        <w:rPr>
          <w:rFonts w:ascii="Arial" w:cs="Arial" w:eastAsia="Arial" w:hAnsi="Arial"/>
          <w:sz w:val="12"/>
          <w:szCs w:val="12"/>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(including issuance of the Warrant Shares upon exercise of the Warrants) and the Purchaser’s ownership of the Securities.</w:t>
      </w:r>
    </w:p>
    <w:p>
      <w:pPr>
        <w:spacing w:after="0" w:line="142" w:lineRule="exact"/>
        <w:rPr>
          <w:rFonts w:ascii="Arial" w:cs="Arial" w:eastAsia="Arial" w:hAnsi="Arial"/>
          <w:sz w:val="12"/>
          <w:szCs w:val="12"/>
          <w:color w:val="auto"/>
        </w:rPr>
      </w:pPr>
    </w:p>
    <w:p>
      <w:pPr>
        <w:jc w:val="both"/>
        <w:ind w:right="20" w:firstLine="424"/>
        <w:spacing w:after="0" w:line="259" w:lineRule="auto"/>
        <w:tabs>
          <w:tab w:leader="none" w:pos="596"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Foreign Corrupt Practices</w:t>
      </w:r>
      <w:r>
        <w:rPr>
          <w:rFonts w:ascii="Arial" w:cs="Arial" w:eastAsia="Arial" w:hAnsi="Arial"/>
          <w:sz w:val="12"/>
          <w:szCs w:val="12"/>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143" w:lineRule="exact"/>
        <w:rPr>
          <w:sz w:val="20"/>
          <w:szCs w:val="20"/>
          <w:color w:val="auto"/>
        </w:rPr>
      </w:pPr>
    </w:p>
    <w:p>
      <w:pPr>
        <w:ind w:left="640" w:hanging="216"/>
        <w:spacing w:after="0"/>
        <w:tabs>
          <w:tab w:leader="none" w:pos="64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Accountants</w:t>
      </w:r>
      <w:r>
        <w:rPr>
          <w:rFonts w:ascii="Arial" w:cs="Arial" w:eastAsia="Arial" w:hAnsi="Arial"/>
          <w:sz w:val="12"/>
          <w:szCs w:val="12"/>
          <w:color w:val="auto"/>
        </w:rPr>
        <w:t>. The Company’s independent registered public accounting firm is identified in the Prospectus and such accounting firm is a registered public accounting firm as required by the Exchange Act.</w:t>
      </w:r>
    </w:p>
    <w:p>
      <w:pPr>
        <w:spacing w:after="0" w:line="168" w:lineRule="exact"/>
        <w:rPr>
          <w:rFonts w:ascii="Arial" w:cs="Arial" w:eastAsia="Arial" w:hAnsi="Arial"/>
          <w:sz w:val="12"/>
          <w:szCs w:val="12"/>
          <w:color w:val="auto"/>
        </w:rPr>
      </w:pPr>
    </w:p>
    <w:p>
      <w:pPr>
        <w:jc w:val="both"/>
        <w:ind w:firstLine="424"/>
        <w:spacing w:after="0" w:line="257" w:lineRule="auto"/>
        <w:tabs>
          <w:tab w:leader="none" w:pos="671"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Acknowledgment Regarding Purchaser’s Purchase of Securities</w:t>
      </w:r>
      <w:r>
        <w:rPr>
          <w:rFonts w:ascii="Arial" w:cs="Arial" w:eastAsia="Arial" w:hAnsi="Arial"/>
          <w:sz w:val="12"/>
          <w:szCs w:val="12"/>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43" w:lineRule="exact"/>
        <w:rPr>
          <w:rFonts w:ascii="Arial" w:cs="Arial" w:eastAsia="Arial" w:hAnsi="Arial"/>
          <w:sz w:val="12"/>
          <w:szCs w:val="12"/>
          <w:color w:val="auto"/>
        </w:rPr>
      </w:pPr>
    </w:p>
    <w:p>
      <w:pPr>
        <w:jc w:val="both"/>
        <w:ind w:firstLine="424"/>
        <w:spacing w:after="0" w:line="280" w:lineRule="auto"/>
        <w:tabs>
          <w:tab w:leader="none" w:pos="658" w:val="left"/>
        </w:tabs>
        <w:numPr>
          <w:ilvl w:val="0"/>
          <w:numId w:val="96"/>
        </w:numPr>
        <w:rPr>
          <w:rFonts w:ascii="Arial" w:cs="Arial" w:eastAsia="Arial" w:hAnsi="Arial"/>
          <w:sz w:val="11"/>
          <w:szCs w:val="11"/>
          <w:color w:val="auto"/>
        </w:rPr>
      </w:pPr>
      <w:r>
        <w:rPr>
          <w:rFonts w:ascii="Arial" w:cs="Arial" w:eastAsia="Arial" w:hAnsi="Arial"/>
          <w:sz w:val="11"/>
          <w:szCs w:val="11"/>
          <w:u w:val="single" w:color="auto"/>
          <w:color w:val="auto"/>
        </w:rPr>
        <w:t>Acknowledgement Regarding Purchaser’s Trading Activity</w:t>
      </w:r>
      <w:r>
        <w:rPr>
          <w:rFonts w:ascii="Arial" w:cs="Arial" w:eastAsia="Arial" w:hAnsi="Arial"/>
          <w:sz w:val="11"/>
          <w:szCs w:val="11"/>
          <w:color w:val="auto"/>
        </w:rPr>
        <w:t>. Anything in this Agreement or elsewhere herein to the contrary notwithstanding Regulation M adopted by the SEC,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to which the Purchaser is a party, directly or indirectly, presently may have a “short” position in the Common Stock, and (iv) the Purchaser shall not be deemed to have any affiliation with or control over any arm’s length counter-party in any “derivative” transaction. The Company further understands and acknowledges that (y) the Purchaser may engage in hedging activities at various times during the period that the Securities are outstanding, including, without limitation, during the periods that the value of the Common Stock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9" w:name="page190"/>
    <w:bookmarkEnd w:id="189"/>
    <w:p>
      <w:pPr>
        <w:jc w:val="both"/>
        <w:ind w:firstLine="424"/>
        <w:spacing w:after="0" w:line="259" w:lineRule="auto"/>
        <w:tabs>
          <w:tab w:leader="none" w:pos="662" w:val="left"/>
        </w:tabs>
        <w:numPr>
          <w:ilvl w:val="0"/>
          <w:numId w:val="97"/>
        </w:numPr>
        <w:rPr>
          <w:rFonts w:ascii="Arial" w:cs="Arial" w:eastAsia="Arial" w:hAnsi="Arial"/>
          <w:sz w:val="12"/>
          <w:szCs w:val="12"/>
          <w:color w:val="auto"/>
        </w:rPr>
      </w:pPr>
      <w:r>
        <w:rPr>
          <w:rFonts w:ascii="Arial" w:cs="Arial" w:eastAsia="Arial" w:hAnsi="Arial"/>
          <w:sz w:val="12"/>
          <w:szCs w:val="12"/>
          <w:u w:val="single" w:color="auto"/>
          <w:color w:val="auto"/>
        </w:rPr>
        <w:t>Regulation M Compliance</w:t>
      </w:r>
      <w:r>
        <w:rPr>
          <w:rFonts w:ascii="Arial" w:cs="Arial" w:eastAsia="Arial" w:hAnsi="Arial"/>
          <w:sz w:val="12"/>
          <w:szCs w:val="12"/>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(including any Warrant Shares issuable upon exercise of the Warrants), (ii) sold, bid for, purchased, or, paid any compensation for soliciting purchases of, any of the Securities (including any Warrant Shares issuable upon exercise of the Warrants),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42" w:lineRule="exact"/>
        <w:rPr>
          <w:rFonts w:ascii="Arial" w:cs="Arial" w:eastAsia="Arial" w:hAnsi="Arial"/>
          <w:sz w:val="12"/>
          <w:szCs w:val="12"/>
          <w:color w:val="auto"/>
        </w:rPr>
      </w:pPr>
    </w:p>
    <w:p>
      <w:pPr>
        <w:jc w:val="both"/>
        <w:ind w:firstLine="424"/>
        <w:spacing w:after="0" w:line="279" w:lineRule="auto"/>
        <w:tabs>
          <w:tab w:leader="none" w:pos="658" w:val="left"/>
        </w:tabs>
        <w:numPr>
          <w:ilvl w:val="0"/>
          <w:numId w:val="97"/>
        </w:numPr>
        <w:rPr>
          <w:rFonts w:ascii="Arial" w:cs="Arial" w:eastAsia="Arial" w:hAnsi="Arial"/>
          <w:sz w:val="11"/>
          <w:szCs w:val="11"/>
          <w:color w:val="auto"/>
        </w:rPr>
      </w:pPr>
      <w:r>
        <w:rPr>
          <w:rFonts w:ascii="Arial" w:cs="Arial" w:eastAsia="Arial" w:hAnsi="Arial"/>
          <w:sz w:val="11"/>
          <w:szCs w:val="11"/>
          <w:u w:val="single" w:color="auto"/>
          <w:color w:val="auto"/>
        </w:rPr>
        <w:t>FDA</w:t>
      </w:r>
      <w:r>
        <w:rPr>
          <w:rFonts w:ascii="Arial" w:cs="Arial" w:eastAsia="Arial" w:hAnsi="Arial"/>
          <w:sz w:val="11"/>
          <w:szCs w:val="11"/>
          <w:color w:val="auto"/>
        </w:rPr>
        <w:t>. As to each product subject to the jurisdiction of the U.S. Food and Drug Administration (“</w:t>
      </w:r>
      <w:r>
        <w:rPr>
          <w:rFonts w:ascii="Arial" w:cs="Arial" w:eastAsia="Arial" w:hAnsi="Arial"/>
          <w:sz w:val="11"/>
          <w:szCs w:val="11"/>
          <w:u w:val="single" w:color="auto"/>
          <w:color w:val="auto"/>
        </w:rPr>
        <w:t>FDA</w:t>
      </w:r>
      <w:r>
        <w:rPr>
          <w:rFonts w:ascii="Arial" w:cs="Arial" w:eastAsia="Arial" w:hAnsi="Arial"/>
          <w:sz w:val="11"/>
          <w:szCs w:val="11"/>
          <w:color w:val="auto"/>
        </w:rPr>
        <w:t>”) under the Federal Food, Drug and Cosmetic Act, as amended, and the regulations thereunder (“</w:t>
      </w:r>
      <w:r>
        <w:rPr>
          <w:rFonts w:ascii="Arial" w:cs="Arial" w:eastAsia="Arial" w:hAnsi="Arial"/>
          <w:sz w:val="11"/>
          <w:szCs w:val="11"/>
          <w:u w:val="single" w:color="auto"/>
          <w:color w:val="auto"/>
        </w:rPr>
        <w:t>FDCA</w:t>
      </w:r>
      <w:r>
        <w:rPr>
          <w:rFonts w:ascii="Arial" w:cs="Arial" w:eastAsia="Arial" w:hAnsi="Arial"/>
          <w:sz w:val="11"/>
          <w:szCs w:val="11"/>
          <w:color w:val="auto"/>
        </w:rPr>
        <w:t>”) that is manufactured, packaged, labeled, tested, distributed, sold, and/or marketed by the Company or its Subsidiary (each such product, a “</w:t>
      </w:r>
      <w:r>
        <w:rPr>
          <w:rFonts w:ascii="Arial" w:cs="Arial" w:eastAsia="Arial" w:hAnsi="Arial"/>
          <w:sz w:val="11"/>
          <w:szCs w:val="11"/>
          <w:u w:val="single" w:color="auto"/>
          <w:color w:val="auto"/>
        </w:rPr>
        <w:t>Product</w:t>
      </w:r>
      <w:r>
        <w:rPr>
          <w:rFonts w:ascii="Arial" w:cs="Arial" w:eastAsia="Arial" w:hAnsi="Arial"/>
          <w:sz w:val="11"/>
          <w:szCs w:val="11"/>
          <w:color w:val="auto"/>
        </w:rPr>
        <w:t>”), except as described in the SEC Reports, such Product is being manufactured, packaged, labeled, tested, distributed, sold and/or marketed by the Company in compliance with all applicable requirements under FDCA and similar laws, rules and regulations, to the extent applicable to the Company’s business as presently conducted, except where the failure to be in compliance would not reasonably be expected to have a Material Adverse Effect. None of the Company or its Subsidiary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 (iii) imposes a clinical hold on any clinical investigation by the Company or its Subsidiaries, (iv) enjoins production at any facility of the Company or its Subsidiaries, (v) enters or proposes to enter into a consent decree of permanent injunction with the Company or its Subsidiaries, or (vi) otherwise alleges any violation of any laws, rules or regulations by the Company or its Subsidiaries, and which, either individually or in the aggregate, would reasonably be expected to have a Material Adverse Effect. The properties, business and operations of the Company have been and are being conducted in all material respects in accordance with all applicable laws, rules and regulations of the FDA. Except as described in the SEC Reports, the Company has not been informed by the FDA that the FDA will prohibit the marketing, sale, license or use in the United States of any product proposed to be developed, produced or marketed by the Company.</w:t>
      </w:r>
    </w:p>
    <w:p>
      <w:pPr>
        <w:spacing w:after="0" w:line="132" w:lineRule="exact"/>
        <w:rPr>
          <w:rFonts w:ascii="Arial" w:cs="Arial" w:eastAsia="Arial" w:hAnsi="Arial"/>
          <w:sz w:val="11"/>
          <w:szCs w:val="11"/>
          <w:color w:val="auto"/>
        </w:rPr>
      </w:pPr>
    </w:p>
    <w:p>
      <w:pPr>
        <w:jc w:val="both"/>
        <w:ind w:firstLine="424"/>
        <w:spacing w:after="0" w:line="259" w:lineRule="auto"/>
        <w:tabs>
          <w:tab w:leader="none" w:pos="956" w:val="left"/>
        </w:tabs>
        <w:numPr>
          <w:ilvl w:val="0"/>
          <w:numId w:val="97"/>
        </w:numPr>
        <w:rPr>
          <w:rFonts w:ascii="Arial" w:cs="Arial" w:eastAsia="Arial" w:hAnsi="Arial"/>
          <w:sz w:val="12"/>
          <w:szCs w:val="12"/>
          <w:color w:val="auto"/>
        </w:rPr>
      </w:pPr>
      <w:r>
        <w:rPr>
          <w:rFonts w:ascii="Arial" w:cs="Arial" w:eastAsia="Arial" w:hAnsi="Arial"/>
          <w:sz w:val="12"/>
          <w:szCs w:val="12"/>
          <w:u w:val="single" w:color="auto"/>
          <w:color w:val="auto"/>
        </w:rPr>
        <w:t>Corrupt Practices</w:t>
      </w:r>
      <w:r>
        <w:rPr>
          <w:rFonts w:ascii="Arial" w:cs="Arial" w:eastAsia="Arial" w:hAnsi="Arial"/>
          <w:sz w:val="12"/>
          <w:szCs w:val="12"/>
          <w:color w:val="auto"/>
        </w:rPr>
        <w:t>. Neither the Company nor, to the Company’s knowledge, any other person associated with or acting on behalf of the Company, including without limitation any director, officer, agent or employee of the Company or its Subsidiaries has,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24" w:lineRule="exact"/>
        <w:rPr>
          <w:rFonts w:ascii="Arial" w:cs="Arial" w:eastAsia="Arial" w:hAnsi="Arial"/>
          <w:sz w:val="12"/>
          <w:szCs w:val="12"/>
          <w:color w:val="auto"/>
        </w:rPr>
      </w:pPr>
    </w:p>
    <w:p>
      <w:pPr>
        <w:jc w:val="both"/>
        <w:ind w:left="100" w:firstLine="432"/>
        <w:spacing w:after="0" w:line="290" w:lineRule="auto"/>
        <w:tabs>
          <w:tab w:leader="none" w:pos="1059" w:val="left"/>
        </w:tabs>
        <w:numPr>
          <w:ilvl w:val="1"/>
          <w:numId w:val="97"/>
        </w:numPr>
        <w:rPr>
          <w:rFonts w:ascii="Arial" w:cs="Arial" w:eastAsia="Arial" w:hAnsi="Arial"/>
          <w:sz w:val="11"/>
          <w:szCs w:val="11"/>
          <w:color w:val="auto"/>
        </w:rPr>
      </w:pPr>
      <w:r>
        <w:rPr>
          <w:rFonts w:ascii="Arial" w:cs="Arial" w:eastAsia="Arial" w:hAnsi="Arial"/>
          <w:sz w:val="11"/>
          <w:szCs w:val="11"/>
          <w:u w:val="single" w:color="auto"/>
          <w:color w:val="auto"/>
        </w:rPr>
        <w:t>No Undisclosed Relationships</w:t>
      </w:r>
      <w:r>
        <w:rPr>
          <w:rFonts w:ascii="Arial" w:cs="Arial" w:eastAsia="Arial" w:hAnsi="Arial"/>
          <w:sz w:val="11"/>
          <w:szCs w:val="11"/>
          <w:color w:val="auto"/>
        </w:rPr>
        <w:t>. No relationship, direct or indirect, exists between or among the Company on the one hand and the directors, officers, stockholders, customers or suppliers of the Company on the other hand which is required to be described in the SEC Reports which has not been so described. There are no outstanding loans, advances (except normal advances for business expenses in the ordinary course of business) or guarantees of indebtedness by the Company to or for the benefit of any of the officers or directors of the Company or any member of their respective immediate families. The Company has not, in violation of the Sarbanes-Oxley Act, directly or indirectly, extended or maintained credit, arranged for the extension of credit, or renewed an extension of credit, in the form of a personal loan to or for any director or executive officer of the Company.</w:t>
      </w:r>
    </w:p>
    <w:p>
      <w:pPr>
        <w:spacing w:after="0" w:line="127" w:lineRule="exact"/>
        <w:rPr>
          <w:sz w:val="20"/>
          <w:szCs w:val="20"/>
          <w:color w:val="auto"/>
        </w:rPr>
      </w:pPr>
    </w:p>
    <w:p>
      <w:pPr>
        <w:ind w:left="980" w:hanging="526"/>
        <w:spacing w:after="0"/>
        <w:tabs>
          <w:tab w:leader="none" w:pos="980" w:val="left"/>
        </w:tabs>
        <w:numPr>
          <w:ilvl w:val="0"/>
          <w:numId w:val="98"/>
        </w:numPr>
        <w:rPr>
          <w:rFonts w:ascii="Arial" w:cs="Arial" w:eastAsia="Arial" w:hAnsi="Arial"/>
          <w:sz w:val="12"/>
          <w:szCs w:val="12"/>
          <w:color w:val="auto"/>
        </w:rPr>
      </w:pPr>
      <w:r>
        <w:rPr>
          <w:rFonts w:ascii="Arial" w:cs="Arial" w:eastAsia="Arial" w:hAnsi="Arial"/>
          <w:sz w:val="12"/>
          <w:szCs w:val="12"/>
          <w:u w:val="single" w:color="auto"/>
          <w:color w:val="auto"/>
        </w:rPr>
        <w:t>No Disqualification Events</w:t>
      </w:r>
    </w:p>
    <w:p>
      <w:pPr>
        <w:spacing w:after="0" w:line="168" w:lineRule="exact"/>
        <w:rPr>
          <w:sz w:val="20"/>
          <w:szCs w:val="20"/>
          <w:color w:val="auto"/>
        </w:rPr>
      </w:pPr>
    </w:p>
    <w:p>
      <w:pPr>
        <w:jc w:val="both"/>
        <w:ind w:left="100" w:firstLine="432"/>
        <w:spacing w:after="0" w:line="290" w:lineRule="auto"/>
        <w:tabs>
          <w:tab w:leader="none" w:pos="625" w:val="left"/>
        </w:tabs>
        <w:numPr>
          <w:ilvl w:val="0"/>
          <w:numId w:val="99"/>
        </w:numPr>
        <w:rPr>
          <w:rFonts w:ascii="Arial" w:cs="Arial" w:eastAsia="Arial" w:hAnsi="Arial"/>
          <w:sz w:val="11"/>
          <w:szCs w:val="11"/>
          <w:color w:val="auto"/>
        </w:rPr>
      </w:pPr>
      <w:r>
        <w:rPr>
          <w:rFonts w:ascii="Arial" w:cs="Arial" w:eastAsia="Arial" w:hAnsi="Arial"/>
          <w:sz w:val="11"/>
          <w:szCs w:val="11"/>
          <w:color w:val="auto"/>
        </w:rPr>
        <w:t>To the Company’s Knowledge,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1"/>
          <w:szCs w:val="11"/>
          <w:u w:val="single" w:color="auto"/>
          <w:color w:val="auto"/>
        </w:rPr>
        <w:t>Issuer Covered Person</w:t>
      </w:r>
      <w:r>
        <w:rPr>
          <w:rFonts w:ascii="Arial" w:cs="Arial" w:eastAsia="Arial" w:hAnsi="Arial"/>
          <w:sz w:val="11"/>
          <w:szCs w:val="11"/>
          <w:color w:val="auto"/>
        </w:rPr>
        <w:t>”) is subject to any of the "Bad Actor" disqualifications described in Rule 506(d)(1)(i) to (viii) under the Securities Act (a “</w:t>
      </w:r>
      <w:r>
        <w:rPr>
          <w:rFonts w:ascii="Arial" w:cs="Arial" w:eastAsia="Arial" w:hAnsi="Arial"/>
          <w:sz w:val="11"/>
          <w:szCs w:val="11"/>
          <w:i w:val="1"/>
          <w:iCs w:val="1"/>
          <w:color w:val="auto"/>
        </w:rPr>
        <w:t>Disqualification Event</w:t>
      </w:r>
      <w:r>
        <w:rPr>
          <w:rFonts w:ascii="Arial" w:cs="Arial" w:eastAsia="Arial" w:hAnsi="Arial"/>
          <w:sz w:val="11"/>
          <w:szCs w:val="11"/>
          <w:color w:val="auto"/>
        </w:rPr>
        <w:t>”), except for a Disqualification Event covered by Rule 506(d)(2) or (d)(3). The Company has exercised reasonable care to determine whether any Issuer Covered Person is subject to a Disqualification Event.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0" w:name="page191"/>
    <w:bookmarkEnd w:id="190"/>
    <w:p>
      <w:pPr>
        <w:ind w:left="100" w:right="20" w:firstLine="432"/>
        <w:spacing w:after="0" w:line="276" w:lineRule="auto"/>
        <w:tabs>
          <w:tab w:leader="none" w:pos="1060" w:val="left"/>
        </w:tabs>
        <w:numPr>
          <w:ilvl w:val="1"/>
          <w:numId w:val="100"/>
        </w:numPr>
        <w:rPr>
          <w:rFonts w:ascii="Arial" w:cs="Arial" w:eastAsia="Arial" w:hAnsi="Arial"/>
          <w:sz w:val="12"/>
          <w:szCs w:val="12"/>
          <w:color w:val="auto"/>
        </w:rPr>
      </w:pPr>
      <w:r>
        <w:rPr>
          <w:rFonts w:ascii="Arial" w:cs="Arial" w:eastAsia="Arial" w:hAnsi="Arial"/>
          <w:sz w:val="12"/>
          <w:szCs w:val="12"/>
          <w:u w:val="single" w:color="auto"/>
          <w:color w:val="auto"/>
        </w:rPr>
        <w:t>Reverse Stock Split</w:t>
      </w:r>
      <w:r>
        <w:rPr>
          <w:rFonts w:ascii="Arial" w:cs="Arial" w:eastAsia="Arial" w:hAnsi="Arial"/>
          <w:sz w:val="12"/>
          <w:szCs w:val="12"/>
          <w:color w:val="auto"/>
        </w:rPr>
        <w:t>. The Company consummated a reverse split of its authorized and issued and outstanding Common Stock on a one for twenty basis, effective as of [___], 2014 (the “</w:t>
      </w:r>
      <w:r>
        <w:rPr>
          <w:rFonts w:ascii="Arial" w:cs="Arial" w:eastAsia="Arial" w:hAnsi="Arial"/>
          <w:sz w:val="12"/>
          <w:szCs w:val="12"/>
          <w:u w:val="single" w:color="auto"/>
          <w:color w:val="auto"/>
        </w:rPr>
        <w:t>Reverse Stock Split</w:t>
      </w:r>
      <w:r>
        <w:rPr>
          <w:rFonts w:ascii="Arial" w:cs="Arial" w:eastAsia="Arial" w:hAnsi="Arial"/>
          <w:sz w:val="12"/>
          <w:szCs w:val="12"/>
          <w:color w:val="auto"/>
        </w:rPr>
        <w:t>”). In connection with the Reverse Stock Split, the Company obtained all requisite consents and approvals, including approval of its stockholders, if required</w:t>
      </w:r>
    </w:p>
    <w:p>
      <w:pPr>
        <w:spacing w:after="0" w:line="132" w:lineRule="exact"/>
        <w:rPr>
          <w:rFonts w:ascii="Arial" w:cs="Arial" w:eastAsia="Arial" w:hAnsi="Arial"/>
          <w:sz w:val="12"/>
          <w:szCs w:val="12"/>
          <w:color w:val="auto"/>
        </w:rPr>
      </w:pPr>
    </w:p>
    <w:p>
      <w:pPr>
        <w:jc w:val="both"/>
        <w:ind w:firstLine="424"/>
        <w:spacing w:after="0" w:line="254" w:lineRule="auto"/>
        <w:tabs>
          <w:tab w:leader="none" w:pos="927"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Absence of Material Changes</w:t>
      </w:r>
      <w:r>
        <w:rPr>
          <w:rFonts w:ascii="Arial" w:cs="Arial" w:eastAsia="Arial" w:hAnsi="Arial"/>
          <w:sz w:val="12"/>
          <w:szCs w:val="12"/>
          <w:i w:val="1"/>
          <w:iCs w:val="1"/>
          <w:color w:val="auto"/>
        </w:rPr>
        <w:t>.</w:t>
      </w:r>
      <w:r>
        <w:rPr>
          <w:rFonts w:ascii="Arial" w:cs="Arial" w:eastAsia="Arial" w:hAnsi="Arial"/>
          <w:sz w:val="12"/>
          <w:szCs w:val="12"/>
          <w:color w:val="auto"/>
        </w:rPr>
        <w:t xml:space="preserve"> Subsequent to the respective dates as of which information is given in the SEC Reports, (a) neither the Company nor its Subsidiaries has incurred any material liability or obligation, direct or contingent, or entered into any material transaction not in the ordinary course of business; (b) neither the Company nor its Subsidiaries has purchased any of the Company's outstanding capital stock, or declared, paid or otherwise made any dividend or distribution of any kind on the Company's capital stock; (c) there has not been any change in the capital stock (other than a change in the number of outstanding shares of Common Stock due to the issuance of Common Stock upon the exercise of outstanding options or warrants), or material change in the short−term debt or long-term debt of the Company and its Subsidiaries or any issue of options, warrants, convertible securities or other rights to purchase the capital stock (other than grants of stock options in the ordinary course of business and consistent with past practice under the Company’s stock option plans existing on the date hereof) of the Company, or (d) there has not been any material adverse change, or any development involving a prospective material adverse change, in the business, properties, prospects, management, financial condition or results of operations of the Company and the Subsidiaries, taken as a whole, from that set forth in the SEC Reports.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u w:val="single" w:color="auto"/>
          <w:color w:val="auto"/>
        </w:rPr>
        <w:t>Representations and Warranties of the Purchasers</w:t>
      </w:r>
      <w:r>
        <w:rPr>
          <w:rFonts w:ascii="Arial" w:cs="Arial" w:eastAsia="Arial" w:hAnsi="Arial"/>
          <w:sz w:val="11"/>
          <w:szCs w:val="11"/>
          <w:color w:val="auto"/>
        </w:rPr>
        <w:t>. Each Purchaser, for itself and for no other Purchaser, hereby represents and warrants as of the date hereof and as of the Closing Date to the Company as follows:</w:t>
      </w:r>
    </w:p>
    <w:p>
      <w:pPr>
        <w:spacing w:after="0" w:line="162" w:lineRule="exact"/>
        <w:rPr>
          <w:sz w:val="20"/>
          <w:szCs w:val="20"/>
          <w:color w:val="auto"/>
        </w:rPr>
      </w:pPr>
    </w:p>
    <w:p>
      <w:pPr>
        <w:jc w:val="both"/>
        <w:ind w:firstLine="424"/>
        <w:spacing w:after="0" w:line="254" w:lineRule="auto"/>
        <w:tabs>
          <w:tab w:leader="none" w:pos="596"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Organization; Authority</w:t>
      </w:r>
      <w:r>
        <w:rPr>
          <w:rFonts w:ascii="Arial" w:cs="Arial" w:eastAsia="Arial" w:hAnsi="Arial"/>
          <w:sz w:val="12"/>
          <w:szCs w:val="12"/>
          <w:color w:val="auto"/>
        </w:rPr>
        <w:t>. Such Purchaser, if an entity,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such Purchaser of the transactions contemplated by this Agreement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30" w:lineRule="exact"/>
        <w:rPr>
          <w:rFonts w:ascii="Arial" w:cs="Arial" w:eastAsia="Arial" w:hAnsi="Arial"/>
          <w:sz w:val="12"/>
          <w:szCs w:val="12"/>
          <w:color w:val="auto"/>
        </w:rPr>
      </w:pPr>
    </w:p>
    <w:p>
      <w:pPr>
        <w:jc w:val="both"/>
        <w:ind w:firstLine="424"/>
        <w:spacing w:after="0" w:line="263" w:lineRule="auto"/>
        <w:tabs>
          <w:tab w:leader="none" w:pos="602"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Understandings or Arrangements</w:t>
      </w:r>
      <w:r>
        <w:rPr>
          <w:rFonts w:ascii="Arial" w:cs="Arial" w:eastAsia="Arial" w:hAnsi="Arial"/>
          <w:sz w:val="12"/>
          <w:szCs w:val="12"/>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in compliance with applicable federal and state securities laws). Such Purchaser is acquiring the Securities hereunder in the ordinary course of its business.</w:t>
      </w:r>
    </w:p>
    <w:p>
      <w:pPr>
        <w:spacing w:after="0" w:line="122" w:lineRule="exact"/>
        <w:rPr>
          <w:rFonts w:ascii="Arial" w:cs="Arial" w:eastAsia="Arial" w:hAnsi="Arial"/>
          <w:sz w:val="12"/>
          <w:szCs w:val="12"/>
          <w:color w:val="auto"/>
        </w:rPr>
      </w:pPr>
    </w:p>
    <w:p>
      <w:pPr>
        <w:ind w:left="580" w:hanging="156"/>
        <w:spacing w:after="0"/>
        <w:tabs>
          <w:tab w:leader="none" w:pos="58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Trading Activities</w:t>
      </w:r>
      <w:r>
        <w:rPr>
          <w:rFonts w:ascii="Arial" w:cs="Arial" w:eastAsia="Arial" w:hAnsi="Arial"/>
          <w:sz w:val="12"/>
          <w:szCs w:val="12"/>
          <w:color w:val="auto"/>
        </w:rPr>
        <w:t>. The Purchaser’s trading activities with respect to the Securities shall be in compliance with all applicable federal and state securities laws.</w:t>
      </w:r>
    </w:p>
    <w:p>
      <w:pPr>
        <w:spacing w:after="0" w:line="150" w:lineRule="exact"/>
        <w:rPr>
          <w:rFonts w:ascii="Arial" w:cs="Arial" w:eastAsia="Arial" w:hAnsi="Arial"/>
          <w:sz w:val="12"/>
          <w:szCs w:val="12"/>
          <w:color w:val="auto"/>
        </w:rPr>
      </w:pPr>
    </w:p>
    <w:p>
      <w:pPr>
        <w:jc w:val="both"/>
        <w:ind w:firstLine="424"/>
        <w:spacing w:after="0" w:line="263" w:lineRule="auto"/>
        <w:tabs>
          <w:tab w:leader="none" w:pos="611"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Estimates; Forward-Looking Statements.</w:t>
      </w:r>
      <w:r>
        <w:rPr>
          <w:rFonts w:ascii="Arial" w:cs="Arial" w:eastAsia="Arial" w:hAnsi="Arial"/>
          <w:sz w:val="12"/>
          <w:szCs w:val="12"/>
          <w:color w:val="auto"/>
        </w:rPr>
        <w:t xml:space="preserve"> The Purchaser acknowledges that any and all estimates or forward-looking statements or projections with which it may have been provided (collectively, the “</w:t>
      </w:r>
      <w:r>
        <w:rPr>
          <w:rFonts w:ascii="Arial" w:cs="Arial" w:eastAsia="Arial" w:hAnsi="Arial"/>
          <w:sz w:val="12"/>
          <w:szCs w:val="12"/>
          <w:u w:val="single" w:color="auto"/>
          <w:color w:val="auto"/>
        </w:rPr>
        <w:t>Information</w:t>
      </w:r>
      <w:r>
        <w:rPr>
          <w:rFonts w:ascii="Arial" w:cs="Arial" w:eastAsia="Arial" w:hAnsi="Arial"/>
          <w:sz w:val="12"/>
          <w:szCs w:val="12"/>
          <w:color w:val="auto"/>
        </w:rPr>
        <w:t>”) were prepared by the Company in good faith, but that the attainment of any such projections, estimates or forward-looking statements cannot be guaranteed, will not be updated by the Company and should not be relied upon. The Purchaser further acknowledges that any and all information regarding the historical performance of the Company is not necessarily indicative of future performance.</w:t>
      </w:r>
    </w:p>
    <w:p>
      <w:pPr>
        <w:spacing w:after="0" w:line="122" w:lineRule="exact"/>
        <w:rPr>
          <w:rFonts w:ascii="Arial" w:cs="Arial" w:eastAsia="Arial" w:hAnsi="Arial"/>
          <w:sz w:val="12"/>
          <w:szCs w:val="12"/>
          <w:color w:val="auto"/>
        </w:rPr>
      </w:pPr>
    </w:p>
    <w:p>
      <w:pPr>
        <w:ind w:right="20" w:firstLine="424"/>
        <w:spacing w:after="0" w:line="276" w:lineRule="auto"/>
        <w:tabs>
          <w:tab w:leader="none" w:pos="596"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No Representations</w:t>
      </w:r>
      <w:r>
        <w:rPr>
          <w:rFonts w:ascii="Arial" w:cs="Arial" w:eastAsia="Arial" w:hAnsi="Arial"/>
          <w:sz w:val="12"/>
          <w:szCs w:val="12"/>
          <w:color w:val="auto"/>
        </w:rPr>
        <w:t>. No oral or written representations have been made, or oral or written information furnished, to the Purchaser or its advisors, if any, in connection with the offering of the Securities which are in any way inconsistent with the information contained in the Prospectus.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2"/>
          <w:szCs w:val="12"/>
          <w:color w:val="auto"/>
        </w:rPr>
        <w:t>ARTICLE IV.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OTHER AGREEMENTS OF THE PARTIES</w:t>
      </w:r>
    </w:p>
    <w:p>
      <w:pPr>
        <w:spacing w:after="0" w:line="150"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Securities Laws Disclosure; Publicity</w:t>
      </w:r>
      <w:r>
        <w:rPr>
          <w:rFonts w:ascii="Arial" w:cs="Arial" w:eastAsia="Arial" w:hAnsi="Arial"/>
          <w:sz w:val="11"/>
          <w:szCs w:val="11"/>
          <w:color w:val="auto"/>
        </w:rPr>
        <w:t>. The Company shall (a) by 9:00 a.m. (Eastern time) on the Trading Day immediately following the date hereof, issue a press release disclosing the material terms of the transactions contemplated hereby, and (b) file a Form 8-K, including the Transaction Documents as exhibits thereto, with the Commission within the time required by the Exchange Act.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(including signature pages thereto) with the Commission and (b) to the extent such disclosure is required by law or Trading Market regulations.</w:t>
      </w:r>
    </w:p>
    <w:p>
      <w:pPr>
        <w:spacing w:after="0" w:line="10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4.2. </w:t>
      </w:r>
      <w:r>
        <w:rPr>
          <w:rFonts w:ascii="Arial" w:cs="Arial" w:eastAsia="Arial" w:hAnsi="Arial"/>
          <w:sz w:val="11"/>
          <w:szCs w:val="11"/>
          <w:u w:val="single" w:color="auto"/>
          <w:color w:val="auto"/>
        </w:rPr>
        <w:t>Indemnification of Purchasers</w:t>
      </w:r>
      <w:r>
        <w:rPr>
          <w:rFonts w:ascii="Arial" w:cs="Arial" w:eastAsia="Arial" w:hAnsi="Arial"/>
          <w:sz w:val="11"/>
          <w:szCs w:val="11"/>
          <w:color w:val="auto"/>
        </w:rPr>
        <w:t xml:space="preserve">. Subject to the provisions of this </w:t>
      </w:r>
      <w:r>
        <w:rPr>
          <w:rFonts w:ascii="Arial" w:cs="Arial" w:eastAsia="Arial" w:hAnsi="Arial"/>
          <w:sz w:val="11"/>
          <w:szCs w:val="11"/>
          <w:u w:val="single" w:color="auto"/>
          <w:color w:val="auto"/>
        </w:rPr>
        <w:t>Section 4.2</w:t>
      </w:r>
      <w:r>
        <w:rPr>
          <w:rFonts w:ascii="Arial" w:cs="Arial" w:eastAsia="Arial" w:hAnsi="Arial"/>
          <w:sz w:val="11"/>
          <w:szCs w:val="11"/>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1"/>
          <w:szCs w:val="11"/>
          <w:u w:val="single" w:color="auto"/>
          <w:color w:val="auto"/>
        </w:rPr>
        <w:t>Purchaser Party</w:t>
      </w:r>
      <w:r>
        <w:rPr>
          <w:rFonts w:ascii="Arial" w:cs="Arial" w:eastAsia="Arial" w:hAnsi="Arial"/>
          <w:sz w:val="11"/>
          <w:szCs w:val="11"/>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(but specifically excluding any incidental, indirect, punitive, special or consequential damages) as a result of or relating to any breach of any of the representations, warranties, covenants or agreements made by the Company in this Agreement or in the other Transaction Documents.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Equal Treatment of Purchasers</w:t>
      </w:r>
      <w:r>
        <w:rPr>
          <w:rFonts w:ascii="Arial" w:cs="Arial" w:eastAsia="Arial" w:hAnsi="Arial"/>
          <w:sz w:val="12"/>
          <w:szCs w:val="12"/>
          <w:color w:val="auto"/>
        </w:rPr>
        <w:t>. No consideration (including any modification of any Transaction Document) shall be offered or paid to any Person to amend or consent to a waiver or modification of any provision of this Agreement or under any Transaction Document unless the same consideration is also offered to all of the parties affected by such amendment or consent.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25"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4.4. </w:t>
      </w:r>
      <w:r>
        <w:rPr>
          <w:rFonts w:ascii="Arial" w:cs="Arial" w:eastAsia="Arial" w:hAnsi="Arial"/>
          <w:sz w:val="11"/>
          <w:szCs w:val="11"/>
          <w:u w:val="single" w:color="auto"/>
          <w:color w:val="auto"/>
        </w:rPr>
        <w:t>Certain Transactions and Confidentiality</w:t>
      </w:r>
      <w:r>
        <w:rPr>
          <w:rFonts w:ascii="Arial" w:cs="Arial" w:eastAsia="Arial" w:hAnsi="Arial"/>
          <w:sz w:val="11"/>
          <w:szCs w:val="11"/>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Arial" w:cs="Arial" w:eastAsia="Arial" w:hAnsi="Arial"/>
          <w:sz w:val="11"/>
          <w:szCs w:val="11"/>
          <w:u w:val="single" w:color="auto"/>
          <w:color w:val="auto"/>
        </w:rPr>
        <w:t>Section 4.1</w:t>
      </w:r>
      <w:r>
        <w:rPr>
          <w:rFonts w:ascii="Arial" w:cs="Arial" w:eastAsia="Arial" w:hAnsi="Arial"/>
          <w:sz w:val="11"/>
          <w:szCs w:val="11"/>
          <w:color w:val="auto"/>
        </w:rPr>
        <w:t>, such Purchaser will maintain the confidentiality of the existence and terms of this transaction.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Securities</w:t>
      </w:r>
      <w:r>
        <w:rPr>
          <w:rFonts w:ascii="Arial" w:cs="Arial" w:eastAsia="Arial" w:hAnsi="Arial"/>
          <w:sz w:val="12"/>
          <w:szCs w:val="12"/>
          <w:color w:val="auto"/>
        </w:rPr>
        <w:t>. The Shares issued pursuant to this Agreement shall be issued free of all legends. If all or any portion of a Warrant is exercised at a time when there is an effective registration statement to cover the issuance of the Warrant Shares issuable upon exercise of the Warrants, the Warrant Shares issued pursuant to any such exercise shall be issued free of all legends. If at any time following the Effective Date the Registration Statement (or any subsequent registration statement registering the issuance of the Common Stock and Warrant Shares) is not effective or is not otherwise available for Shares or the issuance of the Warrant Shares, the Company shall immediately notify the holders of the Shares and Warrant Shares in writing that such registration statement is not then effective and thereafter shall promptly notify such holders when the registration statement is effective again and available for the Shares or the issuance of the Warrant Shares (it being understood and agreed that the foregoing shall not limit the ability of the Company to issue, or the Purchaser to sell, any of the Securities in compliance with applicable federal and state securities laws). The Company shall use its best efforts to keep a registration statement (including the Registration Statement) registering the Shares and the issuance of the Warrant Shares issuable upon exercise of the Warrants effective during the term of the Securities are outstanding.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2" w:name="page193"/>
    <w:bookmarkEnd w:id="192"/>
    <w:p>
      <w:pPr>
        <w:jc w:val="both"/>
        <w:ind w:firstLine="432"/>
        <w:spacing w:after="0" w:line="323" w:lineRule="auto"/>
        <w:rPr>
          <w:sz w:val="20"/>
          <w:szCs w:val="20"/>
          <w:color w:val="auto"/>
        </w:rPr>
      </w:pPr>
      <w:r>
        <w:rPr>
          <w:rFonts w:ascii="Arial" w:cs="Arial" w:eastAsia="Arial" w:hAnsi="Arial"/>
          <w:sz w:val="11"/>
          <w:szCs w:val="11"/>
          <w:color w:val="auto"/>
        </w:rPr>
        <w:t xml:space="preserve">4.6. </w:t>
      </w:r>
      <w:r>
        <w:rPr>
          <w:rFonts w:ascii="Arial" w:cs="Arial" w:eastAsia="Arial" w:hAnsi="Arial"/>
          <w:sz w:val="11"/>
          <w:szCs w:val="11"/>
          <w:u w:val="single" w:color="auto"/>
          <w:color w:val="auto"/>
        </w:rPr>
        <w:t>Furnishing of Information</w:t>
      </w:r>
      <w:r>
        <w:rPr>
          <w:rFonts w:ascii="Arial" w:cs="Arial" w:eastAsia="Arial" w:hAnsi="Arial"/>
          <w:sz w:val="11"/>
          <w:szCs w:val="11"/>
          <w:color w:val="auto"/>
        </w:rPr>
        <w:t>. Until the date on which no Securities are outstanding, the Company shall timely file all reports required to be filed with the Commission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Integration.</w:t>
      </w:r>
      <w:r>
        <w:rPr>
          <w:rFonts w:ascii="Arial" w:cs="Arial" w:eastAsia="Arial" w:hAnsi="Arial"/>
          <w:sz w:val="12"/>
          <w:szCs w:val="12"/>
          <w:color w:val="auto"/>
        </w:rPr>
        <w:t xml:space="preserve">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Shareholder Rights Plan</w:t>
      </w:r>
      <w:r>
        <w:rPr>
          <w:rFonts w:ascii="Arial" w:cs="Arial" w:eastAsia="Arial" w:hAnsi="Arial"/>
          <w:sz w:val="12"/>
          <w:szCs w:val="12"/>
          <w:color w:val="auto"/>
        </w:rPr>
        <w:t>. No claim will be made or enforced by the Company or, with the consent of the Company, any other Person, that the Purchaser is an “Acquiring Person”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4.9. </w:t>
      </w:r>
      <w:r>
        <w:rPr>
          <w:rFonts w:ascii="Arial" w:cs="Arial" w:eastAsia="Arial" w:hAnsi="Arial"/>
          <w:sz w:val="12"/>
          <w:szCs w:val="12"/>
          <w:u w:val="single" w:color="auto"/>
          <w:color w:val="auto"/>
        </w:rPr>
        <w:t>Use of Proceeds.</w:t>
      </w:r>
      <w:r>
        <w:rPr>
          <w:rFonts w:ascii="Arial" w:cs="Arial" w:eastAsia="Arial" w:hAnsi="Arial"/>
          <w:sz w:val="12"/>
          <w:szCs w:val="12"/>
          <w:color w:val="auto"/>
        </w:rPr>
        <w:t xml:space="preserve"> The Company shall use the net proceeds from the sale of the Securities solely for the purposes as described in the Prospectus.</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Reservation of Common Stock</w:t>
      </w:r>
      <w:r>
        <w:rPr>
          <w:rFonts w:ascii="Arial" w:cs="Arial" w:eastAsia="Arial" w:hAnsi="Arial"/>
          <w:sz w:val="12"/>
          <w:szCs w:val="12"/>
          <w:color w:val="auto"/>
        </w:rPr>
        <w:t>. As of the Effective Date, the Company has reserved and the Company shall continue to reserve and keep available at all times, free of preemptive rights, a sufficient number of shares of Common Stock for the purpose of enabling the Company to issue the Securities pursuant to this Agreement and Warrant Shares pursuant to any exercise of the Warrants (without regard to any limitations on the exercise of the Warrants set forth therein).</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Listing of Common Stock</w:t>
      </w:r>
      <w:r>
        <w:rPr>
          <w:rFonts w:ascii="Arial" w:cs="Arial" w:eastAsia="Arial" w:hAnsi="Arial"/>
          <w:sz w:val="12"/>
          <w:szCs w:val="12"/>
          <w:color w:val="auto"/>
        </w:rPr>
        <w:t>. The Company hereby agrees to use best efforts to maintain the listing or quotation of the Common Stock on the Trading Market on which it is currently listed, and the Company shall promptly secure the listing of all of the Common Stock on such Trading Market (but in no event later than the Closing Date). The Company further agrees, if the Company applies to have the Common Stock traded on any other Trading Market, it will then include in such application the Common Stock, and will take such other action as is necessary to cause all of the Common Stock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u w:val="single" w:color="auto"/>
          <w:color w:val="auto"/>
        </w:rPr>
        <w:t>Placement Agent</w:t>
      </w:r>
      <w:r>
        <w:rPr>
          <w:rFonts w:ascii="Arial" w:cs="Arial" w:eastAsia="Arial" w:hAnsi="Arial"/>
          <w:sz w:val="12"/>
          <w:szCs w:val="12"/>
          <w:color w:val="auto"/>
        </w:rPr>
        <w:t>. In consideration for acting as placement agent in connection with the sale of the Securities hereunder, the Placement Agent shall receive a commission of eight percent (8%) of the gross proceeds raised in this offering of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MISCELLANEOUS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u w:val="single" w:color="auto"/>
          <w:color w:val="auto"/>
        </w:rPr>
        <w:t>Termination</w:t>
      </w:r>
      <w:r>
        <w:rPr>
          <w:rFonts w:ascii="Arial" w:cs="Arial" w:eastAsia="Arial" w:hAnsi="Arial"/>
          <w:sz w:val="11"/>
          <w:szCs w:val="11"/>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 ● ];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termination will affect the right of any party to sue for any breach by any other party (or parties).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Fees and Expenses</w:t>
      </w:r>
      <w:r>
        <w:rPr>
          <w:rFonts w:ascii="Arial" w:cs="Arial" w:eastAsia="Arial" w:hAnsi="Arial"/>
          <w:sz w:val="12"/>
          <w:szCs w:val="12"/>
          <w:color w:val="auto"/>
        </w:rPr>
        <w:t>. Except as expressly set forth in the Transaction Documents or the Placement Agent Agreement between the Placement Agent and the Company,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3" w:name="page194"/>
    <w:bookmarkEnd w:id="193"/>
    <w:p>
      <w:pPr>
        <w:ind w:left="8" w:right="20" w:firstLine="432"/>
        <w:spacing w:after="0" w:line="323"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Entire Agreemen</w:t>
      </w:r>
      <w:r>
        <w:rPr>
          <w:rFonts w:ascii="Arial" w:cs="Arial" w:eastAsia="Arial" w:hAnsi="Arial"/>
          <w:sz w:val="11"/>
          <w:szCs w:val="11"/>
          <w:color w:val="auto"/>
        </w:rPr>
        <w:t>t. The Transaction Documents, together with the exhibits and schedules thereto, the Pricing Prospectus,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1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 xml:space="preserve">5.4. </w:t>
      </w:r>
      <w:r>
        <w:rPr>
          <w:rFonts w:ascii="Arial" w:cs="Arial" w:eastAsia="Arial" w:hAnsi="Arial"/>
          <w:sz w:val="10"/>
          <w:szCs w:val="10"/>
          <w:u w:val="single" w:color="auto"/>
          <w:color w:val="auto"/>
        </w:rPr>
        <w:t>Notices</w:t>
      </w:r>
      <w:r>
        <w:rPr>
          <w:rFonts w:ascii="Arial" w:cs="Arial" w:eastAsia="Arial" w:hAnsi="Arial"/>
          <w:sz w:val="10"/>
          <w:szCs w:val="10"/>
          <w:color w:val="auto"/>
        </w:rPr>
        <w:t>. Any and all notices or other communications or deliveries required or permitted to be provided hereunder by the Company to a Purchaser shall be in writing and shall be deemed given and effective on the earliest of:</w:t>
      </w:r>
    </w:p>
    <w:p>
      <w:pPr>
        <w:spacing w:after="0" w:line="38" w:lineRule="exact"/>
        <w:rPr>
          <w:sz w:val="20"/>
          <w:szCs w:val="20"/>
          <w:color w:val="auto"/>
        </w:rPr>
      </w:pPr>
    </w:p>
    <w:p>
      <w:pPr>
        <w:jc w:val="both"/>
        <w:ind w:left="8" w:hanging="8"/>
        <w:spacing w:after="0" w:line="254" w:lineRule="auto"/>
        <w:tabs>
          <w:tab w:leader="none" w:pos="17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date of transmission, if such notice or communication is delivered via fax at the fax number set forth on the signature pages attached hereto at or prior to 5:30 p.m. (Eastern time) on a Trading Day, (b) the next Trading Day after the date of transmission, if such notice or communication is delivered via fax at the fax number set forth on the signature pages attached hereto on a day that is not a Trading Day or later than 5:30 p.m. (Eastern time) on any Trading Day, (c) the second (2nd) Trading Day following the date of mailing, if sent by U.S. nationally recognized overnight courier service or (d) upon actual receipt by the party to whom such notice is required to be given. The address for such notices and communications to the Purchasers shall be as set forth on the signature pages attached hereto.</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notice required or permitted to be provided hereunder by the Company to any Purchaser shall include a copy to counsel to the Placement Agent:</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Sichenzia Ross Friedman Ference, LLP</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61 Broadway, Suite 3200</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New York, NY 10006</w:t>
      </w:r>
    </w:p>
    <w:p>
      <w:pPr>
        <w:spacing w:after="0" w:line="6" w:lineRule="exact"/>
        <w:rPr>
          <w:sz w:val="20"/>
          <w:szCs w:val="20"/>
          <w:color w:val="auto"/>
        </w:rPr>
      </w:pPr>
    </w:p>
    <w:p>
      <w:pPr>
        <w:ind w:left="728" w:hanging="296"/>
        <w:spacing w:after="0"/>
        <w:tabs>
          <w:tab w:leader="none" w:pos="728" w:val="left"/>
        </w:tabs>
        <w:numPr>
          <w:ilvl w:val="0"/>
          <w:numId w:val="104"/>
        </w:numPr>
        <w:rPr>
          <w:rFonts w:ascii="Arial" w:cs="Arial" w:eastAsia="Arial" w:hAnsi="Arial"/>
          <w:sz w:val="12"/>
          <w:szCs w:val="12"/>
          <w:color w:val="auto"/>
        </w:rPr>
      </w:pPr>
      <w:r>
        <w:rPr>
          <w:rFonts w:ascii="Arial" w:cs="Arial" w:eastAsia="Arial" w:hAnsi="Arial"/>
          <w:sz w:val="12"/>
          <w:szCs w:val="12"/>
          <w:color w:val="auto"/>
        </w:rPr>
        <w:t>930-9700</w:t>
      </w:r>
    </w:p>
    <w:p>
      <w:pPr>
        <w:spacing w:after="0" w:line="6" w:lineRule="exact"/>
        <w:rPr>
          <w:rFonts w:ascii="Arial" w:cs="Arial" w:eastAsia="Arial" w:hAnsi="Arial"/>
          <w:sz w:val="12"/>
          <w:szCs w:val="12"/>
          <w:color w:val="auto"/>
        </w:rPr>
      </w:pPr>
    </w:p>
    <w:p>
      <w:pPr>
        <w:ind w:left="428" w:right="9800" w:firstLine="4"/>
        <w:spacing w:after="0" w:line="290" w:lineRule="auto"/>
        <w:tabs>
          <w:tab w:leader="none" w:pos="71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930-9725 (fax) Attn: Harvey Kesner, Esq. Hkesner@srff.com</w:t>
      </w:r>
    </w:p>
    <w:p>
      <w:pPr>
        <w:spacing w:after="0" w:line="271"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Amendments; Waivers</w:t>
      </w:r>
      <w:r>
        <w:rPr>
          <w:rFonts w:ascii="Arial" w:cs="Arial" w:eastAsia="Arial" w:hAnsi="Arial"/>
          <w:sz w:val="12"/>
          <w:szCs w:val="12"/>
          <w:color w:val="auto"/>
        </w:rPr>
        <w:t>. No provision of this Agreement may be waived, modified, supplemented or amended except in a written instrument signed, in the case of an amendment, by the Company and the Purchasers holding at least a majority in interest of the Securities based on the initial Subscription Amounts hereunder held by Purchasers as of the date of such waiver, modification, supplement or amendment.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Headings</w:t>
      </w:r>
      <w:r>
        <w:rPr>
          <w:rFonts w:ascii="Arial" w:cs="Arial" w:eastAsia="Arial" w:hAnsi="Arial"/>
          <w:sz w:val="12"/>
          <w:szCs w:val="12"/>
          <w:color w:val="auto"/>
        </w:rPr>
        <w:t>. The headings herein are for convenience only, do not constitute a part of this Agreement and shall not be deemed to limit or affect any of the provisions hereof.</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5.7. </w:t>
      </w:r>
      <w:r>
        <w:rPr>
          <w:rFonts w:ascii="Arial" w:cs="Arial" w:eastAsia="Arial" w:hAnsi="Arial"/>
          <w:sz w:val="11"/>
          <w:szCs w:val="11"/>
          <w:u w:val="single" w:color="auto"/>
          <w:color w:val="auto"/>
        </w:rPr>
        <w:t>Successors and Assigns</w:t>
      </w:r>
      <w:r>
        <w:rPr>
          <w:rFonts w:ascii="Arial" w:cs="Arial" w:eastAsia="Arial" w:hAnsi="Arial"/>
          <w:sz w:val="11"/>
          <w:szCs w:val="11"/>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 xml:space="preserve">5.8. </w:t>
      </w:r>
      <w:r>
        <w:rPr>
          <w:rFonts w:ascii="Arial" w:cs="Arial" w:eastAsia="Arial" w:hAnsi="Arial"/>
          <w:sz w:val="12"/>
          <w:szCs w:val="12"/>
          <w:u w:val="single" w:color="auto"/>
          <w:color w:val="auto"/>
        </w:rPr>
        <w:t>No Third-Party Beneficiarie</w:t>
      </w:r>
      <w:r>
        <w:rPr>
          <w:rFonts w:ascii="Arial" w:cs="Arial" w:eastAsia="Arial" w:hAnsi="Arial"/>
          <w:sz w:val="12"/>
          <w:szCs w:val="12"/>
          <w:color w:val="auto"/>
        </w:rPr>
        <w:t xml:space="preserve">s. This Agreement is intended for the benefit of the parties hereto and their respective successors and permitted assigns and is not for the benefit of, nor may any provision hereof be enforced by, any other Person, except as otherwise set forth in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and this </w:t>
      </w:r>
      <w:r>
        <w:rPr>
          <w:rFonts w:ascii="Arial" w:cs="Arial" w:eastAsia="Arial" w:hAnsi="Arial"/>
          <w:sz w:val="12"/>
          <w:szCs w:val="12"/>
          <w:u w:val="single" w:color="auto"/>
          <w:color w:val="auto"/>
        </w:rPr>
        <w:t>Section 5.8</w:t>
      </w:r>
      <w:r>
        <w:rPr>
          <w:rFonts w:ascii="Arial" w:cs="Arial" w:eastAsia="Arial" w:hAnsi="Arial"/>
          <w:sz w:val="12"/>
          <w:szCs w:val="12"/>
          <w:color w:val="auto"/>
        </w:rPr>
        <w:t>.</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94" w:name="page195"/>
    <w:bookmarkEnd w:id="194"/>
    <w:p>
      <w:pPr>
        <w:jc w:val="both"/>
        <w:ind w:firstLine="432"/>
        <w:spacing w:after="0" w:line="279" w:lineRule="auto"/>
        <w:rPr>
          <w:sz w:val="20"/>
          <w:szCs w:val="20"/>
          <w:color w:val="auto"/>
        </w:rPr>
      </w:pPr>
      <w:r>
        <w:rPr>
          <w:rFonts w:ascii="Arial" w:cs="Arial" w:eastAsia="Arial" w:hAnsi="Arial"/>
          <w:sz w:val="11"/>
          <w:szCs w:val="11"/>
          <w:color w:val="auto"/>
        </w:rPr>
        <w:t xml:space="preserve">5.9. </w:t>
      </w:r>
      <w:r>
        <w:rPr>
          <w:rFonts w:ascii="Arial" w:cs="Arial" w:eastAsia="Arial" w:hAnsi="Arial"/>
          <w:sz w:val="11"/>
          <w:szCs w:val="11"/>
          <w:u w:val="single" w:color="auto"/>
          <w:color w:val="auto"/>
        </w:rPr>
        <w:t>Governing Law</w:t>
      </w:r>
      <w:r>
        <w:rPr>
          <w:rFonts w:ascii="Arial" w:cs="Arial" w:eastAsia="Arial" w:hAnsi="Arial"/>
          <w:sz w:val="11"/>
          <w:szCs w:val="11"/>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5.10. </w:t>
      </w:r>
      <w:r>
        <w:rPr>
          <w:rFonts w:ascii="Arial" w:cs="Arial" w:eastAsia="Arial" w:hAnsi="Arial"/>
          <w:sz w:val="12"/>
          <w:szCs w:val="12"/>
          <w:u w:val="single" w:color="auto"/>
          <w:color w:val="auto"/>
        </w:rPr>
        <w:t>Survival</w:t>
      </w:r>
      <w:r>
        <w:rPr>
          <w:rFonts w:ascii="Arial" w:cs="Arial" w:eastAsia="Arial" w:hAnsi="Arial"/>
          <w:sz w:val="12"/>
          <w:szCs w:val="12"/>
          <w:color w:val="auto"/>
        </w:rPr>
        <w:t>. The representations and warranties contained herein shall survive the Closing and the delivery of the Securities.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5.11. </w:t>
      </w:r>
      <w:r>
        <w:rPr>
          <w:rFonts w:ascii="Arial" w:cs="Arial" w:eastAsia="Arial" w:hAnsi="Arial"/>
          <w:sz w:val="11"/>
          <w:szCs w:val="11"/>
          <w:u w:val="single" w:color="auto"/>
          <w:color w:val="auto"/>
        </w:rPr>
        <w:t>Execution</w:t>
      </w:r>
      <w:r>
        <w:rPr>
          <w:rFonts w:ascii="Arial" w:cs="Arial" w:eastAsia="Arial" w:hAnsi="Arial"/>
          <w:sz w:val="11"/>
          <w:szCs w:val="11"/>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fax or by e-mail delivery of a “.pdf” format data file, such signature shall create a valid and binding obligation of the party executing (or on whose behalf such signature is executed) with the same force and effect as if such fax or “.pdf” signature page were an original thereof.</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5.12.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2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5.13. </w:t>
      </w:r>
      <w:r>
        <w:rPr>
          <w:rFonts w:ascii="Arial" w:cs="Arial" w:eastAsia="Arial" w:hAnsi="Arial"/>
          <w:sz w:val="11"/>
          <w:szCs w:val="11"/>
          <w:u w:val="single" w:color="auto"/>
          <w:color w:val="auto"/>
        </w:rPr>
        <w:t>Remedies</w:t>
      </w:r>
      <w:r>
        <w:rPr>
          <w:rFonts w:ascii="Arial" w:cs="Arial" w:eastAsia="Arial" w:hAnsi="Arial"/>
          <w:sz w:val="11"/>
          <w:szCs w:val="11"/>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Notwithstanding anything to the contrary contained in (and without limiting any similar provisions of) any of the other Transaction Documents, whenever the Purchaser exercises a right, election, demand or option under a Transaction Document (other than under the Subscription Agreement with respect to the purchase of the Securities)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Warrants, the Company shall return to the Purchaser any aggregate exercise, conversion or other purchase price paid to the Company with respect to such exercise and the Company shall restore the Purchaser’s right to acquire the Warrant Shares pursuant to the exercise of Purchaser’s Warrants (including, issuance of a replacement Warrant certificate evidencing such restored right). For the absence of doubt, nothing contained in this Section 5.13 shall authorize or permit the Purchaser to rescind or withdraw the Purchaser’s obligation to purchase or the Company’s agreement to accept the purchase of Securities under the Subscription Agreement, which obligations shall not be subject to any rescission right of the Purchaser. For the avoidance of doubt, the Purchaser shall not have any rescission or withdrawal rights under this Section 5.13, for an exercise request (and only for such particular exercise request) if the Company issues and delivers Warrant Shares to the Purchaser prior to the Purchaser’s invocation of such rescission or withdrawal rights. Notwithstanding the foregoing, the invocation or lack of invocation of any Purchaser’s rescission or withdrawal rights under this Section 5.13, shall not prohibit or affect such Purchaser’s rights under this Section 5.13 relating to any subsequent exercise request.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5" w:name="page196"/>
    <w:bookmarkEnd w:id="195"/>
    <w:p>
      <w:pPr>
        <w:jc w:val="both"/>
        <w:ind w:right="20" w:firstLine="432"/>
        <w:spacing w:after="0" w:line="263" w:lineRule="auto"/>
        <w:rPr>
          <w:sz w:val="20"/>
          <w:szCs w:val="20"/>
          <w:color w:val="auto"/>
        </w:rPr>
      </w:pPr>
      <w:r>
        <w:rPr>
          <w:rFonts w:ascii="Arial" w:cs="Arial" w:eastAsia="Arial" w:hAnsi="Arial"/>
          <w:sz w:val="12"/>
          <w:szCs w:val="12"/>
          <w:color w:val="auto"/>
        </w:rPr>
        <w:t xml:space="preserve">5.14. </w:t>
      </w:r>
      <w:r>
        <w:rPr>
          <w:rFonts w:ascii="Arial" w:cs="Arial" w:eastAsia="Arial" w:hAnsi="Arial"/>
          <w:sz w:val="12"/>
          <w:szCs w:val="12"/>
          <w:u w:val="single" w:color="auto"/>
          <w:color w:val="auto"/>
        </w:rPr>
        <w:t>Independent Nature of Purchasers’ Obligations and Rights</w:t>
      </w:r>
      <w:r>
        <w:rPr>
          <w:rFonts w:ascii="Arial" w:cs="Arial" w:eastAsia="Arial" w:hAnsi="Arial"/>
          <w:sz w:val="12"/>
          <w:szCs w:val="12"/>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Each Purchaser has been represented by its own separate legal counsel in its review and negotiation of the Transaction Documents.</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5.15. </w:t>
      </w:r>
      <w:r>
        <w:rPr>
          <w:rFonts w:ascii="Arial" w:cs="Arial" w:eastAsia="Arial" w:hAnsi="Arial"/>
          <w:sz w:val="12"/>
          <w:szCs w:val="12"/>
          <w:u w:val="single" w:color="auto"/>
          <w:color w:val="auto"/>
        </w:rPr>
        <w:t>Saturdays, Sundays, Holidays, etc</w:t>
      </w:r>
      <w:r>
        <w:rPr>
          <w:rFonts w:ascii="Arial" w:cs="Arial" w:eastAsia="Arial" w:hAnsi="Arial"/>
          <w:sz w:val="12"/>
          <w:szCs w:val="1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5.16. 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pages immediately follow.]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96" w:name="page197"/>
    <w:bookmarkEnd w:id="196"/>
    <w:p>
      <w:pPr>
        <w:ind w:left="420"/>
        <w:spacing w:after="0"/>
        <w:rPr>
          <w:sz w:val="20"/>
          <w:szCs w:val="20"/>
          <w:color w:val="auto"/>
        </w:rPr>
      </w:pPr>
      <w:r>
        <w:rPr>
          <w:rFonts w:ascii="Arial" w:cs="Arial" w:eastAsia="Arial" w:hAnsi="Arial"/>
          <w:sz w:val="10"/>
          <w:szCs w:val="10"/>
          <w:color w:val="auto"/>
        </w:rPr>
        <w:t>IN WITNESS WHEREOF, the parties hereto have caused this Subscription Agreement to be duly executed by their respective authorized signatories as of the date first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By:______________________</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Address for notice:</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4483735"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483735" cy="1143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With a copy to (which shall not constitute notice):</w:t>
      </w:r>
    </w:p>
    <w:p>
      <w:pPr>
        <w:spacing w:after="0" w:line="294" w:lineRule="exact"/>
        <w:rPr>
          <w:sz w:val="20"/>
          <w:szCs w:val="20"/>
          <w:color w:val="auto"/>
        </w:rPr>
      </w:pPr>
    </w:p>
    <w:p>
      <w:pPr>
        <w:jc w:val="center"/>
        <w:ind w:right="-1220"/>
        <w:spacing w:after="0"/>
        <w:rPr>
          <w:sz w:val="20"/>
          <w:szCs w:val="20"/>
          <w:color w:val="auto"/>
        </w:rPr>
      </w:pPr>
      <w:r>
        <w:rPr>
          <w:rFonts w:ascii="Arial" w:cs="Arial" w:eastAsia="Arial" w:hAnsi="Arial"/>
          <w:sz w:val="12"/>
          <w:szCs w:val="12"/>
          <w:i w:val="1"/>
          <w:iCs w:val="1"/>
          <w:color w:val="auto"/>
        </w:rPr>
        <w:t>[Purchaser signature pages immediately follow.]</w:t>
      </w:r>
    </w:p>
    <w:p>
      <w:pPr>
        <w:spacing w:after="0" w:line="105"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92" w:right="1440" w:bottom="1440" w:gutter="0" w:footer="0" w:header="0"/>
        </w:sectPr>
      </w:pPr>
    </w:p>
    <w:bookmarkStart w:id="197" w:name="page198"/>
    <w:bookmarkEnd w:id="197"/>
    <w:p>
      <w:pPr>
        <w:ind w:left="3740"/>
        <w:spacing w:after="0"/>
        <w:rPr>
          <w:sz w:val="20"/>
          <w:szCs w:val="20"/>
          <w:color w:val="auto"/>
        </w:rPr>
      </w:pPr>
      <w:r>
        <w:rPr>
          <w:rFonts w:ascii="Arial" w:cs="Arial" w:eastAsia="Arial" w:hAnsi="Arial"/>
          <w:sz w:val="12"/>
          <w:szCs w:val="12"/>
          <w:i w:val="1"/>
          <w:iCs w:val="1"/>
          <w:color w:val="auto"/>
        </w:rPr>
        <w:t>[Purchaser signature pages to Vistagen Therapeutics, Inc. Subscription Agreement]</w:t>
      </w:r>
    </w:p>
    <w:p>
      <w:pPr>
        <w:spacing w:after="0" w:line="150" w:lineRule="exact"/>
        <w:rPr>
          <w:sz w:val="20"/>
          <w:szCs w:val="20"/>
          <w:color w:val="auto"/>
        </w:rPr>
      </w:pPr>
    </w:p>
    <w:p>
      <w:pPr>
        <w:ind w:right="1019" w:firstLine="432"/>
        <w:spacing w:after="0" w:line="501" w:lineRule="auto"/>
        <w:rPr>
          <w:sz w:val="20"/>
          <w:szCs w:val="20"/>
          <w:color w:val="auto"/>
        </w:rPr>
      </w:pPr>
      <w:r>
        <w:rPr>
          <w:rFonts w:ascii="Arial" w:cs="Arial" w:eastAsia="Arial" w:hAnsi="Arial"/>
          <w:sz w:val="12"/>
          <w:szCs w:val="12"/>
          <w:color w:val="auto"/>
        </w:rPr>
        <w:t>IN WITNESS WHEREOF, the undersigned have caused this Subscription Agreement to be duly executed by their respective authorized signatories as of the date first indicated above. Subscription Amount: $ _____________</w:t>
      </w:r>
    </w:p>
    <w:p>
      <w:pPr>
        <w:spacing w:after="0"/>
        <w:rPr>
          <w:sz w:val="20"/>
          <w:szCs w:val="20"/>
          <w:color w:val="auto"/>
        </w:rPr>
      </w:pPr>
      <w:r>
        <w:rPr>
          <w:rFonts w:ascii="Arial" w:cs="Arial" w:eastAsia="Arial" w:hAnsi="Arial"/>
          <w:sz w:val="12"/>
          <w:szCs w:val="12"/>
          <w:color w:val="auto"/>
        </w:rPr>
        <w:t>No. of shares of Common Stock: _____________________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No. of Warrants: ________________________________________________________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Name of Purchaser: ________________________________________________________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Signature of Authorized Signatory of Purchaser: 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Name of Authorized Signatory: 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Title of Authorized Signatory: ________________________________________________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Email Address of Authorized Signatory:_________________________________________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Fax Number of Authorized Signatory: 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Soc. Sec./Tax ID No.: _______________________________________________________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Address for Notice to Purchaser: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Address for Delivery of Securities to Purchaser (if not same as address for notice):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w:t>
      </w:r>
    </w:p>
    <w:p>
      <w:pPr>
        <w:sectPr>
          <w:pgSz w:w="11900" w:h="16838" w:orient="portrait"/>
          <w:cols w:equalWidth="0" w:num="1">
            <w:col w:w="10239"/>
          </w:cols>
          <w:pgMar w:left="220" w:top="392"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12"/>
          <w:szCs w:val="12"/>
          <w:b w:val="1"/>
          <w:bCs w:val="1"/>
          <w:color w:val="auto"/>
        </w:rPr>
        <w:t>Exhibit 10.107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 OF WARRANT TO PURCHASE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SHARES OF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Expires August __, 201_</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No.: ________________ Number of Shares: _________</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August __, 2014</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VALUE RECEIVED, subject to the provisions hereinafter set forth, the undersigned, VISTAGEN THERAPEUTICS, INC., a Nevada corporation (together with its successors and assigns, the “</w:t>
      </w:r>
      <w:r>
        <w:rPr>
          <w:rFonts w:ascii="Arial" w:cs="Arial" w:eastAsia="Arial" w:hAnsi="Arial"/>
          <w:sz w:val="11"/>
          <w:szCs w:val="11"/>
          <w:u w:val="single" w:color="auto"/>
          <w:color w:val="auto"/>
        </w:rPr>
        <w:t>Issuer</w:t>
      </w:r>
      <w:r>
        <w:rPr>
          <w:rFonts w:ascii="Arial" w:cs="Arial" w:eastAsia="Arial" w:hAnsi="Arial"/>
          <w:sz w:val="11"/>
          <w:szCs w:val="11"/>
          <w:color w:val="auto"/>
        </w:rPr>
        <w:t>”), hereby certifies that</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 or its registered assigns, is entitled to subscribe for and purchase, during the period specified in this Warrant, up to _____________________ (___________) shares (subject to adjustment as hereinafter</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provided) of the duly authorized, validly issued, fully paid and non-assessable Common Stock of the Issuer, at an exercise price per share equal to the Warrant Price then in effect, subject, however, to the provisions and upon the terms and conditions hereinafter set forth. Capitalized terms used in this Warrant and not otherwise defined herein shall have the respective meanings specified in </w:t>
      </w:r>
      <w:r>
        <w:rPr>
          <w:rFonts w:ascii="Arial" w:cs="Arial" w:eastAsia="Arial" w:hAnsi="Arial"/>
          <w:sz w:val="12"/>
          <w:szCs w:val="12"/>
          <w:u w:val="single" w:color="auto"/>
          <w:color w:val="0000EE"/>
        </w:rPr>
        <w:t>Article 7</w:t>
      </w:r>
      <w:r>
        <w:rPr>
          <w:rFonts w:ascii="Arial" w:cs="Arial" w:eastAsia="Arial" w:hAnsi="Arial"/>
          <w:sz w:val="12"/>
          <w:szCs w:val="12"/>
          <w:color w:val="auto"/>
        </w:rPr>
        <w:t xml:space="preserve"> hereof.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0" w:type="dxa"/>
            <w:vAlign w:val="bottom"/>
          </w:tcPr>
          <w:p>
            <w:pPr>
              <w:ind w:left="3780"/>
              <w:spacing w:after="0"/>
              <w:rPr>
                <w:sz w:val="20"/>
                <w:szCs w:val="20"/>
                <w:color w:val="auto"/>
              </w:rPr>
            </w:pPr>
            <w:r>
              <w:rPr>
                <w:rFonts w:ascii="Arial" w:cs="Arial" w:eastAsia="Arial" w:hAnsi="Arial"/>
                <w:sz w:val="12"/>
                <w:szCs w:val="12"/>
                <w:b w:val="1"/>
                <w:bCs w:val="1"/>
                <w:color w:val="auto"/>
                <w:w w:val="97"/>
              </w:rPr>
              <w:t>ARTICLE 1 - Term</w:t>
            </w:r>
          </w:p>
        </w:tc>
      </w:tr>
      <w:tr>
        <w:trPr>
          <w:trHeight w:val="279"/>
        </w:trPr>
        <w:tc>
          <w:tcPr>
            <w:tcW w:w="1420" w:type="dxa"/>
            <w:vAlign w:val="bottom"/>
          </w:tcPr>
          <w:p>
            <w:pPr>
              <w:spacing w:after="0"/>
              <w:rPr>
                <w:sz w:val="20"/>
                <w:szCs w:val="20"/>
                <w:color w:val="auto"/>
              </w:rPr>
            </w:pPr>
            <w:r>
              <w:rPr>
                <w:rFonts w:ascii="Arial" w:cs="Arial" w:eastAsia="Arial" w:hAnsi="Arial"/>
                <w:sz w:val="12"/>
                <w:szCs w:val="12"/>
                <w:color w:val="auto"/>
              </w:rPr>
              <w:t>Section 1.1</w:t>
            </w:r>
          </w:p>
        </w:tc>
        <w:tc>
          <w:tcPr>
            <w:tcW w:w="5040" w:type="dxa"/>
            <w:vAlign w:val="bottom"/>
            <w:gridSpan w:val="2"/>
          </w:tcPr>
          <w:p>
            <w:pPr>
              <w:spacing w:after="0"/>
              <w:rPr>
                <w:sz w:val="20"/>
                <w:szCs w:val="20"/>
                <w:color w:val="auto"/>
              </w:rPr>
            </w:pPr>
            <w:r>
              <w:rPr>
                <w:rFonts w:ascii="Arial" w:cs="Arial" w:eastAsia="Arial" w:hAnsi="Arial"/>
                <w:sz w:val="12"/>
                <w:szCs w:val="12"/>
                <w:color w:val="auto"/>
              </w:rPr>
              <w:t>Term</w:t>
            </w:r>
          </w:p>
        </w:tc>
      </w:tr>
      <w:tr>
        <w:trPr>
          <w:trHeight w:val="20"/>
        </w:trPr>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right to subscribe for and purchase shares of Warrant Stock represented hereby shall commence on August __, 2014 (the “</w:t>
      </w:r>
      <w:r>
        <w:rPr>
          <w:rFonts w:ascii="Arial" w:cs="Arial" w:eastAsia="Arial" w:hAnsi="Arial"/>
          <w:sz w:val="12"/>
          <w:szCs w:val="12"/>
          <w:u w:val="single" w:color="auto"/>
          <w:color w:val="auto"/>
        </w:rPr>
        <w:t>Commencement Date</w:t>
      </w:r>
      <w:r>
        <w:rPr>
          <w:rFonts w:ascii="Arial" w:cs="Arial" w:eastAsia="Arial" w:hAnsi="Arial"/>
          <w:sz w:val="12"/>
          <w:szCs w:val="12"/>
          <w:color w:val="auto"/>
        </w:rPr>
        <w:t>”) and shall expire at 5:00 p.m., Eastern Time, on August __, 201_ (such period being the “</w:t>
      </w:r>
      <w:r>
        <w:rPr>
          <w:rFonts w:ascii="Arial" w:cs="Arial" w:eastAsia="Arial" w:hAnsi="Arial"/>
          <w:sz w:val="12"/>
          <w:szCs w:val="12"/>
          <w:u w:val="single" w:color="auto"/>
          <w:color w:val="auto"/>
        </w:rPr>
        <w:t>Term</w:t>
      </w:r>
      <w:r>
        <w:rPr>
          <w:rFonts w:ascii="Arial" w:cs="Arial" w:eastAsia="Arial" w:hAnsi="Arial"/>
          <w:sz w:val="12"/>
          <w:szCs w:val="12"/>
          <w:color w:val="auto"/>
        </w:rPr>
        <w: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ARTICLE 2 - Method of Exercise; Issuance of New Warrant; Transfer and Exchange.</w:t>
      </w:r>
    </w:p>
    <w:p>
      <w:pPr>
        <w:spacing w:after="0" w:line="172"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Section 2.1</w:t>
      </w:r>
      <w:r>
        <w:rPr>
          <w:sz w:val="20"/>
          <w:szCs w:val="20"/>
          <w:color w:val="auto"/>
        </w:rPr>
        <w:tab/>
      </w:r>
      <w:r>
        <w:rPr>
          <w:rFonts w:ascii="Arial" w:cs="Arial" w:eastAsia="Arial" w:hAnsi="Arial"/>
          <w:sz w:val="11"/>
          <w:szCs w:val="11"/>
          <w:u w:val="single" w:color="auto"/>
          <w:color w:val="auto"/>
        </w:rPr>
        <w:t>Time of Exercise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purchase rights represented by this Warrant may be exercised in whole or in part at any time and from time to time during the Term commencing on the Commencement Date.</w:t>
      </w: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color w:val="auto"/>
        </w:rPr>
        <w:t>Section 2.2</w:t>
      </w:r>
      <w:r>
        <w:rPr>
          <w:sz w:val="20"/>
          <w:szCs w:val="20"/>
          <w:color w:val="auto"/>
        </w:rPr>
        <w:tab/>
      </w:r>
      <w:r>
        <w:rPr>
          <w:rFonts w:ascii="Arial" w:cs="Arial" w:eastAsia="Arial" w:hAnsi="Arial"/>
          <w:sz w:val="10"/>
          <w:szCs w:val="10"/>
          <w:u w:val="single" w:color="auto"/>
          <w:color w:val="auto"/>
        </w:rPr>
        <w:t>Method of Exercise</w:t>
      </w:r>
    </w:p>
    <w:p>
      <w:pPr>
        <w:spacing w:after="0" w:line="3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Holder hereof may exercise this Warrant, in whole or in part by the payment to the Issuer of an amount of consideration therefor equal to the Warrant Price in effect on the date of such exercise multiplied by the number of shares of Warrant Stock with respect to which this Warrant is then being exercised, payable at such Holder’s election (i) by certified or official bank check or by wire transfer to an account designated by the Issuer, (ii) by “cashless exercise” in accordance with the provisions of </w:t>
      </w:r>
      <w:r>
        <w:rPr>
          <w:rFonts w:ascii="Arial" w:cs="Arial" w:eastAsia="Arial" w:hAnsi="Arial"/>
          <w:sz w:val="12"/>
          <w:szCs w:val="12"/>
          <w:u w:val="single" w:color="auto"/>
          <w:color w:val="0000EE"/>
        </w:rPr>
        <w:t>Section 2.3</w:t>
      </w:r>
      <w:r>
        <w:rPr>
          <w:rFonts w:ascii="Arial" w:cs="Arial" w:eastAsia="Arial" w:hAnsi="Arial"/>
          <w:sz w:val="12"/>
          <w:szCs w:val="12"/>
          <w:color w:val="auto"/>
        </w:rPr>
        <w:t xml:space="preserve"> below, or (iii) by a combination of the foregoing methods of payment selected by the Holder of this Warrant. The Holder need not surrender this Warrant upon exercise (other than an exercise in whole), but shall provide notice of such exercise by e-mail, fax or other transmission substantially in the form attached hereto.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99" w:name="page200"/>
    <w:bookmarkEnd w:id="199"/>
    <w:p>
      <w:pPr>
        <w:spacing w:after="0"/>
        <w:tabs>
          <w:tab w:leader="none" w:pos="1360" w:val="left"/>
        </w:tabs>
        <w:rPr>
          <w:sz w:val="20"/>
          <w:szCs w:val="20"/>
          <w:color w:val="auto"/>
        </w:rPr>
      </w:pPr>
      <w:r>
        <w:rPr>
          <w:rFonts w:ascii="Arial" w:cs="Arial" w:eastAsia="Arial" w:hAnsi="Arial"/>
          <w:sz w:val="12"/>
          <w:szCs w:val="12"/>
          <w:color w:val="auto"/>
        </w:rPr>
        <w:t>Section 2.3</w:t>
      </w:r>
      <w:r>
        <w:rPr>
          <w:sz w:val="20"/>
          <w:szCs w:val="20"/>
          <w:color w:val="auto"/>
        </w:rPr>
        <w:tab/>
      </w:r>
      <w:r>
        <w:rPr>
          <w:rFonts w:ascii="Arial" w:cs="Arial" w:eastAsia="Arial" w:hAnsi="Arial"/>
          <w:sz w:val="10"/>
          <w:szCs w:val="10"/>
          <w:u w:val="single" w:color="auto"/>
          <w:color w:val="auto"/>
        </w:rPr>
        <w:t>Cashless Exercise</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Notwithstanding any provisions herein to the contrary, at any time following the Original Issue Date, if the Per Share Market Value of one share of Common Stock is greater than the Warrant Price (at the date of calculation as set forth below), the Holder may exercise this Warrant by a cashless exercise,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cashless exercise of this Warrant shall be permitted only if the resale by the Holder of the shares of Common Stock to be issued upon exercise of the Warrant is not registered under an effective registration statement filed by the Issuer with the U.S. Securities and Exchange Commission (“SEC”).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gridSpan w:val="3"/>
          </w:tcPr>
          <w:p>
            <w:pPr>
              <w:ind w:left="420"/>
              <w:spacing w:after="0"/>
              <w:rPr>
                <w:sz w:val="20"/>
                <w:szCs w:val="20"/>
                <w:color w:val="auto"/>
              </w:rPr>
            </w:pPr>
            <w:r>
              <w:rPr>
                <w:rFonts w:ascii="Arial" w:cs="Arial" w:eastAsia="Arial" w:hAnsi="Arial"/>
                <w:sz w:val="12"/>
                <w:szCs w:val="12"/>
                <w:color w:val="auto"/>
              </w:rPr>
              <w:t>X = Y - (A)(Y)</w:t>
            </w:r>
          </w:p>
        </w:tc>
        <w:tc>
          <w:tcPr>
            <w:tcW w:w="140" w:type="dxa"/>
            <w:vAlign w:val="bottom"/>
          </w:tcPr>
          <w:p>
            <w:pPr>
              <w:spacing w:after="0"/>
              <w:rPr>
                <w:sz w:val="12"/>
                <w:szCs w:val="12"/>
                <w:color w:val="auto"/>
              </w:rPr>
            </w:pPr>
          </w:p>
        </w:tc>
        <w:tc>
          <w:tcPr>
            <w:tcW w:w="8820" w:type="dxa"/>
            <w:vAlign w:val="bottom"/>
            <w:gridSpan w:val="2"/>
            <w:vMerge w:val="restart"/>
          </w:tcPr>
          <w:p>
            <w:pPr>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Where</w:t>
            </w: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X =</w:t>
            </w:r>
          </w:p>
        </w:tc>
        <w:tc>
          <w:tcPr>
            <w:tcW w:w="8960" w:type="dxa"/>
            <w:vAlign w:val="bottom"/>
            <w:gridSpan w:val="3"/>
          </w:tcPr>
          <w:p>
            <w:pPr>
              <w:ind w:left="60"/>
              <w:spacing w:after="0"/>
              <w:rPr>
                <w:sz w:val="20"/>
                <w:szCs w:val="20"/>
                <w:color w:val="auto"/>
              </w:rPr>
            </w:pPr>
            <w:r>
              <w:rPr>
                <w:rFonts w:ascii="Arial" w:cs="Arial" w:eastAsia="Arial" w:hAnsi="Arial"/>
                <w:sz w:val="12"/>
                <w:szCs w:val="12"/>
                <w:color w:val="auto"/>
              </w:rPr>
              <w:t>the number of shares of Common Stock to be issued to the Holder.</w:t>
            </w: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Y =</w:t>
            </w:r>
          </w:p>
        </w:tc>
        <w:tc>
          <w:tcPr>
            <w:tcW w:w="8960" w:type="dxa"/>
            <w:vAlign w:val="bottom"/>
            <w:gridSpan w:val="3"/>
          </w:tcPr>
          <w:p>
            <w:pPr>
              <w:ind w:left="60"/>
              <w:spacing w:after="0"/>
              <w:rPr>
                <w:sz w:val="20"/>
                <w:szCs w:val="20"/>
                <w:color w:val="auto"/>
              </w:rPr>
            </w:pPr>
            <w:r>
              <w:rPr>
                <w:rFonts w:ascii="Arial" w:cs="Arial" w:eastAsia="Arial" w:hAnsi="Arial"/>
                <w:sz w:val="12"/>
                <w:szCs w:val="12"/>
                <w:color w:val="auto"/>
                <w:w w:val="90"/>
              </w:rPr>
              <w:t>the number of shares of Common Stock purchasable upon exercise of all of the Warrant or, if only a portion of the Warrant is being exercised, the portion of the Warrant being exercised.</w:t>
            </w: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color w:val="auto"/>
              </w:rPr>
              <w:t>A =</w:t>
            </w:r>
          </w:p>
        </w:tc>
        <w:tc>
          <w:tcPr>
            <w:tcW w:w="8960" w:type="dxa"/>
            <w:vAlign w:val="bottom"/>
            <w:gridSpan w:val="3"/>
          </w:tcPr>
          <w:p>
            <w:pPr>
              <w:ind w:left="60"/>
              <w:spacing w:after="0"/>
              <w:rPr>
                <w:sz w:val="20"/>
                <w:szCs w:val="20"/>
                <w:color w:val="auto"/>
              </w:rPr>
            </w:pPr>
            <w:r>
              <w:rPr>
                <w:rFonts w:ascii="Arial" w:cs="Arial" w:eastAsia="Arial" w:hAnsi="Arial"/>
                <w:sz w:val="12"/>
                <w:szCs w:val="12"/>
                <w:color w:val="auto"/>
              </w:rPr>
              <w:t>the Warrant Price.</w:t>
            </w:r>
          </w:p>
        </w:tc>
        <w:tc>
          <w:tcPr>
            <w:tcW w:w="0" w:type="dxa"/>
            <w:vAlign w:val="bottom"/>
          </w:tcPr>
          <w:p>
            <w:pPr>
              <w:spacing w:after="0"/>
              <w:rPr>
                <w:sz w:val="1"/>
                <w:szCs w:val="1"/>
                <w:color w:val="auto"/>
              </w:rPr>
            </w:pPr>
          </w:p>
        </w:tc>
      </w:tr>
      <w:tr>
        <w:trPr>
          <w:trHeight w:val="306"/>
        </w:trPr>
        <w:tc>
          <w:tcPr>
            <w:tcW w:w="820" w:type="dxa"/>
            <w:vAlign w:val="bottom"/>
          </w:tcPr>
          <w:p>
            <w:pPr>
              <w:ind w:left="420"/>
              <w:spacing w:after="0"/>
              <w:rPr>
                <w:sz w:val="20"/>
                <w:szCs w:val="20"/>
                <w:color w:val="auto"/>
              </w:rPr>
            </w:pPr>
            <w:r>
              <w:rPr>
                <w:rFonts w:ascii="Arial" w:cs="Arial" w:eastAsia="Arial" w:hAnsi="Arial"/>
                <w:sz w:val="12"/>
                <w:szCs w:val="12"/>
                <w:color w:val="auto"/>
              </w:rPr>
              <w:t>B =</w:t>
            </w:r>
          </w:p>
        </w:tc>
        <w:tc>
          <w:tcPr>
            <w:tcW w:w="9360" w:type="dxa"/>
            <w:vAlign w:val="bottom"/>
            <w:gridSpan w:val="5"/>
          </w:tcPr>
          <w:p>
            <w:pPr>
              <w:ind w:left="120"/>
              <w:spacing w:after="0"/>
              <w:rPr>
                <w:sz w:val="20"/>
                <w:szCs w:val="20"/>
                <w:color w:val="auto"/>
              </w:rPr>
            </w:pPr>
            <w:r>
              <w:rPr>
                <w:rFonts w:ascii="Arial" w:cs="Arial" w:eastAsia="Arial" w:hAnsi="Arial"/>
                <w:sz w:val="12"/>
                <w:szCs w:val="12"/>
                <w:color w:val="auto"/>
              </w:rPr>
              <w:t>the Per Share Market Value of one share of Common Stock.</w:t>
            </w:r>
          </w:p>
        </w:tc>
        <w:tc>
          <w:tcPr>
            <w:tcW w:w="0" w:type="dxa"/>
            <w:vAlign w:val="bottom"/>
          </w:tcPr>
          <w:p>
            <w:pPr>
              <w:spacing w:after="0"/>
              <w:rPr>
                <w:sz w:val="1"/>
                <w:szCs w:val="1"/>
                <w:color w:val="auto"/>
              </w:rPr>
            </w:pPr>
          </w:p>
        </w:tc>
      </w:tr>
      <w:tr>
        <w:trPr>
          <w:trHeight w:val="279"/>
        </w:trPr>
        <w:tc>
          <w:tcPr>
            <w:tcW w:w="820" w:type="dxa"/>
            <w:vAlign w:val="bottom"/>
          </w:tcPr>
          <w:p>
            <w:pPr>
              <w:spacing w:after="0"/>
              <w:rPr>
                <w:sz w:val="20"/>
                <w:szCs w:val="20"/>
                <w:color w:val="auto"/>
              </w:rPr>
            </w:pPr>
            <w:r>
              <w:rPr>
                <w:rFonts w:ascii="Arial" w:cs="Arial" w:eastAsia="Arial" w:hAnsi="Arial"/>
                <w:sz w:val="12"/>
                <w:szCs w:val="12"/>
                <w:color w:val="auto"/>
              </w:rPr>
              <w:t>Section 2.4</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Issuance of Stock Certificates</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the event of any exercise of the rights represented by this Warrant in accordance with and subject to the terms and conditions hereof: (i) certificates for the shares of Warrant Stock so purchased shall be dated the date of such exercise and delivered to the Holder hereof within a reasonable time, not exceeding three (3) Trading Days after such exercise (the “</w:t>
      </w:r>
      <w:r>
        <w:rPr>
          <w:rFonts w:ascii="Arial" w:cs="Arial" w:eastAsia="Arial" w:hAnsi="Arial"/>
          <w:sz w:val="12"/>
          <w:szCs w:val="12"/>
          <w:u w:val="single" w:color="auto"/>
          <w:color w:val="auto"/>
        </w:rPr>
        <w:t>Delivery Date</w:t>
      </w:r>
      <w:r>
        <w:rPr>
          <w:rFonts w:ascii="Arial" w:cs="Arial" w:eastAsia="Arial" w:hAnsi="Arial"/>
          <w:sz w:val="12"/>
          <w:szCs w:val="12"/>
          <w:color w:val="auto"/>
        </w:rPr>
        <w:t>”) or, at the request of the Holder, issued and delivered to the Depository Trust Company (“</w:t>
      </w:r>
      <w:r>
        <w:rPr>
          <w:rFonts w:ascii="Arial" w:cs="Arial" w:eastAsia="Arial" w:hAnsi="Arial"/>
          <w:sz w:val="12"/>
          <w:szCs w:val="12"/>
          <w:u w:val="single" w:color="auto"/>
          <w:color w:val="auto"/>
        </w:rPr>
        <w:t>DTC</w:t>
      </w:r>
      <w:r>
        <w:rPr>
          <w:rFonts w:ascii="Arial" w:cs="Arial" w:eastAsia="Arial" w:hAnsi="Arial"/>
          <w:sz w:val="12"/>
          <w:szCs w:val="12"/>
          <w:color w:val="auto"/>
        </w:rPr>
        <w:t>”) account on the Holder’s behalf via the Deposit Withdrawal Agent Commission System (“</w:t>
      </w:r>
      <w:r>
        <w:rPr>
          <w:rFonts w:ascii="Arial" w:cs="Arial" w:eastAsia="Arial" w:hAnsi="Arial"/>
          <w:sz w:val="12"/>
          <w:szCs w:val="12"/>
          <w:u w:val="single" w:color="auto"/>
          <w:color w:val="auto"/>
        </w:rPr>
        <w:t>DWAC</w:t>
      </w:r>
      <w:r>
        <w:rPr>
          <w:rFonts w:ascii="Arial" w:cs="Arial" w:eastAsia="Arial" w:hAnsi="Arial"/>
          <w:sz w:val="12"/>
          <w:szCs w:val="12"/>
          <w:color w:val="auto"/>
        </w:rPr>
        <w:t>”) within a reasonable time, not exceeding three (3) Trading Days after such exercise, and the Holder hereof shall be deemed for all purposes to be the Holder of the shares of Warrant Stock so purchased as of the date of such exercise, and (ii) unless this Warrant has expired, a new Warrant representing the number of shares of Warrant Stock, if any, with respect to which this Warrant shall not then have been exercised (less any amount thereof which shall have been canceled in payment or partial payment of the Warrant Price as hereinabove provided) shall also be issued to the Holder hereof at the Issuer’s expense within such time.</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color w:val="auto"/>
        </w:rPr>
        <w:t>Section 2.5</w:t>
      </w:r>
      <w:r>
        <w:rPr>
          <w:sz w:val="20"/>
          <w:szCs w:val="20"/>
          <w:color w:val="auto"/>
        </w:rPr>
        <w:tab/>
      </w:r>
      <w:r>
        <w:rPr>
          <w:rFonts w:ascii="Arial" w:cs="Arial" w:eastAsia="Arial" w:hAnsi="Arial"/>
          <w:sz w:val="11"/>
          <w:szCs w:val="11"/>
          <w:u w:val="single" w:color="auto"/>
          <w:color w:val="auto"/>
        </w:rPr>
        <w:t>Transferability of Warrant</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0000EE"/>
        </w:rPr>
        <w:t>Section 2.7</w:t>
      </w:r>
      <w:r>
        <w:rPr>
          <w:rFonts w:ascii="Arial" w:cs="Arial" w:eastAsia="Arial" w:hAnsi="Arial"/>
          <w:sz w:val="11"/>
          <w:szCs w:val="11"/>
          <w:color w:val="auto"/>
        </w:rPr>
        <w:t>, this Warrant may be transferred by the Holder without the consent of the Issuer. If transferred pursuant to this paragraph, this Warrant may be transferred on the books of the Issuer by the Holder hereof in person or by the Holder’s duly authorized attorney, upon surrender of this Warrant at the principal office of the Issuer, properly endorsed (by the Holder executing an assignment in the form attached hereto) and upon payment of any necessary transfer tax or other governmental charge imposed upon such transfer. This Warrant is exchangeable at the principal office of the Issuer for Warrants for the purchase of the same aggregate number of shares of Warrant Stock, each new Warrant to represent the right to purchase such number of shares of Warrant Stock as the Holder hereof shall designate at the time of such exchange. All Warrants issued on transfers or exchanges shall be dated the Original Issue Date and shall be identical with this Warrant except as to the number of shares of Warrant Stock issuable pursuant hereto.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0" w:name="page201"/>
    <w:bookmarkEnd w:id="200"/>
    <w:p>
      <w:pPr>
        <w:spacing w:after="0"/>
        <w:tabs>
          <w:tab w:leader="none" w:pos="1340" w:val="left"/>
        </w:tabs>
        <w:rPr>
          <w:sz w:val="20"/>
          <w:szCs w:val="20"/>
          <w:color w:val="auto"/>
        </w:rPr>
      </w:pPr>
      <w:r>
        <w:rPr>
          <w:rFonts w:ascii="Arial" w:cs="Arial" w:eastAsia="Arial" w:hAnsi="Arial"/>
          <w:sz w:val="12"/>
          <w:szCs w:val="12"/>
          <w:color w:val="auto"/>
        </w:rPr>
        <w:t>Section 2.6</w:t>
      </w:r>
      <w:r>
        <w:rPr>
          <w:sz w:val="20"/>
          <w:szCs w:val="20"/>
          <w:color w:val="auto"/>
        </w:rPr>
        <w:tab/>
      </w:r>
      <w:r>
        <w:rPr>
          <w:rFonts w:ascii="Arial" w:cs="Arial" w:eastAsia="Arial" w:hAnsi="Arial"/>
          <w:sz w:val="11"/>
          <w:szCs w:val="11"/>
          <w:u w:val="single" w:color="auto"/>
          <w:color w:val="auto"/>
        </w:rPr>
        <w:t>Continuing Rights of Holder</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The Issuer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such Holder shall fail to make any such request, the failure shall not affect the continuing obligation of the Issuer to afford such rights to such Holder.</w:t>
      </w:r>
    </w:p>
    <w:p>
      <w:pPr>
        <w:spacing w:after="0" w:line="141"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color w:val="auto"/>
        </w:rPr>
        <w:t>Section 2.7</w:t>
      </w:r>
      <w:r>
        <w:rPr>
          <w:sz w:val="20"/>
          <w:szCs w:val="20"/>
          <w:color w:val="auto"/>
        </w:rPr>
        <w:tab/>
      </w:r>
      <w:r>
        <w:rPr>
          <w:rFonts w:ascii="Arial" w:cs="Arial" w:eastAsia="Arial" w:hAnsi="Arial"/>
          <w:sz w:val="10"/>
          <w:szCs w:val="10"/>
          <w:u w:val="single" w:color="auto"/>
          <w:color w:val="auto"/>
        </w:rPr>
        <w:t>Compliance with Securities Laws</w:t>
      </w:r>
    </w:p>
    <w:p>
      <w:pPr>
        <w:spacing w:after="0" w:line="1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2.7.1 The Holder of this Warrant, by acceptance hereof, acknowledges that this Warrant and the shares of Warrant Stock to be issued upon exercise hereof are being acquired solely for the Holder’s own account and not as a nominee for any other party, and for investment, and that the Holder will not offer, sell or otherwise dispose of this Warrant or any shares of Warrant Stock to be issued upon exercise hereof except pursuant to an effective registration statement, or an exemption from registration, under the Securities Act and any applicable state securities laws.</w:t>
      </w:r>
    </w:p>
    <w:p>
      <w:pPr>
        <w:spacing w:after="0" w:line="15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2.7.2 The restrictions imposed by this </w:t>
      </w:r>
      <w:r>
        <w:rPr>
          <w:rFonts w:ascii="Arial" w:cs="Arial" w:eastAsia="Arial" w:hAnsi="Arial"/>
          <w:sz w:val="11"/>
          <w:szCs w:val="11"/>
          <w:u w:val="single" w:color="auto"/>
          <w:color w:val="0000EE"/>
        </w:rPr>
        <w:t>Section 2.7</w:t>
      </w:r>
      <w:r>
        <w:rPr>
          <w:rFonts w:ascii="Arial" w:cs="Arial" w:eastAsia="Arial" w:hAnsi="Arial"/>
          <w:sz w:val="11"/>
          <w:szCs w:val="11"/>
          <w:color w:val="auto"/>
        </w:rPr>
        <w:t xml:space="preserve"> upon the transfer of this Warrant or the shares of Warrant Stock to be purchased upon exercise hereof shall terminate (A) when such securities shall have been resold pursuant to an effective registration statement under the Securities Act, (B) upon the Issuer’s receipt of an opinion of counsel, in form and substance reasonably satisfactory to the Issuer, addressed to the Issuer to the effect that such restrictions are no longer required to ensure compliance with the Securities Act and state securities laws or (C) upon the Issuer’s receipt of other evidence reasonably satisfactory to the Issuer that such registration and qualification under the Securities Act and state securities laws are not required. Whenever such restrictions shall cease and terminate as to any such securities, the Holder thereof shall be entitled to receive from the Issuer (or its transfer agent and registrar), without expense (other than applicable transfer taxes, if any), new Warrants (or, in the case of shares of Warrant Stock, new stock certificates) of like tenor not bearing the applicable legend in the event such the shares of Warrant Stock represented by the new Warrants can continue to be resold pursuant to an effective registration statement under the Securities Act, or can otherwise be resold pursuant to an exemption from registration thereunder.</w:t>
      </w:r>
    </w:p>
    <w:p>
      <w:pPr>
        <w:spacing w:after="0" w:line="132"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color w:val="auto"/>
        </w:rPr>
        <w:t>Section 2.8</w:t>
      </w:r>
      <w:r>
        <w:rPr>
          <w:sz w:val="20"/>
          <w:szCs w:val="20"/>
          <w:color w:val="auto"/>
        </w:rPr>
        <w:tab/>
      </w:r>
      <w:r>
        <w:rPr>
          <w:rFonts w:ascii="Arial" w:cs="Arial" w:eastAsia="Arial" w:hAnsi="Arial"/>
          <w:sz w:val="11"/>
          <w:szCs w:val="11"/>
          <w:u w:val="single" w:color="auto"/>
          <w:color w:val="auto"/>
        </w:rPr>
        <w:t>Buy In</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In addition to any other rights available to the Holder, if the Issuer fails to cause its transfer agent to transmit to the Holder a certificate or certificates representing the Warrant Stock pursuant to an exercise on or before the Delivery Date, and if after such date the Holder is required by its broker to purchase (in an open market transaction or otherwise) shares of Common Stock to deliver in satisfaction of a sale by the Holder of the Warrant Stock which the Holder anticipated receiving upon such exercise (a “</w:t>
      </w:r>
      <w:r>
        <w:rPr>
          <w:rFonts w:ascii="Arial" w:cs="Arial" w:eastAsia="Arial" w:hAnsi="Arial"/>
          <w:sz w:val="11"/>
          <w:szCs w:val="11"/>
          <w:u w:val="single" w:color="auto"/>
          <w:color w:val="auto"/>
        </w:rPr>
        <w:t>Buy-In</w:t>
      </w:r>
      <w:r>
        <w:rPr>
          <w:rFonts w:ascii="Arial" w:cs="Arial" w:eastAsia="Arial" w:hAnsi="Arial"/>
          <w:sz w:val="11"/>
          <w:szCs w:val="11"/>
          <w:color w:val="auto"/>
        </w:rPr>
        <w:t>”), then the Issuer shall (1) pay in cash to the Holder the amount by which (x) the Holder’s total purchase price (including brokerage commissions, if any) for the shares of Common Stock so purchased exceeds (y) the amount obtained by multiplying (A) the number of shares of Warrant Stock that the Issuer was required to deliver to the Holder in connection with the exercise at issue times, (B) the price at which the sell order giving rise to such purchase obligation was executed, and (2) at the option of the Holder, either reinstate the portion of the Warrant and equivalent number of shares of Warrant Stock for which such exercise was not honored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Issuer shall be required to pay the Holder $1,000. The Holder shall provide the Issuer written notice indicating the amounts payable to the Holder in respect of the Buy-In,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Common Stock upon exercise of this Warrant as required pursuant to the terms hereof.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1" w:name="page202"/>
    <w:bookmarkEnd w:id="201"/>
    <w:p>
      <w:pPr>
        <w:jc w:val="center"/>
        <w:ind w:right="-199"/>
        <w:spacing w:after="0"/>
        <w:rPr>
          <w:sz w:val="20"/>
          <w:szCs w:val="20"/>
          <w:color w:val="auto"/>
        </w:rPr>
      </w:pPr>
      <w:r>
        <w:rPr>
          <w:rFonts w:ascii="Arial" w:cs="Arial" w:eastAsia="Arial" w:hAnsi="Arial"/>
          <w:sz w:val="12"/>
          <w:szCs w:val="12"/>
          <w:b w:val="1"/>
          <w:bCs w:val="1"/>
          <w:color w:val="auto"/>
        </w:rPr>
        <w:t>ARTICLE 3 - Stock Fully Paid; Reservation and Listing of Shares; Covenants</w:t>
      </w:r>
    </w:p>
    <w:p>
      <w:pPr>
        <w:spacing w:after="0" w:line="172"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color w:val="auto"/>
        </w:rPr>
        <w:t>Section 3.1</w:t>
      </w:r>
      <w:r>
        <w:rPr>
          <w:sz w:val="20"/>
          <w:szCs w:val="20"/>
          <w:color w:val="auto"/>
        </w:rPr>
        <w:tab/>
      </w:r>
      <w:r>
        <w:rPr>
          <w:rFonts w:ascii="Arial" w:cs="Arial" w:eastAsia="Arial" w:hAnsi="Arial"/>
          <w:sz w:val="11"/>
          <w:szCs w:val="11"/>
          <w:u w:val="single" w:color="auto"/>
          <w:color w:val="auto"/>
        </w:rPr>
        <w:t>Stock Fully Paid</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Issuer represents, warrants, covenants and agrees that all shares of Warrant Stock which may be issued upon the exercise of this Warrant or otherwise hereunder will, upon issuance, be duly authorized, validly issued, fully paid and non-assessable and free from all taxes, liens and charges created by or through Issuer. The Issuer further covenants and agrees that during the period within which this Warrant may be exercised, the Issuer will at all times have authorized and reserved for the purpose of the issue upon exercise of this Warrant a number of shares of Common Stock equal to at least 100% of the aggregate number of shares of Common Stock exercisable hereunder to provide for the exercise of this Warrant (without regard to limitations on exercisability set forth in </w:t>
      </w:r>
      <w:r>
        <w:rPr>
          <w:rFonts w:ascii="Arial" w:cs="Arial" w:eastAsia="Arial" w:hAnsi="Arial"/>
          <w:sz w:val="12"/>
          <w:szCs w:val="12"/>
          <w:u w:val="single" w:color="auto"/>
          <w:color w:val="0000EE"/>
        </w:rPr>
        <w:t>Article 7</w:t>
      </w:r>
      <w:r>
        <w:rPr>
          <w:rFonts w:ascii="Arial" w:cs="Arial" w:eastAsia="Arial" w:hAnsi="Arial"/>
          <w:sz w:val="12"/>
          <w:szCs w:val="12"/>
          <w:color w:val="auto"/>
        </w:rPr>
        <w:t>).</w:t>
      </w:r>
    </w:p>
    <w:p>
      <w:pPr>
        <w:spacing w:after="0" w:line="143"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color w:val="auto"/>
        </w:rPr>
        <w:t>Section 3.2</w:t>
      </w:r>
      <w:r>
        <w:rPr>
          <w:sz w:val="20"/>
          <w:szCs w:val="20"/>
          <w:color w:val="auto"/>
        </w:rPr>
        <w:tab/>
      </w:r>
      <w:r>
        <w:rPr>
          <w:rFonts w:ascii="Arial" w:cs="Arial" w:eastAsia="Arial" w:hAnsi="Arial"/>
          <w:sz w:val="10"/>
          <w:szCs w:val="10"/>
          <w:u w:val="single" w:color="auto"/>
          <w:color w:val="auto"/>
        </w:rPr>
        <w:t>Reservation</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any shares of Common Stock required to be reserved for issuance upon exercise of this Warrant or as otherwise provided hereunder require registration or qualification with any governmental authority under any federal or state law before such shares may be so issued, the Issuer will in good faith use its best efforts as expeditiously as possible at its expense to cause such shares to be duly registered or qualified. If the Issuer shall list any shares of Common Stock on any securities exchange or market it will, at its expense, list thereon, maintain and increase when necessary such listing, of, all shares of Warrant Stock from time to time issued upon exercise of this Warrant or as otherwise provided hereunder, and, to the extent permissible under the applicable securities exchange’s rules, all unissued shares of Warrant Stock which are at any time issuable hereunder, so long as any shares of Common Stock shall be so listed. The Issuer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Issuer.</w:t>
      </w:r>
    </w:p>
    <w:p>
      <w:pPr>
        <w:spacing w:after="0" w:line="147"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color w:val="auto"/>
        </w:rPr>
        <w:t>Section 3.3</w:t>
      </w:r>
      <w:r>
        <w:rPr>
          <w:sz w:val="20"/>
          <w:szCs w:val="20"/>
          <w:color w:val="auto"/>
        </w:rPr>
        <w:tab/>
      </w:r>
      <w:r>
        <w:rPr>
          <w:rFonts w:ascii="Arial" w:cs="Arial" w:eastAsia="Arial" w:hAnsi="Arial"/>
          <w:sz w:val="10"/>
          <w:szCs w:val="10"/>
          <w:u w:val="single" w:color="auto"/>
          <w:color w:val="auto"/>
        </w:rPr>
        <w:t>Covenants</w:t>
      </w:r>
    </w:p>
    <w:p>
      <w:pPr>
        <w:spacing w:after="0" w:line="16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The Issuer shall not by any action including, without limitation, amending the Articles of Incorporation or the by-laws of the Issuer, or through any reorganization, transfer of assets, consolidation, merger, dissolution, issue or sale of securities or any other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hereof against dilution (to the extent specifically provided herein) or impairment. Without limiting the generality of the foregoing, the Issuer will (i) not permit the par value, if any, of its Common Stock to exceed the then effective Warrant Price, (ii) not amend or modify any provision of the Articles of Incorporation or by-laws of the Issuer in any manner that would adversely affect the rights of the Holders of the Warrants, (iii) take all such action as may be reasonably necessary in order that the Issuer may validly and legally issue fully paid and nonassessable shares of Common Stock, free and clear of any liens, claims, encumbrances and restrictions upon the exercise of this Warrant, and (iv) use its best efforts to obtain all such authorizations, exemptions or consents from any public regulatory body having jurisdiction thereof as may be reasonably necessary to enable the Issuer to perform its obligations under this Warrant. The Issuer shall cause its Common Stock to continue to be registered under Section 12(g) or Section 12(b) of the Exchange Act and to comply in all respects with its reporting and filing obligations under the Exchange Act. The Issuer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Issuer shall provide, at the Issuer’s expense, such legal opinions in the future as are appropriate and necessary for the issuance and resale of the Common Stock issuable upon exercise of this Warrant pursuant to an effective registration statement, Rule 144 under the Securities Act or an exemption from registration. In the event that such shares of Common Stock issuable upon exercise of this Warrant are sold in a manner that complies with an exemption from registration, the Issuer shall promptly cause its counsel (at the Issuer’s expense) to issue to the Holder and the Issuer’s transfer agent an opinion permitting removal of the legend to permit sales of the shares of Common Stock issuable upon exercise of this Warrant under Rule 144 of the Securities Act.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permit such termination. The Issuer shall cause its Common Stock to be eligible for transfer pursuant to the Depository Trust Issuer Automated Securities Transfer Program at all times.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02" w:name="page203"/>
    <w:bookmarkEnd w:id="202"/>
    <w:p>
      <w:pPr>
        <w:spacing w:after="0"/>
        <w:tabs>
          <w:tab w:leader="none" w:pos="1320" w:val="left"/>
        </w:tabs>
        <w:rPr>
          <w:sz w:val="20"/>
          <w:szCs w:val="20"/>
          <w:color w:val="auto"/>
        </w:rPr>
      </w:pPr>
      <w:r>
        <w:rPr>
          <w:rFonts w:ascii="Arial" w:cs="Arial" w:eastAsia="Arial" w:hAnsi="Arial"/>
          <w:sz w:val="12"/>
          <w:szCs w:val="12"/>
          <w:color w:val="auto"/>
        </w:rPr>
        <w:t>Section 3.4</w:t>
      </w:r>
      <w:r>
        <w:rPr>
          <w:sz w:val="20"/>
          <w:szCs w:val="20"/>
          <w:color w:val="auto"/>
        </w:rPr>
        <w:tab/>
      </w:r>
      <w:r>
        <w:rPr>
          <w:rFonts w:ascii="Arial" w:cs="Arial" w:eastAsia="Arial" w:hAnsi="Arial"/>
          <w:sz w:val="10"/>
          <w:szCs w:val="10"/>
          <w:u w:val="single" w:color="auto"/>
          <w:color w:val="auto"/>
        </w:rPr>
        <w:t>Loss, Theft, Destruction of Warrants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Upon receipt of evidence satisfactory to the Issuer of the ownership of and the loss, theft, destruction or mutilation of any Warrant and, in the case of any such loss, theft or destruction, upon receipt of indemnity or security satisfactory to the Issuer or, in the case of any such mutilation, upon surrender and cancellation of such Warrant, the Issuer will make and deliver, in lieu of such lost, stolen, destroyed or mutilated Warrant, a new Warrant of like tenor and representing the right to purchase the same number of shares of Common Stock.</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ARTICLE 4 - Adjustment of Warrant Price and Warrant Share Number</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The number of shares of Common Stock for which this Warrant is exercisable, and the price at which such shares may be purchased upon exercise of this Warrant, shall be subject to adjustment from time to time as set forth in this </w:t>
      </w:r>
      <w:r>
        <w:rPr>
          <w:rFonts w:ascii="Arial" w:cs="Arial" w:eastAsia="Arial" w:hAnsi="Arial"/>
          <w:sz w:val="12"/>
          <w:szCs w:val="12"/>
          <w:u w:val="single" w:color="auto"/>
          <w:color w:val="0000EE"/>
        </w:rPr>
        <w:t>Article 4</w:t>
      </w:r>
      <w:r>
        <w:rPr>
          <w:rFonts w:ascii="Arial" w:cs="Arial" w:eastAsia="Arial" w:hAnsi="Arial"/>
          <w:sz w:val="12"/>
          <w:szCs w:val="12"/>
          <w:color w:val="000000"/>
        </w:rPr>
        <w:t>. The Issuer shall give the Holder notice of any event described below which requires an adjustment pursuant to this</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Article 4</w:t>
      </w:r>
      <w:r>
        <w:rPr>
          <w:rFonts w:ascii="Arial" w:cs="Arial" w:eastAsia="Arial" w:hAnsi="Arial"/>
          <w:sz w:val="12"/>
          <w:szCs w:val="12"/>
          <w:color w:val="0000EE"/>
        </w:rPr>
        <w:t xml:space="preserve"> </w:t>
      </w:r>
      <w:r>
        <w:rPr>
          <w:rFonts w:ascii="Arial" w:cs="Arial" w:eastAsia="Arial" w:hAnsi="Arial"/>
          <w:sz w:val="12"/>
          <w:szCs w:val="12"/>
          <w:color w:val="000000"/>
        </w:rPr>
        <w:t>in accordance with</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Article 5</w:t>
      </w:r>
      <w:r>
        <w:rPr>
          <w:rFonts w:ascii="Arial" w:cs="Arial" w:eastAsia="Arial" w:hAnsi="Arial"/>
          <w:sz w:val="12"/>
          <w:szCs w:val="12"/>
          <w:color w:val="000000"/>
        </w:rPr>
        <w:t>. Notwithstanding any adjustment hereunder, at no time shall the Warrant</w:t>
      </w:r>
      <w:r>
        <w:rPr>
          <w:rFonts w:ascii="Arial" w:cs="Arial" w:eastAsia="Arial" w:hAnsi="Arial"/>
          <w:sz w:val="12"/>
          <w:szCs w:val="12"/>
          <w:color w:val="0000EE"/>
        </w:rPr>
        <w:t xml:space="preserve"> </w:t>
      </w:r>
      <w:r>
        <w:rPr>
          <w:rFonts w:ascii="Arial" w:cs="Arial" w:eastAsia="Arial" w:hAnsi="Arial"/>
          <w:sz w:val="12"/>
          <w:szCs w:val="12"/>
          <w:color w:val="000000"/>
        </w:rPr>
        <w:t xml:space="preserve">Price be increased, except if it is adjusted pursuant to </w:t>
      </w:r>
      <w:r>
        <w:rPr>
          <w:rFonts w:ascii="Arial" w:cs="Arial" w:eastAsia="Arial" w:hAnsi="Arial"/>
          <w:sz w:val="12"/>
          <w:szCs w:val="12"/>
          <w:u w:val="single" w:color="auto"/>
          <w:color w:val="000000"/>
        </w:rPr>
        <w:t>Section</w:t>
      </w:r>
      <w:r>
        <w:rPr>
          <w:rFonts w:ascii="Arial" w:cs="Arial" w:eastAsia="Arial" w:hAnsi="Arial"/>
          <w:sz w:val="12"/>
          <w:szCs w:val="12"/>
          <w:color w:val="000000"/>
        </w:rPr>
        <w:t xml:space="preserve"> </w:t>
      </w:r>
      <w:r>
        <w:rPr>
          <w:rFonts w:ascii="Arial" w:cs="Arial" w:eastAsia="Arial" w:hAnsi="Arial"/>
          <w:sz w:val="12"/>
          <w:szCs w:val="12"/>
          <w:u w:val="single" w:color="auto"/>
          <w:color w:val="0000EE"/>
        </w:rPr>
        <w:t>4.2.3</w:t>
      </w:r>
      <w:r>
        <w:rPr>
          <w:rFonts w:ascii="Arial" w:cs="Arial" w:eastAsia="Arial" w:hAnsi="Arial"/>
          <w:sz w:val="12"/>
          <w:szCs w:val="12"/>
          <w:color w:val="000000"/>
        </w:rPr>
        <w:t>.</w:t>
      </w:r>
    </w:p>
    <w:p>
      <w:pPr>
        <w:spacing w:after="0" w:line="141"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color w:val="auto"/>
        </w:rPr>
        <w:t>Section 4.1</w:t>
      </w:r>
      <w:r>
        <w:rPr>
          <w:sz w:val="20"/>
          <w:szCs w:val="20"/>
          <w:color w:val="auto"/>
        </w:rPr>
        <w:tab/>
      </w:r>
      <w:r>
        <w:rPr>
          <w:rFonts w:ascii="Arial" w:cs="Arial" w:eastAsia="Arial" w:hAnsi="Arial"/>
          <w:sz w:val="10"/>
          <w:szCs w:val="10"/>
          <w:u w:val="single" w:color="auto"/>
          <w:color w:val="auto"/>
        </w:rPr>
        <w:t>Recapitalization, Reorganization, Reclassification, Consolidation, Merger or Sale.</w:t>
      </w:r>
    </w:p>
    <w:p>
      <w:pPr>
        <w:spacing w:after="0" w:line="18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4.1.1 In case the Issuer after the Original Issue Date shall do any of the following (each, a “</w:t>
      </w:r>
      <w:r>
        <w:rPr>
          <w:rFonts w:ascii="Arial" w:cs="Arial" w:eastAsia="Arial" w:hAnsi="Arial"/>
          <w:sz w:val="11"/>
          <w:szCs w:val="11"/>
          <w:u w:val="single" w:color="auto"/>
          <w:color w:val="auto"/>
        </w:rPr>
        <w:t>Triggering Event</w:t>
      </w:r>
      <w:r>
        <w:rPr>
          <w:rFonts w:ascii="Arial" w:cs="Arial" w:eastAsia="Arial" w:hAnsi="Arial"/>
          <w:sz w:val="11"/>
          <w:szCs w:val="11"/>
          <w:color w:val="auto"/>
        </w:rPr>
        <w:t xml:space="preserve">”): (a) consolidate with or merge into any other Person and the Issuer shall not be the continuing or surviving corporation of such consolidation or merger, or (b) permit any other Person to consolidate with or merge into the Issuer and the Issuer shall be the continuing or surviving Person but, in connection with such consolidation or merger, any Capital Stock of the Issuer shall be changed into or exchanged for Securities of any other Person or cash or any other property, or (c) transfer all or substantially all of its properties or assets to any other Person, or (d) effect a capital reorganization or reclassification of its Capital Stock, then, and in the case of each such Triggering Event, proper provision shall be made so that, upon the basis and the terms and in the manner provided in this Warrant, the Holder of this Warrant shall be entitled upon the exercise hereof at any time after the consummation of such Triggering Event, to the extent this Warrant is not exercised prior to such Triggering Event, to receive at the Warrant Price in effect at the time immediately prior to the consummation of such Triggering Event in lieu of the Common Stock issuable upon such exercise of this Warrant prior to such Triggering Event, the Securities, cash and property to which such Holder would have been entitled upon the consummation of such Triggering Event if such Holder had exercised the rights represented by this Warrant immediately prior thereto (including the right to elect the type of consideration, if applicable), subject to adjustments (subsequent to such corporate action) as nearly equivalent as possible to the adjustments provided for elsewhere in this </w:t>
      </w:r>
      <w:r>
        <w:rPr>
          <w:rFonts w:ascii="Arial" w:cs="Arial" w:eastAsia="Arial" w:hAnsi="Arial"/>
          <w:sz w:val="11"/>
          <w:szCs w:val="11"/>
          <w:u w:val="single" w:color="auto"/>
          <w:color w:val="0000EE"/>
        </w:rPr>
        <w:t>Article 4</w:t>
      </w:r>
      <w:r>
        <w:rPr>
          <w:rFonts w:ascii="Arial" w:cs="Arial" w:eastAsia="Arial" w:hAnsi="Arial"/>
          <w:sz w:val="11"/>
          <w:szCs w:val="11"/>
          <w:color w:val="auto"/>
        </w:rPr>
        <w:t>. Unless the surviving entity in any such Triggering Event is a public company under the Securities Exchange Act of 1934, the common equity securities of which are traded or quoted on a national securities exchange or the OTC Markets (a “</w:t>
      </w:r>
      <w:r>
        <w:rPr>
          <w:rFonts w:ascii="Arial" w:cs="Arial" w:eastAsia="Arial" w:hAnsi="Arial"/>
          <w:sz w:val="11"/>
          <w:szCs w:val="11"/>
          <w:u w:val="single" w:color="auto"/>
          <w:color w:val="auto"/>
        </w:rPr>
        <w:t>Qualifying Entity</w:t>
      </w:r>
      <w:r>
        <w:rPr>
          <w:rFonts w:ascii="Arial" w:cs="Arial" w:eastAsia="Arial" w:hAnsi="Arial"/>
          <w:sz w:val="11"/>
          <w:szCs w:val="11"/>
          <w:color w:val="auto"/>
        </w:rPr>
        <w:t>”), the Holder, at its option, shall be permitted to require that the Company pay to the Holder an amount equal to the Black-Scholes value of this Warrant.</w:t>
      </w:r>
    </w:p>
    <w:p>
      <w:pPr>
        <w:spacing w:after="0" w:line="15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4.1.2 Notwithstanding anything contained in this Warrant to the contrary and so long as the surviving entity is a Qualifying Entity, the Issuer will not be deemed to have effected any Triggering Event if, prior to the consummation thereof, each Person (other than the Issuer) which may be required to deliver any Securities, cash or property upon the exercise of this Warrant as provided herein shall assume, by written instrument delivered to the Holder of this Warrant and reasonably satisfactory to the Holder, (A) the obligations of the Issuer under this Warrant (and if the Issuer shall survive the consummation of such Triggering Event, such assumption shall be in addition to, and shall not release the Issuer from, any continuing obligations of the Issuer under this Warrant) and (B) the obligation to deliver to such Holder such shares of Securities, cash or property as, in accordance with the foregoing provisions of this </w:t>
      </w:r>
      <w:r>
        <w:rPr>
          <w:rFonts w:ascii="Arial" w:cs="Arial" w:eastAsia="Arial" w:hAnsi="Arial"/>
          <w:sz w:val="11"/>
          <w:szCs w:val="11"/>
          <w:u w:val="single" w:color="auto"/>
          <w:color w:val="0000EE"/>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0000EE"/>
        </w:rPr>
        <w:t>4.1</w:t>
      </w:r>
      <w:r>
        <w:rPr>
          <w:rFonts w:ascii="Arial" w:cs="Arial" w:eastAsia="Arial" w:hAnsi="Arial"/>
          <w:sz w:val="11"/>
          <w:szCs w:val="11"/>
          <w:color w:val="000000"/>
        </w:rPr>
        <w:t>, such Holder shall be entitled to receive, and such Person shall have similarly delivered to such Holder, an opinion of counsel for such Person, which shall be reasonably satisfactory to the Holder, stating that this Warrant shall thereafter</w:t>
      </w:r>
      <w:r>
        <w:rPr>
          <w:rFonts w:ascii="Arial" w:cs="Arial" w:eastAsia="Arial" w:hAnsi="Arial"/>
          <w:sz w:val="11"/>
          <w:szCs w:val="11"/>
          <w:color w:val="0000EE"/>
        </w:rPr>
        <w:t xml:space="preserve"> </w:t>
      </w:r>
      <w:r>
        <w:rPr>
          <w:rFonts w:ascii="Arial" w:cs="Arial" w:eastAsia="Arial" w:hAnsi="Arial"/>
          <w:sz w:val="11"/>
          <w:szCs w:val="11"/>
          <w:color w:val="000000"/>
        </w:rPr>
        <w:t xml:space="preserve">continue in full force and effect and the terms hereof (including, without limitation, all of the provisions of this subsection </w:t>
      </w:r>
      <w:r>
        <w:rPr>
          <w:rFonts w:ascii="Arial" w:cs="Arial" w:eastAsia="Arial" w:hAnsi="Arial"/>
          <w:sz w:val="11"/>
          <w:szCs w:val="11"/>
          <w:u w:val="single" w:color="auto"/>
          <w:color w:val="0000EE"/>
        </w:rPr>
        <w:t>Section 4.1</w:t>
      </w:r>
      <w:r>
        <w:rPr>
          <w:rFonts w:ascii="Arial" w:cs="Arial" w:eastAsia="Arial" w:hAnsi="Arial"/>
          <w:sz w:val="11"/>
          <w:szCs w:val="11"/>
          <w:color w:val="000000"/>
        </w:rPr>
        <w:t>) shall be applicable to the Securities, cash or property which such Person may be required to deliver upon any exercise of this Warrant or the exercise of any rights pursuant 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3" w:name="page204"/>
    <w:bookmarkEnd w:id="203"/>
    <w:p>
      <w:pPr>
        <w:ind w:left="8"/>
        <w:spacing w:after="0"/>
        <w:tabs>
          <w:tab w:leader="none" w:pos="1308" w:val="left"/>
        </w:tabs>
        <w:rPr>
          <w:sz w:val="20"/>
          <w:szCs w:val="20"/>
          <w:color w:val="auto"/>
        </w:rPr>
      </w:pPr>
      <w:r>
        <w:rPr>
          <w:rFonts w:ascii="Arial" w:cs="Arial" w:eastAsia="Arial" w:hAnsi="Arial"/>
          <w:sz w:val="12"/>
          <w:szCs w:val="12"/>
          <w:color w:val="auto"/>
        </w:rPr>
        <w:t>Section 4.2</w:t>
      </w:r>
      <w:r>
        <w:rPr>
          <w:sz w:val="20"/>
          <w:szCs w:val="20"/>
          <w:color w:val="auto"/>
        </w:rPr>
        <w:tab/>
      </w:r>
      <w:r>
        <w:rPr>
          <w:rFonts w:ascii="Arial" w:cs="Arial" w:eastAsia="Arial" w:hAnsi="Arial"/>
          <w:sz w:val="10"/>
          <w:szCs w:val="10"/>
          <w:u w:val="single" w:color="auto"/>
          <w:color w:val="auto"/>
        </w:rPr>
        <w:t>Stock Dividends, Subdivisions and Combinations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at any time the Issuer shall:</w:t>
      </w:r>
    </w:p>
    <w:p>
      <w:pPr>
        <w:spacing w:after="0" w:line="186"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2"/>
          <w:szCs w:val="12"/>
          <w:color w:val="auto"/>
        </w:rPr>
        <w:t>4.2.1</w:t>
      </w:r>
      <w:r>
        <w:rPr>
          <w:sz w:val="20"/>
          <w:szCs w:val="20"/>
          <w:color w:val="auto"/>
        </w:rPr>
        <w:tab/>
      </w:r>
      <w:r>
        <w:rPr>
          <w:rFonts w:ascii="Arial" w:cs="Arial" w:eastAsia="Arial" w:hAnsi="Arial"/>
          <w:sz w:val="10"/>
          <w:szCs w:val="10"/>
          <w:color w:val="auto"/>
        </w:rPr>
        <w:t>set a record date or take a record of the holders of its Common Stock for the purpose of entitling them to receive a dividend payable in, or other distribution of, shares of Common Stock,</w:t>
      </w:r>
    </w:p>
    <w:p>
      <w:pPr>
        <w:spacing w:after="0" w:line="186"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2"/>
          <w:szCs w:val="12"/>
          <w:color w:val="auto"/>
        </w:rPr>
        <w:t>4.2.2</w:t>
      </w:r>
      <w:r>
        <w:rPr>
          <w:sz w:val="20"/>
          <w:szCs w:val="20"/>
          <w:color w:val="auto"/>
        </w:rPr>
        <w:tab/>
      </w:r>
      <w:r>
        <w:rPr>
          <w:rFonts w:ascii="Arial" w:cs="Arial" w:eastAsia="Arial" w:hAnsi="Arial"/>
          <w:sz w:val="10"/>
          <w:szCs w:val="10"/>
          <w:color w:val="auto"/>
        </w:rPr>
        <w:t>subdivide its outstanding shares of Common Stock into a larger number of shares of Common Stock, or</w:t>
      </w:r>
    </w:p>
    <w:p>
      <w:pPr>
        <w:spacing w:after="0" w:line="186"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2"/>
          <w:szCs w:val="12"/>
          <w:color w:val="auto"/>
        </w:rPr>
        <w:t>4.2.3</w:t>
      </w:r>
      <w:r>
        <w:rPr>
          <w:sz w:val="20"/>
          <w:szCs w:val="20"/>
          <w:color w:val="auto"/>
        </w:rPr>
        <w:tab/>
      </w:r>
      <w:r>
        <w:rPr>
          <w:rFonts w:ascii="Arial" w:cs="Arial" w:eastAsia="Arial" w:hAnsi="Arial"/>
          <w:sz w:val="10"/>
          <w:szCs w:val="10"/>
          <w:color w:val="auto"/>
        </w:rPr>
        <w:t>combine its outstanding shares of Common Stock into a smaller number of shares of Common Stock,</w:t>
      </w:r>
    </w:p>
    <w:p>
      <w:pPr>
        <w:spacing w:after="0" w:line="16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then (1) the number of shares of Common Stock for which this Warrant is exercisable immediately after the occurrence of any such event shall be adjusted to equal the number of shares of Common Stock which a record holder of the same number of shares of Common Stock for which this Warrant is exercisable immediately prior to the occurrence of such event (without giving effect to </w:t>
      </w:r>
      <w:r>
        <w:rPr>
          <w:rFonts w:ascii="Arial" w:cs="Arial" w:eastAsia="Arial" w:hAnsi="Arial"/>
          <w:sz w:val="12"/>
          <w:szCs w:val="12"/>
          <w:u w:val="single" w:color="auto"/>
          <w:color w:val="0000EE"/>
        </w:rPr>
        <w:t>Article 7</w:t>
      </w:r>
      <w:r>
        <w:rPr>
          <w:rFonts w:ascii="Arial" w:cs="Arial" w:eastAsia="Arial" w:hAnsi="Arial"/>
          <w:sz w:val="12"/>
          <w:szCs w:val="12"/>
          <w:color w:val="auto"/>
        </w:rPr>
        <w:t xml:space="preserve"> hereof) would own or be entitled to receive after the happening of such event,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spacing w:after="0" w:line="143" w:lineRule="exact"/>
        <w:rPr>
          <w:sz w:val="20"/>
          <w:szCs w:val="20"/>
          <w:color w:val="auto"/>
        </w:rPr>
      </w:pPr>
    </w:p>
    <w:p>
      <w:pPr>
        <w:ind w:left="8"/>
        <w:spacing w:after="0"/>
        <w:tabs>
          <w:tab w:leader="none" w:pos="1308" w:val="left"/>
        </w:tabs>
        <w:rPr>
          <w:sz w:val="20"/>
          <w:szCs w:val="20"/>
          <w:color w:val="auto"/>
        </w:rPr>
      </w:pPr>
      <w:r>
        <w:rPr>
          <w:rFonts w:ascii="Arial" w:cs="Arial" w:eastAsia="Arial" w:hAnsi="Arial"/>
          <w:sz w:val="12"/>
          <w:szCs w:val="12"/>
          <w:color w:val="auto"/>
        </w:rPr>
        <w:t>Section 4.3</w:t>
      </w:r>
      <w:r>
        <w:rPr>
          <w:sz w:val="20"/>
          <w:szCs w:val="20"/>
          <w:color w:val="auto"/>
        </w:rPr>
        <w:tab/>
      </w:r>
      <w:r>
        <w:rPr>
          <w:rFonts w:ascii="Arial" w:cs="Arial" w:eastAsia="Arial" w:hAnsi="Arial"/>
          <w:sz w:val="11"/>
          <w:szCs w:val="11"/>
          <w:u w:val="single" w:color="auto"/>
          <w:color w:val="auto"/>
        </w:rPr>
        <w:t>Other Provisions Applicable to Adjustments under this Article</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In computing adjustments under this </w:t>
      </w:r>
      <w:r>
        <w:rPr>
          <w:rFonts w:ascii="Arial" w:cs="Arial" w:eastAsia="Arial" w:hAnsi="Arial"/>
          <w:sz w:val="12"/>
          <w:szCs w:val="12"/>
          <w:u w:val="single" w:color="auto"/>
          <w:color w:val="0000EE"/>
        </w:rPr>
        <w:t>Article 4</w:t>
      </w:r>
      <w:r>
        <w:rPr>
          <w:rFonts w:ascii="Arial" w:cs="Arial" w:eastAsia="Arial" w:hAnsi="Arial"/>
          <w:sz w:val="12"/>
          <w:szCs w:val="12"/>
          <w:color w:val="auto"/>
        </w:rPr>
        <w:t>, fractional interests in Common Stock shall be taken into account to the nearest one one-hundredth (1/100</w:t>
      </w:r>
      <w:r>
        <w:rPr>
          <w:rFonts w:ascii="Arial" w:cs="Arial" w:eastAsia="Arial" w:hAnsi="Arial"/>
          <w:sz w:val="16"/>
          <w:szCs w:val="16"/>
          <w:color w:val="auto"/>
          <w:vertAlign w:val="superscript"/>
        </w:rPr>
        <w:t>th</w:t>
      </w:r>
      <w:r>
        <w:rPr>
          <w:rFonts w:ascii="Arial" w:cs="Arial" w:eastAsia="Arial" w:hAnsi="Arial"/>
          <w:sz w:val="12"/>
          <w:szCs w:val="12"/>
          <w:color w:val="auto"/>
        </w:rPr>
        <w:t>) of a share.</w:t>
      </w:r>
    </w:p>
    <w:p>
      <w:pPr>
        <w:spacing w:after="0" w:line="122" w:lineRule="exact"/>
        <w:rPr>
          <w:sz w:val="20"/>
          <w:szCs w:val="20"/>
          <w:color w:val="auto"/>
        </w:rPr>
      </w:pPr>
    </w:p>
    <w:p>
      <w:pPr>
        <w:ind w:left="748"/>
        <w:spacing w:after="0"/>
        <w:rPr>
          <w:sz w:val="20"/>
          <w:szCs w:val="20"/>
          <w:color w:val="auto"/>
        </w:rPr>
      </w:pPr>
      <w:r>
        <w:rPr>
          <w:rFonts w:ascii="Arial" w:cs="Arial" w:eastAsia="Arial" w:hAnsi="Arial"/>
          <w:sz w:val="12"/>
          <w:szCs w:val="12"/>
          <w:color w:val="auto"/>
        </w:rPr>
        <w:t xml:space="preserve">Section 4.4 </w:t>
      </w:r>
      <w:r>
        <w:rPr>
          <w:rFonts w:ascii="Arial" w:cs="Arial" w:eastAsia="Arial" w:hAnsi="Arial"/>
          <w:sz w:val="12"/>
          <w:szCs w:val="12"/>
          <w:u w:val="single" w:color="auto"/>
          <w:color w:val="auto"/>
        </w:rPr>
        <w:t>Form of Warrant after Adjustments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form of this Warrant need not be changed because of any adjustments in the Warrant Price or the number and kind of securities purchasable upon exercise of this Warrant.</w:t>
      </w:r>
    </w:p>
    <w:p>
      <w:pPr>
        <w:spacing w:after="0" w:line="164"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color w:val="auto"/>
        </w:rPr>
        <w:t>ARTICLE 5 - Notice of Adjustments</w:t>
      </w:r>
    </w:p>
    <w:p>
      <w:pPr>
        <w:spacing w:after="0" w:line="172" w:lineRule="exact"/>
        <w:rPr>
          <w:sz w:val="20"/>
          <w:szCs w:val="20"/>
          <w:color w:val="auto"/>
        </w:rPr>
      </w:pPr>
    </w:p>
    <w:p>
      <w:pPr>
        <w:jc w:val="both"/>
        <w:ind w:left="8" w:firstLine="432"/>
        <w:spacing w:after="0" w:line="303" w:lineRule="auto"/>
        <w:rPr>
          <w:sz w:val="20"/>
          <w:szCs w:val="20"/>
          <w:color w:val="auto"/>
        </w:rPr>
      </w:pPr>
      <w:r>
        <w:rPr>
          <w:rFonts w:ascii="Arial" w:cs="Arial" w:eastAsia="Arial" w:hAnsi="Arial"/>
          <w:sz w:val="10"/>
          <w:szCs w:val="10"/>
          <w:color w:val="auto"/>
        </w:rPr>
        <w:t xml:space="preserve">Whenever the Warrant Price or Warrant Share Number shall be adjusted pursuant to </w:t>
      </w:r>
      <w:r>
        <w:rPr>
          <w:rFonts w:ascii="Arial" w:cs="Arial" w:eastAsia="Arial" w:hAnsi="Arial"/>
          <w:sz w:val="10"/>
          <w:szCs w:val="10"/>
          <w:u w:val="single" w:color="auto"/>
          <w:color w:val="0000EE"/>
        </w:rPr>
        <w:t>Article 4</w:t>
      </w:r>
      <w:r>
        <w:rPr>
          <w:rFonts w:ascii="Arial" w:cs="Arial" w:eastAsia="Arial" w:hAnsi="Arial"/>
          <w:sz w:val="10"/>
          <w:szCs w:val="10"/>
          <w:color w:val="auto"/>
        </w:rPr>
        <w:t xml:space="preserve"> hereof (for purposes of this </w:t>
      </w:r>
      <w:r>
        <w:rPr>
          <w:rFonts w:ascii="Arial" w:cs="Arial" w:eastAsia="Arial" w:hAnsi="Arial"/>
          <w:sz w:val="10"/>
          <w:szCs w:val="10"/>
          <w:u w:val="single" w:color="auto"/>
          <w:color w:val="0000EE"/>
        </w:rPr>
        <w:t>Article 5</w:t>
      </w:r>
      <w:r>
        <w:rPr>
          <w:rFonts w:ascii="Arial" w:cs="Arial" w:eastAsia="Arial" w:hAnsi="Arial"/>
          <w:sz w:val="10"/>
          <w:szCs w:val="10"/>
          <w:color w:val="auto"/>
        </w:rPr>
        <w:t xml:space="preserve">, each an “adjustment”), the Issuer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Issuer and the Holder of this Warrant with respect to the matters set forth in such certificate may, at the sole option of the Holder of this Warrant, be submitted to one of the national accounting firms currently known as the “big four” selected by the Holder,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Issuer shall have ten (10) days after receipt of notice from such Holder of its selection of such firm to object thereto, in which case such Holder shall select another such firm and the Issuer shall have no such right of objection. The firm selected by the Holder of this Warrant as provided in the preceding sentence shall be instructed to deliver a written opinion as to such matters to the Issuer and such Holder within thirty</w:t>
      </w:r>
    </w:p>
    <w:p>
      <w:pPr>
        <w:spacing w:after="0" w:line="2" w:lineRule="exact"/>
        <w:rPr>
          <w:sz w:val="20"/>
          <w:szCs w:val="20"/>
          <w:color w:val="auto"/>
        </w:rPr>
      </w:pPr>
    </w:p>
    <w:p>
      <w:pPr>
        <w:ind w:left="228" w:hanging="228"/>
        <w:spacing w:after="0"/>
        <w:tabs>
          <w:tab w:leader="none" w:pos="228" w:val="left"/>
        </w:tabs>
        <w:numPr>
          <w:ilvl w:val="0"/>
          <w:numId w:val="106"/>
        </w:numPr>
        <w:rPr>
          <w:rFonts w:ascii="Arial" w:cs="Arial" w:eastAsia="Arial" w:hAnsi="Arial"/>
          <w:sz w:val="12"/>
          <w:szCs w:val="12"/>
          <w:color w:val="auto"/>
        </w:rPr>
      </w:pPr>
      <w:r>
        <w:rPr>
          <w:rFonts w:ascii="Arial" w:cs="Arial" w:eastAsia="Arial" w:hAnsi="Arial"/>
          <w:sz w:val="12"/>
          <w:szCs w:val="12"/>
          <w:color w:val="auto"/>
        </w:rPr>
        <w:t>days after submission to it of such dispute. Such opinion shall be final and binding on the parties hereto. The Issuer shall pay all expenses in connection with such opinion.</w:t>
      </w:r>
    </w:p>
    <w:p>
      <w:pPr>
        <w:spacing w:after="0" w:line="155" w:lineRule="exact"/>
        <w:rPr>
          <w:rFonts w:ascii="Arial" w:cs="Arial" w:eastAsia="Arial" w:hAnsi="Arial"/>
          <w:sz w:val="12"/>
          <w:szCs w:val="12"/>
          <w:color w:val="auto"/>
        </w:rPr>
      </w:pPr>
    </w:p>
    <w:p>
      <w:pPr>
        <w:ind w:left="5028"/>
        <w:spacing w:after="0"/>
        <w:rPr>
          <w:rFonts w:ascii="Arial" w:cs="Arial" w:eastAsia="Arial" w:hAnsi="Arial"/>
          <w:sz w:val="12"/>
          <w:szCs w:val="12"/>
          <w:color w:val="auto"/>
        </w:rPr>
      </w:pPr>
      <w:r>
        <w:rPr>
          <w:rFonts w:ascii="Arial" w:cs="Arial" w:eastAsia="Arial" w:hAnsi="Arial"/>
          <w:sz w:val="12"/>
          <w:szCs w:val="12"/>
          <w:b w:val="1"/>
          <w:bCs w:val="1"/>
          <w:color w:val="auto"/>
        </w:rPr>
        <w:t>ARTICLE 6 - Fractional Shares</w:t>
      </w:r>
    </w:p>
    <w:p>
      <w:pPr>
        <w:spacing w:after="0" w:line="172"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No fractional shares of Warrant Stock will be issued in connection with any exercise hereof, but in lieu of such fractional shares, the Issuer shall at its option either (a) make a cash payment therefor equal in amount to the product of the applicable fraction multiplied by the Per Share Market Value then in effect or (b) issue one whole share in lieu of such fractional share.</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04" w:name="page205"/>
    <w:bookmarkEnd w:id="204"/>
    <w:p>
      <w:pPr>
        <w:jc w:val="center"/>
        <w:ind w:left="220"/>
        <w:spacing w:after="0"/>
        <w:rPr>
          <w:sz w:val="20"/>
          <w:szCs w:val="20"/>
          <w:color w:val="auto"/>
        </w:rPr>
      </w:pPr>
      <w:r>
        <w:rPr>
          <w:rFonts w:ascii="Arial" w:cs="Arial" w:eastAsia="Arial" w:hAnsi="Arial"/>
          <w:sz w:val="12"/>
          <w:szCs w:val="12"/>
          <w:b w:val="1"/>
          <w:bCs w:val="1"/>
          <w:color w:val="auto"/>
        </w:rPr>
        <w:t>ARTICLE 7 – Definitions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the purposes of this Warrant, the following terms have the following meanings: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shall mean the Board of Directors of the Issuer.</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Capital Stock</w:t>
      </w:r>
      <w:r>
        <w:rPr>
          <w:rFonts w:ascii="Arial" w:cs="Arial" w:eastAsia="Arial" w:hAnsi="Arial"/>
          <w:sz w:val="11"/>
          <w:szCs w:val="11"/>
          <w:color w:val="auto"/>
        </w:rPr>
        <w:t>” means and includes (i) any and all shares, interests, participations or other equivalents of or interests in (however designated) corporate stock, including, without limitation, shares of preferred or preference stock,</w:t>
      </w:r>
    </w:p>
    <w:p>
      <w:pPr>
        <w:spacing w:after="0" w:line="26" w:lineRule="exact"/>
        <w:rPr>
          <w:sz w:val="20"/>
          <w:szCs w:val="20"/>
          <w:color w:val="auto"/>
        </w:rPr>
      </w:pPr>
    </w:p>
    <w:p>
      <w:pPr>
        <w:ind w:left="8" w:right="20" w:hanging="8"/>
        <w:spacing w:after="0" w:line="261" w:lineRule="auto"/>
        <w:tabs>
          <w:tab w:leader="none" w:pos="18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14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Articles of Incorporation</w:t>
      </w:r>
      <w:r>
        <w:rPr>
          <w:rFonts w:ascii="Arial" w:cs="Arial" w:eastAsia="Arial" w:hAnsi="Arial"/>
          <w:sz w:val="12"/>
          <w:szCs w:val="12"/>
          <w:color w:val="auto"/>
        </w:rPr>
        <w:t>” means the Articles of Incorporation of the Issuer as in effect on the Original Issue Date, and as hereafter from time to time amended, modified, supplemented or restated in accordance with the terms hereof and thereof and pursuant to applicable law.</w:t>
      </w:r>
    </w:p>
    <w:p>
      <w:pPr>
        <w:spacing w:after="0" w:line="133"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Closing Bid Price</w:t>
      </w:r>
      <w:r>
        <w:rPr>
          <w:rFonts w:ascii="Arial" w:cs="Arial" w:eastAsia="Arial" w:hAnsi="Arial"/>
          <w:sz w:val="11"/>
          <w:szCs w:val="11"/>
          <w:color w:val="auto"/>
        </w:rPr>
        <w:t>” shall mean, on any particular date (i) the last trading price per share of the Common Stock on such date on the OTC Markets, the OTCQB, the OTCQX, or a national securities exchange on which the Common Stock is then listed, or if there is no such price on such date, then the last trading price on such exchange or quotation system on the date nearest preceding such date, or (ii) if the Common Stock is not listed then on the OTC Markets or any registered national stock exchange, the last trading price for a share of Common Stock in the over the counter market, as reported by the OTC Markets or in the National Quotation Bureau Incorporated or similar organization or agency succeeding to its functions of reporting prices) at the close of business on such date, or (iii) if the Common Stock is not then reported by the OTC Markets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Issuer.</w:t>
      </w:r>
    </w:p>
    <w:p>
      <w:pPr>
        <w:spacing w:after="0" w:line="13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Stock</w:t>
      </w:r>
      <w:r>
        <w:rPr>
          <w:rFonts w:ascii="Arial" w:cs="Arial" w:eastAsia="Arial" w:hAnsi="Arial"/>
          <w:sz w:val="12"/>
          <w:szCs w:val="12"/>
          <w:color w:val="auto"/>
        </w:rPr>
        <w:t>” means the Common Stock, par value $.001 per share, of the Issuer and any other Capital Stock into which such stock may hereafter be changed.</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Governmental Authority</w:t>
      </w:r>
      <w:r>
        <w:rPr>
          <w:rFonts w:ascii="Arial" w:cs="Arial" w:eastAsia="Arial" w:hAnsi="Arial"/>
          <w:sz w:val="11"/>
          <w:szCs w:val="11"/>
          <w:color w:val="auto"/>
        </w:rPr>
        <w:t>” means any governmental, regulatory or self-regulatory entity, department, body, official, authority, commission, board, agency or instrumentality, whether federal, state or local, and whether domestic or</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foreign.</w:t>
      </w:r>
    </w:p>
    <w:p>
      <w:pPr>
        <w:spacing w:after="0" w:line="15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Holders</w:t>
      </w:r>
      <w:r>
        <w:rPr>
          <w:rFonts w:ascii="Arial" w:cs="Arial" w:eastAsia="Arial" w:hAnsi="Arial"/>
          <w:sz w:val="12"/>
          <w:szCs w:val="12"/>
          <w:color w:val="auto"/>
        </w:rPr>
        <w:t>” mean the Persons who shall from time to time own any Warrant. The term “Holder” means one of the Holders.</w:t>
      </w:r>
    </w:p>
    <w:p>
      <w:pPr>
        <w:spacing w:after="0" w:line="168"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Independent Appraiser</w:t>
      </w:r>
      <w:r>
        <w:rPr>
          <w:rFonts w:ascii="Arial" w:cs="Arial" w:eastAsia="Arial" w:hAnsi="Arial"/>
          <w:sz w:val="12"/>
          <w:szCs w:val="12"/>
          <w:color w:val="auto"/>
        </w:rPr>
        <w:t>” means a nationally recognized or major regional investment banking firm or firm of independent certified public accountants of recognized standing (which may be the firm that regularly examines the financial statements of the Issuer) that is regularly engaged in the business of appraising the Capital Stock or assets of corporations or other entities as going concerns, and which is not affiliated with either the Issuer or the Holder of any Warrant.</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Issuer</w:t>
      </w:r>
      <w:r>
        <w:rPr>
          <w:rFonts w:ascii="Arial" w:cs="Arial" w:eastAsia="Arial" w:hAnsi="Arial"/>
          <w:sz w:val="12"/>
          <w:szCs w:val="12"/>
          <w:color w:val="auto"/>
        </w:rPr>
        <w:t>” means Vistagen Therapeutics, Inc., a Nevada corporation, and its successors.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Original Issue Date</w:t>
      </w:r>
      <w:r>
        <w:rPr>
          <w:rFonts w:ascii="Arial" w:cs="Arial" w:eastAsia="Arial" w:hAnsi="Arial"/>
          <w:sz w:val="12"/>
          <w:szCs w:val="12"/>
          <w:color w:val="auto"/>
        </w:rPr>
        <w:t>” means August __, 2014.</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OTC Markets</w:t>
      </w:r>
      <w:r>
        <w:rPr>
          <w:rFonts w:ascii="Arial" w:cs="Arial" w:eastAsia="Arial" w:hAnsi="Arial"/>
          <w:sz w:val="12"/>
          <w:szCs w:val="12"/>
          <w:color w:val="auto"/>
        </w:rPr>
        <w:t>” means the OTCQB, OTCQX or other over-the-counter electronic exchange operated by the OTC Markets Group, Inc.</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OTCQB</w:t>
      </w:r>
      <w:r>
        <w:rPr>
          <w:rFonts w:ascii="Arial" w:cs="Arial" w:eastAsia="Arial" w:hAnsi="Arial"/>
          <w:sz w:val="12"/>
          <w:szCs w:val="12"/>
          <w:color w:val="auto"/>
        </w:rPr>
        <w:t>” means a tier of the over-the-counter stock market of OTC Markets Group, Inc.</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OTCQX</w:t>
      </w:r>
      <w:r>
        <w:rPr>
          <w:rFonts w:ascii="Arial" w:cs="Arial" w:eastAsia="Arial" w:hAnsi="Arial"/>
          <w:sz w:val="12"/>
          <w:szCs w:val="12"/>
          <w:color w:val="auto"/>
        </w:rPr>
        <w:t>” means a tier of the over-the-counter stock market of OTC Markets Group, Inc.</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205" w:name="page206"/>
    <w:bookmarkEnd w:id="205"/>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Person</w:t>
      </w:r>
      <w:r>
        <w:rPr>
          <w:rFonts w:ascii="Arial" w:cs="Arial" w:eastAsia="Arial" w:hAnsi="Arial"/>
          <w:sz w:val="11"/>
          <w:szCs w:val="11"/>
          <w:color w:val="auto"/>
        </w:rPr>
        <w:t>” means an individual, corporation, limited liability company, partnership, joint stock company, trust, unincorporated organization, joint venture, Governmental Authority or other entity of whatever nature.</w:t>
      </w:r>
    </w:p>
    <w:p>
      <w:pPr>
        <w:spacing w:after="0" w:line="1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 Share Market Value</w:t>
      </w:r>
      <w:r>
        <w:rPr>
          <w:rFonts w:ascii="Arial" w:cs="Arial" w:eastAsia="Arial" w:hAnsi="Arial"/>
          <w:sz w:val="11"/>
          <w:szCs w:val="11"/>
          <w:color w:val="auto"/>
        </w:rPr>
        <w:t xml:space="preserve">” means on any particular date (a) the last trading price on any national securities exchange on which the Common Stock is listed, or, if there is no such price, the Closing Bid Price for a share of Common Stock in the over-the-counter market, as reported by the OTC Markets, the OTCQB, the OTCQX, or in the National Quotation Bureau Incorporated or similar organization or agency succeeding to its functions of reporting prices) at the close of business on such date, or (b) if the Common Stock is not then reported by the OTC Markets or the National Quotation Bureau Incorporated (or similar organization or agency succeeding to its functions of reporting prices), then the average of the “Pink Sheet” quotes for the Common Stock on such date, or (c) if the Common Stock is not then publicly traded the fair market value of a share of Common Stock on such date as determined by the Board in good faith;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Holder, after receipt of the determination by the Board, shall have the right to select, jointly with the Issuer, an Independent Appraiser, in which case, the fair market value shall be the determination by such Independent Appraiser;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all determinations of the Per Share Market Value shall be appropriately adjusted for any stock dividends, stock splits or other similar transactions during the period between the date as of which such market value was required to be determined and the date it is finally determined. The determination of fair market value shall be based upon the fair market value of the Issuer determined on a going concern basis as between a willing buyer and a willing seller and taking into account all relevant factors determinative of value, and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w:t>
      </w:r>
      <w:r>
        <w:rPr>
          <w:rFonts w:ascii="Arial" w:cs="Arial" w:eastAsia="Arial" w:hAnsi="Arial"/>
          <w:sz w:val="12"/>
          <w:szCs w:val="12"/>
          <w:color w:val="auto"/>
        </w:rPr>
        <w:t>” means any debt or equity securities of the Issuer, whether now or hereafter authorized, any instrument convertible into or exchangeable for Securities or a Security, and any option, warrant or other right to purchase or acquire any Security. “Security” means one of the Securities.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or any similar federal statute then in effect.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0000EE"/>
        </w:rPr>
        <w:t>Article 1</w:t>
      </w:r>
      <w:r>
        <w:rPr>
          <w:rFonts w:ascii="Arial" w:cs="Arial" w:eastAsia="Arial" w:hAnsi="Arial"/>
          <w:sz w:val="12"/>
          <w:szCs w:val="12"/>
          <w:color w:val="auto"/>
        </w:rPr>
        <w:t xml:space="preserve"> hereof.</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xml:space="preserve">” means (a) a day on which the Common Stock is traded on the OTC Markets or any national securities exchange, or (b) if the Common Stock is not traded on the OTC Markets or any national securities exchange,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 Price</w:t>
      </w:r>
      <w:r>
        <w:rPr>
          <w:rFonts w:ascii="Arial" w:cs="Arial" w:eastAsia="Arial" w:hAnsi="Arial"/>
          <w:sz w:val="12"/>
          <w:szCs w:val="12"/>
          <w:color w:val="auto"/>
        </w:rPr>
        <w:t xml:space="preserve">” initially means U.S. $___, as such price may be adjusted from time to time as shall result from the adjustments specified in this Warrant, including </w:t>
      </w:r>
      <w:r>
        <w:rPr>
          <w:rFonts w:ascii="Arial" w:cs="Arial" w:eastAsia="Arial" w:hAnsi="Arial"/>
          <w:sz w:val="12"/>
          <w:szCs w:val="12"/>
          <w:u w:val="single" w:color="auto"/>
          <w:color w:val="0000EE"/>
        </w:rPr>
        <w:t>Article 4</w:t>
      </w:r>
      <w:r>
        <w:rPr>
          <w:rFonts w:ascii="Arial" w:cs="Arial" w:eastAsia="Arial" w:hAnsi="Arial"/>
          <w:sz w:val="12"/>
          <w:szCs w:val="12"/>
          <w:color w:val="auto"/>
        </w:rPr>
        <w:t xml:space="preserve"> hereof.</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 Share Number</w:t>
      </w:r>
      <w:r>
        <w:rPr>
          <w:rFonts w:ascii="Arial" w:cs="Arial" w:eastAsia="Arial" w:hAnsi="Arial"/>
          <w:sz w:val="12"/>
          <w:szCs w:val="12"/>
          <w:color w:val="auto"/>
        </w:rPr>
        <w:t>” means at any time the aggregate number of shares of Warrant Stock which may at such time be purchased upon exercise of this Warrant, after giving effect to all prior adjustments and increases to such number made or required to be made under the terms hereof.</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 Stock</w:t>
      </w:r>
      <w:r>
        <w:rPr>
          <w:rFonts w:ascii="Arial" w:cs="Arial" w:eastAsia="Arial" w:hAnsi="Arial"/>
          <w:sz w:val="12"/>
          <w:szCs w:val="12"/>
          <w:color w:val="auto"/>
        </w:rPr>
        <w:t>” means Common Stock issuable upon exercise of any Warrant or Warrants or otherwise issuable pursuant to any Warrant or Warrants.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6" w:name="page207"/>
    <w:bookmarkEnd w:id="206"/>
    <w:p>
      <w:pPr>
        <w:jc w:val="center"/>
        <w:ind w:right="-199"/>
        <w:spacing w:after="0"/>
        <w:rPr>
          <w:sz w:val="20"/>
          <w:szCs w:val="20"/>
          <w:color w:val="auto"/>
        </w:rPr>
      </w:pPr>
      <w:r>
        <w:rPr>
          <w:rFonts w:ascii="Arial" w:cs="Arial" w:eastAsia="Arial" w:hAnsi="Arial"/>
          <w:sz w:val="12"/>
          <w:szCs w:val="12"/>
          <w:b w:val="1"/>
          <w:bCs w:val="1"/>
          <w:color w:val="auto"/>
        </w:rPr>
        <w:t>ARTICLE 8 - Other Notices</w:t>
      </w:r>
    </w:p>
    <w:p>
      <w:pPr>
        <w:spacing w:after="0" w:line="172"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color w:val="auto"/>
        </w:rPr>
        <w:t>Section 8.1</w:t>
      </w:r>
      <w:r>
        <w:rPr>
          <w:sz w:val="20"/>
          <w:szCs w:val="20"/>
          <w:color w:val="auto"/>
        </w:rPr>
        <w:tab/>
      </w:r>
      <w:r>
        <w:rPr>
          <w:rFonts w:ascii="Arial" w:cs="Arial" w:eastAsia="Arial" w:hAnsi="Arial"/>
          <w:sz w:val="10"/>
          <w:szCs w:val="10"/>
          <w:u w:val="single" w:color="auto"/>
          <w:color w:val="auto"/>
        </w:rPr>
        <w:t>Other Notices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case at any time:</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8.1.1</w:t>
      </w:r>
      <w:r>
        <w:rPr>
          <w:sz w:val="20"/>
          <w:szCs w:val="20"/>
          <w:color w:val="auto"/>
        </w:rPr>
        <w:tab/>
      </w:r>
      <w:r>
        <w:rPr>
          <w:rFonts w:ascii="Arial" w:cs="Arial" w:eastAsia="Arial" w:hAnsi="Arial"/>
          <w:sz w:val="10"/>
          <w:szCs w:val="10"/>
          <w:color w:val="auto"/>
        </w:rPr>
        <w:t>the Issuer shall make any distributions to the holders of Common Stock; or</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8.1.2</w:t>
      </w:r>
      <w:r>
        <w:rPr>
          <w:sz w:val="20"/>
          <w:szCs w:val="20"/>
          <w:color w:val="auto"/>
        </w:rPr>
        <w:tab/>
      </w:r>
      <w:r>
        <w:rPr>
          <w:rFonts w:ascii="Arial" w:cs="Arial" w:eastAsia="Arial" w:hAnsi="Arial"/>
          <w:sz w:val="10"/>
          <w:szCs w:val="10"/>
          <w:color w:val="auto"/>
        </w:rPr>
        <w:t>the Issuer shall authorize the granting to all holders of its Common Stock of rights to subscribe for or purchase any shares of Capital Stock or other rights; or</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8.1.3</w:t>
      </w:r>
      <w:r>
        <w:rPr>
          <w:sz w:val="20"/>
          <w:szCs w:val="20"/>
          <w:color w:val="auto"/>
        </w:rPr>
        <w:tab/>
      </w:r>
      <w:r>
        <w:rPr>
          <w:rFonts w:ascii="Arial" w:cs="Arial" w:eastAsia="Arial" w:hAnsi="Arial"/>
          <w:sz w:val="10"/>
          <w:szCs w:val="10"/>
          <w:color w:val="auto"/>
        </w:rPr>
        <w:t>there shall be any reclassification of the Capital Stock of the Issuer; or</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8.1.4</w:t>
      </w:r>
      <w:r>
        <w:rPr>
          <w:sz w:val="20"/>
          <w:szCs w:val="20"/>
          <w:color w:val="auto"/>
        </w:rPr>
        <w:tab/>
      </w:r>
      <w:r>
        <w:rPr>
          <w:rFonts w:ascii="Arial" w:cs="Arial" w:eastAsia="Arial" w:hAnsi="Arial"/>
          <w:sz w:val="10"/>
          <w:szCs w:val="10"/>
          <w:color w:val="auto"/>
        </w:rPr>
        <w:t>there shall be any capital reorganization by the Issuer; or</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8.1.5</w:t>
      </w:r>
      <w:r>
        <w:rPr>
          <w:sz w:val="20"/>
          <w:szCs w:val="20"/>
          <w:color w:val="auto"/>
        </w:rPr>
        <w:tab/>
      </w:r>
      <w:r>
        <w:rPr>
          <w:rFonts w:ascii="Arial" w:cs="Arial" w:eastAsia="Arial" w:hAnsi="Arial"/>
          <w:sz w:val="10"/>
          <w:szCs w:val="10"/>
          <w:color w:val="auto"/>
        </w:rPr>
        <w:t>there shall be any (i) consolidation or merger involving the Issuer or (ii) sale, transfer or other disposition of all or substantially all of the Issuer’s property, assets or business; or</w:t>
      </w:r>
    </w:p>
    <w:p>
      <w:pPr>
        <w:spacing w:after="0" w:line="186"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2"/>
          <w:szCs w:val="12"/>
          <w:color w:val="auto"/>
        </w:rPr>
        <w:t>8.1.6</w:t>
      </w:r>
      <w:r>
        <w:rPr>
          <w:sz w:val="20"/>
          <w:szCs w:val="20"/>
          <w:color w:val="auto"/>
        </w:rPr>
        <w:tab/>
      </w:r>
      <w:r>
        <w:rPr>
          <w:rFonts w:ascii="Arial" w:cs="Arial" w:eastAsia="Arial" w:hAnsi="Arial"/>
          <w:sz w:val="11"/>
          <w:szCs w:val="11"/>
          <w:color w:val="auto"/>
        </w:rPr>
        <w:t>there shall be a voluntary or involuntary dissolution, liquidation or winding-up of the Issuer or any partial liquidation of the Issuer or distribution to holders of Common Stock;</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then, in each of such cases, the Issuer shall give written notice to the Holder of the date on which (i) the books of the Issuer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twenty (20) days prior to the record date or the date on which the Issuer’s transfer books are closed in respect thereto. The Holder shall have the right to send two (2) representatives selected by it to each meeting, who shall be permitted to attend, but not vote at, such meeting and any adjournments thereof. This Warrant entitles the Holder to receive copies of all financial and other information distributed or required to be distributed to the holders of the Common Stock.</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ARTICLE 9 – Miscellaneous</w:t>
      </w:r>
    </w:p>
    <w:p>
      <w:pPr>
        <w:spacing w:after="0" w:line="172"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color w:val="auto"/>
        </w:rPr>
        <w:t>Section 9.1</w:t>
      </w:r>
      <w:r>
        <w:rPr>
          <w:sz w:val="20"/>
          <w:szCs w:val="20"/>
          <w:color w:val="auto"/>
        </w:rPr>
        <w:tab/>
      </w:r>
      <w:r>
        <w:rPr>
          <w:rFonts w:ascii="Arial" w:cs="Arial" w:eastAsia="Arial" w:hAnsi="Arial"/>
          <w:sz w:val="10"/>
          <w:szCs w:val="10"/>
          <w:u w:val="single" w:color="auto"/>
          <w:color w:val="auto"/>
        </w:rPr>
        <w:t>Amendment and Waiver</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Any term, covenant, agreement or condition in this Warrant may be amended, or compliance therewith may be waived (either generally or in a particular instance and either retroactively or prospectively), by a written instrument or written instruments executed by the Issuer and the Holder.</w:t>
      </w:r>
    </w:p>
    <w:p>
      <w:pPr>
        <w:spacing w:after="0" w:line="133"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color w:val="auto"/>
        </w:rPr>
        <w:t>Section 9.2</w:t>
      </w:r>
      <w:r>
        <w:rPr>
          <w:sz w:val="20"/>
          <w:szCs w:val="20"/>
          <w:color w:val="auto"/>
        </w:rPr>
        <w:tab/>
      </w:r>
      <w:r>
        <w:rPr>
          <w:rFonts w:ascii="Arial" w:cs="Arial" w:eastAsia="Arial" w:hAnsi="Arial"/>
          <w:sz w:val="10"/>
          <w:szCs w:val="10"/>
          <w:u w:val="single" w:color="auto"/>
          <w:color w:val="auto"/>
        </w:rPr>
        <w:t>Governing Law</w:t>
      </w:r>
    </w:p>
    <w:p>
      <w:pPr>
        <w:spacing w:after="0" w:line="16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THIS WARRANT SHALL BE GOVERNED BY AND CONSTRUED IN ACCORDANCE WITH THE LAWS OF THE STATE OF NEW YORK, WITHOUT GIVING EFFECT TO PRINCIPLES OF CONFLICTS OF LAW.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07" w:name="page208"/>
    <w:bookmarkEnd w:id="207"/>
    <w:p>
      <w:pPr>
        <w:spacing w:after="0"/>
        <w:tabs>
          <w:tab w:leader="none" w:pos="1340" w:val="left"/>
        </w:tabs>
        <w:rPr>
          <w:sz w:val="20"/>
          <w:szCs w:val="20"/>
          <w:color w:val="auto"/>
        </w:rPr>
      </w:pPr>
      <w:r>
        <w:rPr>
          <w:rFonts w:ascii="Arial" w:cs="Arial" w:eastAsia="Arial" w:hAnsi="Arial"/>
          <w:sz w:val="12"/>
          <w:szCs w:val="12"/>
          <w:color w:val="auto"/>
        </w:rPr>
        <w:t>Section 9.3</w:t>
      </w:r>
      <w:r>
        <w:rPr>
          <w:sz w:val="20"/>
          <w:szCs w:val="20"/>
          <w:color w:val="auto"/>
        </w:rPr>
        <w:tab/>
      </w:r>
      <w:r>
        <w:rPr>
          <w:rFonts w:ascii="Arial" w:cs="Arial" w:eastAsia="Arial" w:hAnsi="Arial"/>
          <w:sz w:val="10"/>
          <w:szCs w:val="10"/>
          <w:u w:val="single" w:color="auto"/>
          <w:color w:val="auto"/>
        </w:rPr>
        <w:t>Notices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Any and all notices or other communications or deliveries required or permitted to be provided hereunder shall be in writing and shall be deemed given and effective on the earlier of (i) the date of transmission, if such notice or communication is delivered via facsimile at the facsimile telephone number specified for notice prior to 5:00 p.m., eastern time, on a Trading Day, (ii) the Trading Day after the date of transmission, if such notice or communication is delivered via facsimile at the facsimile telephone number specified for notice later than 5:00 p.m., eastern time, on any date and earlier than 11:59 p.m., eastern time, on such date, (iii) the Trading Day following the date of mailing, if sent by nationally recognized overnight courier service or (iv) actual receipt by the party to whom such notice is required to be given. The addresses for such communications shall be with respect to the Holder of this Warrant or of Warrant Stock issued pursuant hereto, addressed to such Holder at its last known address or facsimile number appearing on the books of the Issuer maintained for such purposes, or with respect to the Issuer, addressed to:</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Attention: Chief Executive Officer</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Tel. No.: (650) 577-3600</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copy to:</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Disclosure Law Group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501 West Broadway, Suite 800</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San Diego, California 92101</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Attention: Daniel W. Rumsey</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Tel No.: (619) 795-1134</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Fax No.: (619) 330-2101</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Copies of notices to the Holder shall be sent to the last known address of Holder on the books and records of the Company. Any party hereto may from time to time change its address for notices by giving at least ten (10) days written notice of such changed address to the other party hereto.</w:t>
      </w:r>
    </w:p>
    <w:p>
      <w:pPr>
        <w:spacing w:after="0" w:line="133"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color w:val="auto"/>
        </w:rPr>
        <w:t>Section 9.4</w:t>
      </w:r>
      <w:r>
        <w:rPr>
          <w:sz w:val="20"/>
          <w:szCs w:val="20"/>
          <w:color w:val="auto"/>
        </w:rPr>
        <w:tab/>
      </w:r>
      <w:r>
        <w:rPr>
          <w:rFonts w:ascii="Arial" w:cs="Arial" w:eastAsia="Arial" w:hAnsi="Arial"/>
          <w:sz w:val="11"/>
          <w:szCs w:val="11"/>
          <w:u w:val="single" w:color="auto"/>
          <w:color w:val="auto"/>
        </w:rPr>
        <w:t>Warrant Agent</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The Issuer may, by written notice to each Holder of this Warrant, appoint an agent having an office in New York, New York for the purpose of issuing shares of Warrant Stock on the exercise of this Warrant pursuant to </w:t>
      </w:r>
      <w:r>
        <w:rPr>
          <w:rFonts w:ascii="Arial" w:cs="Arial" w:eastAsia="Arial" w:hAnsi="Arial"/>
          <w:sz w:val="12"/>
          <w:szCs w:val="12"/>
          <w:u w:val="single" w:color="auto"/>
          <w:color w:val="0000EE"/>
        </w:rPr>
        <w:t>Section 2.2</w:t>
      </w:r>
      <w:r>
        <w:rPr>
          <w:rFonts w:ascii="Arial" w:cs="Arial" w:eastAsia="Arial" w:hAnsi="Arial"/>
          <w:sz w:val="12"/>
          <w:szCs w:val="12"/>
          <w:color w:val="auto"/>
        </w:rPr>
        <w:t xml:space="preserve"> hereof, exchanging this Warrant pursuant to </w:t>
      </w:r>
      <w:r>
        <w:rPr>
          <w:rFonts w:ascii="Arial" w:cs="Arial" w:eastAsia="Arial" w:hAnsi="Arial"/>
          <w:sz w:val="12"/>
          <w:szCs w:val="12"/>
          <w:u w:val="single" w:color="auto"/>
          <w:color w:val="0000EE"/>
        </w:rPr>
        <w:t>Section 2.4</w:t>
      </w:r>
      <w:r>
        <w:rPr>
          <w:rFonts w:ascii="Arial" w:cs="Arial" w:eastAsia="Arial" w:hAnsi="Arial"/>
          <w:sz w:val="12"/>
          <w:szCs w:val="12"/>
          <w:color w:val="auto"/>
        </w:rPr>
        <w:t xml:space="preserve"> hereof or replacing this Warrant pursuant to </w:t>
      </w:r>
      <w:r>
        <w:rPr>
          <w:rFonts w:ascii="Arial" w:cs="Arial" w:eastAsia="Arial" w:hAnsi="Arial"/>
          <w:sz w:val="12"/>
          <w:szCs w:val="12"/>
          <w:u w:val="single" w:color="auto"/>
          <w:color w:val="0000EE"/>
        </w:rPr>
        <w:t>Section 3.4</w:t>
      </w:r>
      <w:r>
        <w:rPr>
          <w:rFonts w:ascii="Arial" w:cs="Arial" w:eastAsia="Arial" w:hAnsi="Arial"/>
          <w:sz w:val="12"/>
          <w:szCs w:val="12"/>
          <w:color w:val="auto"/>
        </w:rPr>
        <w:t xml:space="preserve"> hereof, or any of the foregoing, and thereafter any such issuance, exchange or replacement, as the case may be, shall be made at such office by such agent.</w:t>
      </w:r>
    </w:p>
    <w:p>
      <w:pPr>
        <w:spacing w:after="0" w:line="141"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Section 9.5</w:t>
      </w:r>
      <w:r>
        <w:rPr>
          <w:sz w:val="20"/>
          <w:szCs w:val="20"/>
          <w:color w:val="auto"/>
        </w:rPr>
        <w:tab/>
      </w:r>
      <w:r>
        <w:rPr>
          <w:rFonts w:ascii="Arial" w:cs="Arial" w:eastAsia="Arial" w:hAnsi="Arial"/>
          <w:sz w:val="10"/>
          <w:szCs w:val="10"/>
          <w:u w:val="single" w:color="auto"/>
          <w:color w:val="auto"/>
        </w:rPr>
        <w:t>Remedies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Issuer stipulates that the remedies at law of the Holder of this Warrant in the event of any default or threatened default by the Issuer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141"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Section 9.6</w:t>
      </w:r>
      <w:r>
        <w:rPr>
          <w:sz w:val="20"/>
          <w:szCs w:val="20"/>
          <w:color w:val="auto"/>
        </w:rPr>
        <w:tab/>
      </w:r>
      <w:r>
        <w:rPr>
          <w:rFonts w:ascii="Arial" w:cs="Arial" w:eastAsia="Arial" w:hAnsi="Arial"/>
          <w:sz w:val="10"/>
          <w:szCs w:val="10"/>
          <w:u w:val="single" w:color="auto"/>
          <w:color w:val="auto"/>
        </w:rPr>
        <w:t>Successors and Assigns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Warrant and the rights evidenced hereby shall inure to the benefit of and be binding upon the successors and assigns of the Issuer, the Holder hereof and (to the extent provided herein) the Holders of Warrant Stock issued pursuant hereto, and shall be enforceable by any such Holder or Holder of Warrant Stock.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8" w:name="page209"/>
    <w:bookmarkEnd w:id="208"/>
    <w:p>
      <w:pPr>
        <w:spacing w:after="0"/>
        <w:tabs>
          <w:tab w:leader="none" w:pos="1240" w:val="left"/>
        </w:tabs>
        <w:rPr>
          <w:sz w:val="20"/>
          <w:szCs w:val="20"/>
          <w:color w:val="auto"/>
        </w:rPr>
      </w:pPr>
      <w:r>
        <w:rPr>
          <w:rFonts w:ascii="Arial" w:cs="Arial" w:eastAsia="Arial" w:hAnsi="Arial"/>
          <w:sz w:val="12"/>
          <w:szCs w:val="12"/>
          <w:color w:val="auto"/>
        </w:rPr>
        <w:t>Section 9.7</w:t>
      </w:r>
      <w:r>
        <w:rPr>
          <w:sz w:val="20"/>
          <w:szCs w:val="20"/>
          <w:color w:val="auto"/>
        </w:rPr>
        <w:tab/>
      </w:r>
      <w:r>
        <w:rPr>
          <w:rFonts w:ascii="Arial" w:cs="Arial" w:eastAsia="Arial" w:hAnsi="Arial"/>
          <w:sz w:val="11"/>
          <w:szCs w:val="11"/>
          <w:u w:val="single" w:color="auto"/>
          <w:color w:val="auto"/>
        </w:rPr>
        <w:t>Modification and Severability</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141"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Section 9.8</w:t>
      </w:r>
      <w:r>
        <w:rPr>
          <w:sz w:val="20"/>
          <w:szCs w:val="20"/>
          <w:color w:val="auto"/>
        </w:rPr>
        <w:tab/>
      </w:r>
      <w:r>
        <w:rPr>
          <w:rFonts w:ascii="Arial" w:cs="Arial" w:eastAsia="Arial" w:hAnsi="Arial"/>
          <w:sz w:val="10"/>
          <w:szCs w:val="10"/>
          <w:u w:val="single" w:color="auto"/>
          <w:color w:val="auto"/>
        </w:rPr>
        <w:t>Headings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Article and Section headings of this Warrant are for convenience of reference only and shall not, for any purpose, be deemed a part of this Warrant.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9" w:name="page210"/>
    <w:bookmarkEnd w:id="209"/>
    <w:p>
      <w:pPr>
        <w:ind w:left="420"/>
        <w:spacing w:after="0"/>
        <w:rPr>
          <w:sz w:val="20"/>
          <w:szCs w:val="20"/>
          <w:color w:val="auto"/>
        </w:rPr>
      </w:pPr>
      <w:r>
        <w:rPr>
          <w:rFonts w:ascii="Arial" w:cs="Arial" w:eastAsia="Arial" w:hAnsi="Arial"/>
          <w:sz w:val="11"/>
          <w:szCs w:val="11"/>
          <w:color w:val="auto"/>
        </w:rPr>
        <w:t>IN WITNESS WHEREOF, the Issuer has executed this Warrant as of the day and year first above written.</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VISTAGEN THERAPUTICS, INC.</w:t>
      </w:r>
    </w:p>
    <w:p>
      <w:pPr>
        <w:spacing w:after="0" w:line="200" w:lineRule="exact"/>
        <w:rPr>
          <w:sz w:val="20"/>
          <w:szCs w:val="20"/>
          <w:color w:val="auto"/>
        </w:rPr>
      </w:pPr>
    </w:p>
    <w:p>
      <w:pPr>
        <w:spacing w:after="0" w:line="29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By:______________________________</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Name:____________________________</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Title:_____________________________</w:t>
      </w:r>
    </w:p>
    <w:p>
      <w:pPr>
        <w:spacing w:after="0" w:line="200" w:lineRule="exact"/>
        <w:rPr>
          <w:sz w:val="20"/>
          <w:szCs w:val="20"/>
          <w:color w:val="auto"/>
        </w:rPr>
      </w:pPr>
    </w:p>
    <w:p>
      <w:pPr>
        <w:spacing w:after="0" w:line="221" w:lineRule="exact"/>
        <w:rPr>
          <w:sz w:val="20"/>
          <w:szCs w:val="20"/>
          <w:color w:val="auto"/>
        </w:rPr>
      </w:pPr>
    </w:p>
    <w:p>
      <w:pPr>
        <w:jc w:val="right"/>
        <w:ind w:right="439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92"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12"/>
          <w:szCs w:val="12"/>
          <w:color w:val="auto"/>
        </w:rPr>
        <w:t>WARRANT EXERCISE FORM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_______________, pursuant to the provisions of the within Warrant, hereby elects to purchase _____ shares of Common Stock of VistaGen Therapeutics, Inc. covered by the within Warrant.</w:t>
      </w:r>
    </w:p>
    <w:p>
      <w:pPr>
        <w:spacing w:after="0" w:line="168" w:lineRule="exact"/>
        <w:rPr>
          <w:sz w:val="20"/>
          <w:szCs w:val="20"/>
          <w:color w:val="auto"/>
        </w:rPr>
      </w:pPr>
    </w:p>
    <w:p>
      <w:pPr>
        <w:spacing w:after="0"/>
        <w:tabs>
          <w:tab w:leader="none" w:pos="3260" w:val="left"/>
        </w:tabs>
        <w:rPr>
          <w:sz w:val="20"/>
          <w:szCs w:val="20"/>
          <w:color w:val="auto"/>
        </w:rPr>
      </w:pPr>
      <w:r>
        <w:rPr>
          <w:rFonts w:ascii="Arial" w:cs="Arial" w:eastAsia="Arial" w:hAnsi="Arial"/>
          <w:sz w:val="12"/>
          <w:szCs w:val="12"/>
          <w:color w:val="auto"/>
        </w:rPr>
        <w:t>Dated: _________________</w:t>
      </w:r>
      <w:r>
        <w:rPr>
          <w:sz w:val="20"/>
          <w:szCs w:val="20"/>
          <w:color w:val="auto"/>
        </w:rPr>
        <w:tab/>
      </w:r>
      <w:r>
        <w:rPr>
          <w:rFonts w:ascii="Arial" w:cs="Arial" w:eastAsia="Arial" w:hAnsi="Arial"/>
          <w:sz w:val="10"/>
          <w:szCs w:val="10"/>
          <w:color w:val="auto"/>
        </w:rPr>
        <w:t>Signature: ___________________________</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color w:val="auto"/>
        </w:rPr>
        <w:t>Address</w:t>
      </w:r>
      <w:r>
        <w:rPr>
          <w:sz w:val="20"/>
          <w:szCs w:val="20"/>
          <w:color w:val="auto"/>
        </w:rPr>
        <w:tab/>
      </w:r>
      <w:r>
        <w:rPr>
          <w:rFonts w:ascii="Arial" w:cs="Arial" w:eastAsia="Arial" w:hAnsi="Arial"/>
          <w:sz w:val="12"/>
          <w:szCs w:val="12"/>
          <w:color w:val="auto"/>
        </w:rPr>
        <w:t>_____________________</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2"/>
          <w:szCs w:val="12"/>
          <w:color w:val="auto"/>
        </w:rPr>
        <w:t>_____________________</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Common Stock beneficially owned or deemed beneficially owned by the Holder on the date of Exercise: _________________________</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undersigned intends that payment of the Warrant Price shall be made as (check one):</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Cash Exercise_______</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Cashless Exercise_______</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If the Holder has elected a Cash Exercise, the Holder shall pay the sum of $________ by certified or official bank check (or via wire transfer) to the Issuer in accordance with the terms of the Warrant.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If the Holder is entitled to elect and has elected a Cashless Exercise, a certificate shall be issued to the Holder for the number of shares equal to the whole number portion of the product of the calculation set forth below, which is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___________.</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X = Y - </w:t>
      </w:r>
      <w:r>
        <w:rPr>
          <w:rFonts w:ascii="Arial" w:cs="Arial" w:eastAsia="Arial" w:hAnsi="Arial"/>
          <w:sz w:val="12"/>
          <w:szCs w:val="12"/>
          <w:u w:val="single" w:color="auto"/>
          <w:color w:val="auto"/>
        </w:rPr>
        <w:t>(A)(Y)</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B</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Where:</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number of shares of Common Stock to be issued to the Holder __________________(“X”).</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The number of shares of Common Stock purchasable upon exercise of all of the Warrant or, if only a portion of the Warrant is being exercised, the portion of the Warrant being exercised ___________________________ (“Y”).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Warrant Price ______________ (“A”).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Per Share Market Value of one share of Common Stock _______________________ (“B”).</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2"/>
          <w:szCs w:val="12"/>
          <w:color w:val="auto"/>
        </w:rPr>
        <w:t>ASSIGNMENT</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FOR VALUE RECEIVED, _________________ hereby sells, assigns and transfers unto __________________ the within Warrant and all rights evidenced thereby and does irrevocably constitute and appoint _____________, attorney, to</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transfer the said Warrant on the books of the within named corporation.</w:t>
      </w:r>
    </w:p>
    <w:p>
      <w:pPr>
        <w:sectPr>
          <w:pgSz w:w="11900" w:h="16838" w:orient="portrait"/>
          <w:cols w:equalWidth="0" w:num="1">
            <w:col w:w="11480"/>
          </w:cols>
          <w:pgMar w:left="220" w:top="392" w:right="19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Dated: _________________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Signature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w:t>
      </w:r>
    </w:p>
    <w:p>
      <w:pPr>
        <w:spacing w:after="0" w:line="191" w:lineRule="exact"/>
        <w:rPr>
          <w:sz w:val="20"/>
          <w:szCs w:val="20"/>
          <w:color w:val="auto"/>
        </w:rPr>
      </w:pPr>
    </w:p>
    <w:p>
      <w:pPr>
        <w:sectPr>
          <w:pgSz w:w="11900" w:h="16838" w:orient="portrait"/>
          <w:cols w:equalWidth="0" w:num="3">
            <w:col w:w="2560" w:space="720"/>
            <w:col w:w="460" w:space="660"/>
            <w:col w:w="7080"/>
          </w:cols>
          <w:pgMar w:left="220" w:top="392" w:right="199" w:bottom="1440" w:gutter="0" w:footer="0" w:header="0"/>
          <w:type w:val="continuous"/>
        </w:sectPr>
      </w:pPr>
    </w:p>
    <w:p>
      <w:pPr>
        <w:ind w:left="2160"/>
        <w:spacing w:after="0"/>
        <w:rPr>
          <w:sz w:val="20"/>
          <w:szCs w:val="20"/>
          <w:color w:val="auto"/>
        </w:rPr>
      </w:pPr>
      <w:r>
        <w:rPr>
          <w:rFonts w:ascii="Arial" w:cs="Arial" w:eastAsia="Arial" w:hAnsi="Arial"/>
          <w:sz w:val="10"/>
          <w:szCs w:val="10"/>
          <w:color w:val="auto"/>
        </w:rPr>
        <w:t>Address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0"/>
          <w:szCs w:val="10"/>
          <w:color w:val="auto"/>
        </w:rPr>
        <w:t>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159" w:lineRule="exact"/>
        <w:rPr>
          <w:sz w:val="20"/>
          <w:szCs w:val="20"/>
          <w:color w:val="auto"/>
        </w:rPr>
      </w:pPr>
    </w:p>
    <w:p>
      <w:pPr>
        <w:sectPr>
          <w:pgSz w:w="11900" w:h="16838" w:orient="portrait"/>
          <w:cols w:equalWidth="0" w:num="2">
            <w:col w:w="2540" w:space="480"/>
            <w:col w:w="8460"/>
          </w:cols>
          <w:pgMar w:left="220" w:top="392" w:right="19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PARTIAL ASSIGNMENT</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FOR VALUE RECEIVED, _________________ hereby sells, assigns and transfers unto __________________ the right to purchase _________ shares of Warrant Stock evidenced by the within Warrant together with all rights therein,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does irrevocably constitute and appoint ___________________, attorney, to transfer that part of the said Warrant on the books of the within named corporation.</w:t>
      </w:r>
    </w:p>
    <w:p>
      <w:pPr>
        <w:sectPr>
          <w:pgSz w:w="11900" w:h="16838" w:orient="portrait"/>
          <w:cols w:equalWidth="0" w:num="1">
            <w:col w:w="11480"/>
          </w:cols>
          <w:pgMar w:left="220" w:top="392" w:right="19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Dated: _________________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Signature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w:t>
      </w:r>
    </w:p>
    <w:p>
      <w:pPr>
        <w:spacing w:after="0" w:line="191" w:lineRule="exact"/>
        <w:rPr>
          <w:sz w:val="20"/>
          <w:szCs w:val="20"/>
          <w:color w:val="auto"/>
        </w:rPr>
      </w:pPr>
    </w:p>
    <w:p>
      <w:pPr>
        <w:sectPr>
          <w:pgSz w:w="11900" w:h="16838" w:orient="portrait"/>
          <w:cols w:equalWidth="0" w:num="3">
            <w:col w:w="2560" w:space="720"/>
            <w:col w:w="460" w:space="660"/>
            <w:col w:w="7080"/>
          </w:cols>
          <w:pgMar w:left="220" w:top="392" w:right="199" w:bottom="1440" w:gutter="0" w:footer="0" w:header="0"/>
          <w:type w:val="continuous"/>
        </w:sectPr>
      </w:pPr>
    </w:p>
    <w:p>
      <w:pPr>
        <w:ind w:left="2160"/>
        <w:spacing w:after="0"/>
        <w:rPr>
          <w:sz w:val="20"/>
          <w:szCs w:val="20"/>
          <w:color w:val="auto"/>
        </w:rPr>
      </w:pPr>
      <w:r>
        <w:rPr>
          <w:rFonts w:ascii="Arial" w:cs="Arial" w:eastAsia="Arial" w:hAnsi="Arial"/>
          <w:sz w:val="10"/>
          <w:szCs w:val="10"/>
          <w:color w:val="auto"/>
        </w:rPr>
        <w:t>Address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0"/>
          <w:szCs w:val="10"/>
          <w:color w:val="auto"/>
        </w:rPr>
        <w:t>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159" w:lineRule="exact"/>
        <w:rPr>
          <w:sz w:val="20"/>
          <w:szCs w:val="20"/>
          <w:color w:val="auto"/>
        </w:rPr>
      </w:pPr>
    </w:p>
    <w:p>
      <w:pPr>
        <w:sectPr>
          <w:pgSz w:w="11900" w:h="16838" w:orient="portrait"/>
          <w:cols w:equalWidth="0" w:num="2">
            <w:col w:w="2540" w:space="480"/>
            <w:col w:w="8460"/>
          </w:cols>
          <w:pgMar w:left="220" w:top="392" w:right="19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FOR USE BY THE ISSUER ONLY:</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This Warrant No. _______________ canceled (or transferred or exchanged) this _____ day of ___________, _____, shares of Common Stock issued therefor in the name of _______________, Warrant No. _____________ issued for 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in the name of _______________.</w:t>
      </w:r>
    </w:p>
    <w:p>
      <w:pPr>
        <w:sectPr>
          <w:pgSz w:w="11900" w:h="16838" w:orient="portrait"/>
          <w:cols w:equalWidth="0" w:num="1">
            <w:col w:w="11480"/>
          </w:cols>
          <w:pgMar w:left="220" w:top="392" w:right="199"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14"/>
          <w:szCs w:val="14"/>
          <w:b w:val="1"/>
          <w:bCs w:val="1"/>
          <w:color w:val="auto"/>
        </w:rPr>
        <w:t>Exhibit 10.108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PLACEMENT AGENCY AGREEMENT</w:t>
      </w:r>
    </w:p>
    <w:p>
      <w:pPr>
        <w:spacing w:after="0" w:line="172"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_____________, 2014</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Geller Biopharm</w:t>
      </w:r>
    </w:p>
    <w:p>
      <w:pPr>
        <w:spacing w:after="0" w:line="209" w:lineRule="auto"/>
        <w:rPr>
          <w:sz w:val="20"/>
          <w:szCs w:val="20"/>
          <w:color w:val="auto"/>
        </w:rPr>
      </w:pPr>
      <w:r>
        <w:rPr>
          <w:rFonts w:ascii="Arial" w:cs="Arial" w:eastAsia="Arial" w:hAnsi="Arial"/>
          <w:sz w:val="12"/>
          <w:szCs w:val="12"/>
          <w:color w:val="auto"/>
        </w:rPr>
        <w:t>140 W.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w:t>
      </w:r>
    </w:p>
    <w:p>
      <w:pPr>
        <w:spacing w:after="0"/>
        <w:rPr>
          <w:sz w:val="20"/>
          <w:szCs w:val="20"/>
          <w:color w:val="auto"/>
        </w:rPr>
      </w:pPr>
      <w:r>
        <w:rPr>
          <w:rFonts w:ascii="Arial" w:cs="Arial" w:eastAsia="Arial" w:hAnsi="Arial"/>
          <w:sz w:val="12"/>
          <w:szCs w:val="12"/>
          <w:color w:val="auto"/>
        </w:rPr>
        <w:t>New York, NY 10019</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VistaGen Therapeutics, Inc., a Nevada corporation (the “</w:t>
      </w:r>
      <w:r>
        <w:rPr>
          <w:rFonts w:ascii="Arial" w:cs="Arial" w:eastAsia="Arial" w:hAnsi="Arial"/>
          <w:sz w:val="11"/>
          <w:szCs w:val="11"/>
          <w:i w:val="1"/>
          <w:iCs w:val="1"/>
          <w:color w:val="auto"/>
        </w:rPr>
        <w:t>Company</w:t>
      </w:r>
      <w:r>
        <w:rPr>
          <w:rFonts w:ascii="Arial" w:cs="Arial" w:eastAsia="Arial" w:hAnsi="Arial"/>
          <w:sz w:val="11"/>
          <w:szCs w:val="11"/>
          <w:color w:val="auto"/>
        </w:rPr>
        <w:t>”), proposes, subject to the terms and conditions herein, to issue and sell up to [*] [_____] shares of its common stock, $0.001 par value per share (the “</w:t>
      </w:r>
      <w:r>
        <w:rPr>
          <w:rFonts w:ascii="Arial" w:cs="Arial" w:eastAsia="Arial" w:hAnsi="Arial"/>
          <w:sz w:val="11"/>
          <w:szCs w:val="11"/>
          <w:i w:val="1"/>
          <w:iCs w:val="1"/>
          <w:color w:val="auto"/>
        </w:rPr>
        <w:t>Common</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Stock</w:t>
      </w:r>
      <w:r>
        <w:rPr>
          <w:rFonts w:ascii="Arial" w:cs="Arial" w:eastAsia="Arial" w:hAnsi="Arial"/>
          <w:sz w:val="11"/>
          <w:szCs w:val="11"/>
          <w:color w:val="auto"/>
        </w:rPr>
        <w:t>”), resulting in maximum gross proceeds to the Company of $15,000,000, and warrants to purchase up to an aggregate of [______] shares of Common Stock (the “</w:t>
      </w:r>
      <w:r>
        <w:rPr>
          <w:rFonts w:ascii="Arial" w:cs="Arial" w:eastAsia="Arial" w:hAnsi="Arial"/>
          <w:sz w:val="11"/>
          <w:szCs w:val="11"/>
          <w:i w:val="1"/>
          <w:iCs w:val="1"/>
          <w:color w:val="auto"/>
        </w:rPr>
        <w:t>Maximum Offering</w:t>
      </w:r>
      <w:r>
        <w:rPr>
          <w:rFonts w:ascii="Arial" w:cs="Arial" w:eastAsia="Arial" w:hAnsi="Arial"/>
          <w:sz w:val="11"/>
          <w:szCs w:val="11"/>
          <w:color w:val="auto"/>
        </w:rPr>
        <w:t>”) in a public offering registered under the</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Securities Act of 1933, as amended (the “</w:t>
      </w:r>
      <w:r>
        <w:rPr>
          <w:rFonts w:ascii="Arial" w:cs="Arial" w:eastAsia="Arial" w:hAnsi="Arial"/>
          <w:sz w:val="12"/>
          <w:szCs w:val="12"/>
          <w:i w:val="1"/>
          <w:iCs w:val="1"/>
          <w:color w:val="auto"/>
        </w:rPr>
        <w:t>1933 Act</w:t>
      </w:r>
      <w:r>
        <w:rPr>
          <w:rFonts w:ascii="Arial" w:cs="Arial" w:eastAsia="Arial" w:hAnsi="Arial"/>
          <w:sz w:val="12"/>
          <w:szCs w:val="12"/>
          <w:color w:val="auto"/>
        </w:rPr>
        <w:t>”). For each share of Common Stock issued and sold by the Company, the Company shall issue and sell to each investor (“</w:t>
      </w:r>
      <w:r>
        <w:rPr>
          <w:rFonts w:ascii="Arial" w:cs="Arial" w:eastAsia="Arial" w:hAnsi="Arial"/>
          <w:sz w:val="12"/>
          <w:szCs w:val="12"/>
          <w:i w:val="1"/>
          <w:iCs w:val="1"/>
          <w:color w:val="auto"/>
        </w:rPr>
        <w:t>Investor</w:t>
      </w:r>
      <w:r>
        <w:rPr>
          <w:rFonts w:ascii="Arial" w:cs="Arial" w:eastAsia="Arial" w:hAnsi="Arial"/>
          <w:sz w:val="12"/>
          <w:szCs w:val="12"/>
          <w:color w:val="auto"/>
        </w:rPr>
        <w:t>”) a warrant to purchase [__] of one share of Common Stock at an exercise price of $[__] per share (each, a “</w:t>
      </w:r>
      <w:r>
        <w:rPr>
          <w:rFonts w:ascii="Arial" w:cs="Arial" w:eastAsia="Arial" w:hAnsi="Arial"/>
          <w:sz w:val="12"/>
          <w:szCs w:val="12"/>
          <w:i w:val="1"/>
          <w:iCs w:val="1"/>
          <w:color w:val="auto"/>
        </w:rPr>
        <w:t>Warrant</w:t>
      </w:r>
      <w:r>
        <w:rPr>
          <w:rFonts w:ascii="Arial" w:cs="Arial" w:eastAsia="Arial" w:hAnsi="Arial"/>
          <w:sz w:val="12"/>
          <w:szCs w:val="12"/>
          <w:color w:val="auto"/>
        </w:rPr>
        <w:t>” and, collectively with the Common Stock, the “</w:t>
      </w:r>
      <w:r>
        <w:rPr>
          <w:rFonts w:ascii="Arial" w:cs="Arial" w:eastAsia="Arial" w:hAnsi="Arial"/>
          <w:sz w:val="12"/>
          <w:szCs w:val="12"/>
          <w:i w:val="1"/>
          <w:iCs w:val="1"/>
          <w:color w:val="auto"/>
        </w:rPr>
        <w:t>Securities</w:t>
      </w:r>
      <w:r>
        <w:rPr>
          <w:rFonts w:ascii="Arial" w:cs="Arial" w:eastAsia="Arial" w:hAnsi="Arial"/>
          <w:sz w:val="12"/>
          <w:szCs w:val="12"/>
          <w:color w:val="auto"/>
        </w:rPr>
        <w:t>”). The Company desires to engage Geller Biopharm, a healthcare investment banking division of Financial West Group (the “</w:t>
      </w:r>
      <w:r>
        <w:rPr>
          <w:rFonts w:ascii="Arial" w:cs="Arial" w:eastAsia="Arial" w:hAnsi="Arial"/>
          <w:sz w:val="12"/>
          <w:szCs w:val="12"/>
          <w:i w:val="1"/>
          <w:iCs w:val="1"/>
          <w:color w:val="auto"/>
        </w:rPr>
        <w:t>Placement Agent</w:t>
      </w:r>
      <w:r>
        <w:rPr>
          <w:rFonts w:ascii="Arial" w:cs="Arial" w:eastAsia="Arial" w:hAnsi="Arial"/>
          <w:sz w:val="12"/>
          <w:szCs w:val="12"/>
          <w:color w:val="auto"/>
        </w:rPr>
        <w:t>”), as exclusive placement agent in connection with such issuance and sale of the Securities. Notwithstanding anything to the contrary herein, the Maximum Offering shall be subject to revision upon agreement of the Company and the Placement Agent.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hereby confirms its agreement with the Placement Agent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 Agreement to Act as Placement Agent</w:t>
      </w:r>
      <w:r>
        <w:rPr>
          <w:rFonts w:ascii="Arial" w:cs="Arial" w:eastAsia="Arial" w:hAnsi="Arial"/>
          <w:sz w:val="12"/>
          <w:szCs w:val="12"/>
          <w:color w:val="auto"/>
        </w:rPr>
        <w:t>.</w:t>
      </w:r>
    </w:p>
    <w:p>
      <w:pPr>
        <w:spacing w:after="0" w:line="172" w:lineRule="exact"/>
        <w:rPr>
          <w:sz w:val="20"/>
          <w:szCs w:val="20"/>
          <w:color w:val="auto"/>
        </w:rPr>
      </w:pPr>
    </w:p>
    <w:p>
      <w:pPr>
        <w:jc w:val="both"/>
        <w:ind w:left="100" w:firstLine="432"/>
        <w:spacing w:after="0" w:line="280" w:lineRule="auto"/>
        <w:tabs>
          <w:tab w:leader="none" w:pos="1049" w:val="left"/>
        </w:tabs>
        <w:numPr>
          <w:ilvl w:val="0"/>
          <w:numId w:val="108"/>
        </w:numPr>
        <w:rPr>
          <w:rFonts w:ascii="Arial" w:cs="Arial" w:eastAsia="Arial" w:hAnsi="Arial"/>
          <w:sz w:val="11"/>
          <w:szCs w:val="11"/>
          <w:color w:val="auto"/>
        </w:rPr>
      </w:pPr>
      <w:r>
        <w:rPr>
          <w:rFonts w:ascii="Arial" w:cs="Arial" w:eastAsia="Arial" w:hAnsi="Arial"/>
          <w:sz w:val="11"/>
          <w:szCs w:val="11"/>
          <w:color w:val="auto"/>
        </w:rPr>
        <w:t>On the basis of the representations, warranties and agreements of the Company herein contained, and subject to all the terms and conditions of this Agreement between the Company and the Placement Agent, the Placement Agent shall be the Company’s exclusive placement agent, on a reasonable best efforts basis, in connection with the issuance and sale by the Company of the Securities to the Investors in a proposed offering of the Securities (the “</w:t>
      </w:r>
      <w:r>
        <w:rPr>
          <w:rFonts w:ascii="Arial" w:cs="Arial" w:eastAsia="Arial" w:hAnsi="Arial"/>
          <w:sz w:val="11"/>
          <w:szCs w:val="11"/>
          <w:i w:val="1"/>
          <w:iCs w:val="1"/>
          <w:color w:val="auto"/>
        </w:rPr>
        <w:t>Offering</w:t>
      </w:r>
      <w:r>
        <w:rPr>
          <w:rFonts w:ascii="Arial" w:cs="Arial" w:eastAsia="Arial" w:hAnsi="Arial"/>
          <w:sz w:val="11"/>
          <w:szCs w:val="11"/>
          <w:color w:val="auto"/>
        </w:rPr>
        <w:t>”) under the Registration Statement (as defined below), with the terms of the Offering to be subject to market conditions and negotiations between the Company, the Placement Agent and the prospective Investors in the Offering. As compensation for services rendered, on each Closing Date (as defined below) during the term of this Agreement and during the Tail Period (as defined below), the Company shall pay to the Placement Agent, an aggregate amount (the “</w:t>
      </w:r>
      <w:r>
        <w:rPr>
          <w:rFonts w:ascii="Arial" w:cs="Arial" w:eastAsia="Arial" w:hAnsi="Arial"/>
          <w:sz w:val="11"/>
          <w:szCs w:val="11"/>
          <w:i w:val="1"/>
          <w:iCs w:val="1"/>
          <w:color w:val="auto"/>
        </w:rPr>
        <w:t>Placement Fee</w:t>
      </w:r>
      <w:r>
        <w:rPr>
          <w:rFonts w:ascii="Arial" w:cs="Arial" w:eastAsia="Arial" w:hAnsi="Arial"/>
          <w:sz w:val="11"/>
          <w:szCs w:val="11"/>
          <w:color w:val="auto"/>
        </w:rPr>
        <w:t xml:space="preserve">”) equal to (A) 8% of the gross cash proceeds received by the Company from the sale of the Securities plus (B) reimbursement of all reasonable expenses of the Placement Agent in connection with the Offering; </w:t>
      </w:r>
      <w:r>
        <w:rPr>
          <w:rFonts w:ascii="Arial" w:cs="Arial" w:eastAsia="Arial" w:hAnsi="Arial"/>
          <w:sz w:val="11"/>
          <w:szCs w:val="11"/>
          <w:i w:val="1"/>
          <w:iCs w:val="1"/>
          <w:color w:val="auto"/>
        </w:rPr>
        <w:t>provided, however</w:t>
      </w:r>
      <w:r>
        <w:rPr>
          <w:rFonts w:ascii="Arial" w:cs="Arial" w:eastAsia="Arial" w:hAnsi="Arial"/>
          <w:sz w:val="11"/>
          <w:szCs w:val="11"/>
          <w:color w:val="auto"/>
        </w:rPr>
        <w:t>, the Company shall not be required to reimburse Placement Agent for attorney’s fees in excess of $80,000 plus such additional amounts payable under that certain engagement letter with Placement Agent’s counsel, dated as of June 16, 2014, and as reasonably agreed to by the Company. In addition to the foregoing, the Company shall pay a fee to the Placement Agent equal to 8% of the gross cash proceeds received by the Company from exercises of Warrants for cash during the term of the Warrants, which fee, if any, shall be paid by the Company within 15 days of the exercise date.</w:t>
      </w:r>
    </w:p>
    <w:p>
      <w:pPr>
        <w:spacing w:after="0" w:line="134" w:lineRule="exact"/>
        <w:rPr>
          <w:rFonts w:ascii="Arial" w:cs="Arial" w:eastAsia="Arial" w:hAnsi="Arial"/>
          <w:sz w:val="11"/>
          <w:szCs w:val="11"/>
          <w:color w:val="auto"/>
        </w:rPr>
      </w:pPr>
    </w:p>
    <w:p>
      <w:pPr>
        <w:jc w:val="both"/>
        <w:ind w:left="100" w:firstLine="432"/>
        <w:spacing w:after="0" w:line="257" w:lineRule="auto"/>
        <w:tabs>
          <w:tab w:leader="none" w:pos="101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The sale of the Securities shall be made pursuant to subscription agreements in the form included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(the “</w:t>
      </w:r>
      <w:r>
        <w:rPr>
          <w:rFonts w:ascii="Arial" w:cs="Arial" w:eastAsia="Arial" w:hAnsi="Arial"/>
          <w:sz w:val="12"/>
          <w:szCs w:val="12"/>
          <w:i w:val="1"/>
          <w:iCs w:val="1"/>
          <w:color w:val="auto"/>
        </w:rPr>
        <w:t>Subscription Agreements</w:t>
      </w:r>
      <w:r>
        <w:rPr>
          <w:rFonts w:ascii="Arial" w:cs="Arial" w:eastAsia="Arial" w:hAnsi="Arial"/>
          <w:sz w:val="12"/>
          <w:szCs w:val="12"/>
          <w:color w:val="auto"/>
        </w:rPr>
        <w:t xml:space="preserve">”) on the terms described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All Investors in the Offering will be entitled to receive identical terms with respect to the Offering irrespective of the Closing Date in which their Subscription Agreements have been accepted. The Company shall have the sole right to accept offers to purchase the Securities and may reject any such offer in whole or in part. Notwithstanding the foregoing, it is understood and agreed that the Placement Agent or any of its or the Company’s affiliates may, solely at their discretion and without any obligation to do so, purchase Securities as principal; </w:t>
      </w:r>
      <w:r>
        <w:rPr>
          <w:rFonts w:ascii="Arial" w:cs="Arial" w:eastAsia="Arial" w:hAnsi="Arial"/>
          <w:sz w:val="12"/>
          <w:szCs w:val="12"/>
          <w:i w:val="1"/>
          <w:iCs w:val="1"/>
          <w:color w:val="auto"/>
        </w:rPr>
        <w:t>provided, however</w:t>
      </w:r>
      <w:r>
        <w:rPr>
          <w:rFonts w:ascii="Arial" w:cs="Arial" w:eastAsia="Arial" w:hAnsi="Arial"/>
          <w:sz w:val="12"/>
          <w:szCs w:val="12"/>
          <w:color w:val="auto"/>
        </w:rPr>
        <w:t>, that any such purchases by the Placement Agent (or its affiliates) or Company affiliates shall be fully disclosed to Investors and the Company and approved by the Company in accordance with the previous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368300</wp:posOffset>
            </wp:positionV>
            <wp:extent cx="729932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213" w:name="page214"/>
    <w:bookmarkEnd w:id="213"/>
    <w:p>
      <w:pPr>
        <w:jc w:val="both"/>
        <w:ind w:left="-432" w:firstLine="432"/>
        <w:spacing w:after="0" w:line="286" w:lineRule="auto"/>
        <w:tabs>
          <w:tab w:leader="none" w:pos="435"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This Agreement shall not give rise to any commitment by the Placement Agent to purchase any of the Securities, and the Placement Agent shall have no authority to bind the Company. The Placement Agent shall act on a reasonable best efforts basis and does not guarantee that it will be able to raise new capital in the Offering. The Placement Agent may at its sole discretion but upon prior notice to the Company, which may be oral, retain other brokers or dealers to act as sub-agents and/or co-placement agents on its behalf in connection with the Offering, the fees of which shall be paid by the Placement Agent out of the Placement Fee. The Company shall not, without the prior written consent of the Placement Agent, solicit or accept offers to purchase any securities of the Company (other than pursuant to the Autilion Transaction as described in Section 3(u) and the exercise of options or warrants to purchase shares of Common Stock that are outstanding at the date hereof) otherwise than through the Placement Agent in accordance herewith.</w:t>
      </w:r>
    </w:p>
    <w:p>
      <w:pPr>
        <w:spacing w:after="0" w:line="129" w:lineRule="exact"/>
        <w:rPr>
          <w:rFonts w:ascii="Arial" w:cs="Arial" w:eastAsia="Arial" w:hAnsi="Arial"/>
          <w:sz w:val="11"/>
          <w:szCs w:val="11"/>
          <w:color w:val="auto"/>
        </w:rPr>
      </w:pPr>
    </w:p>
    <w:p>
      <w:pPr>
        <w:jc w:val="both"/>
        <w:ind w:left="-432" w:firstLine="432"/>
        <w:spacing w:after="0" w:line="279" w:lineRule="auto"/>
        <w:tabs>
          <w:tab w:leader="none" w:pos="454"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Company acknowledges and agrees that the Placement Agent shall act as an independent contractor, and not as a fiduciary, and any duties of the Placement Agent with respect to investment banking services to the Company, including the offering of the Securities contemplated hereby (including in connection with determining the terms of the Offering), shall be contractual in nature, as expressly set forth herein, and shall be owed solely to the Company. Each party disclaims any intention to impose any fiduciary or similar duty on the other. Additionally, the Placement Agent has not advised, nor is advising, the Company or any other person as to any legal, tax, investment, accounting or regulatory matters in any jurisdiction with respect to the transactions contemplated hereby. The Company shall consult with its own advisors concerning such matters and shall be responsible for making its own independent investigation and appraisal of the transactions contemplated hereby, and the Placement Agent shall have no responsibility or liability to the Company with respect thereto. Any review by the Placement Agent of the Company, the transactions contemplated hereby or other matters relating to such transactions has been and will be performed solely for the benefit of the Placement Agent and has not been and shall not be on behalf of the Company or any other person. It is understood that the Placement Agent has not and will not be rendering an opinion to the Company as to the fairness of the terms of the Offering. Notwithstanding anything in this Agreement to the contrary, the Company acknowledges that the Placement Agent may have financial interests in the success of the Offering contemplated hereby that are not limited to the Placement Fee. The Company hereby waives and releases, to the fullest extent permitted by law, any claims that the Company may have against the Placement Agent with respect to any breach or alleged breach of fiduciary owed to the Company.</w:t>
      </w:r>
    </w:p>
    <w:p>
      <w:pPr>
        <w:spacing w:after="0" w:line="135" w:lineRule="exact"/>
        <w:rPr>
          <w:rFonts w:ascii="Arial" w:cs="Arial" w:eastAsia="Arial" w:hAnsi="Arial"/>
          <w:sz w:val="11"/>
          <w:szCs w:val="11"/>
          <w:color w:val="auto"/>
        </w:rPr>
      </w:pPr>
    </w:p>
    <w:p>
      <w:pPr>
        <w:jc w:val="both"/>
        <w:ind w:left="-432" w:firstLine="432"/>
        <w:spacing w:after="0" w:line="283" w:lineRule="auto"/>
        <w:tabs>
          <w:tab w:leader="none" w:pos="52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Payment of the purchase price for, and delivery of, the Securities shall be made at a closing (the “</w:t>
      </w:r>
      <w:r>
        <w:rPr>
          <w:rFonts w:ascii="Arial" w:cs="Arial" w:eastAsia="Arial" w:hAnsi="Arial"/>
          <w:sz w:val="11"/>
          <w:szCs w:val="11"/>
          <w:i w:val="1"/>
          <w:iCs w:val="1"/>
          <w:color w:val="auto"/>
        </w:rPr>
        <w:t>Closing</w:t>
      </w:r>
      <w:r>
        <w:rPr>
          <w:rFonts w:ascii="Arial" w:cs="Arial" w:eastAsia="Arial" w:hAnsi="Arial"/>
          <w:sz w:val="11"/>
          <w:szCs w:val="11"/>
          <w:color w:val="auto"/>
        </w:rPr>
        <w:t>”) at the offices of Sichenzia Ross Friedman Ference LLP, counsel for the Placement Agent, located at 61 Broadway, 32nd. Floor, New York, New York 10006 at [•] a.m., local time, on such date or dates as the Placement Agent and the Company may agree in writing, but not later than [*], 2014 (each such date of payment and delivery being herein called a “</w:t>
      </w:r>
      <w:r>
        <w:rPr>
          <w:rFonts w:ascii="Arial" w:cs="Arial" w:eastAsia="Arial" w:hAnsi="Arial"/>
          <w:sz w:val="11"/>
          <w:szCs w:val="11"/>
          <w:i w:val="1"/>
          <w:iCs w:val="1"/>
          <w:color w:val="auto"/>
        </w:rPr>
        <w:t>Closing Date</w:t>
      </w:r>
      <w:r>
        <w:rPr>
          <w:rFonts w:ascii="Arial" w:cs="Arial" w:eastAsia="Arial" w:hAnsi="Arial"/>
          <w:sz w:val="11"/>
          <w:szCs w:val="11"/>
          <w:color w:val="auto"/>
        </w:rPr>
        <w:t>”), or such later date or dates as agreed by the Company and Placement Agent, provided the Minimum Offering is met. All such actions taken at a Closing shall be deemed to have occurred simultaneously. No Securities that the Company has agreed to sell pursuant to this Agreement and the Subscription Agreements shall be deemed to have been purchased and paid for, or sold by the Company until such Securities shall have been delivered to the Investors against payment therefor by the Investors. If the Company shall default in its obligations to deliver the Securities to an Investor whose offer it has accepted, the Company shall indemnify and hold the Placement Agent harmless against any loss, claim or damage incurred by the Placement Agent arising from or as a result of such default by the Company.</w:t>
      </w:r>
    </w:p>
    <w:p>
      <w:pPr>
        <w:spacing w:after="0" w:line="131" w:lineRule="exact"/>
        <w:rPr>
          <w:rFonts w:ascii="Arial" w:cs="Arial" w:eastAsia="Arial" w:hAnsi="Arial"/>
          <w:sz w:val="11"/>
          <w:szCs w:val="11"/>
          <w:color w:val="auto"/>
        </w:rPr>
      </w:pPr>
    </w:p>
    <w:p>
      <w:pPr>
        <w:jc w:val="both"/>
        <w:ind w:left="-432" w:firstLine="432"/>
        <w:spacing w:after="0" w:line="290" w:lineRule="auto"/>
        <w:tabs>
          <w:tab w:leader="none" w:pos="493" w:val="left"/>
        </w:tabs>
        <w:numPr>
          <w:ilvl w:val="0"/>
          <w:numId w:val="109"/>
        </w:numPr>
        <w:rPr>
          <w:rFonts w:ascii="Arial" w:cs="Arial" w:eastAsia="Arial" w:hAnsi="Arial"/>
          <w:sz w:val="11"/>
          <w:szCs w:val="11"/>
          <w:color w:val="auto"/>
        </w:rPr>
      </w:pPr>
      <w:r>
        <w:rPr>
          <w:rFonts w:ascii="Arial" w:cs="Arial" w:eastAsia="Arial" w:hAnsi="Arial"/>
          <w:sz w:val="11"/>
          <w:szCs w:val="11"/>
          <w:color w:val="auto"/>
        </w:rPr>
        <w:t>On or before any Closing Date, each Investor shall pay by wire transfer of immediately available funds to the escrow account (the “</w:t>
      </w:r>
      <w:r>
        <w:rPr>
          <w:rFonts w:ascii="Arial" w:cs="Arial" w:eastAsia="Arial" w:hAnsi="Arial"/>
          <w:sz w:val="11"/>
          <w:szCs w:val="11"/>
          <w:i w:val="1"/>
          <w:iCs w:val="1"/>
          <w:color w:val="auto"/>
        </w:rPr>
        <w:t>Escrow Account</w:t>
      </w:r>
      <w:r>
        <w:rPr>
          <w:rFonts w:ascii="Arial" w:cs="Arial" w:eastAsia="Arial" w:hAnsi="Arial"/>
          <w:sz w:val="11"/>
          <w:szCs w:val="11"/>
          <w:color w:val="auto"/>
        </w:rPr>
        <w:t>”), established at the Company’s expense, at Signature Bank (the “</w:t>
      </w:r>
      <w:r>
        <w:rPr>
          <w:rFonts w:ascii="Arial" w:cs="Arial" w:eastAsia="Arial" w:hAnsi="Arial"/>
          <w:sz w:val="11"/>
          <w:szCs w:val="11"/>
          <w:i w:val="1"/>
          <w:iCs w:val="1"/>
          <w:color w:val="auto"/>
        </w:rPr>
        <w:t>Escrow Agent”</w:t>
      </w:r>
      <w:r>
        <w:rPr>
          <w:rFonts w:ascii="Arial" w:cs="Arial" w:eastAsia="Arial" w:hAnsi="Arial"/>
          <w:sz w:val="11"/>
          <w:szCs w:val="11"/>
          <w:color w:val="auto"/>
        </w:rPr>
        <w:t>) an amount equal to the product of (x) the number of Securities such Investor has agreed to purchase and (y) the purchase price thereof as set forth on the cover page of the Prospectus (as defined below). On any Closing Date, the Company shall (i) deliver or cause to be delivered the Securities to the Investors, with such delivery to be made, if possible, through the facilities of The Depository Trust Company's DWAC system, and (ii) pay to the Placement Agent (A) the Placement Fee and (B) any additional expense reimbursement to which the Placement Agent is entitled pursuant to Section 4 hereof.</w:t>
      </w:r>
    </w:p>
    <w:p>
      <w:pPr>
        <w:spacing w:after="0" w:line="127" w:lineRule="exact"/>
        <w:rPr>
          <w:rFonts w:ascii="Arial" w:cs="Arial" w:eastAsia="Arial" w:hAnsi="Arial"/>
          <w:sz w:val="11"/>
          <w:szCs w:val="11"/>
          <w:color w:val="auto"/>
        </w:rPr>
      </w:pPr>
    </w:p>
    <w:p>
      <w:pPr>
        <w:ind w:left="448" w:hanging="448"/>
        <w:spacing w:after="0"/>
        <w:tabs>
          <w:tab w:leader="none" w:pos="448"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Securities shall be registered in such names and in such denominations as the Placement Agent shall request by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383540</wp:posOffset>
            </wp:positionV>
            <wp:extent cx="7299325"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14" w:name="page215"/>
    <w:bookmarkEnd w:id="214"/>
    <w:p>
      <w:pPr>
        <w:spacing w:after="0"/>
        <w:rPr>
          <w:sz w:val="20"/>
          <w:szCs w:val="20"/>
          <w:color w:val="auto"/>
        </w:rPr>
      </w:pPr>
      <w:r>
        <w:rPr>
          <w:rFonts w:ascii="Arial" w:cs="Arial" w:eastAsia="Arial" w:hAnsi="Arial"/>
          <w:sz w:val="12"/>
          <w:szCs w:val="12"/>
          <w:b w:val="1"/>
          <w:bCs w:val="1"/>
          <w:color w:val="auto"/>
        </w:rPr>
        <w:t>Section 2. Representations, Warranties and Agreements</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Placement Agent hereby represents, warrants and covenants to the Company as of the date hereof, and as of each Closing Date, the Offering and this Agreement have been duly authorized, executed and delivered by the Placement Agent, and each constitutes a valid, legal and binding obligation of the Placement Agent, enforceable against the Placement Agent in accordance with its terms, except as rights to indemnity hereunder may be limited by federal or state securities laws and except as such enforceability may be limited by applicable bankruptcy, insolvency, reorganization or similar laws affecting the rights of creditors generally and subject to general principles of equity.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hereby represents, warrants and covenants to the Placement Agent as of the date hereof, and as of each Closing Date of the Offering, as follows:</w:t>
      </w:r>
    </w:p>
    <w:p>
      <w:pPr>
        <w:spacing w:after="0" w:line="168" w:lineRule="exact"/>
        <w:rPr>
          <w:sz w:val="20"/>
          <w:szCs w:val="20"/>
          <w:color w:val="auto"/>
        </w:rPr>
      </w:pPr>
    </w:p>
    <w:p>
      <w:pPr>
        <w:jc w:val="both"/>
        <w:ind w:firstLine="424"/>
        <w:spacing w:after="0" w:line="277" w:lineRule="auto"/>
        <w:tabs>
          <w:tab w:leader="none" w:pos="959" w:val="left"/>
        </w:tabs>
        <w:numPr>
          <w:ilvl w:val="0"/>
          <w:numId w:val="110"/>
        </w:numPr>
        <w:rPr>
          <w:rFonts w:ascii="Arial" w:cs="Arial" w:eastAsia="Arial" w:hAnsi="Arial"/>
          <w:sz w:val="11"/>
          <w:szCs w:val="11"/>
          <w:color w:val="auto"/>
        </w:rPr>
      </w:pPr>
      <w:r>
        <w:rPr>
          <w:rFonts w:ascii="Arial" w:cs="Arial" w:eastAsia="Arial" w:hAnsi="Arial"/>
          <w:sz w:val="11"/>
          <w:szCs w:val="11"/>
          <w:i w:val="1"/>
          <w:iCs w:val="1"/>
          <w:color w:val="auto"/>
        </w:rPr>
        <w:t xml:space="preserve">Registration Statement. </w:t>
      </w:r>
      <w:r>
        <w:rPr>
          <w:rFonts w:ascii="Arial" w:cs="Arial" w:eastAsia="Arial" w:hAnsi="Arial"/>
          <w:sz w:val="11"/>
          <w:szCs w:val="11"/>
          <w:color w:val="auto"/>
        </w:rPr>
        <w:t>The Company has filed with the Securities and Exchange Commission (the “</w:t>
      </w:r>
      <w:r>
        <w:rPr>
          <w:rFonts w:ascii="Arial" w:cs="Arial" w:eastAsia="Arial" w:hAnsi="Arial"/>
          <w:sz w:val="11"/>
          <w:szCs w:val="11"/>
          <w:i w:val="1"/>
          <w:iCs w:val="1"/>
          <w:color w:val="auto"/>
        </w:rPr>
        <w:t>Commission</w:t>
      </w:r>
      <w:r>
        <w:rPr>
          <w:rFonts w:ascii="Arial" w:cs="Arial" w:eastAsia="Arial" w:hAnsi="Arial"/>
          <w:sz w:val="11"/>
          <w:szCs w:val="11"/>
          <w:color w:val="auto"/>
        </w:rPr>
        <w:t>”) a registration statement on Form S-1 under the Securities Act of 1933, as amended (the “</w:t>
      </w:r>
      <w:r>
        <w:rPr>
          <w:rFonts w:ascii="Arial" w:cs="Arial" w:eastAsia="Arial" w:hAnsi="Arial"/>
          <w:sz w:val="11"/>
          <w:szCs w:val="11"/>
          <w:i w:val="1"/>
          <w:iCs w:val="1"/>
          <w:color w:val="auto"/>
        </w:rPr>
        <w:t>Securities Act</w:t>
      </w:r>
      <w:r>
        <w:rPr>
          <w:rFonts w:ascii="Arial" w:cs="Arial" w:eastAsia="Arial" w:hAnsi="Arial"/>
          <w:sz w:val="11"/>
          <w:szCs w:val="11"/>
          <w:color w:val="auto"/>
        </w:rPr>
        <w:t>”) (File No. 333-195901). The Company will use its best efforts to cause the registration statement to become effective pursuant to Rule 430A, and will file with the Commission pursuant to Rules 430A and 424(b) under the Securities</w:t>
      </w:r>
      <w:r>
        <w:rPr>
          <w:rFonts w:ascii="Arial" w:cs="Arial" w:eastAsia="Arial" w:hAnsi="Arial"/>
          <w:sz w:val="11"/>
          <w:szCs w:val="11"/>
          <w:i w:val="1"/>
          <w:iCs w:val="1"/>
          <w:color w:val="auto"/>
        </w:rPr>
        <w:t xml:space="preserve"> </w:t>
      </w:r>
      <w:r>
        <w:rPr>
          <w:rFonts w:ascii="Arial" w:cs="Arial" w:eastAsia="Arial" w:hAnsi="Arial"/>
          <w:sz w:val="11"/>
          <w:szCs w:val="11"/>
          <w:color w:val="auto"/>
        </w:rPr>
        <w:t>Act, and the Regulations of the Commission promulgated thereunder (the “</w:t>
      </w:r>
      <w:r>
        <w:rPr>
          <w:rFonts w:ascii="Arial" w:cs="Arial" w:eastAsia="Arial" w:hAnsi="Arial"/>
          <w:sz w:val="11"/>
          <w:szCs w:val="11"/>
          <w:i w:val="1"/>
          <w:iCs w:val="1"/>
          <w:color w:val="auto"/>
        </w:rPr>
        <w:t>Regulations</w:t>
      </w:r>
      <w:r>
        <w:rPr>
          <w:rFonts w:ascii="Arial" w:cs="Arial" w:eastAsia="Arial" w:hAnsi="Arial"/>
          <w:sz w:val="11"/>
          <w:szCs w:val="11"/>
          <w:color w:val="auto"/>
        </w:rPr>
        <w:t>”), a final prospectus included in such registration statement relating to the placement of the Securities and the plan of distribution thereof and will advise the Placement Agent of all further information (financial and other) with respect to the Company required to be set forth therein. Such registration statement, including the exhibits thereto, as amended as of its effective date and as of the Closing, is hereinafter called the “</w:t>
      </w:r>
      <w:r>
        <w:rPr>
          <w:rFonts w:ascii="Arial" w:cs="Arial" w:eastAsia="Arial" w:hAnsi="Arial"/>
          <w:sz w:val="11"/>
          <w:szCs w:val="11"/>
          <w:i w:val="1"/>
          <w:iCs w:val="1"/>
          <w:color w:val="auto"/>
        </w:rPr>
        <w:t>Registration Statement</w:t>
      </w:r>
      <w:r>
        <w:rPr>
          <w:rFonts w:ascii="Arial" w:cs="Arial" w:eastAsia="Arial" w:hAnsi="Arial"/>
          <w:sz w:val="11"/>
          <w:szCs w:val="11"/>
          <w:color w:val="auto"/>
        </w:rPr>
        <w:t>”; such prospectus in the form in which it appears in the Registration Statement is hereinafter called the “</w:t>
      </w:r>
      <w:r>
        <w:rPr>
          <w:rFonts w:ascii="Arial" w:cs="Arial" w:eastAsia="Arial" w:hAnsi="Arial"/>
          <w:sz w:val="11"/>
          <w:szCs w:val="11"/>
          <w:i w:val="1"/>
          <w:iCs w:val="1"/>
          <w:color w:val="auto"/>
        </w:rPr>
        <w:t>Preliminary Prospectus</w:t>
      </w:r>
      <w:r>
        <w:rPr>
          <w:rFonts w:ascii="Arial" w:cs="Arial" w:eastAsia="Arial" w:hAnsi="Arial"/>
          <w:sz w:val="11"/>
          <w:szCs w:val="11"/>
          <w:color w:val="auto"/>
        </w:rPr>
        <w:t>”; the amended or supplemented form of prospectus, in the form in which it will be filed with the Commission pursuant to Rules 430A and 424(b) (including the Preliminary Prospectus as so amended or supplemented) is hereinafter called the “</w:t>
      </w:r>
      <w:r>
        <w:rPr>
          <w:rFonts w:ascii="Arial" w:cs="Arial" w:eastAsia="Arial" w:hAnsi="Arial"/>
          <w:sz w:val="11"/>
          <w:szCs w:val="11"/>
          <w:i w:val="1"/>
          <w:iCs w:val="1"/>
          <w:color w:val="auto"/>
        </w:rPr>
        <w:t>Pricing Prospectus</w:t>
      </w:r>
      <w:r>
        <w:rPr>
          <w:rFonts w:ascii="Arial" w:cs="Arial" w:eastAsia="Arial" w:hAnsi="Arial"/>
          <w:sz w:val="11"/>
          <w:szCs w:val="11"/>
          <w:color w:val="auto"/>
        </w:rPr>
        <w:t>”; and, unless otherwise stated herein, the Preliminary Prospectus and Pricing Prospectus and any Free Writing Prospectus (as defined below) are hereinafter called the “</w:t>
      </w:r>
      <w:r>
        <w:rPr>
          <w:rFonts w:ascii="Arial" w:cs="Arial" w:eastAsia="Arial" w:hAnsi="Arial"/>
          <w:sz w:val="11"/>
          <w:szCs w:val="11"/>
          <w:i w:val="1"/>
          <w:iCs w:val="1"/>
          <w:color w:val="auto"/>
        </w:rPr>
        <w:t>Disclosure Documents</w:t>
      </w:r>
      <w:r>
        <w:rPr>
          <w:rFonts w:ascii="Arial" w:cs="Arial" w:eastAsia="Arial" w:hAnsi="Arial"/>
          <w:sz w:val="11"/>
          <w:szCs w:val="11"/>
          <w:color w:val="auto"/>
        </w:rPr>
        <w:t>”. Any reference in this Agreement to the Registration Statement and the Disclosure Documents shall be deemed to refer to and include the documents incorporated by reference therein (the “</w:t>
      </w:r>
      <w:r>
        <w:rPr>
          <w:rFonts w:ascii="Arial" w:cs="Arial" w:eastAsia="Arial" w:hAnsi="Arial"/>
          <w:sz w:val="11"/>
          <w:szCs w:val="11"/>
          <w:i w:val="1"/>
          <w:iCs w:val="1"/>
          <w:color w:val="auto"/>
        </w:rPr>
        <w:t>Incorporated Documents</w:t>
      </w:r>
      <w:r>
        <w:rPr>
          <w:rFonts w:ascii="Arial" w:cs="Arial" w:eastAsia="Arial" w:hAnsi="Arial"/>
          <w:sz w:val="11"/>
          <w:szCs w:val="11"/>
          <w:color w:val="auto"/>
        </w:rPr>
        <w:t>”) pursuant to Item 12 of Form S-1 which were filed under the Securities Exchange Act of 1934, as amended (the “</w:t>
      </w:r>
      <w:r>
        <w:rPr>
          <w:rFonts w:ascii="Arial" w:cs="Arial" w:eastAsia="Arial" w:hAnsi="Arial"/>
          <w:sz w:val="11"/>
          <w:szCs w:val="11"/>
          <w:i w:val="1"/>
          <w:iCs w:val="1"/>
          <w:color w:val="auto"/>
        </w:rPr>
        <w:t>Exchange Ac</w:t>
      </w:r>
      <w:r>
        <w:rPr>
          <w:rFonts w:ascii="Arial" w:cs="Arial" w:eastAsia="Arial" w:hAnsi="Arial"/>
          <w:sz w:val="11"/>
          <w:szCs w:val="11"/>
          <w:color w:val="auto"/>
        </w:rPr>
        <w:t>t”), on or before the date of this Agreement, or the issue date of the Preliminary Prospectus or the Pricing Prospectus, as the case may be; and any reference in this Agreement to the terms “amend,” “amendment” or “supplement” with respect to the Registration Statement, the Preliminary Prospectus or the Pricing Prospectus shall be deemed to refer to and include the filing of any document under the Exchange Act after the date of this Agreement, or the issue date of the Preliminary Prospectus or the Pricing Prospectus, as the case may be, deemed to be incorporated therein by reference. All references in this Agreement to financial statements and schedules and other information that is “contained,” “included,” “described,” “referenced,” “set forth” or “stated” in the Registration Statement, the Preliminary Prospectus or the Pricing Prospectus (and all other references of like import) shall be deemed to mean and include all such financial statements and schedules and other information that is or is deemed to be incorporated by reference in the Registration Statement, the Preliminary Prospectus or the Pricing Prospectus, as the case may be.</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 stop order preventing or suspending use of the Registration Statement, any Preliminary Prospectus or the Prospectus or the effectiveness of the Registration Statement, has been issued by the Commission, and no proceedings for such purpose have been instituted or, to the Company’s knowledge, are contemplated or threatened by the Commission.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purposes of this Agreement, all references to the Registration Statement, the Pricing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2"/>
          <w:szCs w:val="12"/>
          <w:i w:val="1"/>
          <w:iCs w:val="1"/>
          <w:color w:val="auto"/>
        </w:rPr>
        <w:t>“EDGAR”</w:t>
      </w:r>
      <w:r>
        <w:rPr>
          <w:rFonts w:ascii="Arial" w:cs="Arial" w:eastAsia="Arial" w:hAnsi="Arial"/>
          <w:sz w:val="12"/>
          <w:szCs w:val="12"/>
          <w:color w:val="auto"/>
        </w:rPr>
        <w:t>). All references in this Agreement to amendments or supplements to the Registration Statement, the Pricing Prospectus, any Preliminary Prospectus or the Prospectus shall be deemed to mean and include the subsequent filing of any document under the Securities Exchange Act and which is deemed to be incorporated therein by reference therein or otherwise deemed to be a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264795</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15" w:name="page216"/>
    <w:bookmarkEnd w:id="215"/>
    <w:p>
      <w:pPr>
        <w:jc w:val="both"/>
        <w:ind w:left="-424" w:firstLine="424"/>
        <w:spacing w:after="0" w:line="278" w:lineRule="auto"/>
        <w:tabs>
          <w:tab w:leader="none" w:pos="577" w:val="left"/>
        </w:tabs>
        <w:numPr>
          <w:ilvl w:val="0"/>
          <w:numId w:val="111"/>
        </w:numPr>
        <w:rPr>
          <w:rFonts w:ascii="Arial" w:cs="Arial" w:eastAsia="Arial" w:hAnsi="Arial"/>
          <w:sz w:val="11"/>
          <w:szCs w:val="11"/>
          <w:color w:val="auto"/>
        </w:rPr>
      </w:pPr>
      <w:r>
        <w:rPr>
          <w:rFonts w:ascii="Arial" w:cs="Arial" w:eastAsia="Arial" w:hAnsi="Arial"/>
          <w:sz w:val="11"/>
          <w:szCs w:val="11"/>
          <w:i w:val="1"/>
          <w:iCs w:val="1"/>
          <w:color w:val="auto"/>
        </w:rPr>
        <w:t xml:space="preserve">Compliance with Registration Requirements. </w:t>
      </w:r>
      <w:r>
        <w:rPr>
          <w:rFonts w:ascii="Arial" w:cs="Arial" w:eastAsia="Arial" w:hAnsi="Arial"/>
          <w:sz w:val="11"/>
          <w:szCs w:val="11"/>
          <w:color w:val="auto"/>
        </w:rPr>
        <w:t>The Registration Statement (and any further documents to be filed with the Commission) will contain all exhibits and schedules as required by the Securities Act. The</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 Statement, at the time it becomes effective, and at each Closing Date, will comply in all material respects with the Securities Act and the Exchange Act and the applicable Regulations and will not and, as amended or supplemented, contain any untrue statement of a material fact or omit to state a material fact required to be stated therein or necessary to make the statements therein not misleading. The Preliminary Prospectus and the Pricing Prospectus and any Free Writing Prospectus, each as of its respective date, will comply in all material respects with the Securities Act and the Exchange Act and the applicable Regulations. Each of the Preliminary Prospectus and the Pricing Prospectus, as amended or supplemented, will not contain as of the respective dates thereof any untrue statement of a material fact or omit to state a material fact necessary in order to make the statements therein, in light of the circumstances under which they were made, not misleading. The Incorporated Documents, if any, when they were filed with the Commission, conformed in all material respects to the requirements of the Exchange Act and the applicable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Disclosure Documents), in light of the circumstances under which they were made not misleading; and any further documents so filed and incorporated by reference in the Disclosure Documents, when such documents are filed with the Commission, will conform in all material respects to the requirements of the Exchange Act and the applicable Regulations, as applicable, and will not contain any untrue statement of a material fact or omit to state a material fact necessary to make the statements therein, in light of the circumstances under which they were made, not misleading.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Disclosure Documents, or to be filed as exhibits or schedules to the Registration Statement, that will not have been described or filed as required.</w:t>
      </w:r>
    </w:p>
    <w:p>
      <w:pPr>
        <w:spacing w:after="0" w:line="115" w:lineRule="exact"/>
        <w:rPr>
          <w:rFonts w:ascii="Arial" w:cs="Arial" w:eastAsia="Arial" w:hAnsi="Arial"/>
          <w:sz w:val="11"/>
          <w:szCs w:val="11"/>
          <w:color w:val="auto"/>
        </w:rPr>
      </w:pPr>
    </w:p>
    <w:p>
      <w:pPr>
        <w:jc w:val="both"/>
        <w:ind w:left="-424" w:firstLine="424"/>
        <w:spacing w:after="0" w:line="257" w:lineRule="auto"/>
        <w:tabs>
          <w:tab w:leader="none" w:pos="534"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t xml:space="preserve">Free Writing Prospectus. </w:t>
      </w:r>
      <w:r>
        <w:rPr>
          <w:rFonts w:ascii="Arial" w:cs="Arial" w:eastAsia="Arial" w:hAnsi="Arial"/>
          <w:sz w:val="12"/>
          <w:szCs w:val="12"/>
          <w:color w:val="auto"/>
        </w:rPr>
        <w:t>The Company will not, without the prior consent of the Placement Agent, prepare, use or refer to, any free writing prospectus as defined in Rule 433 under the Securities Act (“</w:t>
      </w:r>
      <w:r>
        <w:rPr>
          <w:rFonts w:ascii="Arial" w:cs="Arial" w:eastAsia="Arial" w:hAnsi="Arial"/>
          <w:sz w:val="12"/>
          <w:szCs w:val="12"/>
          <w:i w:val="1"/>
          <w:iCs w:val="1"/>
          <w:color w:val="auto"/>
        </w:rPr>
        <w:t>Free Writing Prospectus</w:t>
      </w:r>
      <w:r>
        <w:rPr>
          <w:rFonts w:ascii="Arial" w:cs="Arial" w:eastAsia="Arial" w:hAnsi="Arial"/>
          <w:sz w:val="12"/>
          <w:szCs w:val="12"/>
          <w:color w:val="auto"/>
        </w:rPr>
        <w:t>”). Each Free Writing Prospectus, as of its issue date and at all subsequent times through the completion of the offering and sale of the Securities or until any earlier date that the Company notified or notifies the Placement</w:t>
      </w:r>
      <w:r>
        <w:rPr>
          <w:rFonts w:ascii="Arial" w:cs="Arial" w:eastAsia="Arial" w:hAnsi="Arial"/>
          <w:sz w:val="12"/>
          <w:szCs w:val="12"/>
          <w:i w:val="1"/>
          <w:iCs w:val="1"/>
          <w:color w:val="auto"/>
        </w:rPr>
        <w:t xml:space="preserve"> </w:t>
      </w:r>
      <w:r>
        <w:rPr>
          <w:rFonts w:ascii="Arial" w:cs="Arial" w:eastAsia="Arial" w:hAnsi="Arial"/>
          <w:sz w:val="12"/>
          <w:szCs w:val="12"/>
          <w:color w:val="auto"/>
        </w:rPr>
        <w:t>Agent, did not, does not and will not include any information that conflicted, conflicts or will conflict with the information contained in the Registration Statement or the Prospectus including any document incorporated by reference therein and any prospectus supplement deemed to be a part thereof that has not been superseded or modified; provided, that the Company makes no representations or warranty in this paragraph with respect to any Placement Agent Information.</w:t>
      </w:r>
    </w:p>
    <w:p>
      <w:pPr>
        <w:spacing w:after="0" w:line="125" w:lineRule="exact"/>
        <w:rPr>
          <w:rFonts w:ascii="Arial" w:cs="Arial" w:eastAsia="Arial" w:hAnsi="Arial"/>
          <w:sz w:val="12"/>
          <w:szCs w:val="12"/>
          <w:color w:val="auto"/>
        </w:rPr>
      </w:pPr>
    </w:p>
    <w:p>
      <w:pPr>
        <w:jc w:val="both"/>
        <w:ind w:left="-424" w:firstLine="424"/>
        <w:spacing w:after="0" w:line="290" w:lineRule="auto"/>
        <w:tabs>
          <w:tab w:leader="none" w:pos="496" w:val="left"/>
        </w:tabs>
        <w:numPr>
          <w:ilvl w:val="0"/>
          <w:numId w:val="111"/>
        </w:numPr>
        <w:rPr>
          <w:rFonts w:ascii="Arial" w:cs="Arial" w:eastAsia="Arial" w:hAnsi="Arial"/>
          <w:sz w:val="11"/>
          <w:szCs w:val="11"/>
          <w:color w:val="auto"/>
        </w:rPr>
      </w:pPr>
      <w:r>
        <w:rPr>
          <w:rFonts w:ascii="Arial" w:cs="Arial" w:eastAsia="Arial" w:hAnsi="Arial"/>
          <w:sz w:val="11"/>
          <w:szCs w:val="11"/>
          <w:i w:val="1"/>
          <w:iCs w:val="1"/>
          <w:color w:val="auto"/>
        </w:rPr>
        <w:t xml:space="preserve">Additional Materials. </w:t>
      </w:r>
      <w:r>
        <w:rPr>
          <w:rFonts w:ascii="Arial" w:cs="Arial" w:eastAsia="Arial" w:hAnsi="Arial"/>
          <w:sz w:val="11"/>
          <w:szCs w:val="11"/>
          <w:color w:val="auto"/>
        </w:rPr>
        <w:t>The Company will as promptly as practicable deliver to the Placement Agent complete conformed copies of the Registration Statement and of each consent and certificate of experts, as applicable,</w:t>
      </w:r>
      <w:r>
        <w:rPr>
          <w:rFonts w:ascii="Arial" w:cs="Arial" w:eastAsia="Arial" w:hAnsi="Arial"/>
          <w:sz w:val="11"/>
          <w:szCs w:val="11"/>
          <w:i w:val="1"/>
          <w:iCs w:val="1"/>
          <w:color w:val="auto"/>
        </w:rPr>
        <w:t xml:space="preserve"> </w:t>
      </w:r>
      <w:r>
        <w:rPr>
          <w:rFonts w:ascii="Arial" w:cs="Arial" w:eastAsia="Arial" w:hAnsi="Arial"/>
          <w:sz w:val="11"/>
          <w:szCs w:val="11"/>
          <w:color w:val="auto"/>
        </w:rPr>
        <w:t>filed as a part thereof, and conformed copies of the Registration Statement (without exhibits), the Disclosure Documents,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other than the Preliminary Prospectus, the Pricing Prospectus, any Free Writing Prospectus, the Registration Statement, copies of the documents incorporated by reference therein and any other materials permitted by the Securities Act.</w:t>
      </w:r>
    </w:p>
    <w:p>
      <w:pPr>
        <w:spacing w:after="0" w:line="109" w:lineRule="exact"/>
        <w:rPr>
          <w:rFonts w:ascii="Arial" w:cs="Arial" w:eastAsia="Arial" w:hAnsi="Arial"/>
          <w:sz w:val="11"/>
          <w:szCs w:val="11"/>
          <w:color w:val="auto"/>
        </w:rPr>
      </w:pPr>
    </w:p>
    <w:p>
      <w:pPr>
        <w:ind w:left="536" w:hanging="428"/>
        <w:spacing w:after="0"/>
        <w:tabs>
          <w:tab w:leader="none" w:pos="536" w:val="left"/>
        </w:tabs>
        <w:numPr>
          <w:ilvl w:val="1"/>
          <w:numId w:val="111"/>
        </w:numPr>
        <w:rPr>
          <w:rFonts w:ascii="Arial" w:cs="Arial" w:eastAsia="Arial" w:hAnsi="Arial"/>
          <w:sz w:val="12"/>
          <w:szCs w:val="12"/>
          <w:color w:val="auto"/>
        </w:rPr>
      </w:pPr>
      <w:r>
        <w:rPr>
          <w:rFonts w:ascii="Arial" w:cs="Arial" w:eastAsia="Arial" w:hAnsi="Arial"/>
          <w:sz w:val="12"/>
          <w:szCs w:val="12"/>
          <w:i w:val="1"/>
          <w:iCs w:val="1"/>
          <w:color w:val="auto"/>
        </w:rPr>
        <w:t>Preliminary Prospectus</w:t>
      </w:r>
      <w:r>
        <w:rPr>
          <w:rFonts w:ascii="Arial" w:cs="Arial" w:eastAsia="Arial" w:hAnsi="Arial"/>
          <w:sz w:val="12"/>
          <w:szCs w:val="12"/>
          <w:color w:val="auto"/>
        </w:rPr>
        <w:t>. The Company shall not use any Preliminary Prospectus (any prospectus prior to effectiveness of the Registration Statement) to offer or sell Securities.</w:t>
      </w:r>
    </w:p>
    <w:p>
      <w:pPr>
        <w:spacing w:after="0" w:line="168" w:lineRule="exact"/>
        <w:rPr>
          <w:rFonts w:ascii="Arial" w:cs="Arial" w:eastAsia="Arial" w:hAnsi="Arial"/>
          <w:sz w:val="12"/>
          <w:szCs w:val="12"/>
          <w:color w:val="auto"/>
        </w:rPr>
      </w:pPr>
    </w:p>
    <w:p>
      <w:pPr>
        <w:ind w:left="556" w:hanging="418"/>
        <w:spacing w:after="0"/>
        <w:tabs>
          <w:tab w:leader="none" w:pos="556" w:val="left"/>
        </w:tabs>
        <w:numPr>
          <w:ilvl w:val="2"/>
          <w:numId w:val="111"/>
        </w:numPr>
        <w:rPr>
          <w:rFonts w:ascii="Arial" w:cs="Arial" w:eastAsia="Arial" w:hAnsi="Arial"/>
          <w:sz w:val="11"/>
          <w:szCs w:val="11"/>
          <w:color w:val="auto"/>
        </w:rPr>
      </w:pPr>
      <w:r>
        <w:rPr>
          <w:rFonts w:ascii="Arial" w:cs="Arial" w:eastAsia="Arial" w:hAnsi="Arial"/>
          <w:sz w:val="11"/>
          <w:szCs w:val="11"/>
          <w:i w:val="1"/>
          <w:iCs w:val="1"/>
          <w:color w:val="auto"/>
        </w:rPr>
        <w:t>Ineligible Issuer</w:t>
      </w:r>
      <w:r>
        <w:rPr>
          <w:rFonts w:ascii="Arial" w:cs="Arial" w:eastAsia="Arial" w:hAnsi="Arial"/>
          <w:sz w:val="11"/>
          <w:szCs w:val="11"/>
          <w:color w:val="auto"/>
        </w:rPr>
        <w:t>. (1) At the time of filing the Registration Statement and (2) at the date hereof and at such Closing Date, the Company was an “ineligible issuer,”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390525</wp:posOffset>
            </wp:positionV>
            <wp:extent cx="7299325"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56"/>
          </w:cols>
          <w:pgMar w:left="644" w:top="698" w:right="199" w:bottom="1440" w:gutter="0" w:footer="0" w:header="0"/>
        </w:sectPr>
      </w:pPr>
    </w:p>
    <w:bookmarkStart w:id="216" w:name="page217"/>
    <w:bookmarkEnd w:id="216"/>
    <w:p>
      <w:pPr>
        <w:jc w:val="both"/>
        <w:ind w:left="-432" w:firstLine="432"/>
        <w:spacing w:after="0" w:line="254" w:lineRule="auto"/>
        <w:tabs>
          <w:tab w:leader="none" w:pos="458"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Due Incorporation</w:t>
      </w:r>
      <w:r>
        <w:rPr>
          <w:rFonts w:ascii="Arial" w:cs="Arial" w:eastAsia="Arial" w:hAnsi="Arial"/>
          <w:sz w:val="12"/>
          <w:szCs w:val="12"/>
          <w:color w:val="auto"/>
        </w:rPr>
        <w:t>. The Company has been duly incorporated or organized, is validly existing as a corporation or other legal entity in good standing (or the foreign equivalent thereof) under the laws of the jurisdiction</w:t>
      </w:r>
      <w:r>
        <w:rPr>
          <w:rFonts w:ascii="Arial" w:cs="Arial" w:eastAsia="Arial" w:hAnsi="Arial"/>
          <w:sz w:val="12"/>
          <w:szCs w:val="12"/>
          <w:i w:val="1"/>
          <w:iCs w:val="1"/>
          <w:color w:val="auto"/>
        </w:rPr>
        <w:t xml:space="preserve"> </w:t>
      </w:r>
      <w:r>
        <w:rPr>
          <w:rFonts w:ascii="Arial" w:cs="Arial" w:eastAsia="Arial" w:hAnsi="Arial"/>
          <w:sz w:val="12"/>
          <w:szCs w:val="12"/>
          <w:color w:val="auto"/>
        </w:rPr>
        <w:t>of its incorporation or organization, with the corporate power and authority to own its properties and to conduct its business as currently being carried on and as described in the Registration Statement and the Disclosure Documents. The Company is duly qualified to transact business as a foreign corporation and is in good standing under the laws of each other jurisdiction in which its ownership or leasing of property or the conduct of its business requires such qualification, except where the failure to be so qualified and in good standing would not, individually or in the aggregate, result in any material adverse effect upon, or material adverse change in, the business, properties, prospects, condition (financial or otherwise), or results of operations of the Company and the Subsidiaries (as defined below) taken as a whole (a “</w:t>
      </w:r>
      <w:r>
        <w:rPr>
          <w:rFonts w:ascii="Arial" w:cs="Arial" w:eastAsia="Arial" w:hAnsi="Arial"/>
          <w:sz w:val="12"/>
          <w:szCs w:val="12"/>
          <w:i w:val="1"/>
          <w:iCs w:val="1"/>
          <w:color w:val="auto"/>
        </w:rPr>
        <w:t>Material Adverse Effect</w:t>
      </w:r>
      <w:r>
        <w:rPr>
          <w:rFonts w:ascii="Arial" w:cs="Arial" w:eastAsia="Arial" w:hAnsi="Arial"/>
          <w:sz w:val="12"/>
          <w:szCs w:val="12"/>
          <w:color w:val="auto"/>
        </w:rPr>
        <w:t>”). For the purpose of this Agreement, the terms Material Adverse Effect or material adverse change shall not include any such effects resulting, directly or indirectly, from the filing of the Pricing Prospectus with respect to the Securities and the Offering, or the performance of the transactions contemplated by or pursuant to, this Agreement or the Subscription Agreements.</w:t>
      </w:r>
    </w:p>
    <w:p>
      <w:pPr>
        <w:spacing w:after="0" w:line="148" w:lineRule="exact"/>
        <w:rPr>
          <w:rFonts w:ascii="Arial" w:cs="Arial" w:eastAsia="Arial" w:hAnsi="Arial"/>
          <w:sz w:val="12"/>
          <w:szCs w:val="12"/>
          <w:color w:val="auto"/>
        </w:rPr>
      </w:pPr>
    </w:p>
    <w:p>
      <w:pPr>
        <w:jc w:val="both"/>
        <w:ind w:left="-432" w:firstLine="432"/>
        <w:spacing w:after="0" w:line="283" w:lineRule="auto"/>
        <w:tabs>
          <w:tab w:leader="none" w:pos="530" w:val="left"/>
        </w:tabs>
        <w:numPr>
          <w:ilvl w:val="0"/>
          <w:numId w:val="112"/>
        </w:numPr>
        <w:rPr>
          <w:rFonts w:ascii="Arial" w:cs="Arial" w:eastAsia="Arial" w:hAnsi="Arial"/>
          <w:sz w:val="11"/>
          <w:szCs w:val="11"/>
          <w:color w:val="auto"/>
        </w:rPr>
      </w:pPr>
      <w:r>
        <w:rPr>
          <w:rFonts w:ascii="Arial" w:cs="Arial" w:eastAsia="Arial" w:hAnsi="Arial"/>
          <w:sz w:val="11"/>
          <w:szCs w:val="11"/>
          <w:i w:val="1"/>
          <w:iCs w:val="1"/>
          <w:color w:val="auto"/>
        </w:rPr>
        <w:t>Subsidiaries</w:t>
      </w:r>
      <w:r>
        <w:rPr>
          <w:rFonts w:ascii="Arial" w:cs="Arial" w:eastAsia="Arial" w:hAnsi="Arial"/>
          <w:sz w:val="11"/>
          <w:szCs w:val="11"/>
          <w:color w:val="auto"/>
        </w:rPr>
        <w:t>. The Company’s wholly-owned subsidiaries, VistaGen Therapeutics, Inc., a California corporation (“</w:t>
      </w:r>
      <w:r>
        <w:rPr>
          <w:rFonts w:ascii="Arial" w:cs="Arial" w:eastAsia="Arial" w:hAnsi="Arial"/>
          <w:sz w:val="11"/>
          <w:szCs w:val="11"/>
          <w:i w:val="1"/>
          <w:iCs w:val="1"/>
          <w:color w:val="auto"/>
        </w:rPr>
        <w:t>VistaGen California</w:t>
      </w:r>
      <w:r>
        <w:rPr>
          <w:rFonts w:ascii="Arial" w:cs="Arial" w:eastAsia="Arial" w:hAnsi="Arial"/>
          <w:sz w:val="11"/>
          <w:szCs w:val="11"/>
          <w:color w:val="auto"/>
        </w:rPr>
        <w:t>”), VistaStem Canada, Inc. (“</w:t>
      </w:r>
      <w:r>
        <w:rPr>
          <w:rFonts w:ascii="Arial" w:cs="Arial" w:eastAsia="Arial" w:hAnsi="Arial"/>
          <w:sz w:val="11"/>
          <w:szCs w:val="11"/>
          <w:i w:val="1"/>
          <w:iCs w:val="1"/>
          <w:color w:val="auto"/>
        </w:rPr>
        <w:t>VistaStem</w:t>
      </w:r>
      <w:r>
        <w:rPr>
          <w:rFonts w:ascii="Arial" w:cs="Arial" w:eastAsia="Arial" w:hAnsi="Arial"/>
          <w:sz w:val="11"/>
          <w:szCs w:val="11"/>
          <w:color w:val="auto"/>
        </w:rPr>
        <w:t>”), a corporation organized and existing</w:t>
      </w:r>
      <w:r>
        <w:rPr>
          <w:rFonts w:ascii="Arial" w:cs="Arial" w:eastAsia="Arial" w:hAnsi="Arial"/>
          <w:sz w:val="11"/>
          <w:szCs w:val="11"/>
          <w:i w:val="1"/>
          <w:iCs w:val="1"/>
          <w:color w:val="auto"/>
        </w:rPr>
        <w:t xml:space="preserve"> </w:t>
      </w:r>
      <w:r>
        <w:rPr>
          <w:rFonts w:ascii="Arial" w:cs="Arial" w:eastAsia="Arial" w:hAnsi="Arial"/>
          <w:sz w:val="11"/>
          <w:szCs w:val="11"/>
          <w:color w:val="auto"/>
        </w:rPr>
        <w:t>under the laws of Ontario Canada, and Artemis Neuroscience, Inc. (“</w:t>
      </w:r>
      <w:r>
        <w:rPr>
          <w:rFonts w:ascii="Arial" w:cs="Arial" w:eastAsia="Arial" w:hAnsi="Arial"/>
          <w:sz w:val="11"/>
          <w:szCs w:val="11"/>
          <w:i w:val="1"/>
          <w:iCs w:val="1"/>
          <w:color w:val="auto"/>
        </w:rPr>
        <w:t>Artemis</w:t>
      </w:r>
      <w:r>
        <w:rPr>
          <w:rFonts w:ascii="Arial" w:cs="Arial" w:eastAsia="Arial" w:hAnsi="Arial"/>
          <w:sz w:val="11"/>
          <w:szCs w:val="11"/>
          <w:color w:val="auto"/>
        </w:rPr>
        <w:t>”), a Maryland corporation (collectively, the “</w:t>
      </w:r>
      <w:r>
        <w:rPr>
          <w:rFonts w:ascii="Arial" w:cs="Arial" w:eastAsia="Arial" w:hAnsi="Arial"/>
          <w:sz w:val="11"/>
          <w:szCs w:val="11"/>
          <w:i w:val="1"/>
          <w:iCs w:val="1"/>
          <w:color w:val="auto"/>
        </w:rPr>
        <w:t>Subsidiaries</w:t>
      </w:r>
      <w:r>
        <w:rPr>
          <w:rFonts w:ascii="Arial" w:cs="Arial" w:eastAsia="Arial" w:hAnsi="Arial"/>
          <w:sz w:val="11"/>
          <w:szCs w:val="11"/>
          <w:color w:val="auto"/>
        </w:rPr>
        <w:t>”), are the only direct or indirect subsidiaries of the Company. The Subsidiaries are duly organized and in good standing under the laws of its place of organization or incorporation, and are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The Company owns 100% of the issued and outstanding capital stock of VistaGen California, and VistaGen California owns 100% of the issued and outstanding capital stock of each of VistaStem and Artemis, in each case free and clear of any liens, claims, encumbrances or security interests except as set forth in the Registration Statement and the Disclosure Documents, and all of such capital stock has been duly authorized and validly issued and is fully paid and non-assessable.</w:t>
      </w:r>
    </w:p>
    <w:p>
      <w:pPr>
        <w:spacing w:after="0" w:line="131" w:lineRule="exact"/>
        <w:rPr>
          <w:rFonts w:ascii="Arial" w:cs="Arial" w:eastAsia="Arial" w:hAnsi="Arial"/>
          <w:sz w:val="11"/>
          <w:szCs w:val="11"/>
          <w:color w:val="auto"/>
        </w:rPr>
      </w:pPr>
    </w:p>
    <w:p>
      <w:pPr>
        <w:jc w:val="both"/>
        <w:ind w:left="-432" w:firstLine="432"/>
        <w:spacing w:after="0" w:line="281" w:lineRule="auto"/>
        <w:tabs>
          <w:tab w:leader="none" w:pos="458" w:val="left"/>
        </w:tabs>
        <w:numPr>
          <w:ilvl w:val="0"/>
          <w:numId w:val="112"/>
        </w:numPr>
        <w:rPr>
          <w:rFonts w:ascii="Arial" w:cs="Arial" w:eastAsia="Arial" w:hAnsi="Arial"/>
          <w:sz w:val="11"/>
          <w:szCs w:val="11"/>
          <w:color w:val="auto"/>
        </w:rPr>
      </w:pPr>
      <w:r>
        <w:rPr>
          <w:rFonts w:ascii="Arial" w:cs="Arial" w:eastAsia="Arial" w:hAnsi="Arial"/>
          <w:sz w:val="11"/>
          <w:szCs w:val="11"/>
          <w:i w:val="1"/>
          <w:iCs w:val="1"/>
          <w:color w:val="auto"/>
        </w:rPr>
        <w:t>Capitalization</w:t>
      </w:r>
      <w:r>
        <w:rPr>
          <w:rFonts w:ascii="Arial" w:cs="Arial" w:eastAsia="Arial" w:hAnsi="Arial"/>
          <w:sz w:val="11"/>
          <w:szCs w:val="11"/>
          <w:color w:val="auto"/>
        </w:rPr>
        <w:t>. The Company has duly and validly authorized capital stock as set forth in each of the Registration Statement and Disclosure Documents; all outstanding securities of the Company have been issued in</w:t>
      </w:r>
      <w:r>
        <w:rPr>
          <w:rFonts w:ascii="Arial" w:cs="Arial" w:eastAsia="Arial" w:hAnsi="Arial"/>
          <w:sz w:val="11"/>
          <w:szCs w:val="11"/>
          <w:i w:val="1"/>
          <w:iCs w:val="1"/>
          <w:color w:val="auto"/>
        </w:rPr>
        <w:t xml:space="preserve"> </w:t>
      </w:r>
      <w:r>
        <w:rPr>
          <w:rFonts w:ascii="Arial" w:cs="Arial" w:eastAsia="Arial" w:hAnsi="Arial"/>
          <w:sz w:val="11"/>
          <w:szCs w:val="11"/>
          <w:color w:val="auto"/>
        </w:rPr>
        <w:t>compliance with federal and state securities laws and conform, or when issued will conform, to the description thereof in the Registration Statement and the Disclosure Documents; and the Securities have been, or, when issued and paid for in the manner described herein will be, duly authorized, validly issued, fully paid and non-assessable and issued in compliance with federal and state securities laws, and the shares of Common Stock issuable upon exercise of the Warrants have been, or when issued upon exercise of the Warrants will be, duly authorized, validly issued, fully paid and non-assessable and will be issued in compliance with federal and state securities laws; and except as disclosed in the Registration Statement and the Disclosure Documents, the issuance of the Securities to be purchased from the Company hereunder and the issuance of the Common Stock upon exercise thereof is not subject to preemptive or other rights to subscribe for or to purchase or acquire any securities of any of the Company, or other similar rights, or any restriction upon the voting or transfer thereof pursuant to applicable law or the Company’s Articles of Incorporation (as the same may be amended or restated from time to time prior to such Closing Date, the “</w:t>
      </w:r>
      <w:r>
        <w:rPr>
          <w:rFonts w:ascii="Arial" w:cs="Arial" w:eastAsia="Arial" w:hAnsi="Arial"/>
          <w:sz w:val="11"/>
          <w:szCs w:val="11"/>
          <w:i w:val="1"/>
          <w:iCs w:val="1"/>
          <w:color w:val="auto"/>
        </w:rPr>
        <w:t>Charter</w:t>
      </w:r>
      <w:r>
        <w:rPr>
          <w:rFonts w:ascii="Arial" w:cs="Arial" w:eastAsia="Arial" w:hAnsi="Arial"/>
          <w:sz w:val="11"/>
          <w:szCs w:val="11"/>
          <w:color w:val="auto"/>
        </w:rPr>
        <w:t>”), Bylaws, or governing documents or any agreement to which the Company is a party or by which it may be bound.</w:t>
      </w:r>
    </w:p>
    <w:p>
      <w:pPr>
        <w:spacing w:after="0" w:line="134" w:lineRule="exact"/>
        <w:rPr>
          <w:rFonts w:ascii="Arial" w:cs="Arial" w:eastAsia="Arial" w:hAnsi="Arial"/>
          <w:sz w:val="11"/>
          <w:szCs w:val="11"/>
          <w:color w:val="auto"/>
        </w:rPr>
      </w:pPr>
    </w:p>
    <w:p>
      <w:pPr>
        <w:ind w:left="408" w:hanging="408"/>
        <w:spacing w:after="0"/>
        <w:tabs>
          <w:tab w:leader="none" w:pos="408"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Intentionally Omitted</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383540</wp:posOffset>
            </wp:positionV>
            <wp:extent cx="7299325"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17" w:name="page218"/>
    <w:bookmarkEnd w:id="217"/>
    <w:p>
      <w:pPr>
        <w:jc w:val="both"/>
        <w:ind w:left="-432" w:firstLine="432"/>
        <w:spacing w:after="0" w:line="279" w:lineRule="auto"/>
        <w:tabs>
          <w:tab w:leader="none" w:pos="476" w:val="left"/>
        </w:tabs>
        <w:numPr>
          <w:ilvl w:val="0"/>
          <w:numId w:val="113"/>
        </w:numPr>
        <w:rPr>
          <w:rFonts w:ascii="Arial" w:cs="Arial" w:eastAsia="Arial" w:hAnsi="Arial"/>
          <w:sz w:val="11"/>
          <w:szCs w:val="11"/>
          <w:color w:val="auto"/>
        </w:rPr>
      </w:pPr>
      <w:r>
        <w:rPr>
          <w:rFonts w:ascii="Arial" w:cs="Arial" w:eastAsia="Arial" w:hAnsi="Arial"/>
          <w:sz w:val="11"/>
          <w:szCs w:val="11"/>
          <w:i w:val="1"/>
          <w:iCs w:val="1"/>
          <w:color w:val="auto"/>
        </w:rPr>
        <w:t>Authorization, Issuance</w:t>
      </w:r>
      <w:r>
        <w:rPr>
          <w:rFonts w:ascii="Arial" w:cs="Arial" w:eastAsia="Arial" w:hAnsi="Arial"/>
          <w:sz w:val="11"/>
          <w:szCs w:val="11"/>
          <w:color w:val="auto"/>
        </w:rPr>
        <w:t>. All corporate action required to be taken by the Company for the authorization, issuance and sale of the Securities (including the shares of Common Stock issuable upon exercise thereof) has</w:t>
      </w:r>
      <w:r>
        <w:rPr>
          <w:rFonts w:ascii="Arial" w:cs="Arial" w:eastAsia="Arial" w:hAnsi="Arial"/>
          <w:sz w:val="11"/>
          <w:szCs w:val="11"/>
          <w:i w:val="1"/>
          <w:iCs w:val="1"/>
          <w:color w:val="auto"/>
        </w:rPr>
        <w:t xml:space="preserve"> </w:t>
      </w:r>
      <w:r>
        <w:rPr>
          <w:rFonts w:ascii="Arial" w:cs="Arial" w:eastAsia="Arial" w:hAnsi="Arial"/>
          <w:sz w:val="11"/>
          <w:szCs w:val="11"/>
          <w:color w:val="auto"/>
        </w:rPr>
        <w:t>been duly and validly taken. When the Securities have been issued and delivered against payment therefor as provided herein, the Securities, when so issued and sold, will be duly and validly issued, fully paid and non-assessable and the Investors or other persons in whose names Securities are registered will acquire good and valid title to such Securities free and clear of all liens, encumbrances, equities, preemptive rights and other claims. When the shares of Common Stock issuable upon exercise of the Warrants have been issued and delivered upon exercise thereof, the shares of Common Stock, when so issued, will be duly and validly issued, fully paid and non-assessable and the Investors or other persons in whose names such shares of Common Stock are registered will acquire good and valid title to such shares of Common Stock free and clear of all liens, encumbrances, equities, preemptive rights and other claims. The Securities and shares of Common Stock issuable upon exercise thereof will conform in all material respects to the description thereof contained in the Registration Statement and the Disclosure Documents. No further approval or authority of the shareholders or the Board of Directors of the Company will be required for the issuance and sale of the Securities (including the shares of Common Stock issuable upon exercise thereof) as contemplated herein and in the Subscription Agreements. Except as disclosed in the Disclosure Documents, there are no outstanding subscriptions, rights, warrants, options, calls, convertible securities, commitments of sale or rights related to or entitling any person to purchase or otherwise to acquire any Securities of, or any security convertible into or exchangeable or exercisable for, the capital stock of, or other ownership interest in, the Company, except for such options or rights as may have been granted by the Company to employees, directors or consultants pursuant to its stock option or stock purchase plans.</w:t>
      </w:r>
    </w:p>
    <w:p>
      <w:pPr>
        <w:spacing w:after="0" w:line="132" w:lineRule="exact"/>
        <w:rPr>
          <w:rFonts w:ascii="Arial" w:cs="Arial" w:eastAsia="Arial" w:hAnsi="Arial"/>
          <w:sz w:val="11"/>
          <w:szCs w:val="11"/>
          <w:color w:val="auto"/>
        </w:rPr>
      </w:pPr>
    </w:p>
    <w:p>
      <w:pPr>
        <w:ind w:left="-432" w:right="20" w:firstLine="432"/>
        <w:spacing w:after="0" w:line="276" w:lineRule="auto"/>
        <w:tabs>
          <w:tab w:leader="none" w:pos="440"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No Registration Rights</w:t>
      </w:r>
      <w:r>
        <w:rPr>
          <w:rFonts w:ascii="Arial" w:cs="Arial" w:eastAsia="Arial" w:hAnsi="Arial"/>
          <w:sz w:val="12"/>
          <w:szCs w:val="12"/>
          <w:color w:val="auto"/>
        </w:rPr>
        <w:t>. Neither the filing of the Registration Statement nor the offering or sale of the Securities as contemplated by this Agreement gives rise to any rights, other than those which have been waived or</w:t>
      </w:r>
      <w:r>
        <w:rPr>
          <w:rFonts w:ascii="Arial" w:cs="Arial" w:eastAsia="Arial" w:hAnsi="Arial"/>
          <w:sz w:val="12"/>
          <w:szCs w:val="12"/>
          <w:i w:val="1"/>
          <w:iCs w:val="1"/>
          <w:color w:val="auto"/>
        </w:rPr>
        <w:t xml:space="preserve"> </w:t>
      </w:r>
      <w:r>
        <w:rPr>
          <w:rFonts w:ascii="Arial" w:cs="Arial" w:eastAsia="Arial" w:hAnsi="Arial"/>
          <w:sz w:val="12"/>
          <w:szCs w:val="12"/>
          <w:color w:val="auto"/>
        </w:rPr>
        <w:t>satisfied, for or relating to the registration of any Securities or other securities of the Company.</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491"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Due Authorization and Enforceability</w:t>
      </w:r>
      <w:r>
        <w:rPr>
          <w:rFonts w:ascii="Arial" w:cs="Arial" w:eastAsia="Arial" w:hAnsi="Arial"/>
          <w:sz w:val="12"/>
          <w:szCs w:val="12"/>
          <w:color w:val="auto"/>
        </w:rPr>
        <w:t>. This Agreement and each Subscription Agreement have been duly authorized, executed and delivered by the Company, and each constitutes a valid, legal and binding obligation</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Company, enforceable against the Company in accordance with its terms, except as rights to indemnity hereunder may be limited by federal or state securities laws and except as such enforceability may be limited by applicable bankruptcy, insolvency, reorganization or similar laws affecting the rights of creditors generally and subject to general principles of equity.</w:t>
      </w:r>
    </w:p>
    <w:p>
      <w:pPr>
        <w:spacing w:after="0" w:line="140" w:lineRule="exact"/>
        <w:rPr>
          <w:rFonts w:ascii="Arial" w:cs="Arial" w:eastAsia="Arial" w:hAnsi="Arial"/>
          <w:sz w:val="12"/>
          <w:szCs w:val="12"/>
          <w:color w:val="auto"/>
        </w:rPr>
      </w:pPr>
    </w:p>
    <w:p>
      <w:pPr>
        <w:jc w:val="both"/>
        <w:ind w:left="-432" w:firstLine="432"/>
        <w:spacing w:after="0" w:line="281" w:lineRule="auto"/>
        <w:tabs>
          <w:tab w:leader="none" w:pos="449" w:val="left"/>
        </w:tabs>
        <w:numPr>
          <w:ilvl w:val="0"/>
          <w:numId w:val="113"/>
        </w:numPr>
        <w:rPr>
          <w:rFonts w:ascii="Arial" w:cs="Arial" w:eastAsia="Arial" w:hAnsi="Arial"/>
          <w:sz w:val="11"/>
          <w:szCs w:val="11"/>
          <w:color w:val="auto"/>
        </w:rPr>
      </w:pPr>
      <w:r>
        <w:rPr>
          <w:rFonts w:ascii="Arial" w:cs="Arial" w:eastAsia="Arial" w:hAnsi="Arial"/>
          <w:sz w:val="11"/>
          <w:szCs w:val="11"/>
          <w:i w:val="1"/>
          <w:iCs w:val="1"/>
          <w:color w:val="auto"/>
        </w:rPr>
        <w:t>No Violation</w:t>
      </w:r>
      <w:r>
        <w:rPr>
          <w:rFonts w:ascii="Arial" w:cs="Arial" w:eastAsia="Arial" w:hAnsi="Arial"/>
          <w:sz w:val="11"/>
          <w:szCs w:val="11"/>
          <w:color w:val="auto"/>
        </w:rPr>
        <w:t>. Neither the Company nor any of the Subsidiaries is in breach or violation of or in default (nor has any event occurred which with notice, lapse of time or both would result in any breach or violation of, or</w:t>
      </w:r>
      <w:r>
        <w:rPr>
          <w:rFonts w:ascii="Arial" w:cs="Arial" w:eastAsia="Arial" w:hAnsi="Arial"/>
          <w:sz w:val="11"/>
          <w:szCs w:val="11"/>
          <w:i w:val="1"/>
          <w:iCs w:val="1"/>
          <w:color w:val="auto"/>
        </w:rPr>
        <w:t xml:space="preserve"> </w:t>
      </w:r>
      <w:r>
        <w:rPr>
          <w:rFonts w:ascii="Arial" w:cs="Arial" w:eastAsia="Arial" w:hAnsi="Arial"/>
          <w:sz w:val="11"/>
          <w:szCs w:val="11"/>
          <w:color w:val="auto"/>
        </w:rPr>
        <w:t>constitute a default) (i) under the provisions of the Charter, its Bylaws or other governing documents or (ii) except as set forth in the Registration Statement and the Disclosure Documents, in the performance or observance of any term, covenant, obligation, agreement or condition contained in any indenture, mortgage, deed of trust, bank loan or credit agreement or other evidence of indebtedness, or any license, lease, contract or other agreement or instrument to which the Company or the Subsidiaries is a party or by which any of them or any of their properties may be bound or affected, or (iii) in the performance or observance of any statute, law, rule, regulation, ordinance, judgment, order or decree of any court, regulatory body, administrative agency, governmental body, arbitrator or other authority having jurisdiction over the Company, the Subsidiaries or any of their respective properties (including, without limitation, those administered by the Food and Drug Administration of the U.S. Department of Health and Human Services (the “</w:t>
      </w:r>
      <w:r>
        <w:rPr>
          <w:rFonts w:ascii="Arial" w:cs="Arial" w:eastAsia="Arial" w:hAnsi="Arial"/>
          <w:sz w:val="11"/>
          <w:szCs w:val="11"/>
          <w:i w:val="1"/>
          <w:iCs w:val="1"/>
          <w:color w:val="auto"/>
        </w:rPr>
        <w:t>FDA</w:t>
      </w:r>
      <w:r>
        <w:rPr>
          <w:rFonts w:ascii="Arial" w:cs="Arial" w:eastAsia="Arial" w:hAnsi="Arial"/>
          <w:sz w:val="11"/>
          <w:szCs w:val="11"/>
          <w:color w:val="auto"/>
        </w:rPr>
        <w:t>”) or by any foreign, federal, state or local regulatory authority performing functions similar to those performed by the FDA), except, with respect to clauses (ii) and (iii) above, to the extent any such contravention would not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361950</wp:posOffset>
            </wp:positionV>
            <wp:extent cx="7299325"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18" w:name="page219"/>
    <w:bookmarkEnd w:id="218"/>
    <w:p>
      <w:pPr>
        <w:jc w:val="both"/>
        <w:ind w:firstLine="432"/>
        <w:spacing w:after="0" w:line="283" w:lineRule="auto"/>
        <w:tabs>
          <w:tab w:leader="none" w:pos="944" w:val="left"/>
        </w:tabs>
        <w:numPr>
          <w:ilvl w:val="1"/>
          <w:numId w:val="114"/>
        </w:numPr>
        <w:rPr>
          <w:rFonts w:ascii="Arial" w:cs="Arial" w:eastAsia="Arial" w:hAnsi="Arial"/>
          <w:sz w:val="11"/>
          <w:szCs w:val="11"/>
          <w:color w:val="auto"/>
        </w:rPr>
      </w:pPr>
      <w:r>
        <w:rPr>
          <w:rFonts w:ascii="Arial" w:cs="Arial" w:eastAsia="Arial" w:hAnsi="Arial"/>
          <w:sz w:val="11"/>
          <w:szCs w:val="11"/>
          <w:i w:val="1"/>
          <w:iCs w:val="1"/>
          <w:color w:val="auto"/>
        </w:rPr>
        <w:t>No Conflict</w:t>
      </w:r>
      <w:r>
        <w:rPr>
          <w:rFonts w:ascii="Arial" w:cs="Arial" w:eastAsia="Arial" w:hAnsi="Arial"/>
          <w:sz w:val="11"/>
          <w:szCs w:val="11"/>
          <w:color w:val="auto"/>
        </w:rPr>
        <w:t>. Except as set forth in the Registration Statement and the Disclosure Documents, the execution, delivery and performance by the Company of this Agreement and each Subscription Agreement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consummation of the transactions herein contemplated, including the issuance and sale by the Company of the Securities (or the issuance of the shares of Common Stock upon exercise thereof), will not conflict with or result in a breach or violation of, or constitute a default under (nor constitute any event which with notice, lapse of time or both would result in any breach or violation of or constitute a default under) (i) the Charter, Bylaws or other governing documents of the Company or the Subsidiaries, (ii) any material indenture, mortgage, deed of trust, bank loan or credit agreement or other evidence of indebtedness, or any material license, lease, contract or other agreement or instrument to which the Company or the Subsidiaries is a party or by which any of them or any of their respective properties may be bound or affected, or (iii) any federal, state, local or foreign law, regulation or rule or any decree, judgment or order applicable to the Company or the Subsidiaries, except, with respect to clauses (ii) and (iii) above, to the extent any such contravention would not result in a Material Adverse Effect.</w:t>
      </w:r>
    </w:p>
    <w:p>
      <w:pPr>
        <w:spacing w:after="0" w:line="131" w:lineRule="exact"/>
        <w:rPr>
          <w:rFonts w:ascii="Arial" w:cs="Arial" w:eastAsia="Arial" w:hAnsi="Arial"/>
          <w:sz w:val="11"/>
          <w:szCs w:val="11"/>
          <w:color w:val="auto"/>
        </w:rPr>
      </w:pPr>
    </w:p>
    <w:p>
      <w:pPr>
        <w:jc w:val="both"/>
        <w:ind w:firstLine="432"/>
        <w:spacing w:after="0" w:line="286" w:lineRule="auto"/>
        <w:tabs>
          <w:tab w:leader="none" w:pos="899" w:val="left"/>
        </w:tabs>
        <w:numPr>
          <w:ilvl w:val="1"/>
          <w:numId w:val="114"/>
        </w:numPr>
        <w:rPr>
          <w:rFonts w:ascii="Arial" w:cs="Arial" w:eastAsia="Arial" w:hAnsi="Arial"/>
          <w:sz w:val="11"/>
          <w:szCs w:val="11"/>
          <w:color w:val="auto"/>
        </w:rPr>
      </w:pPr>
      <w:r>
        <w:rPr>
          <w:rFonts w:ascii="Arial" w:cs="Arial" w:eastAsia="Arial" w:hAnsi="Arial"/>
          <w:sz w:val="11"/>
          <w:szCs w:val="11"/>
          <w:i w:val="1"/>
          <w:iCs w:val="1"/>
          <w:color w:val="auto"/>
        </w:rPr>
        <w:t>No Consents Required</w:t>
      </w:r>
      <w:r>
        <w:rPr>
          <w:rFonts w:ascii="Arial" w:cs="Arial" w:eastAsia="Arial" w:hAnsi="Arial"/>
          <w:sz w:val="11"/>
          <w:szCs w:val="11"/>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approval of the stockholders of the Company), is required in connection with the issuance and sale of the Securities (or the issuance of the shares of Common Stock upon exercise thereof) or the consummation by the Company of the transactions contemplated hereby other than (i) as may be required under the Securities Act and (ii) under the rules and regulations of the Financial Industry Regulatory Authority (“</w:t>
      </w:r>
      <w:r>
        <w:rPr>
          <w:rFonts w:ascii="Arial" w:cs="Arial" w:eastAsia="Arial" w:hAnsi="Arial"/>
          <w:sz w:val="11"/>
          <w:szCs w:val="11"/>
          <w:i w:val="1"/>
          <w:iCs w:val="1"/>
          <w:color w:val="auto"/>
        </w:rPr>
        <w:t>FINRA</w:t>
      </w:r>
      <w:r>
        <w:rPr>
          <w:rFonts w:ascii="Arial" w:cs="Arial" w:eastAsia="Arial" w:hAnsi="Arial"/>
          <w:sz w:val="11"/>
          <w:szCs w:val="11"/>
          <w:color w:val="auto"/>
        </w:rPr>
        <w:t>”). The Company has full power and authority to enter into this Agreement and each Subscription Agreement and to authorize, issue and sell the Securities (and to authorize and issue the shares of Common Stock issuable upon exercise thereof) as contemplated by this Agreement and each Subscription Agreement.</w:t>
      </w:r>
    </w:p>
    <w:p>
      <w:pPr>
        <w:spacing w:after="0" w:line="129" w:lineRule="exact"/>
        <w:rPr>
          <w:rFonts w:ascii="Arial" w:cs="Arial" w:eastAsia="Arial" w:hAnsi="Arial"/>
          <w:sz w:val="11"/>
          <w:szCs w:val="11"/>
          <w:color w:val="auto"/>
        </w:rPr>
      </w:pPr>
    </w:p>
    <w:p>
      <w:pPr>
        <w:jc w:val="both"/>
        <w:ind w:firstLine="432"/>
        <w:spacing w:after="0" w:line="304" w:lineRule="auto"/>
        <w:tabs>
          <w:tab w:leader="none" w:pos="962" w:val="left"/>
        </w:tabs>
        <w:numPr>
          <w:ilvl w:val="1"/>
          <w:numId w:val="114"/>
        </w:numPr>
        <w:rPr>
          <w:rFonts w:ascii="Arial" w:cs="Arial" w:eastAsia="Arial" w:hAnsi="Arial"/>
          <w:sz w:val="10"/>
          <w:szCs w:val="10"/>
          <w:color w:val="auto"/>
        </w:rPr>
      </w:pPr>
      <w:r>
        <w:rPr>
          <w:rFonts w:ascii="Arial" w:cs="Arial" w:eastAsia="Arial" w:hAnsi="Arial"/>
          <w:sz w:val="10"/>
          <w:szCs w:val="10"/>
          <w:i w:val="1"/>
          <w:iCs w:val="1"/>
          <w:color w:val="auto"/>
        </w:rPr>
        <w:t xml:space="preserve">Absence of Material Changes. </w:t>
      </w:r>
      <w:r>
        <w:rPr>
          <w:rFonts w:ascii="Arial" w:cs="Arial" w:eastAsia="Arial" w:hAnsi="Arial"/>
          <w:sz w:val="10"/>
          <w:szCs w:val="10"/>
          <w:color w:val="auto"/>
        </w:rPr>
        <w:t>Subsequent to the respective dates as of which information is given in the Disclosure Documents, (a) neither the Company nor its Subsidiaries has incurred any material liability or</w:t>
      </w:r>
      <w:r>
        <w:rPr>
          <w:rFonts w:ascii="Arial" w:cs="Arial" w:eastAsia="Arial" w:hAnsi="Arial"/>
          <w:sz w:val="10"/>
          <w:szCs w:val="10"/>
          <w:i w:val="1"/>
          <w:iCs w:val="1"/>
          <w:color w:val="auto"/>
        </w:rPr>
        <w:t xml:space="preserve"> </w:t>
      </w:r>
      <w:r>
        <w:rPr>
          <w:rFonts w:ascii="Arial" w:cs="Arial" w:eastAsia="Arial" w:hAnsi="Arial"/>
          <w:sz w:val="10"/>
          <w:szCs w:val="10"/>
          <w:color w:val="auto"/>
        </w:rPr>
        <w:t>obligation, direct or contingent, or entered into any material transaction not in the ordinary course of business; (b) neither the Company nor its Subsidiaries has purchased any of the Company's outstanding capital stock, or declared, paid or otherwise made any dividend or distribution of any kind on the Company's capital stock; (c) there has not been any change in the capital stock (other than a change in the number of outstanding shares of Common Stock due to the issuance of Common Stock upon the exercise of outstanding options or warrants), or material change in the short−term debt or long-term debt of the Company and its Subsidiaries or any issue of options, warrants, convertible securities or other rights to purchase the capital stock (other than grants of stock options in the ordinary course of business and consistent with past practice under the Company’s stock option plans existing on the date hereof) of the Company, or</w:t>
      </w:r>
    </w:p>
    <w:p>
      <w:pPr>
        <w:spacing w:after="0" w:line="1" w:lineRule="exact"/>
        <w:rPr>
          <w:rFonts w:ascii="Arial" w:cs="Arial" w:eastAsia="Arial" w:hAnsi="Arial"/>
          <w:sz w:val="10"/>
          <w:szCs w:val="10"/>
          <w:color w:val="auto"/>
        </w:rPr>
      </w:pPr>
    </w:p>
    <w:p>
      <w:pPr>
        <w:ind w:right="20"/>
        <w:spacing w:after="0" w:line="261" w:lineRule="auto"/>
        <w:tabs>
          <w:tab w:leader="none" w:pos="175"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there has not been any material adverse change, or any development involving a prospective material adverse change, in the business, properties, prospects, management, financial condition or results of operations of the Company and the Subsidiaries, taken as a whole, from that set forth in the Disclosure Documents (exclusive of any amendments or supplements thereto subsequent to the date of this Agreement).</w:t>
      </w:r>
    </w:p>
    <w:p>
      <w:pPr>
        <w:spacing w:after="0" w:line="141" w:lineRule="exact"/>
        <w:rPr>
          <w:rFonts w:ascii="Arial" w:cs="Arial" w:eastAsia="Arial" w:hAnsi="Arial"/>
          <w:sz w:val="12"/>
          <w:szCs w:val="12"/>
          <w:color w:val="auto"/>
        </w:rPr>
      </w:pPr>
    </w:p>
    <w:p>
      <w:pPr>
        <w:jc w:val="both"/>
        <w:ind w:firstLine="432"/>
        <w:spacing w:after="0" w:line="259" w:lineRule="auto"/>
        <w:tabs>
          <w:tab w:leader="none" w:pos="861" w:val="left"/>
        </w:tabs>
        <w:numPr>
          <w:ilvl w:val="1"/>
          <w:numId w:val="115"/>
        </w:numPr>
        <w:rPr>
          <w:rFonts w:ascii="Arial" w:cs="Arial" w:eastAsia="Arial" w:hAnsi="Arial"/>
          <w:sz w:val="12"/>
          <w:szCs w:val="12"/>
          <w:color w:val="auto"/>
        </w:rPr>
      </w:pPr>
      <w:r>
        <w:rPr>
          <w:rFonts w:ascii="Arial" w:cs="Arial" w:eastAsia="Arial" w:hAnsi="Arial"/>
          <w:sz w:val="12"/>
          <w:szCs w:val="12"/>
          <w:i w:val="1"/>
          <w:iCs w:val="1"/>
          <w:color w:val="auto"/>
        </w:rPr>
        <w:t>Permits</w:t>
      </w:r>
      <w:r>
        <w:rPr>
          <w:rFonts w:ascii="Arial" w:cs="Arial" w:eastAsia="Arial" w:hAnsi="Arial"/>
          <w:sz w:val="12"/>
          <w:szCs w:val="12"/>
          <w:color w:val="auto"/>
        </w:rPr>
        <w:t>. The Company and the Subsidiaries possess all necessary licenses, authorizations, consents and approvals and have made all necessary filings required under any federal, state, local or foreign law, regulation or</w:t>
      </w:r>
      <w:r>
        <w:rPr>
          <w:rFonts w:ascii="Arial" w:cs="Arial" w:eastAsia="Arial" w:hAnsi="Arial"/>
          <w:sz w:val="12"/>
          <w:szCs w:val="12"/>
          <w:i w:val="1"/>
          <w:iCs w:val="1"/>
          <w:color w:val="auto"/>
        </w:rPr>
        <w:t xml:space="preserve"> </w:t>
      </w:r>
      <w:r>
        <w:rPr>
          <w:rFonts w:ascii="Arial" w:cs="Arial" w:eastAsia="Arial" w:hAnsi="Arial"/>
          <w:sz w:val="12"/>
          <w:szCs w:val="12"/>
          <w:color w:val="auto"/>
        </w:rPr>
        <w:t>rule (including, without limitation, those from the FDA and any other foreign, federal, state or local government or regulatory authorities performing functions similar to those performed by the FDA) in order to conduct its business. Neither the Company nor the Subsidiaries is in violation of, or in default under, or has received notice of any proceedings relating to revocation or modification of, any such license, authorization, consent or approval. The Company and the Subsidiaries is in compliance in all material respects with all applicable federal, state, local and foreign laws, regulations, orders or decrees.</w:t>
      </w:r>
    </w:p>
    <w:p>
      <w:pPr>
        <w:spacing w:after="0" w:line="142" w:lineRule="exact"/>
        <w:rPr>
          <w:rFonts w:ascii="Arial" w:cs="Arial" w:eastAsia="Arial" w:hAnsi="Arial"/>
          <w:sz w:val="12"/>
          <w:szCs w:val="12"/>
          <w:color w:val="auto"/>
        </w:rPr>
      </w:pPr>
    </w:p>
    <w:p>
      <w:pPr>
        <w:jc w:val="both"/>
        <w:ind w:right="20" w:firstLine="432"/>
        <w:spacing w:after="0" w:line="340" w:lineRule="auto"/>
        <w:tabs>
          <w:tab w:leader="none" w:pos="877" w:val="left"/>
        </w:tabs>
        <w:numPr>
          <w:ilvl w:val="1"/>
          <w:numId w:val="115"/>
        </w:numPr>
        <w:rPr>
          <w:rFonts w:ascii="Arial" w:cs="Arial" w:eastAsia="Arial" w:hAnsi="Arial"/>
          <w:sz w:val="10"/>
          <w:szCs w:val="10"/>
          <w:color w:val="auto"/>
        </w:rPr>
      </w:pPr>
      <w:r>
        <w:rPr>
          <w:rFonts w:ascii="Arial" w:cs="Arial" w:eastAsia="Arial" w:hAnsi="Arial"/>
          <w:sz w:val="10"/>
          <w:szCs w:val="10"/>
          <w:i w:val="1"/>
          <w:iCs w:val="1"/>
          <w:color w:val="auto"/>
        </w:rPr>
        <w:t>D&amp;O Questionnaires</w:t>
      </w:r>
      <w:r>
        <w:rPr>
          <w:rFonts w:ascii="Arial" w:cs="Arial" w:eastAsia="Arial" w:hAnsi="Arial"/>
          <w:sz w:val="10"/>
          <w:szCs w:val="10"/>
          <w:color w:val="auto"/>
        </w:rPr>
        <w:t>. To the Company’s knowledge, all information contained in the questionnaires (the “</w:t>
      </w:r>
      <w:r>
        <w:rPr>
          <w:rFonts w:ascii="Arial" w:cs="Arial" w:eastAsia="Arial" w:hAnsi="Arial"/>
          <w:sz w:val="10"/>
          <w:szCs w:val="10"/>
          <w:i w:val="1"/>
          <w:iCs w:val="1"/>
          <w:color w:val="auto"/>
        </w:rPr>
        <w:t>Questionnaires</w:t>
      </w:r>
      <w:r>
        <w:rPr>
          <w:rFonts w:ascii="Arial" w:cs="Arial" w:eastAsia="Arial" w:hAnsi="Arial"/>
          <w:sz w:val="10"/>
          <w:szCs w:val="10"/>
          <w:color w:val="auto"/>
        </w:rPr>
        <w:t>”) completed by each of the Company’s directors and officers immediately prior to the Offering</w:t>
      </w:r>
      <w:r>
        <w:rPr>
          <w:rFonts w:ascii="Arial" w:cs="Arial" w:eastAsia="Arial" w:hAnsi="Arial"/>
          <w:sz w:val="10"/>
          <w:szCs w:val="10"/>
          <w:i w:val="1"/>
          <w:iCs w:val="1"/>
          <w:color w:val="auto"/>
        </w:rPr>
        <w:t xml:space="preserve"> </w:t>
      </w:r>
      <w:r>
        <w:rPr>
          <w:rFonts w:ascii="Arial" w:cs="Arial" w:eastAsia="Arial" w:hAnsi="Arial"/>
          <w:sz w:val="10"/>
          <w:szCs w:val="10"/>
          <w:color w:val="auto"/>
        </w:rPr>
        <w:t>as supplemented by all information concerning the Company’s directors, officers and principal shareholders as described in the Registration Statement and the Disclosure Documents, as well as in the Lock-Up Agreement, provided to the Placement Agent is true and correct in all material respects and the Company has not become aware of any information which would cause the information disclosed in the Questionnaires to become materially inaccurate and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240665</wp:posOffset>
            </wp:positionV>
            <wp:extent cx="7299325"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320" w:top="554" w:right="199" w:bottom="1440" w:gutter="0" w:footer="0" w:header="0"/>
        </w:sectPr>
      </w:pPr>
    </w:p>
    <w:bookmarkStart w:id="219" w:name="page220"/>
    <w:bookmarkEnd w:id="219"/>
    <w:p>
      <w:pPr>
        <w:jc w:val="both"/>
        <w:ind w:left="-432" w:firstLine="432"/>
        <w:spacing w:after="0" w:line="257" w:lineRule="auto"/>
        <w:tabs>
          <w:tab w:leader="none" w:pos="458" w:val="left"/>
        </w:tabs>
        <w:numPr>
          <w:ilvl w:val="0"/>
          <w:numId w:val="116"/>
        </w:numPr>
        <w:rPr>
          <w:rFonts w:ascii="Arial" w:cs="Arial" w:eastAsia="Arial" w:hAnsi="Arial"/>
          <w:sz w:val="12"/>
          <w:szCs w:val="12"/>
          <w:color w:val="auto"/>
        </w:rPr>
      </w:pPr>
      <w:r>
        <w:rPr>
          <w:rFonts w:ascii="Arial" w:cs="Arial" w:eastAsia="Arial" w:hAnsi="Arial"/>
          <w:sz w:val="12"/>
          <w:szCs w:val="12"/>
          <w:i w:val="1"/>
          <w:iCs w:val="1"/>
          <w:color w:val="auto"/>
        </w:rPr>
        <w:t>Legal Proceedings</w:t>
      </w:r>
      <w:r>
        <w:rPr>
          <w:rFonts w:ascii="Arial" w:cs="Arial" w:eastAsia="Arial" w:hAnsi="Arial"/>
          <w:sz w:val="12"/>
          <w:szCs w:val="12"/>
          <w:color w:val="auto"/>
        </w:rPr>
        <w:t>. There are no legal or governmental proceedings pending or, to the Company’s knowledge, threatened or contemplated to which the Company or the Subsidiaries is or would be a party or of which</w:t>
      </w:r>
      <w:r>
        <w:rPr>
          <w:rFonts w:ascii="Arial" w:cs="Arial" w:eastAsia="Arial" w:hAnsi="Arial"/>
          <w:sz w:val="12"/>
          <w:szCs w:val="12"/>
          <w:i w:val="1"/>
          <w:iCs w:val="1"/>
          <w:color w:val="auto"/>
        </w:rPr>
        <w:t xml:space="preserve"> </w:t>
      </w:r>
      <w:r>
        <w:rPr>
          <w:rFonts w:ascii="Arial" w:cs="Arial" w:eastAsia="Arial" w:hAnsi="Arial"/>
          <w:sz w:val="12"/>
          <w:szCs w:val="12"/>
          <w:color w:val="auto"/>
        </w:rPr>
        <w:t>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except (i) as described in the Registration Statement and the Disclosure Documents, (ii) any such proceeding, which if resolved adversely to the Company or any Subsidiaries, would not result in a judgment, decree or order having, individually or in the aggregate, a Material Adverse Effect or (iii) any such proceeding that would not prevent or materially and adversely affect the ability of the Company to consummate the transactions contemplated hereby.</w:t>
      </w:r>
    </w:p>
    <w:p>
      <w:pPr>
        <w:spacing w:after="0" w:line="143" w:lineRule="exact"/>
        <w:rPr>
          <w:rFonts w:ascii="Arial" w:cs="Arial" w:eastAsia="Arial" w:hAnsi="Arial"/>
          <w:sz w:val="12"/>
          <w:szCs w:val="12"/>
          <w:color w:val="auto"/>
        </w:rPr>
      </w:pPr>
    </w:p>
    <w:p>
      <w:pPr>
        <w:ind w:left="-432" w:right="20" w:firstLine="432"/>
        <w:spacing w:after="0" w:line="276" w:lineRule="auto"/>
        <w:tabs>
          <w:tab w:leader="none" w:pos="512" w:val="left"/>
        </w:tabs>
        <w:numPr>
          <w:ilvl w:val="0"/>
          <w:numId w:val="116"/>
        </w:numPr>
        <w:rPr>
          <w:rFonts w:ascii="Arial" w:cs="Arial" w:eastAsia="Arial" w:hAnsi="Arial"/>
          <w:sz w:val="12"/>
          <w:szCs w:val="12"/>
          <w:color w:val="auto"/>
        </w:rPr>
      </w:pPr>
      <w:r>
        <w:rPr>
          <w:rFonts w:ascii="Arial" w:cs="Arial" w:eastAsia="Arial" w:hAnsi="Arial"/>
          <w:sz w:val="12"/>
          <w:szCs w:val="12"/>
          <w:i w:val="1"/>
          <w:iCs w:val="1"/>
          <w:color w:val="auto"/>
        </w:rPr>
        <w:t>Statutes; Contracts</w:t>
      </w:r>
      <w:r>
        <w:rPr>
          <w:rFonts w:ascii="Arial" w:cs="Arial" w:eastAsia="Arial" w:hAnsi="Arial"/>
          <w:sz w:val="12"/>
          <w:szCs w:val="12"/>
          <w:color w:val="auto"/>
        </w:rPr>
        <w:t>. There are no statutes or regulations applicable to the Company or contracts or other documents of the Company that are required to be described in the Registration Statement or the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or filed as exhibits to the Registration Statement by the Securities Act which have not been so described or filed.</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503" w:val="left"/>
        </w:tabs>
        <w:numPr>
          <w:ilvl w:val="0"/>
          <w:numId w:val="116"/>
        </w:numPr>
        <w:rPr>
          <w:rFonts w:ascii="Arial" w:cs="Arial" w:eastAsia="Arial" w:hAnsi="Arial"/>
          <w:sz w:val="12"/>
          <w:szCs w:val="12"/>
          <w:color w:val="auto"/>
        </w:rPr>
      </w:pPr>
      <w:r>
        <w:rPr>
          <w:rFonts w:ascii="Arial" w:cs="Arial" w:eastAsia="Arial" w:hAnsi="Arial"/>
          <w:sz w:val="12"/>
          <w:szCs w:val="12"/>
          <w:i w:val="1"/>
          <w:iCs w:val="1"/>
          <w:color w:val="auto"/>
        </w:rPr>
        <w:t>Independent Accountants</w:t>
      </w:r>
      <w:r>
        <w:rPr>
          <w:rFonts w:ascii="Arial" w:cs="Arial" w:eastAsia="Arial" w:hAnsi="Arial"/>
          <w:sz w:val="12"/>
          <w:szCs w:val="12"/>
          <w:color w:val="auto"/>
        </w:rPr>
        <w:t>. To the knowledge of the Company, OUM &amp; CO LLP (the “</w:t>
      </w:r>
      <w:r>
        <w:rPr>
          <w:rFonts w:ascii="Arial" w:cs="Arial" w:eastAsia="Arial" w:hAnsi="Arial"/>
          <w:sz w:val="12"/>
          <w:szCs w:val="12"/>
          <w:i w:val="1"/>
          <w:iCs w:val="1"/>
          <w:color w:val="auto"/>
        </w:rPr>
        <w:t>Auditor</w:t>
      </w:r>
      <w:r>
        <w:rPr>
          <w:rFonts w:ascii="Arial" w:cs="Arial" w:eastAsia="Arial" w:hAnsi="Arial"/>
          <w:sz w:val="12"/>
          <w:szCs w:val="12"/>
          <w:color w:val="auto"/>
        </w:rPr>
        <w:t>”), whose report is filed with the Commission as part of the Registration Statement, is an independent registered public</w:t>
      </w:r>
      <w:r>
        <w:rPr>
          <w:rFonts w:ascii="Arial" w:cs="Arial" w:eastAsia="Arial" w:hAnsi="Arial"/>
          <w:sz w:val="12"/>
          <w:szCs w:val="12"/>
          <w:i w:val="1"/>
          <w:iCs w:val="1"/>
          <w:color w:val="auto"/>
        </w:rPr>
        <w:t xml:space="preserve"> </w:t>
      </w:r>
      <w:r>
        <w:rPr>
          <w:rFonts w:ascii="Arial" w:cs="Arial" w:eastAsia="Arial" w:hAnsi="Arial"/>
          <w:sz w:val="12"/>
          <w:szCs w:val="12"/>
          <w:color w:val="auto"/>
        </w:rPr>
        <w:t>accounting firm as required by the Securities Act and the Regulations and the Public Company Accounting Oversight Board. The Auditor has not, during the periods covered by the financial statements included in the Registration Statement and the Disclosure Documents, provided to the Company any non-audit services, as such term is used in Section 10A(g) of the Exchange Act.</w:t>
      </w:r>
    </w:p>
    <w:p>
      <w:pPr>
        <w:spacing w:after="0" w:line="140" w:lineRule="exact"/>
        <w:rPr>
          <w:rFonts w:ascii="Arial" w:cs="Arial" w:eastAsia="Arial" w:hAnsi="Arial"/>
          <w:sz w:val="12"/>
          <w:szCs w:val="12"/>
          <w:color w:val="auto"/>
        </w:rPr>
      </w:pPr>
    </w:p>
    <w:p>
      <w:pPr>
        <w:jc w:val="both"/>
        <w:ind w:left="-432" w:firstLine="432"/>
        <w:spacing w:after="0" w:line="279" w:lineRule="auto"/>
        <w:tabs>
          <w:tab w:leader="none" w:pos="512" w:val="left"/>
        </w:tabs>
        <w:numPr>
          <w:ilvl w:val="0"/>
          <w:numId w:val="116"/>
        </w:numPr>
        <w:rPr>
          <w:rFonts w:ascii="Arial" w:cs="Arial" w:eastAsia="Arial" w:hAnsi="Arial"/>
          <w:sz w:val="11"/>
          <w:szCs w:val="11"/>
          <w:color w:val="auto"/>
        </w:rPr>
      </w:pPr>
      <w:r>
        <w:rPr>
          <w:rFonts w:ascii="Arial" w:cs="Arial" w:eastAsia="Arial" w:hAnsi="Arial"/>
          <w:sz w:val="11"/>
          <w:szCs w:val="11"/>
          <w:i w:val="1"/>
          <w:iCs w:val="1"/>
          <w:color w:val="auto"/>
        </w:rPr>
        <w:t>Financial Statements</w:t>
      </w:r>
      <w:r>
        <w:rPr>
          <w:rFonts w:ascii="Arial" w:cs="Arial" w:eastAsia="Arial" w:hAnsi="Arial"/>
          <w:sz w:val="11"/>
          <w:szCs w:val="11"/>
          <w:color w:val="auto"/>
        </w:rPr>
        <w:t>. The financial statements, including the notes thereto and supporting schedules included in the Registration Statement and the Disclosure Documents fairly present the financial position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results of operations of the Company at the dates and for the periods to which they apply; and such financial statements have been prepared in conformity with U.S. generally accepted accounting principles (“</w:t>
      </w:r>
      <w:r>
        <w:rPr>
          <w:rFonts w:ascii="Arial" w:cs="Arial" w:eastAsia="Arial" w:hAnsi="Arial"/>
          <w:sz w:val="11"/>
          <w:szCs w:val="11"/>
          <w:i w:val="1"/>
          <w:iCs w:val="1"/>
          <w:color w:val="auto"/>
        </w:rPr>
        <w:t>GAAP</w:t>
      </w:r>
      <w:r>
        <w:rPr>
          <w:rFonts w:ascii="Arial" w:cs="Arial" w:eastAsia="Arial" w:hAnsi="Arial"/>
          <w:sz w:val="11"/>
          <w:szCs w:val="11"/>
          <w:color w:val="auto"/>
        </w:rPr>
        <w:t>”), consistently applied throughout the periods involved (provided that unaudited interim financial statements are subject to year end audit adjustments that are not expected to be material in the aggregate and do not contain all footnotes required by GAAP); and the supporting schedules included in the Registration Statement present fairly the information required to be stated therein. Each of the Registration Statement and the Disclosure Documents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and the Disclosure Documents, since March 31, 2014, (a) neither the Company nor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the Subsidiaries, or, other than in the course of business, any grants under any stock compensation plan, and (d) there has not been any material adverse change in the Company’s long-term or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363220</wp:posOffset>
            </wp:positionV>
            <wp:extent cx="7299325" cy="1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0" w:name="page221"/>
    <w:bookmarkEnd w:id="220"/>
    <w:p>
      <w:pPr>
        <w:jc w:val="both"/>
        <w:ind w:left="-432" w:firstLine="432"/>
        <w:spacing w:after="0" w:line="308" w:lineRule="auto"/>
        <w:tabs>
          <w:tab w:leader="none" w:pos="485" w:val="left"/>
        </w:tabs>
        <w:numPr>
          <w:ilvl w:val="0"/>
          <w:numId w:val="117"/>
        </w:numPr>
        <w:rPr>
          <w:rFonts w:ascii="Arial" w:cs="Arial" w:eastAsia="Arial" w:hAnsi="Arial"/>
          <w:sz w:val="10"/>
          <w:szCs w:val="10"/>
          <w:color w:val="auto"/>
        </w:rPr>
      </w:pPr>
      <w:r>
        <w:rPr>
          <w:rFonts w:ascii="Arial" w:cs="Arial" w:eastAsia="Arial" w:hAnsi="Arial"/>
          <w:sz w:val="10"/>
          <w:szCs w:val="10"/>
          <w:i w:val="1"/>
          <w:iCs w:val="1"/>
          <w:color w:val="auto"/>
        </w:rPr>
        <w:t>Compliance with Laws</w:t>
      </w:r>
      <w:r>
        <w:rPr>
          <w:rFonts w:ascii="Arial" w:cs="Arial" w:eastAsia="Arial" w:hAnsi="Arial"/>
          <w:sz w:val="10"/>
          <w:szCs w:val="10"/>
          <w:color w:val="auto"/>
        </w:rPr>
        <w:t>. The Company: (i) is and at all times has been in compliance with all statutes, rules, or regulations applicable to the ownership, testing, development, manufacture, packaging, processing, use,</w:t>
      </w:r>
      <w:r>
        <w:rPr>
          <w:rFonts w:ascii="Arial" w:cs="Arial" w:eastAsia="Arial" w:hAnsi="Arial"/>
          <w:sz w:val="10"/>
          <w:szCs w:val="10"/>
          <w:i w:val="1"/>
          <w:iCs w:val="1"/>
          <w:color w:val="auto"/>
        </w:rPr>
        <w:t xml:space="preserve"> </w:t>
      </w:r>
      <w:r>
        <w:rPr>
          <w:rFonts w:ascii="Arial" w:cs="Arial" w:eastAsia="Arial" w:hAnsi="Arial"/>
          <w:sz w:val="10"/>
          <w:szCs w:val="10"/>
          <w:color w:val="auto"/>
        </w:rPr>
        <w:t>distribution, marketing, labeling, promotion, sale, offer for sale, storage, import, export or disposal of any product manufactured or distributed by the Company (“</w:t>
      </w:r>
      <w:r>
        <w:rPr>
          <w:rFonts w:ascii="Arial" w:cs="Arial" w:eastAsia="Arial" w:hAnsi="Arial"/>
          <w:sz w:val="10"/>
          <w:szCs w:val="10"/>
          <w:i w:val="1"/>
          <w:iCs w:val="1"/>
          <w:color w:val="auto"/>
        </w:rPr>
        <w:t>Applicable Laws</w:t>
      </w:r>
      <w:r>
        <w:rPr>
          <w:rFonts w:ascii="Arial" w:cs="Arial" w:eastAsia="Arial" w:hAnsi="Arial"/>
          <w:sz w:val="10"/>
          <w:szCs w:val="10"/>
          <w:color w:val="auto"/>
        </w:rPr>
        <w:t>”), except as could not, individually or in the aggregate, reasonably be expected to have a material adverse change; (ii) has not received any FDA Form 483, notice of adverse finding, warning letter, untitled letter or other correspondence or notice from the U.S. Food and Drug Administration or any other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0"/>
          <w:szCs w:val="10"/>
          <w:i w:val="1"/>
          <w:iCs w:val="1"/>
          <w:color w:val="auto"/>
        </w:rPr>
        <w:t>Authorizations</w:t>
      </w:r>
      <w:r>
        <w:rPr>
          <w:rFonts w:ascii="Arial" w:cs="Arial" w:eastAsia="Arial" w:hAnsi="Arial"/>
          <w:sz w:val="10"/>
          <w:szCs w:val="10"/>
          <w:color w:val="auto"/>
        </w:rPr>
        <w:t>”); (iii) 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268" w:lineRule="exact"/>
        <w:rPr>
          <w:rFonts w:ascii="Arial" w:cs="Arial" w:eastAsia="Arial" w:hAnsi="Arial"/>
          <w:sz w:val="10"/>
          <w:szCs w:val="10"/>
          <w:color w:val="auto"/>
        </w:rPr>
      </w:pPr>
    </w:p>
    <w:p>
      <w:pPr>
        <w:ind w:left="-432" w:firstLine="432"/>
        <w:spacing w:after="0" w:line="276" w:lineRule="auto"/>
        <w:tabs>
          <w:tab w:leader="none" w:pos="440" w:val="left"/>
        </w:tabs>
        <w:numPr>
          <w:ilvl w:val="0"/>
          <w:numId w:val="117"/>
        </w:numPr>
        <w:rPr>
          <w:rFonts w:ascii="Arial" w:cs="Arial" w:eastAsia="Arial" w:hAnsi="Arial"/>
          <w:sz w:val="12"/>
          <w:szCs w:val="12"/>
          <w:color w:val="auto"/>
        </w:rPr>
      </w:pPr>
      <w:r>
        <w:rPr>
          <w:rFonts w:ascii="Arial" w:cs="Arial" w:eastAsia="Arial" w:hAnsi="Arial"/>
          <w:sz w:val="12"/>
          <w:szCs w:val="12"/>
          <w:i w:val="1"/>
          <w:iCs w:val="1"/>
          <w:color w:val="auto"/>
        </w:rPr>
        <w:t>Not an Investment Company</w:t>
      </w:r>
      <w:r>
        <w:rPr>
          <w:rFonts w:ascii="Arial" w:cs="Arial" w:eastAsia="Arial" w:hAnsi="Arial"/>
          <w:sz w:val="12"/>
          <w:szCs w:val="12"/>
          <w:color w:val="auto"/>
        </w:rPr>
        <w:t>. Neither the Company nor the Subsidiaries is or, after giving effect to the offering and sale of the Securities and the application of the proceeds thereof as described in the Prospectus, will be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to register as an “investment company” as defined in the Investment Company Act of 1940, as amended.</w:t>
      </w:r>
    </w:p>
    <w:p>
      <w:pPr>
        <w:spacing w:after="0" w:line="132" w:lineRule="exact"/>
        <w:rPr>
          <w:rFonts w:ascii="Arial" w:cs="Arial" w:eastAsia="Arial" w:hAnsi="Arial"/>
          <w:sz w:val="12"/>
          <w:szCs w:val="12"/>
          <w:color w:val="auto"/>
        </w:rPr>
      </w:pPr>
    </w:p>
    <w:p>
      <w:pPr>
        <w:jc w:val="both"/>
        <w:ind w:left="-432" w:firstLine="432"/>
        <w:spacing w:after="0" w:line="320" w:lineRule="auto"/>
        <w:tabs>
          <w:tab w:leader="none" w:pos="460" w:val="left"/>
        </w:tabs>
        <w:numPr>
          <w:ilvl w:val="0"/>
          <w:numId w:val="117"/>
        </w:numPr>
        <w:rPr>
          <w:rFonts w:ascii="Arial" w:cs="Arial" w:eastAsia="Arial" w:hAnsi="Arial"/>
          <w:sz w:val="10"/>
          <w:szCs w:val="10"/>
          <w:color w:val="auto"/>
        </w:rPr>
      </w:pPr>
      <w:r>
        <w:rPr>
          <w:rFonts w:ascii="Arial" w:cs="Arial" w:eastAsia="Arial" w:hAnsi="Arial"/>
          <w:sz w:val="10"/>
          <w:szCs w:val="10"/>
          <w:i w:val="1"/>
          <w:iCs w:val="1"/>
          <w:color w:val="auto"/>
        </w:rPr>
        <w:t>Good Title to Property</w:t>
      </w:r>
      <w:r>
        <w:rPr>
          <w:rFonts w:ascii="Arial" w:cs="Arial" w:eastAsia="Arial" w:hAnsi="Arial"/>
          <w:sz w:val="10"/>
          <w:szCs w:val="10"/>
          <w:color w:val="auto"/>
        </w:rPr>
        <w:t>. The Company and the Subsidiaries have good and valid title to all property (whether real or personal) described in the Registration Statement and the Disclosure Documents as being owned by</w:t>
      </w:r>
      <w:r>
        <w:rPr>
          <w:rFonts w:ascii="Arial" w:cs="Arial" w:eastAsia="Arial" w:hAnsi="Arial"/>
          <w:sz w:val="10"/>
          <w:szCs w:val="10"/>
          <w:i w:val="1"/>
          <w:iCs w:val="1"/>
          <w:color w:val="auto"/>
        </w:rPr>
        <w:t xml:space="preserve"> </w:t>
      </w:r>
      <w:r>
        <w:rPr>
          <w:rFonts w:ascii="Arial" w:cs="Arial" w:eastAsia="Arial" w:hAnsi="Arial"/>
          <w:sz w:val="10"/>
          <w:szCs w:val="10"/>
          <w:color w:val="auto"/>
        </w:rPr>
        <w:t>each of them, in each case free and clear of all liens, claims, security interests, other encumbrances or defects except as described in the Registration Statement and the Disclosure Documents, and those that would not, individually or in the aggregate materially and adversely affect the value of such property and do not materially and adversely interfere with the use made and proposed to be made of such property by the Company and the Subsidiaries. All of the property described in the Registration Statement and the Disclosure Documents as being held under lease by the Company or a Subsidiaries is held thereby under valid, subsisting and enforceable leases, without any liens, restrictions, encumbrances or claims, except those that, individually or in the aggregate, are not material and do not materially interfere with the use made and proposed to be made of such property by the Company and the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350520</wp:posOffset>
            </wp:positionV>
            <wp:extent cx="7299325" cy="1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1" w:name="page222"/>
    <w:bookmarkEnd w:id="221"/>
    <w:p>
      <w:pPr>
        <w:jc w:val="both"/>
        <w:ind w:left="-432" w:firstLine="432"/>
        <w:spacing w:after="0" w:line="275" w:lineRule="auto"/>
        <w:tabs>
          <w:tab w:leader="none" w:pos="495" w:val="left"/>
        </w:tabs>
        <w:numPr>
          <w:ilvl w:val="0"/>
          <w:numId w:val="118"/>
        </w:numPr>
        <w:rPr>
          <w:rFonts w:ascii="Arial" w:cs="Arial" w:eastAsia="Arial" w:hAnsi="Arial"/>
          <w:sz w:val="11"/>
          <w:szCs w:val="11"/>
          <w:color w:val="auto"/>
        </w:rPr>
      </w:pPr>
      <w:r>
        <w:rPr>
          <w:rFonts w:ascii="Arial" w:cs="Arial" w:eastAsia="Arial" w:hAnsi="Arial"/>
          <w:sz w:val="11"/>
          <w:szCs w:val="11"/>
          <w:i w:val="1"/>
          <w:iCs w:val="1"/>
          <w:color w:val="auto"/>
        </w:rPr>
        <w:t>Intellectual Property Rights</w:t>
      </w:r>
      <w:r>
        <w:rPr>
          <w:rFonts w:ascii="Arial" w:cs="Arial" w:eastAsia="Arial" w:hAnsi="Arial"/>
          <w:sz w:val="11"/>
          <w:szCs w:val="11"/>
          <w:color w:val="auto"/>
        </w:rPr>
        <w:t>. The Company and the Subsidiaries own or possess or have valid rights to use all patents, patent applications, trademarks, service marks, trade names, trademark registrations, service mark</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registrations, copyrights, licenses, inventions, trade secrets and similar rights (“</w:t>
      </w:r>
      <w:r>
        <w:rPr>
          <w:rFonts w:ascii="Arial" w:cs="Arial" w:eastAsia="Arial" w:hAnsi="Arial"/>
          <w:sz w:val="11"/>
          <w:szCs w:val="11"/>
          <w:i w:val="1"/>
          <w:iCs w:val="1"/>
          <w:color w:val="auto"/>
        </w:rPr>
        <w:t>Intellectual Property Rights</w:t>
      </w:r>
      <w:r>
        <w:rPr>
          <w:rFonts w:ascii="Arial" w:cs="Arial" w:eastAsia="Arial" w:hAnsi="Arial"/>
          <w:sz w:val="11"/>
          <w:szCs w:val="11"/>
          <w:color w:val="auto"/>
        </w:rPr>
        <w:t>”) necessary for the conduct of the business of the Company and the Subsidiaries as currently carried on and as described in the Registration Statement and the Disclosure Documents. To the knowledge of the Company, no action or use by the Company or the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the Subsidiaries has received any notice alleging any such infringement, fee or conflict with asserted Intellectual Property Rights of others. Except as would not reasonably be expected to result, individually or in the aggregate, in a material adverse change (i) to the knowledge of the Company, there is no infringement, misappropriation or violation by third parties of any of the Intellectual Property Rights owned by the Company and the Subsidiaries; (ii) there is no pending or, to the knowledge of the Company, threatened action, suit, proceeding or claim by others challenging the rights of the Company or the Subsidiaries in or to any such Intellectual Property Rights, and the Company is unaware of any facts which would form a reasonable basis for any such claim, that would, individually or in the aggregate, together with any other claims in this Section 3(aa), reasonably be expected to result in a material adverse change; (iii) the Intellectual Property Rights owned by the Company and the Subsidiaries and, to the knowledge of the Company, the Intellectual Property Rights licensed to the Company and the Subsidiaries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3(aa), reasonably be expected to result in a material adverse change; (iv) there is no pending or, to the Company’s knowledge, threatened action, suit, proceeding or claim by others that the Company or the Subsidiaries infringes, misappropriates or otherwise violates any Intellectual Property Rights or other proprietary rights of others, neither the Company nor any of the Subsidiaries has received any written notice of such claim and the Company is unaware of any other facts which would form a reasonable basis for any such claim that would, individually or in the aggregate, together with any other claims in this Section 3(aa), reasonably be expected to result in a material adverse change; and (v) to the Company’s knowledge, no employee of the Company or any of the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the Subsidiaries, or actions undertaken by the employee while employed with the Company and could reasonably be expected to result, individually or in the aggregate, in a material adverse change. To the Company’s knowledge, all material technical information developed by and belonging to the Company or any of the Subsidiaries which has not been patented has been kept confidential. Neither the Company nor any of the Subsidiaries is a party to or bound by any options, licenses or agreements with respect to the Intellectual Property Rights of any other person or entity that are required to be set forth in the Registration Statement and the Disclosure Documents and are not described therein. The Registration Statement and the Disclosure Documents contain in all material respects the same description of the matters set forth in the preceding sentence. None of the technology employed by the Company or any of the Subsidiaries has been obtained or is being used by the Company or any of the Subsidiaries in violation of any contractual obligation binding on the Company or any of the Subsidiaries or, to the Company’s knowledge, any of its officers, directors or employees, or otherwise in violation of the rights of any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368300</wp:posOffset>
            </wp:positionV>
            <wp:extent cx="7299325"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2" w:name="page223"/>
    <w:bookmarkEnd w:id="222"/>
    <w:p>
      <w:pPr>
        <w:jc w:val="both"/>
        <w:ind w:left="-432" w:firstLine="432"/>
        <w:spacing w:after="0" w:line="280" w:lineRule="auto"/>
        <w:tabs>
          <w:tab w:leader="none" w:pos="545" w:val="left"/>
        </w:tabs>
        <w:numPr>
          <w:ilvl w:val="0"/>
          <w:numId w:val="119"/>
        </w:numPr>
        <w:rPr>
          <w:rFonts w:ascii="Arial" w:cs="Arial" w:eastAsia="Arial" w:hAnsi="Arial"/>
          <w:sz w:val="11"/>
          <w:szCs w:val="11"/>
          <w:color w:val="auto"/>
        </w:rPr>
      </w:pPr>
      <w:r>
        <w:rPr>
          <w:rFonts w:ascii="Arial" w:cs="Arial" w:eastAsia="Arial" w:hAnsi="Arial"/>
          <w:sz w:val="11"/>
          <w:szCs w:val="11"/>
          <w:i w:val="1"/>
          <w:iCs w:val="1"/>
          <w:color w:val="auto"/>
        </w:rPr>
        <w:t>Taxes</w:t>
      </w:r>
      <w:r>
        <w:rPr>
          <w:rFonts w:ascii="Arial" w:cs="Arial" w:eastAsia="Arial" w:hAnsi="Arial"/>
          <w:sz w:val="11"/>
          <w:szCs w:val="11"/>
          <w:color w:val="auto"/>
        </w:rPr>
        <w:t>. Each of the Company and the Subsidiaries has filed all returns (as hereinafter defined) required to be filed with taxing authorities prior to the date hereof or has duly obtained extensions of time for the filing</w:t>
      </w:r>
      <w:r>
        <w:rPr>
          <w:rFonts w:ascii="Arial" w:cs="Arial" w:eastAsia="Arial" w:hAnsi="Arial"/>
          <w:sz w:val="11"/>
          <w:szCs w:val="11"/>
          <w:i w:val="1"/>
          <w:iCs w:val="1"/>
          <w:color w:val="auto"/>
        </w:rPr>
        <w:t xml:space="preserve"> </w:t>
      </w:r>
      <w:r>
        <w:rPr>
          <w:rFonts w:ascii="Arial" w:cs="Arial" w:eastAsia="Arial" w:hAnsi="Arial"/>
          <w:sz w:val="11"/>
          <w:szCs w:val="11"/>
          <w:color w:val="auto"/>
        </w:rPr>
        <w:t>thereof. Each of the Company and the Subsidiaries has paid all taxes (as hereinafter defined) shown as due on such returns that were filed and has paid all taxes imposed on or assessed against the Company or the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With respect to the Company and its Subsidiaries, (i) no issues have been raised (and are currently pending) by any taxing authority in connection with any of the returns or taxes asserted as due from the Company or the Subsidiaries, and (ii) no waivers of statutes of limitation with respect to the returns or collection of taxes have been given by or requested from the Company or the Subsidiaries.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134" w:lineRule="exact"/>
        <w:rPr>
          <w:rFonts w:ascii="Arial" w:cs="Arial" w:eastAsia="Arial" w:hAnsi="Arial"/>
          <w:sz w:val="11"/>
          <w:szCs w:val="11"/>
          <w:color w:val="auto"/>
        </w:rPr>
      </w:pPr>
    </w:p>
    <w:p>
      <w:pPr>
        <w:jc w:val="both"/>
        <w:ind w:left="-432" w:firstLine="432"/>
        <w:spacing w:after="0" w:line="280" w:lineRule="auto"/>
        <w:tabs>
          <w:tab w:leader="none" w:pos="495" w:val="left"/>
        </w:tabs>
        <w:numPr>
          <w:ilvl w:val="0"/>
          <w:numId w:val="119"/>
        </w:numPr>
        <w:rPr>
          <w:rFonts w:ascii="Arial" w:cs="Arial" w:eastAsia="Arial" w:hAnsi="Arial"/>
          <w:sz w:val="11"/>
          <w:szCs w:val="11"/>
          <w:color w:val="auto"/>
        </w:rPr>
      </w:pPr>
      <w:r>
        <w:rPr>
          <w:rFonts w:ascii="Arial" w:cs="Arial" w:eastAsia="Arial" w:hAnsi="Arial"/>
          <w:sz w:val="11"/>
          <w:szCs w:val="11"/>
          <w:i w:val="1"/>
          <w:iCs w:val="1"/>
          <w:color w:val="auto"/>
        </w:rPr>
        <w:t>ERISA Compliance</w:t>
      </w:r>
      <w:r>
        <w:rPr>
          <w:rFonts w:ascii="Arial" w:cs="Arial" w:eastAsia="Arial" w:hAnsi="Arial"/>
          <w:sz w:val="11"/>
          <w:szCs w:val="11"/>
          <w:color w:val="auto"/>
        </w:rPr>
        <w:t>. The Company and any “employee benefit plan” (as defined under the Employee Retirement Income Security Act of 1974, as amended, and the regulations and published interpretations thereunder</w:t>
      </w:r>
      <w:r>
        <w:rPr>
          <w:rFonts w:ascii="Arial" w:cs="Arial" w:eastAsia="Arial" w:hAnsi="Arial"/>
          <w:sz w:val="11"/>
          <w:szCs w:val="11"/>
          <w:i w:val="1"/>
          <w:iCs w:val="1"/>
          <w:color w:val="auto"/>
        </w:rPr>
        <w:t xml:space="preserve"> </w:t>
      </w:r>
      <w:r>
        <w:rPr>
          <w:rFonts w:ascii="Arial" w:cs="Arial" w:eastAsia="Arial" w:hAnsi="Arial"/>
          <w:sz w:val="11"/>
          <w:szCs w:val="11"/>
          <w:color w:val="auto"/>
        </w:rPr>
        <w:t>(collectively, “</w:t>
      </w:r>
      <w:r>
        <w:rPr>
          <w:rFonts w:ascii="Arial" w:cs="Arial" w:eastAsia="Arial" w:hAnsi="Arial"/>
          <w:sz w:val="11"/>
          <w:szCs w:val="11"/>
          <w:i w:val="1"/>
          <w:iCs w:val="1"/>
          <w:color w:val="auto"/>
        </w:rPr>
        <w:t>ERISA</w:t>
      </w:r>
      <w:r>
        <w:rPr>
          <w:rFonts w:ascii="Arial" w:cs="Arial" w:eastAsia="Arial" w:hAnsi="Arial"/>
          <w:sz w:val="11"/>
          <w:szCs w:val="11"/>
          <w:color w:val="auto"/>
        </w:rPr>
        <w:t>”)) established or maintained by the Company or its “ERISA Affiliates” (as defined below) are in compliance in all material respects with ERISA. “ERISA Affiliate” means, with respect to the Company, any member of any group of organizations described in Sections 414(b),(c),(m) or (o) of the Internal Revenue Code of 1986, as amended, and the regulations and published interpretations thereunder (the “</w:t>
      </w:r>
      <w:r>
        <w:rPr>
          <w:rFonts w:ascii="Arial" w:cs="Arial" w:eastAsia="Arial" w:hAnsi="Arial"/>
          <w:sz w:val="11"/>
          <w:szCs w:val="11"/>
          <w:i w:val="1"/>
          <w:iCs w:val="1"/>
          <w:color w:val="auto"/>
        </w:rPr>
        <w:t>Code</w:t>
      </w:r>
      <w:r>
        <w:rPr>
          <w:rFonts w:ascii="Arial" w:cs="Arial" w:eastAsia="Arial" w:hAnsi="Arial"/>
          <w:sz w:val="11"/>
          <w:szCs w:val="11"/>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w:t>
      </w:r>
    </w:p>
    <w:p>
      <w:pPr>
        <w:spacing w:after="0" w:line="134" w:lineRule="exact"/>
        <w:rPr>
          <w:rFonts w:ascii="Arial" w:cs="Arial" w:eastAsia="Arial" w:hAnsi="Arial"/>
          <w:sz w:val="11"/>
          <w:szCs w:val="11"/>
          <w:color w:val="auto"/>
        </w:rPr>
      </w:pPr>
    </w:p>
    <w:p>
      <w:pPr>
        <w:jc w:val="both"/>
        <w:ind w:left="-432" w:firstLine="432"/>
        <w:spacing w:after="0" w:line="259" w:lineRule="auto"/>
        <w:tabs>
          <w:tab w:leader="none" w:pos="527"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Insurance</w:t>
      </w:r>
      <w:r>
        <w:rPr>
          <w:rFonts w:ascii="Arial" w:cs="Arial" w:eastAsia="Arial" w:hAnsi="Arial"/>
          <w:sz w:val="12"/>
          <w:szCs w:val="12"/>
          <w:color w:val="auto"/>
        </w:rPr>
        <w:t>. Each of the Company and the Subsidiaries maintains insurance in such amounts and covering such risks as is adequate for the conduct of its business and the value of its properties and as is customary for</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engaged in similar businesses in similar industries. All such insurance is fully in force on the date hereof and will be fully in force as of such Closing Date. Neither the Company nor the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42" w:lineRule="exact"/>
        <w:rPr>
          <w:rFonts w:ascii="Arial" w:cs="Arial" w:eastAsia="Arial" w:hAnsi="Arial"/>
          <w:sz w:val="12"/>
          <w:szCs w:val="12"/>
          <w:color w:val="auto"/>
        </w:rPr>
      </w:pPr>
    </w:p>
    <w:p>
      <w:pPr>
        <w:jc w:val="both"/>
        <w:ind w:left="-432" w:firstLine="432"/>
        <w:spacing w:after="0" w:line="259" w:lineRule="auto"/>
        <w:tabs>
          <w:tab w:leader="none" w:pos="585" w:val="left"/>
        </w:tabs>
        <w:numPr>
          <w:ilvl w:val="0"/>
          <w:numId w:val="119"/>
        </w:numPr>
        <w:rPr>
          <w:rFonts w:ascii="Arial" w:cs="Arial" w:eastAsia="Arial" w:hAnsi="Arial"/>
          <w:sz w:val="12"/>
          <w:szCs w:val="12"/>
          <w:color w:val="auto"/>
        </w:rPr>
      </w:pPr>
      <w:r>
        <w:rPr>
          <w:rFonts w:ascii="Arial" w:cs="Arial" w:eastAsia="Arial" w:hAnsi="Arial"/>
          <w:sz w:val="12"/>
          <w:szCs w:val="12"/>
          <w:i w:val="1"/>
          <w:iCs w:val="1"/>
          <w:color w:val="auto"/>
        </w:rPr>
        <w:t>Accounting Controls</w:t>
      </w:r>
      <w:r>
        <w:rPr>
          <w:rFonts w:ascii="Arial" w:cs="Arial" w:eastAsia="Arial" w:hAnsi="Arial"/>
          <w:sz w:val="12"/>
          <w:szCs w:val="12"/>
          <w:color w:val="auto"/>
        </w:rPr>
        <w:t>. Except as disclosed in the Registration Statement and the Disclosure Documents, the Company and the Subsidiaries maintains a system of internal accounting controls sufficient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reasonable assurances that (i) transactions are executed in accordance with management’s general or specific authorization; (ii) transactions are recorded as necessary to permit preparation of financial statements in conformity with generally accepted accounting principles as in effect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367665</wp:posOffset>
            </wp:positionV>
            <wp:extent cx="7299325"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3" w:name="page224"/>
    <w:bookmarkEnd w:id="223"/>
    <w:p>
      <w:pPr>
        <w:jc w:val="both"/>
        <w:ind w:left="-432" w:firstLine="432"/>
        <w:spacing w:after="0" w:line="280" w:lineRule="auto"/>
        <w:tabs>
          <w:tab w:leader="none" w:pos="548" w:val="left"/>
        </w:tabs>
        <w:numPr>
          <w:ilvl w:val="0"/>
          <w:numId w:val="120"/>
        </w:numPr>
        <w:rPr>
          <w:rFonts w:ascii="Arial" w:cs="Arial" w:eastAsia="Arial" w:hAnsi="Arial"/>
          <w:sz w:val="11"/>
          <w:szCs w:val="11"/>
          <w:color w:val="auto"/>
        </w:rPr>
      </w:pPr>
      <w:r>
        <w:rPr>
          <w:rFonts w:ascii="Arial" w:cs="Arial" w:eastAsia="Arial" w:hAnsi="Arial"/>
          <w:sz w:val="11"/>
          <w:szCs w:val="11"/>
          <w:i w:val="1"/>
          <w:iCs w:val="1"/>
          <w:color w:val="auto"/>
        </w:rPr>
        <w:t>Disclosure Controls</w:t>
      </w:r>
      <w:r>
        <w:rPr>
          <w:rFonts w:ascii="Arial" w:cs="Arial" w:eastAsia="Arial" w:hAnsi="Arial"/>
          <w:sz w:val="11"/>
          <w:szCs w:val="11"/>
          <w:color w:val="auto"/>
        </w:rPr>
        <w:t>. The Company has established, maintains and evaluates “disclosure controls and procedures” (as such term is defined in Rule 13a-15(e) and 15d-15(e) under the Exchange Act), which (i) are</w:t>
      </w:r>
      <w:r>
        <w:rPr>
          <w:rFonts w:ascii="Arial" w:cs="Arial" w:eastAsia="Arial" w:hAnsi="Arial"/>
          <w:sz w:val="11"/>
          <w:szCs w:val="11"/>
          <w:i w:val="1"/>
          <w:iCs w:val="1"/>
          <w:color w:val="auto"/>
        </w:rPr>
        <w:t xml:space="preserve"> </w:t>
      </w:r>
      <w:r>
        <w:rPr>
          <w:rFonts w:ascii="Arial" w:cs="Arial" w:eastAsia="Arial" w:hAnsi="Arial"/>
          <w:sz w:val="11"/>
          <w:szCs w:val="11"/>
          <w:color w:val="auto"/>
        </w:rPr>
        <w:t>designed to ensure that material information relating to the Company is made known to the Company’s principal executive officer and its principal financial officer by others within those entities, particularly during the periods in which the periodic reports required under the Exchange Act are being prepared, (ii) have been evaluated for effectiveness as of the end of the last fiscal period covered by the Registration Statement; and (iii) except as disclosed in the Registration Statement and Disclosure Documents, such disclosure controls and procedures are effective to perform the functions for which they were established. Except as disclosed in the Registration Statement and the Disclosure Documents, there are no significant deficiencies and material weaknesses in the design or operation of internal controls which could adversely affect the Company’s ability to record, process, summarize, and report financial data to management and the Board of Directors. The Company is not aware of any fraud, whether or not material, that involves management or other employees who have a role in the Company’s internal controls. Except as disclosed in the Registration Statement and the Disclosure Documents,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34" w:lineRule="exact"/>
        <w:rPr>
          <w:rFonts w:ascii="Arial" w:cs="Arial" w:eastAsia="Arial" w:hAnsi="Arial"/>
          <w:sz w:val="11"/>
          <w:szCs w:val="11"/>
          <w:color w:val="auto"/>
        </w:rPr>
      </w:pPr>
    </w:p>
    <w:p>
      <w:pPr>
        <w:jc w:val="both"/>
        <w:ind w:left="-432" w:firstLine="432"/>
        <w:spacing w:after="0" w:line="263" w:lineRule="auto"/>
        <w:tabs>
          <w:tab w:leader="none" w:pos="518" w:val="left"/>
        </w:tabs>
        <w:numPr>
          <w:ilvl w:val="0"/>
          <w:numId w:val="120"/>
        </w:numPr>
        <w:rPr>
          <w:rFonts w:ascii="Arial" w:cs="Arial" w:eastAsia="Arial" w:hAnsi="Arial"/>
          <w:sz w:val="12"/>
          <w:szCs w:val="12"/>
          <w:color w:val="auto"/>
        </w:rPr>
      </w:pPr>
      <w:r>
        <w:rPr>
          <w:rFonts w:ascii="Arial" w:cs="Arial" w:eastAsia="Arial" w:hAnsi="Arial"/>
          <w:sz w:val="12"/>
          <w:szCs w:val="12"/>
          <w:i w:val="1"/>
          <w:iCs w:val="1"/>
          <w:color w:val="auto"/>
        </w:rPr>
        <w:t>Lock-Up Agreements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Schedule A</w:t>
      </w:r>
      <w:r>
        <w:rPr>
          <w:rFonts w:ascii="Arial" w:cs="Arial" w:eastAsia="Arial" w:hAnsi="Arial"/>
          <w:sz w:val="12"/>
          <w:szCs w:val="12"/>
          <w:i w:val="1"/>
          <w:iCs w:val="1"/>
          <w:color w:val="auto"/>
        </w:rPr>
        <w:t xml:space="preserve"> </w:t>
      </w:r>
      <w:r>
        <w:rPr>
          <w:rFonts w:ascii="Arial" w:cs="Arial" w:eastAsia="Arial" w:hAnsi="Arial"/>
          <w:sz w:val="12"/>
          <w:szCs w:val="12"/>
          <w:color w:val="auto"/>
        </w:rPr>
        <w:t>hereto contains a complete and accurate list of the Company’s officers, directors and each owner of at least 5% of the Company’s outstanding shares of Common Stock (or securities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convertible or exercisable into shares of Common Stock) (collectively, the </w:t>
      </w:r>
      <w:r>
        <w:rPr>
          <w:rFonts w:ascii="Arial" w:cs="Arial" w:eastAsia="Arial" w:hAnsi="Arial"/>
          <w:sz w:val="12"/>
          <w:szCs w:val="12"/>
          <w:i w:val="1"/>
          <w:iCs w:val="1"/>
          <w:color w:val="auto"/>
        </w:rPr>
        <w:t>“Lock-Up Parties</w:t>
      </w:r>
      <w:r>
        <w:rPr>
          <w:rFonts w:ascii="Arial" w:cs="Arial" w:eastAsia="Arial" w:hAnsi="Arial"/>
          <w:sz w:val="12"/>
          <w:szCs w:val="12"/>
          <w:color w:val="auto"/>
        </w:rPr>
        <w:t xml:space="preserve">”). The Company has caused each of the Lock-Up Parties to deliver to the Representative executed Lock-Up Agreements, in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 prior to the execution of this Agreement.</w:t>
      </w:r>
    </w:p>
    <w:p>
      <w:pPr>
        <w:spacing w:after="0" w:line="140" w:lineRule="exact"/>
        <w:rPr>
          <w:rFonts w:ascii="Arial" w:cs="Arial" w:eastAsia="Arial" w:hAnsi="Arial"/>
          <w:sz w:val="12"/>
          <w:szCs w:val="12"/>
          <w:color w:val="auto"/>
        </w:rPr>
      </w:pPr>
    </w:p>
    <w:p>
      <w:pPr>
        <w:ind w:left="-432" w:firstLine="432"/>
        <w:spacing w:after="0" w:line="276" w:lineRule="auto"/>
        <w:tabs>
          <w:tab w:leader="none" w:pos="590" w:val="left"/>
        </w:tabs>
        <w:numPr>
          <w:ilvl w:val="0"/>
          <w:numId w:val="120"/>
        </w:numPr>
        <w:rPr>
          <w:rFonts w:ascii="Arial" w:cs="Arial" w:eastAsia="Arial" w:hAnsi="Arial"/>
          <w:sz w:val="12"/>
          <w:szCs w:val="12"/>
          <w:color w:val="auto"/>
        </w:rPr>
      </w:pPr>
      <w:r>
        <w:rPr>
          <w:rFonts w:ascii="Arial" w:cs="Arial" w:eastAsia="Arial" w:hAnsi="Arial"/>
          <w:sz w:val="12"/>
          <w:szCs w:val="12"/>
          <w:i w:val="1"/>
          <w:iCs w:val="1"/>
          <w:color w:val="auto"/>
        </w:rPr>
        <w:t>Related Party Transactions</w:t>
      </w:r>
      <w:r>
        <w:rPr>
          <w:rFonts w:ascii="Arial" w:cs="Arial" w:eastAsia="Arial" w:hAnsi="Arial"/>
          <w:sz w:val="12"/>
          <w:szCs w:val="12"/>
          <w:color w:val="auto"/>
        </w:rPr>
        <w:t>. There are no business relationships or related party transactions involving the Company or any other person required to be described in the Registration Statement and the Disclosure</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that have not been described as required.</w:t>
      </w:r>
    </w:p>
    <w:p>
      <w:pPr>
        <w:spacing w:after="0" w:line="132" w:lineRule="exact"/>
        <w:rPr>
          <w:rFonts w:ascii="Arial" w:cs="Arial" w:eastAsia="Arial" w:hAnsi="Arial"/>
          <w:sz w:val="12"/>
          <w:szCs w:val="12"/>
          <w:color w:val="auto"/>
        </w:rPr>
      </w:pPr>
    </w:p>
    <w:p>
      <w:pPr>
        <w:jc w:val="both"/>
        <w:ind w:left="-432" w:firstLine="432"/>
        <w:spacing w:after="0" w:line="290" w:lineRule="auto"/>
        <w:tabs>
          <w:tab w:leader="none" w:pos="510" w:val="left"/>
        </w:tabs>
        <w:numPr>
          <w:ilvl w:val="0"/>
          <w:numId w:val="120"/>
        </w:numPr>
        <w:rPr>
          <w:rFonts w:ascii="Arial" w:cs="Arial" w:eastAsia="Arial" w:hAnsi="Arial"/>
          <w:sz w:val="11"/>
          <w:szCs w:val="11"/>
          <w:color w:val="auto"/>
        </w:rPr>
      </w:pPr>
      <w:r>
        <w:rPr>
          <w:rFonts w:ascii="Arial" w:cs="Arial" w:eastAsia="Arial" w:hAnsi="Arial"/>
          <w:sz w:val="11"/>
          <w:szCs w:val="11"/>
          <w:i w:val="1"/>
          <w:iCs w:val="1"/>
          <w:color w:val="auto"/>
        </w:rPr>
        <w:t>Board of Directors</w:t>
      </w:r>
      <w:r>
        <w:rPr>
          <w:rFonts w:ascii="Arial" w:cs="Arial" w:eastAsia="Arial" w:hAnsi="Arial"/>
          <w:sz w:val="11"/>
          <w:szCs w:val="11"/>
          <w:color w:val="auto"/>
        </w:rPr>
        <w:t>. The Board of Directors of the Company is comprised of the persons set forth under the heading of the Pricing Prospectus and the Prospectus captioned “Management.” The qualifications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persons serving as board members and the overall composition of the board comply with the Sarbanes-Oxley Act of 2002 and the rules promulgated thereunder (the “</w:t>
      </w:r>
      <w:r>
        <w:rPr>
          <w:rFonts w:ascii="Arial" w:cs="Arial" w:eastAsia="Arial" w:hAnsi="Arial"/>
          <w:sz w:val="11"/>
          <w:szCs w:val="11"/>
          <w:i w:val="1"/>
          <w:iCs w:val="1"/>
          <w:color w:val="auto"/>
        </w:rPr>
        <w:t>Sarbanes-Oxley Act</w:t>
      </w:r>
      <w:r>
        <w:rPr>
          <w:rFonts w:ascii="Arial" w:cs="Arial" w:eastAsia="Arial" w:hAnsi="Arial"/>
          <w:sz w:val="11"/>
          <w:szCs w:val="11"/>
          <w:color w:val="auto"/>
        </w:rPr>
        <w:t>”) applicable to the Company and the listing rules of the Nasdaq Stock Market LLC. At least one member of the Audit Committee of the Board of Directors of the Company qualifies as a “financial expert,” as such term is defined under the Sarbanes-Oxley Act and the listing rules of the Nasdaq Stock Market LLC. In addition, at least a majority of the persons serving on the Board of Directors qualify as “independent,” as defined under the listing rules of the Nasdaq Stock Market LLC.</w:t>
      </w:r>
    </w:p>
    <w:p>
      <w:pPr>
        <w:spacing w:after="0" w:line="127" w:lineRule="exact"/>
        <w:rPr>
          <w:rFonts w:ascii="Arial" w:cs="Arial" w:eastAsia="Arial" w:hAnsi="Arial"/>
          <w:sz w:val="11"/>
          <w:szCs w:val="11"/>
          <w:color w:val="auto"/>
        </w:rPr>
      </w:pPr>
    </w:p>
    <w:p>
      <w:pPr>
        <w:jc w:val="both"/>
        <w:ind w:left="-432" w:firstLine="432"/>
        <w:spacing w:after="0" w:line="259" w:lineRule="auto"/>
        <w:tabs>
          <w:tab w:leader="none" w:pos="456" w:val="left"/>
        </w:tabs>
        <w:numPr>
          <w:ilvl w:val="0"/>
          <w:numId w:val="120"/>
        </w:numPr>
        <w:rPr>
          <w:rFonts w:ascii="Arial" w:cs="Arial" w:eastAsia="Arial" w:hAnsi="Arial"/>
          <w:sz w:val="12"/>
          <w:szCs w:val="12"/>
          <w:color w:val="auto"/>
        </w:rPr>
      </w:pPr>
      <w:r>
        <w:rPr>
          <w:rFonts w:ascii="Arial" w:cs="Arial" w:eastAsia="Arial" w:hAnsi="Arial"/>
          <w:sz w:val="12"/>
          <w:szCs w:val="12"/>
          <w:i w:val="1"/>
          <w:iCs w:val="1"/>
          <w:color w:val="auto"/>
        </w:rPr>
        <w:t>Corrupt Practices</w:t>
      </w:r>
      <w:r>
        <w:rPr>
          <w:rFonts w:ascii="Arial" w:cs="Arial" w:eastAsia="Arial" w:hAnsi="Arial"/>
          <w:sz w:val="12"/>
          <w:szCs w:val="12"/>
          <w:color w:val="auto"/>
        </w:rPr>
        <w:t>. Neither the Company nor, to the Company’s knowledge, any other person associated with or acting on behalf of the Company, including without limitation any director, officer, agent or employee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or its Subsidiaries has,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42" w:lineRule="exact"/>
        <w:rPr>
          <w:rFonts w:ascii="Arial" w:cs="Arial" w:eastAsia="Arial" w:hAnsi="Arial"/>
          <w:sz w:val="12"/>
          <w:szCs w:val="12"/>
          <w:color w:val="auto"/>
        </w:rPr>
      </w:pPr>
    </w:p>
    <w:p>
      <w:pPr>
        <w:jc w:val="both"/>
        <w:ind w:left="-432" w:firstLine="432"/>
        <w:spacing w:after="0" w:line="263" w:lineRule="auto"/>
        <w:tabs>
          <w:tab w:leader="none" w:pos="617" w:val="left"/>
        </w:tabs>
        <w:numPr>
          <w:ilvl w:val="0"/>
          <w:numId w:val="120"/>
        </w:numPr>
        <w:rPr>
          <w:rFonts w:ascii="Arial" w:cs="Arial" w:eastAsia="Arial" w:hAnsi="Arial"/>
          <w:sz w:val="12"/>
          <w:szCs w:val="12"/>
          <w:color w:val="auto"/>
        </w:rPr>
      </w:pPr>
      <w:r>
        <w:rPr>
          <w:rFonts w:ascii="Arial" w:cs="Arial" w:eastAsia="Arial" w:hAnsi="Arial"/>
          <w:sz w:val="12"/>
          <w:szCs w:val="12"/>
          <w:i w:val="1"/>
          <w:iCs w:val="1"/>
          <w:color w:val="auto"/>
        </w:rPr>
        <w:t>No Price Stabilization</w:t>
      </w:r>
      <w:r>
        <w:rPr>
          <w:rFonts w:ascii="Arial" w:cs="Arial" w:eastAsia="Arial" w:hAnsi="Arial"/>
          <w:sz w:val="12"/>
          <w:szCs w:val="12"/>
          <w:color w:val="auto"/>
        </w:rPr>
        <w:t>. Neither the Company nor the Subsidiaries nor, to the Company’s knowledge, any of their respective officers, directors, affiliates or controlling persons has taken or will take, directly or</w:t>
      </w:r>
      <w:r>
        <w:rPr>
          <w:rFonts w:ascii="Arial" w:cs="Arial" w:eastAsia="Arial" w:hAnsi="Arial"/>
          <w:sz w:val="12"/>
          <w:szCs w:val="12"/>
          <w:i w:val="1"/>
          <w:iCs w:val="1"/>
          <w:color w:val="auto"/>
        </w:rPr>
        <w:t xml:space="preserve"> </w:t>
      </w:r>
      <w:r>
        <w:rPr>
          <w:rFonts w:ascii="Arial" w:cs="Arial" w:eastAsia="Arial" w:hAnsi="Arial"/>
          <w:sz w:val="12"/>
          <w:szCs w:val="12"/>
          <w:color w:val="auto"/>
        </w:rPr>
        <w:t>indirectly, any action designed to cause or result in, or which has constituted or which might reasonably be expected to constitute the stabilization or manipulation of the price of any security of the Company to facilitate the sale or resale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366395</wp:posOffset>
            </wp:positionV>
            <wp:extent cx="7299325" cy="1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4" w:name="page225"/>
    <w:bookmarkEnd w:id="224"/>
    <w:p>
      <w:pPr>
        <w:jc w:val="both"/>
        <w:ind w:firstLine="432"/>
        <w:spacing w:after="0" w:line="257" w:lineRule="auto"/>
        <w:tabs>
          <w:tab w:leader="none" w:pos="924" w:val="left"/>
        </w:tabs>
        <w:numPr>
          <w:ilvl w:val="1"/>
          <w:numId w:val="121"/>
        </w:numPr>
        <w:rPr>
          <w:rFonts w:ascii="Arial" w:cs="Arial" w:eastAsia="Arial" w:hAnsi="Arial"/>
          <w:sz w:val="12"/>
          <w:szCs w:val="12"/>
          <w:color w:val="auto"/>
        </w:rPr>
      </w:pPr>
      <w:r>
        <w:rPr>
          <w:rFonts w:ascii="Arial" w:cs="Arial" w:eastAsia="Arial" w:hAnsi="Arial"/>
          <w:sz w:val="12"/>
          <w:szCs w:val="12"/>
          <w:i w:val="1"/>
          <w:iCs w:val="1"/>
          <w:color w:val="auto"/>
        </w:rPr>
        <w:t>No Undisclosed Relationships</w:t>
      </w:r>
      <w:r>
        <w:rPr>
          <w:rFonts w:ascii="Arial" w:cs="Arial" w:eastAsia="Arial" w:hAnsi="Arial"/>
          <w:sz w:val="12"/>
          <w:szCs w:val="12"/>
          <w:color w:val="auto"/>
        </w:rPr>
        <w:t>. No relationship, direct or indirect, exists between or among the Company on the one hand and the directors, officers, stockholders, customers or suppliers of the Company on the other</w:t>
      </w:r>
      <w:r>
        <w:rPr>
          <w:rFonts w:ascii="Arial" w:cs="Arial" w:eastAsia="Arial" w:hAnsi="Arial"/>
          <w:sz w:val="12"/>
          <w:szCs w:val="12"/>
          <w:i w:val="1"/>
          <w:iCs w:val="1"/>
          <w:color w:val="auto"/>
        </w:rPr>
        <w:t xml:space="preserve"> </w:t>
      </w:r>
      <w:r>
        <w:rPr>
          <w:rFonts w:ascii="Arial" w:cs="Arial" w:eastAsia="Arial" w:hAnsi="Arial"/>
          <w:sz w:val="12"/>
          <w:szCs w:val="12"/>
          <w:color w:val="auto"/>
        </w:rPr>
        <w:t>hand which is required to be described in the Registration Statement and the Disclosure Documents which has not been so described. There are no outstanding loans, advances (except normal advances for business expenses in the ordinary course of business) or guarantees of indebtedness by the Company to or for the benefit of any of the officers or directors of the Company or any member of their respective immediate families. The Company has not, in violation of the Sarbanes-Oxley Act, directly or indirectly, extended or maintained credit, arranged for the extension of credit, or renewed an extension of credit, in the form of a personal loan to or for any director or executive officer of the Company.</w:t>
      </w:r>
    </w:p>
    <w:p>
      <w:pPr>
        <w:spacing w:after="0" w:line="143" w:lineRule="exact"/>
        <w:rPr>
          <w:rFonts w:ascii="Arial" w:cs="Arial" w:eastAsia="Arial" w:hAnsi="Arial"/>
          <w:sz w:val="12"/>
          <w:szCs w:val="12"/>
          <w:color w:val="auto"/>
        </w:rPr>
      </w:pPr>
    </w:p>
    <w:p>
      <w:pPr>
        <w:ind w:firstLine="432"/>
        <w:spacing w:after="0" w:line="276" w:lineRule="auto"/>
        <w:tabs>
          <w:tab w:leader="none" w:pos="1017" w:val="left"/>
        </w:tabs>
        <w:numPr>
          <w:ilvl w:val="1"/>
          <w:numId w:val="121"/>
        </w:numPr>
        <w:rPr>
          <w:rFonts w:ascii="Arial" w:cs="Arial" w:eastAsia="Arial" w:hAnsi="Arial"/>
          <w:sz w:val="12"/>
          <w:szCs w:val="12"/>
          <w:color w:val="auto"/>
        </w:rPr>
      </w:pPr>
      <w:r>
        <w:rPr>
          <w:rFonts w:ascii="Arial" w:cs="Arial" w:eastAsia="Arial" w:hAnsi="Arial"/>
          <w:sz w:val="12"/>
          <w:szCs w:val="12"/>
          <w:i w:val="1"/>
          <w:iCs w:val="1"/>
          <w:color w:val="auto"/>
        </w:rPr>
        <w:t>Sarbanes-Oxley Act</w:t>
      </w:r>
      <w:r>
        <w:rPr>
          <w:rFonts w:ascii="Arial" w:cs="Arial" w:eastAsia="Arial" w:hAnsi="Arial"/>
          <w:sz w:val="12"/>
          <w:szCs w:val="12"/>
          <w:color w:val="auto"/>
        </w:rPr>
        <w:t>. The Company, and to its knowledge all of the Company’s directors or officers, in their capacities as such, are in compliance in all material respects with all applicable effective provisions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Sarbanes-Oxley Act and any related rules and regulations promulgated by the Commission.</w:t>
      </w:r>
    </w:p>
    <w:p>
      <w:pPr>
        <w:spacing w:after="0" w:line="132" w:lineRule="exact"/>
        <w:rPr>
          <w:rFonts w:ascii="Arial" w:cs="Arial" w:eastAsia="Arial" w:hAnsi="Arial"/>
          <w:sz w:val="12"/>
          <w:szCs w:val="12"/>
          <w:color w:val="auto"/>
        </w:rPr>
      </w:pPr>
    </w:p>
    <w:p>
      <w:pPr>
        <w:ind w:firstLine="432"/>
        <w:spacing w:after="0" w:line="276" w:lineRule="auto"/>
        <w:tabs>
          <w:tab w:leader="none" w:pos="932" w:val="left"/>
        </w:tabs>
        <w:numPr>
          <w:ilvl w:val="1"/>
          <w:numId w:val="121"/>
        </w:numPr>
        <w:rPr>
          <w:rFonts w:ascii="Arial" w:cs="Arial" w:eastAsia="Arial" w:hAnsi="Arial"/>
          <w:sz w:val="12"/>
          <w:szCs w:val="12"/>
          <w:color w:val="auto"/>
        </w:rPr>
      </w:pPr>
      <w:r>
        <w:rPr>
          <w:rFonts w:ascii="Arial" w:cs="Arial" w:eastAsia="Arial" w:hAnsi="Arial"/>
          <w:sz w:val="12"/>
          <w:szCs w:val="12"/>
          <w:i w:val="1"/>
          <w:iCs w:val="1"/>
          <w:color w:val="auto"/>
        </w:rPr>
        <w:t>Brokers Fees</w:t>
      </w:r>
      <w:r>
        <w:rPr>
          <w:rFonts w:ascii="Arial" w:cs="Arial" w:eastAsia="Arial" w:hAnsi="Arial"/>
          <w:sz w:val="12"/>
          <w:szCs w:val="12"/>
          <w:color w:val="auto"/>
        </w:rPr>
        <w:t>. Neither the Company nor the Subsidiaries is a party to any contract, agreement or understanding with any person (other than this Agreement) that would give rise to a valid claim against the Company or</w:t>
      </w:r>
      <w:r>
        <w:rPr>
          <w:rFonts w:ascii="Arial" w:cs="Arial" w:eastAsia="Arial" w:hAnsi="Arial"/>
          <w:sz w:val="12"/>
          <w:szCs w:val="12"/>
          <w:i w:val="1"/>
          <w:iCs w:val="1"/>
          <w:color w:val="auto"/>
        </w:rPr>
        <w:t xml:space="preserve"> </w:t>
      </w:r>
      <w:r>
        <w:rPr>
          <w:rFonts w:ascii="Arial" w:cs="Arial" w:eastAsia="Arial" w:hAnsi="Arial"/>
          <w:sz w:val="12"/>
          <w:szCs w:val="12"/>
          <w:color w:val="auto"/>
        </w:rPr>
        <w:t>the Subsidiaries or the Placement Agent for a brokerage commission, finder’s fee or other like payment in connection with the offering and sale of the Securities.</w:t>
      </w:r>
    </w:p>
    <w:p>
      <w:pPr>
        <w:spacing w:after="0" w:line="132" w:lineRule="exact"/>
        <w:rPr>
          <w:rFonts w:ascii="Arial" w:cs="Arial" w:eastAsia="Arial" w:hAnsi="Arial"/>
          <w:sz w:val="12"/>
          <w:szCs w:val="12"/>
          <w:color w:val="auto"/>
        </w:rPr>
      </w:pPr>
    </w:p>
    <w:p>
      <w:pPr>
        <w:ind w:left="960" w:hanging="528"/>
        <w:spacing w:after="0"/>
        <w:tabs>
          <w:tab w:leader="none" w:pos="960" w:val="left"/>
        </w:tabs>
        <w:numPr>
          <w:ilvl w:val="1"/>
          <w:numId w:val="121"/>
        </w:numPr>
        <w:rPr>
          <w:rFonts w:ascii="Arial" w:cs="Arial" w:eastAsia="Arial" w:hAnsi="Arial"/>
          <w:sz w:val="10"/>
          <w:szCs w:val="10"/>
          <w:color w:val="auto"/>
        </w:rPr>
      </w:pPr>
      <w:r>
        <w:rPr>
          <w:rFonts w:ascii="Arial" w:cs="Arial" w:eastAsia="Arial" w:hAnsi="Arial"/>
          <w:sz w:val="10"/>
          <w:szCs w:val="10"/>
          <w:i w:val="1"/>
          <w:iCs w:val="1"/>
          <w:color w:val="auto"/>
        </w:rPr>
        <w:t>Payments Within Twelve (12) Months</w:t>
      </w:r>
      <w:r>
        <w:rPr>
          <w:rFonts w:ascii="Arial" w:cs="Arial" w:eastAsia="Arial" w:hAnsi="Arial"/>
          <w:sz w:val="10"/>
          <w:szCs w:val="10"/>
          <w:color w:val="auto"/>
        </w:rPr>
        <w:t>. Except as disclosed in the Registration Statement and the Disclosure Documents, the Company has not made any direct or indirect payments (in cash, securities or otherwise) to:</w:t>
      </w:r>
    </w:p>
    <w:p>
      <w:pPr>
        <w:spacing w:after="0" w:line="37" w:lineRule="exact"/>
        <w:rPr>
          <w:rFonts w:ascii="Arial" w:cs="Arial" w:eastAsia="Arial" w:hAnsi="Arial"/>
          <w:sz w:val="10"/>
          <w:szCs w:val="10"/>
          <w:color w:val="auto"/>
        </w:rPr>
      </w:pPr>
    </w:p>
    <w:p>
      <w:pPr>
        <w:jc w:val="both"/>
        <w:spacing w:after="0" w:line="255" w:lineRule="auto"/>
        <w:tabs>
          <w:tab w:leader="none" w:pos="154"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such Closing Date, other than the payment to the Placement Agent as provided hereunder in connection with the Offering.</w:t>
      </w:r>
    </w:p>
    <w:p>
      <w:pPr>
        <w:spacing w:after="0" w:line="145" w:lineRule="exact"/>
        <w:rPr>
          <w:rFonts w:ascii="Arial" w:cs="Arial" w:eastAsia="Arial" w:hAnsi="Arial"/>
          <w:sz w:val="12"/>
          <w:szCs w:val="12"/>
          <w:color w:val="auto"/>
        </w:rPr>
      </w:pPr>
    </w:p>
    <w:p>
      <w:pPr>
        <w:ind w:left="940" w:hanging="508"/>
        <w:spacing w:after="0"/>
        <w:tabs>
          <w:tab w:leader="none" w:pos="940" w:val="left"/>
        </w:tabs>
        <w:numPr>
          <w:ilvl w:val="1"/>
          <w:numId w:val="122"/>
        </w:numPr>
        <w:rPr>
          <w:rFonts w:ascii="Arial" w:cs="Arial" w:eastAsia="Arial" w:hAnsi="Arial"/>
          <w:sz w:val="12"/>
          <w:szCs w:val="12"/>
          <w:color w:val="auto"/>
        </w:rPr>
      </w:pPr>
      <w:r>
        <w:rPr>
          <w:rFonts w:ascii="Arial" w:cs="Arial" w:eastAsia="Arial" w:hAnsi="Arial"/>
          <w:sz w:val="12"/>
          <w:szCs w:val="12"/>
          <w:i w:val="1"/>
          <w:iCs w:val="1"/>
          <w:color w:val="auto"/>
        </w:rPr>
        <w:t>Exchange Act Requirements</w:t>
      </w:r>
      <w:r>
        <w:rPr>
          <w:rFonts w:ascii="Arial" w:cs="Arial" w:eastAsia="Arial" w:hAnsi="Arial"/>
          <w:sz w:val="12"/>
          <w:szCs w:val="12"/>
          <w:color w:val="auto"/>
        </w:rPr>
        <w:t>. The Company has filed all reports required to be filed pursuant to Sections 13(a), 13(e), 14 and 15(d) of the Exchange Act during the preceding 12 months.</w:t>
      </w:r>
    </w:p>
    <w:p>
      <w:pPr>
        <w:spacing w:after="0" w:line="168" w:lineRule="exact"/>
        <w:rPr>
          <w:rFonts w:ascii="Arial" w:cs="Arial" w:eastAsia="Arial" w:hAnsi="Arial"/>
          <w:sz w:val="12"/>
          <w:szCs w:val="12"/>
          <w:color w:val="auto"/>
        </w:rPr>
      </w:pPr>
    </w:p>
    <w:p>
      <w:pPr>
        <w:jc w:val="both"/>
        <w:ind w:firstLine="432"/>
        <w:spacing w:after="0" w:line="230" w:lineRule="auto"/>
        <w:tabs>
          <w:tab w:leader="none" w:pos="1022" w:val="left"/>
        </w:tabs>
        <w:numPr>
          <w:ilvl w:val="1"/>
          <w:numId w:val="122"/>
        </w:numPr>
        <w:rPr>
          <w:rFonts w:ascii="Arial" w:cs="Arial" w:eastAsia="Arial" w:hAnsi="Arial"/>
          <w:sz w:val="12"/>
          <w:szCs w:val="12"/>
          <w:color w:val="auto"/>
        </w:rPr>
      </w:pPr>
      <w:r>
        <w:rPr>
          <w:rFonts w:ascii="Arial" w:cs="Arial" w:eastAsia="Arial" w:hAnsi="Arial"/>
          <w:sz w:val="12"/>
          <w:szCs w:val="12"/>
          <w:i w:val="1"/>
          <w:iCs w:val="1"/>
          <w:color w:val="auto"/>
        </w:rPr>
        <w:t>FINRA Affiliations</w:t>
      </w:r>
      <w:r>
        <w:rPr>
          <w:rFonts w:ascii="Arial" w:cs="Arial" w:eastAsia="Arial" w:hAnsi="Arial"/>
          <w:sz w:val="12"/>
          <w:szCs w:val="12"/>
          <w:color w:val="auto"/>
        </w:rPr>
        <w:t>. To the Company’s knowledge, there are no affiliations or associations between (i) any member of FINRA and (ii) the Company or any of the Company’s officers, directors or 10% or greater</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holders or any beneficial owner of the Company’s unregistered equity securities that were acquired at any time on or after the one hundred eightieth (180</w:t>
      </w:r>
      <w:r>
        <w:rPr>
          <w:rFonts w:ascii="Arial" w:cs="Arial" w:eastAsia="Arial" w:hAnsi="Arial"/>
          <w:sz w:val="16"/>
          <w:szCs w:val="16"/>
          <w:color w:val="auto"/>
          <w:vertAlign w:val="superscript"/>
        </w:rPr>
        <w:t>th</w:t>
      </w:r>
      <w:r>
        <w:rPr>
          <w:rFonts w:ascii="Arial" w:cs="Arial" w:eastAsia="Arial" w:hAnsi="Arial"/>
          <w:sz w:val="12"/>
          <w:szCs w:val="12"/>
          <w:color w:val="auto"/>
        </w:rPr>
        <w:t>) day immediately preceding the date the Registration Statement was initially filed with the Commission.</w:t>
      </w:r>
    </w:p>
    <w:p>
      <w:pPr>
        <w:spacing w:after="0" w:line="153" w:lineRule="exact"/>
        <w:rPr>
          <w:rFonts w:ascii="Arial" w:cs="Arial" w:eastAsia="Arial" w:hAnsi="Arial"/>
          <w:sz w:val="12"/>
          <w:szCs w:val="12"/>
          <w:color w:val="auto"/>
        </w:rPr>
      </w:pPr>
    </w:p>
    <w:p>
      <w:pPr>
        <w:jc w:val="both"/>
        <w:ind w:firstLine="432"/>
        <w:spacing w:after="0" w:line="316" w:lineRule="auto"/>
        <w:tabs>
          <w:tab w:leader="none" w:pos="982" w:val="left"/>
        </w:tabs>
        <w:numPr>
          <w:ilvl w:val="1"/>
          <w:numId w:val="122"/>
        </w:numPr>
        <w:rPr>
          <w:rFonts w:ascii="Arial" w:cs="Arial" w:eastAsia="Arial" w:hAnsi="Arial"/>
          <w:sz w:val="10"/>
          <w:szCs w:val="10"/>
          <w:color w:val="auto"/>
        </w:rPr>
      </w:pPr>
      <w:r>
        <w:rPr>
          <w:rFonts w:ascii="Arial" w:cs="Arial" w:eastAsia="Arial" w:hAnsi="Arial"/>
          <w:sz w:val="10"/>
          <w:szCs w:val="10"/>
          <w:i w:val="1"/>
          <w:iCs w:val="1"/>
          <w:color w:val="auto"/>
        </w:rPr>
        <w:t>Compliance with Environmental Laws</w:t>
      </w:r>
      <w:r>
        <w:rPr>
          <w:rFonts w:ascii="Arial" w:cs="Arial" w:eastAsia="Arial" w:hAnsi="Arial"/>
          <w:sz w:val="10"/>
          <w:szCs w:val="10"/>
          <w:color w:val="auto"/>
        </w:rPr>
        <w:t>. The Company and the Subsidiaries (a) are in compliance with any and all applicable foreign, federal, state and local laws, orders, rules, regulations, directives, decrees and</w:t>
      </w:r>
      <w:r>
        <w:rPr>
          <w:rFonts w:ascii="Arial" w:cs="Arial" w:eastAsia="Arial" w:hAnsi="Arial"/>
          <w:sz w:val="10"/>
          <w:szCs w:val="10"/>
          <w:i w:val="1"/>
          <w:iCs w:val="1"/>
          <w:color w:val="auto"/>
        </w:rPr>
        <w:t xml:space="preserve"> </w:t>
      </w:r>
      <w:r>
        <w:rPr>
          <w:rFonts w:ascii="Arial" w:cs="Arial" w:eastAsia="Arial" w:hAnsi="Arial"/>
          <w:sz w:val="10"/>
          <w:szCs w:val="10"/>
          <w:color w:val="auto"/>
        </w:rPr>
        <w:t>judgments relating to the protection of human health and safety, the environment or hazardous or toxic substances or wastes, pollutants or contaminants (“</w:t>
      </w:r>
      <w:r>
        <w:rPr>
          <w:rFonts w:ascii="Arial" w:cs="Arial" w:eastAsia="Arial" w:hAnsi="Arial"/>
          <w:sz w:val="10"/>
          <w:szCs w:val="10"/>
          <w:i w:val="1"/>
          <w:iCs w:val="1"/>
          <w:color w:val="auto"/>
        </w:rPr>
        <w:t>Environmental Laws</w:t>
      </w:r>
      <w:r>
        <w:rPr>
          <w:rFonts w:ascii="Arial" w:cs="Arial" w:eastAsia="Arial" w:hAnsi="Arial"/>
          <w:sz w:val="10"/>
          <w:szCs w:val="10"/>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result in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result in a Material Adverse Effect.</w:t>
      </w:r>
    </w:p>
    <w:p>
      <w:pPr>
        <w:spacing w:after="0" w:line="118" w:lineRule="exact"/>
        <w:rPr>
          <w:rFonts w:ascii="Arial" w:cs="Arial" w:eastAsia="Arial" w:hAnsi="Arial"/>
          <w:sz w:val="10"/>
          <w:szCs w:val="10"/>
          <w:color w:val="auto"/>
        </w:rPr>
      </w:pPr>
    </w:p>
    <w:p>
      <w:pPr>
        <w:jc w:val="both"/>
        <w:ind w:firstLine="432"/>
        <w:spacing w:after="0" w:line="263" w:lineRule="auto"/>
        <w:tabs>
          <w:tab w:leader="none" w:pos="906" w:val="left"/>
        </w:tabs>
        <w:numPr>
          <w:ilvl w:val="1"/>
          <w:numId w:val="122"/>
        </w:numPr>
        <w:rPr>
          <w:rFonts w:ascii="Arial" w:cs="Arial" w:eastAsia="Arial" w:hAnsi="Arial"/>
          <w:sz w:val="12"/>
          <w:szCs w:val="12"/>
          <w:color w:val="auto"/>
        </w:rPr>
      </w:pPr>
      <w:r>
        <w:rPr>
          <w:rFonts w:ascii="Arial" w:cs="Arial" w:eastAsia="Arial" w:hAnsi="Arial"/>
          <w:sz w:val="12"/>
          <w:szCs w:val="12"/>
          <w:i w:val="1"/>
          <w:iCs w:val="1"/>
          <w:color w:val="auto"/>
        </w:rPr>
        <w:t>No Labor Disputes</w:t>
      </w:r>
      <w:r>
        <w:rPr>
          <w:rFonts w:ascii="Arial" w:cs="Arial" w:eastAsia="Arial" w:hAnsi="Arial"/>
          <w:sz w:val="12"/>
          <w:szCs w:val="12"/>
          <w:color w:val="auto"/>
        </w:rPr>
        <w:t>. No labor dispute with the employees of the Company or its Subsidiaries exists or, to the knowledge of the Company, is imminent. The Company has at all times been, and is currently, in compliance</w:t>
      </w:r>
      <w:r>
        <w:rPr>
          <w:rFonts w:ascii="Arial" w:cs="Arial" w:eastAsia="Arial" w:hAnsi="Arial"/>
          <w:sz w:val="12"/>
          <w:szCs w:val="12"/>
          <w:i w:val="1"/>
          <w:iCs w:val="1"/>
          <w:color w:val="auto"/>
        </w:rPr>
        <w:t xml:space="preserve"> </w:t>
      </w:r>
      <w:r>
        <w:rPr>
          <w:rFonts w:ascii="Arial" w:cs="Arial" w:eastAsia="Arial" w:hAnsi="Arial"/>
          <w:sz w:val="12"/>
          <w:szCs w:val="12"/>
          <w:color w:val="auto"/>
        </w:rPr>
        <w:t>in all respects with all federal, state, local or foreign law relating to discrimination in the hiring, promotion or pay of employees or any applicable wage or hour laws concerning the employees of the Company or any Subsidiaries, except where the failure to be in such compliance would not, individually or in the aggregate,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262890</wp:posOffset>
            </wp:positionV>
            <wp:extent cx="7299325" cy="18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320" w:top="554" w:right="199" w:bottom="1440" w:gutter="0" w:footer="0" w:header="0"/>
        </w:sectPr>
      </w:pPr>
    </w:p>
    <w:bookmarkStart w:id="225" w:name="page226"/>
    <w:bookmarkEnd w:id="225"/>
    <w:p>
      <w:pPr>
        <w:jc w:val="both"/>
        <w:ind w:left="-324" w:firstLine="432"/>
        <w:spacing w:after="0" w:line="263" w:lineRule="auto"/>
        <w:tabs>
          <w:tab w:leader="none" w:pos="573"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Exchange Act Registration</w:t>
      </w:r>
      <w:r>
        <w:rPr>
          <w:rFonts w:ascii="Arial" w:cs="Arial" w:eastAsia="Arial" w:hAnsi="Arial"/>
          <w:sz w:val="12"/>
          <w:szCs w:val="12"/>
          <w:color w:val="auto"/>
        </w:rPr>
        <w:t>. The shares of the Common Stock are registered pursuant to Section 12(g) of the Exchange Act, and the Company has taken no action designed to, or likely to have the effect of, terminating</w:t>
      </w:r>
      <w:r>
        <w:rPr>
          <w:rFonts w:ascii="Arial" w:cs="Arial" w:eastAsia="Arial" w:hAnsi="Arial"/>
          <w:sz w:val="12"/>
          <w:szCs w:val="12"/>
          <w:i w:val="1"/>
          <w:iCs w:val="1"/>
          <w:color w:val="auto"/>
        </w:rPr>
        <w:t xml:space="preserve"> </w:t>
      </w:r>
      <w:r>
        <w:rPr>
          <w:rFonts w:ascii="Arial" w:cs="Arial" w:eastAsia="Arial" w:hAnsi="Arial"/>
          <w:sz w:val="12"/>
          <w:szCs w:val="12"/>
          <w:color w:val="auto"/>
        </w:rPr>
        <w:t>the registration of the shares of Common Stock under the Exchange Act, nor has the Company received any notification that the Commission or FINRA is contemplating terminating such registration or listing except as otherwise disclosed in the Disclosure Documents.</w:t>
      </w:r>
    </w:p>
    <w:p>
      <w:pPr>
        <w:spacing w:after="0" w:line="140" w:lineRule="exact"/>
        <w:rPr>
          <w:rFonts w:ascii="Arial" w:cs="Arial" w:eastAsia="Arial" w:hAnsi="Arial"/>
          <w:sz w:val="12"/>
          <w:szCs w:val="12"/>
          <w:color w:val="auto"/>
        </w:rPr>
      </w:pPr>
    </w:p>
    <w:p>
      <w:pPr>
        <w:ind w:left="-324" w:right="20" w:firstLine="432"/>
        <w:spacing w:after="0" w:line="276" w:lineRule="auto"/>
        <w:tabs>
          <w:tab w:leader="none" w:pos="626"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Statistical or Market-Related Data</w:t>
      </w:r>
      <w:r>
        <w:rPr>
          <w:rFonts w:ascii="Arial" w:cs="Arial" w:eastAsia="Arial" w:hAnsi="Arial"/>
          <w:sz w:val="12"/>
          <w:szCs w:val="12"/>
          <w:color w:val="auto"/>
        </w:rPr>
        <w:t>. Any statistical, industry-related and market-related data included or incorporated by reference in the Registration Statement and the Disclosure Documents, are based on or derived</w:t>
      </w:r>
      <w:r>
        <w:rPr>
          <w:rFonts w:ascii="Arial" w:cs="Arial" w:eastAsia="Arial" w:hAnsi="Arial"/>
          <w:sz w:val="12"/>
          <w:szCs w:val="12"/>
          <w:i w:val="1"/>
          <w:iCs w:val="1"/>
          <w:color w:val="auto"/>
        </w:rPr>
        <w:t xml:space="preserve"> </w:t>
      </w:r>
      <w:r>
        <w:rPr>
          <w:rFonts w:ascii="Arial" w:cs="Arial" w:eastAsia="Arial" w:hAnsi="Arial"/>
          <w:sz w:val="12"/>
          <w:szCs w:val="12"/>
          <w:color w:val="auto"/>
        </w:rPr>
        <w:t>from sources that the Company reasonably and in good faith believes to be reliable and accurate, and such data agree with the sources from which they are derived.</w:t>
      </w:r>
    </w:p>
    <w:p>
      <w:pPr>
        <w:spacing w:after="0" w:line="132" w:lineRule="exact"/>
        <w:rPr>
          <w:rFonts w:ascii="Arial" w:cs="Arial" w:eastAsia="Arial" w:hAnsi="Arial"/>
          <w:sz w:val="12"/>
          <w:szCs w:val="12"/>
          <w:color w:val="auto"/>
        </w:rPr>
      </w:pPr>
    </w:p>
    <w:p>
      <w:pPr>
        <w:ind w:left="-324" w:right="20" w:firstLine="432"/>
        <w:spacing w:after="0" w:line="276" w:lineRule="auto"/>
        <w:tabs>
          <w:tab w:leader="none" w:pos="608"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Descriptions of Documents</w:t>
      </w:r>
      <w:r>
        <w:rPr>
          <w:rFonts w:ascii="Arial" w:cs="Arial" w:eastAsia="Arial" w:hAnsi="Arial"/>
          <w:sz w:val="12"/>
          <w:szCs w:val="12"/>
          <w:color w:val="auto"/>
        </w:rPr>
        <w:t>. The statements set forth in each of the Registration Statement and the Disclosure Documents describing the Securities and this Agreement, insofar as they purport to describe the provisions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laws and documents referred to therein, are accurate, complete and fair in all material respects.</w:t>
      </w:r>
    </w:p>
    <w:p>
      <w:pPr>
        <w:spacing w:after="0" w:line="132" w:lineRule="exact"/>
        <w:rPr>
          <w:rFonts w:ascii="Arial" w:cs="Arial" w:eastAsia="Arial" w:hAnsi="Arial"/>
          <w:sz w:val="12"/>
          <w:szCs w:val="12"/>
          <w:color w:val="auto"/>
        </w:rPr>
      </w:pPr>
    </w:p>
    <w:p>
      <w:pPr>
        <w:jc w:val="both"/>
        <w:ind w:left="-324" w:firstLine="432"/>
        <w:spacing w:after="0" w:line="259" w:lineRule="auto"/>
        <w:tabs>
          <w:tab w:leader="none" w:pos="715"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 xml:space="preserve">Money Laundering Laws. </w:t>
      </w:r>
      <w:r>
        <w:rPr>
          <w:rFonts w:ascii="Arial" w:cs="Arial" w:eastAsia="Arial" w:hAnsi="Arial"/>
          <w:sz w:val="12"/>
          <w:szCs w:val="12"/>
          <w:color w:val="auto"/>
        </w:rPr>
        <w:t>The operations of the Company are and have been conducted at all times in compliance in all material respects with applicable financial recordkeeping and reporting requirements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2"/>
          <w:szCs w:val="12"/>
          <w:i w:val="1"/>
          <w:iCs w:val="1"/>
          <w:color w:val="auto"/>
        </w:rPr>
        <w:t>Money Laundering Laws</w:t>
      </w:r>
      <w:r>
        <w:rPr>
          <w:rFonts w:ascii="Arial" w:cs="Arial" w:eastAsia="Arial" w:hAnsi="Arial"/>
          <w:sz w:val="12"/>
          <w:szCs w:val="12"/>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42" w:lineRule="exact"/>
        <w:rPr>
          <w:rFonts w:ascii="Arial" w:cs="Arial" w:eastAsia="Arial" w:hAnsi="Arial"/>
          <w:sz w:val="12"/>
          <w:szCs w:val="12"/>
          <w:color w:val="auto"/>
        </w:rPr>
      </w:pPr>
    </w:p>
    <w:p>
      <w:pPr>
        <w:jc w:val="both"/>
        <w:ind w:left="-324" w:firstLine="432"/>
        <w:spacing w:after="0" w:line="259" w:lineRule="auto"/>
        <w:tabs>
          <w:tab w:leader="none" w:pos="653"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OFAC</w:t>
      </w:r>
      <w:r>
        <w:rPr>
          <w:rFonts w:ascii="Arial" w:cs="Arial" w:eastAsia="Arial" w:hAnsi="Arial"/>
          <w:sz w:val="12"/>
          <w:szCs w:val="12"/>
          <w:color w:val="auto"/>
        </w:rPr>
        <w:t>. Neither of the Company or the Subsidiaries or, to the Company’s knowledge, any director, officer, agent, employee or affiliate of the Company or the Subsidiaries or any other person acting on behalf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or the Subsidiaries, is currently subject to any U.S. sanctions administered by the Office of Foreign Assets Control of the U.S. Department of the Treasury (“</w:t>
      </w:r>
      <w:r>
        <w:rPr>
          <w:rFonts w:ascii="Arial" w:cs="Arial" w:eastAsia="Arial" w:hAnsi="Arial"/>
          <w:sz w:val="12"/>
          <w:szCs w:val="12"/>
          <w:i w:val="1"/>
          <w:iCs w:val="1"/>
          <w:color w:val="auto"/>
        </w:rPr>
        <w:t>OFAC</w:t>
      </w:r>
      <w:r>
        <w:rPr>
          <w:rFonts w:ascii="Arial" w:cs="Arial" w:eastAsia="Arial" w:hAnsi="Arial"/>
          <w:sz w:val="12"/>
          <w:szCs w:val="12"/>
          <w:color w:val="auto"/>
        </w:rPr>
        <w:t>”), and the Company will not, directly or indirectly, use the proceeds of the Offering hereunder, or lend, contribute or otherwise make available such proceeds to any Subsidiaries,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2"/>
          <w:szCs w:val="12"/>
          <w:color w:val="auto"/>
        </w:rPr>
      </w:pPr>
    </w:p>
    <w:p>
      <w:pPr>
        <w:ind w:left="636" w:hanging="528"/>
        <w:spacing w:after="0"/>
        <w:tabs>
          <w:tab w:leader="none" w:pos="636" w:val="left"/>
        </w:tabs>
        <w:numPr>
          <w:ilvl w:val="1"/>
          <w:numId w:val="123"/>
        </w:numPr>
        <w:rPr>
          <w:rFonts w:ascii="Arial" w:cs="Arial" w:eastAsia="Arial" w:hAnsi="Arial"/>
          <w:sz w:val="12"/>
          <w:szCs w:val="12"/>
          <w:color w:val="auto"/>
        </w:rPr>
      </w:pPr>
      <w:r>
        <w:rPr>
          <w:rFonts w:ascii="Arial" w:cs="Arial" w:eastAsia="Arial" w:hAnsi="Arial"/>
          <w:sz w:val="12"/>
          <w:szCs w:val="12"/>
          <w:i w:val="1"/>
          <w:iCs w:val="1"/>
          <w:color w:val="auto"/>
        </w:rPr>
        <w:t>Smaller Reporting Company</w:t>
      </w:r>
      <w:r>
        <w:rPr>
          <w:rFonts w:ascii="Arial" w:cs="Arial" w:eastAsia="Arial" w:hAnsi="Arial"/>
          <w:sz w:val="12"/>
          <w:szCs w:val="12"/>
          <w:color w:val="auto"/>
        </w:rPr>
        <w:t>. As of the time of filing of the Registration Statement, the Company was a “smaller reporting company,” as defined in Rule 12b-2 of the Exchange Act</w:t>
      </w:r>
    </w:p>
    <w:p>
      <w:pPr>
        <w:spacing w:after="0" w:line="168" w:lineRule="exact"/>
        <w:rPr>
          <w:rFonts w:ascii="Arial" w:cs="Arial" w:eastAsia="Arial" w:hAnsi="Arial"/>
          <w:sz w:val="12"/>
          <w:szCs w:val="12"/>
          <w:color w:val="auto"/>
        </w:rPr>
      </w:pPr>
    </w:p>
    <w:p>
      <w:pPr>
        <w:ind w:left="516" w:hanging="516"/>
        <w:spacing w:after="0"/>
        <w:tabs>
          <w:tab w:leader="none" w:pos="516" w:val="left"/>
        </w:tabs>
        <w:numPr>
          <w:ilvl w:val="0"/>
          <w:numId w:val="124"/>
        </w:numPr>
        <w:rPr>
          <w:rFonts w:ascii="Arial" w:cs="Arial" w:eastAsia="Arial" w:hAnsi="Arial"/>
          <w:sz w:val="12"/>
          <w:szCs w:val="12"/>
          <w:color w:val="auto"/>
        </w:rPr>
      </w:pPr>
      <w:r>
        <w:rPr>
          <w:rFonts w:ascii="Arial" w:cs="Arial" w:eastAsia="Arial" w:hAnsi="Arial"/>
          <w:sz w:val="12"/>
          <w:szCs w:val="12"/>
          <w:i w:val="1"/>
          <w:iCs w:val="1"/>
          <w:color w:val="auto"/>
        </w:rPr>
        <w:t>No Disqualification E</w:t>
      </w:r>
      <w:r>
        <w:rPr>
          <w:rFonts w:ascii="Arial" w:cs="Arial" w:eastAsia="Arial" w:hAnsi="Arial"/>
          <w:sz w:val="12"/>
          <w:szCs w:val="12"/>
          <w:color w:val="auto"/>
        </w:rPr>
        <w:t>vents</w:t>
      </w:r>
    </w:p>
    <w:p>
      <w:pPr>
        <w:spacing w:after="0" w:line="168" w:lineRule="exact"/>
        <w:rPr>
          <w:sz w:val="20"/>
          <w:szCs w:val="20"/>
          <w:color w:val="auto"/>
        </w:rPr>
      </w:pPr>
    </w:p>
    <w:p>
      <w:pPr>
        <w:jc w:val="both"/>
        <w:ind w:left="-324" w:firstLine="432"/>
        <w:spacing w:after="0" w:line="290" w:lineRule="auto"/>
        <w:tabs>
          <w:tab w:leader="none" w:pos="201" w:val="left"/>
        </w:tabs>
        <w:numPr>
          <w:ilvl w:val="0"/>
          <w:numId w:val="125"/>
        </w:numPr>
        <w:rPr>
          <w:rFonts w:ascii="Arial" w:cs="Arial" w:eastAsia="Arial" w:hAnsi="Arial"/>
          <w:sz w:val="11"/>
          <w:szCs w:val="11"/>
          <w:color w:val="auto"/>
        </w:rPr>
      </w:pPr>
      <w:r>
        <w:rPr>
          <w:rFonts w:ascii="Arial" w:cs="Arial" w:eastAsia="Arial" w:hAnsi="Arial"/>
          <w:sz w:val="11"/>
          <w:szCs w:val="11"/>
          <w:color w:val="auto"/>
        </w:rPr>
        <w:t>To the Company’s Knowledge,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1"/>
          <w:szCs w:val="11"/>
          <w:i w:val="1"/>
          <w:iCs w:val="1"/>
          <w:color w:val="auto"/>
        </w:rPr>
        <w:t>Issuer Covered Person</w:t>
      </w:r>
      <w:r>
        <w:rPr>
          <w:rFonts w:ascii="Arial" w:cs="Arial" w:eastAsia="Arial" w:hAnsi="Arial"/>
          <w:sz w:val="11"/>
          <w:szCs w:val="11"/>
          <w:color w:val="auto"/>
        </w:rPr>
        <w:t>”) is subject to any of the "Bad Actor" disqualifications described in Rule 506(d)(1)(i) to (viii) under the Securities Act (a “</w:t>
      </w:r>
      <w:r>
        <w:rPr>
          <w:rFonts w:ascii="Arial" w:cs="Arial" w:eastAsia="Arial" w:hAnsi="Arial"/>
          <w:sz w:val="11"/>
          <w:szCs w:val="11"/>
          <w:i w:val="1"/>
          <w:iCs w:val="1"/>
          <w:color w:val="auto"/>
        </w:rPr>
        <w:t>Disqualification Event</w:t>
      </w:r>
      <w:r>
        <w:rPr>
          <w:rFonts w:ascii="Arial" w:cs="Arial" w:eastAsia="Arial" w:hAnsi="Arial"/>
          <w:sz w:val="11"/>
          <w:szCs w:val="11"/>
          <w:color w:val="auto"/>
        </w:rPr>
        <w:t>”), except for a Disqualification Event covered by Rule 506(d)(2) or (d)(3). The Company has exercised reasonable care to determine whether any Issuer Covered Person is subject to a Disqualification Event.</w:t>
      </w:r>
    </w:p>
    <w:p>
      <w:pPr>
        <w:spacing w:after="0" w:line="127" w:lineRule="exact"/>
        <w:rPr>
          <w:sz w:val="20"/>
          <w:szCs w:val="20"/>
          <w:color w:val="auto"/>
        </w:rPr>
      </w:pPr>
    </w:p>
    <w:p>
      <w:pPr>
        <w:ind w:left="-324" w:firstLine="432"/>
        <w:spacing w:after="0" w:line="276" w:lineRule="auto"/>
        <w:tabs>
          <w:tab w:leader="none" w:pos="750" w:val="left"/>
        </w:tabs>
        <w:numPr>
          <w:ilvl w:val="0"/>
          <w:numId w:val="126"/>
        </w:numPr>
        <w:rPr>
          <w:rFonts w:ascii="Arial" w:cs="Arial" w:eastAsia="Arial" w:hAnsi="Arial"/>
          <w:sz w:val="12"/>
          <w:szCs w:val="12"/>
          <w:color w:val="auto"/>
        </w:rPr>
      </w:pPr>
      <w:r>
        <w:rPr>
          <w:rFonts w:ascii="Arial" w:cs="Arial" w:eastAsia="Arial" w:hAnsi="Arial"/>
          <w:sz w:val="12"/>
          <w:szCs w:val="12"/>
          <w:i w:val="1"/>
          <w:iCs w:val="1"/>
          <w:color w:val="auto"/>
        </w:rPr>
        <w:t>Reverse Stock Split</w:t>
      </w:r>
      <w:r>
        <w:rPr>
          <w:rFonts w:ascii="Arial" w:cs="Arial" w:eastAsia="Arial" w:hAnsi="Arial"/>
          <w:sz w:val="12"/>
          <w:szCs w:val="12"/>
          <w:color w:val="auto"/>
        </w:rPr>
        <w:t>. The Company consummated a reverse split of its authorized and issued and outstanding Common Stock on a one for twenty basis, effective as of [___], 2014 (the “</w:t>
      </w:r>
      <w:r>
        <w:rPr>
          <w:rFonts w:ascii="Arial" w:cs="Arial" w:eastAsia="Arial" w:hAnsi="Arial"/>
          <w:sz w:val="12"/>
          <w:szCs w:val="12"/>
          <w:i w:val="1"/>
          <w:iCs w:val="1"/>
          <w:color w:val="auto"/>
        </w:rPr>
        <w:t>Reverse Stock Split</w:t>
      </w:r>
      <w:r>
        <w:rPr>
          <w:rFonts w:ascii="Arial" w:cs="Arial" w:eastAsia="Arial" w:hAnsi="Arial"/>
          <w:sz w:val="12"/>
          <w:szCs w:val="12"/>
          <w:color w:val="auto"/>
        </w:rPr>
        <w:t>”). In</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 with the Reverse Stock Split, the Company obtained all requisite consents and approvals, including approval of its stockholders,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361315</wp:posOffset>
            </wp:positionV>
            <wp:extent cx="7299325"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56"/>
          </w:cols>
          <w:pgMar w:left="644" w:top="554" w:right="199" w:bottom="1440" w:gutter="0" w:footer="0" w:header="0"/>
        </w:sectPr>
      </w:pPr>
    </w:p>
    <w:bookmarkStart w:id="226" w:name="page227"/>
    <w:bookmarkEnd w:id="226"/>
    <w:p>
      <w:pPr>
        <w:jc w:val="both"/>
        <w:ind w:left="100" w:firstLine="432"/>
        <w:spacing w:after="0" w:line="276" w:lineRule="auto"/>
        <w:tabs>
          <w:tab w:leader="none" w:pos="861" w:val="left"/>
        </w:tabs>
        <w:numPr>
          <w:ilvl w:val="1"/>
          <w:numId w:val="127"/>
        </w:numPr>
        <w:rPr>
          <w:rFonts w:ascii="Arial" w:cs="Arial" w:eastAsia="Arial" w:hAnsi="Arial"/>
          <w:sz w:val="11"/>
          <w:szCs w:val="11"/>
          <w:color w:val="auto"/>
        </w:rPr>
      </w:pPr>
      <w:r>
        <w:rPr>
          <w:rFonts w:ascii="Arial" w:cs="Arial" w:eastAsia="Arial" w:hAnsi="Arial"/>
          <w:sz w:val="11"/>
          <w:szCs w:val="11"/>
          <w:i w:val="1"/>
          <w:iCs w:val="1"/>
          <w:u w:val="single" w:color="auto"/>
          <w:color w:val="auto"/>
        </w:rPr>
        <w:t>FDA</w:t>
      </w:r>
      <w:r>
        <w:rPr>
          <w:rFonts w:ascii="Arial" w:cs="Arial" w:eastAsia="Arial" w:hAnsi="Arial"/>
          <w:sz w:val="11"/>
          <w:szCs w:val="11"/>
          <w:color w:val="auto"/>
        </w:rPr>
        <w:t>. As to each product subject to the jurisdiction of the U.S. Food and Drug Administration (“</w:t>
      </w:r>
      <w:r>
        <w:rPr>
          <w:rFonts w:ascii="Arial" w:cs="Arial" w:eastAsia="Arial" w:hAnsi="Arial"/>
          <w:sz w:val="11"/>
          <w:szCs w:val="11"/>
          <w:i w:val="1"/>
          <w:iCs w:val="1"/>
          <w:u w:val="single" w:color="auto"/>
          <w:color w:val="auto"/>
        </w:rPr>
        <w:t>FDA</w:t>
      </w:r>
      <w:r>
        <w:rPr>
          <w:rFonts w:ascii="Arial" w:cs="Arial" w:eastAsia="Arial" w:hAnsi="Arial"/>
          <w:sz w:val="11"/>
          <w:szCs w:val="11"/>
          <w:color w:val="auto"/>
        </w:rPr>
        <w:t>”) under the Federal Food, Drug and Cosmetic Act, as amended, and the regulations thereunder (“</w:t>
      </w:r>
      <w:r>
        <w:rPr>
          <w:rFonts w:ascii="Arial" w:cs="Arial" w:eastAsia="Arial" w:hAnsi="Arial"/>
          <w:sz w:val="11"/>
          <w:szCs w:val="11"/>
          <w:i w:val="1"/>
          <w:iCs w:val="1"/>
          <w:u w:val="single" w:color="auto"/>
          <w:color w:val="auto"/>
        </w:rPr>
        <w:t>FDCA</w:t>
      </w:r>
      <w:r>
        <w:rPr>
          <w:rFonts w:ascii="Arial" w:cs="Arial" w:eastAsia="Arial" w:hAnsi="Arial"/>
          <w:sz w:val="11"/>
          <w:szCs w:val="11"/>
          <w:color w:val="auto"/>
        </w:rPr>
        <w:t>”) that is</w:t>
      </w:r>
      <w:r>
        <w:rPr>
          <w:rFonts w:ascii="Arial" w:cs="Arial" w:eastAsia="Arial" w:hAnsi="Arial"/>
          <w:sz w:val="11"/>
          <w:szCs w:val="11"/>
          <w:i w:val="1"/>
          <w:iCs w:val="1"/>
          <w:color w:val="auto"/>
        </w:rPr>
        <w:t xml:space="preserve"> </w:t>
      </w:r>
      <w:r>
        <w:rPr>
          <w:rFonts w:ascii="Arial" w:cs="Arial" w:eastAsia="Arial" w:hAnsi="Arial"/>
          <w:sz w:val="11"/>
          <w:szCs w:val="11"/>
          <w:color w:val="auto"/>
        </w:rPr>
        <w:t>manufactured, packaged, labeled, tested, distributed, sold, and/or marketed by the Company or its Subsidiaries (each such product, a “</w:t>
      </w:r>
      <w:r>
        <w:rPr>
          <w:rFonts w:ascii="Arial" w:cs="Arial" w:eastAsia="Arial" w:hAnsi="Arial"/>
          <w:sz w:val="11"/>
          <w:szCs w:val="11"/>
          <w:i w:val="1"/>
          <w:iCs w:val="1"/>
          <w:u w:val="single" w:color="auto"/>
          <w:color w:val="auto"/>
        </w:rPr>
        <w:t>Product</w:t>
      </w:r>
      <w:r>
        <w:rPr>
          <w:rFonts w:ascii="Arial" w:cs="Arial" w:eastAsia="Arial" w:hAnsi="Arial"/>
          <w:sz w:val="11"/>
          <w:szCs w:val="11"/>
          <w:color w:val="auto"/>
        </w:rPr>
        <w:t>”), except as described in the Disclosure Documents, such Product is being manufactured, packaged, labeled, tested, distributed, sold and/or marketed by the Company in compliance with all applicable requirements under FDCA and similar laws, rules and regulations, to the extent applicable to the Company’s business as presently conducted, except where the failure to be in compliance would not reasonably be expected to have a Material Adverse Effect. None of the Company or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w:t>
      </w:r>
    </w:p>
    <w:p>
      <w:pPr>
        <w:jc w:val="both"/>
        <w:ind w:left="100"/>
        <w:spacing w:after="0" w:line="253" w:lineRule="auto"/>
        <w:tabs>
          <w:tab w:leader="none" w:pos="31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imposes a clinical hold on any clinical investigation by the Company or its Subsidiaries, (iv) enjoins production at any facility of the Company or its Subsidiaries, (v) enters or proposes to enter into a consent decree of permanent injunction with the Company or its Subsidiaries, or (vi) otherwise alleges any violation of any laws, rules or regulations by the Company or its Subsidiaries, and which, either individually or in the aggregate, would reasonably be expected to have a Material Adverse Effect. The properties, business and operations of the Company have been and are being conducted in all material respects in accordance with all applicable laws, rules and regulations of the FDA. Except as described in the SEC Reports, the Company has not been informed by the FDA that the FDA will prohibit the marketing, sale, license or use in the United States of any product proposed to be developed, produced or marketed by the Company.</w:t>
      </w:r>
    </w:p>
    <w:p>
      <w:pPr>
        <w:spacing w:after="0" w:line="14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Any certificate signed by any officer of the Company or a Subsidiaries and delivered to the Placement Agent or to counsel for the Placement Agent in connection with the offering of the Securities shall be deemed a representation and warranty by the Company (and not such officer in an individual capacity) to the Placement Agent and the Investors as to the matters covered thereby.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3. Covenants</w:t>
      </w:r>
      <w:r>
        <w:rPr>
          <w:rFonts w:ascii="Arial" w:cs="Arial" w:eastAsia="Arial" w:hAnsi="Arial"/>
          <w:sz w:val="12"/>
          <w:szCs w:val="12"/>
          <w:i w:val="1"/>
          <w:iCs w:val="1"/>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covenants and agrees with the Placement Agent as follows:</w:t>
      </w:r>
    </w:p>
    <w:p>
      <w:pPr>
        <w:spacing w:after="0" w:line="168" w:lineRule="exact"/>
        <w:rPr>
          <w:sz w:val="20"/>
          <w:szCs w:val="20"/>
          <w:color w:val="auto"/>
        </w:rPr>
      </w:pPr>
    </w:p>
    <w:p>
      <w:pPr>
        <w:jc w:val="both"/>
        <w:ind w:left="100" w:firstLine="432"/>
        <w:spacing w:after="0" w:line="255" w:lineRule="auto"/>
        <w:tabs>
          <w:tab w:leader="none" w:pos="1056" w:val="left"/>
        </w:tabs>
        <w:numPr>
          <w:ilvl w:val="0"/>
          <w:numId w:val="129"/>
        </w:numPr>
        <w:rPr>
          <w:rFonts w:ascii="Arial" w:cs="Arial" w:eastAsia="Arial" w:hAnsi="Arial"/>
          <w:sz w:val="12"/>
          <w:szCs w:val="12"/>
          <w:color w:val="auto"/>
        </w:rPr>
      </w:pPr>
      <w:r>
        <w:rPr>
          <w:rFonts w:ascii="Arial" w:cs="Arial" w:eastAsia="Arial" w:hAnsi="Arial"/>
          <w:sz w:val="12"/>
          <w:szCs w:val="12"/>
          <w:i w:val="1"/>
          <w:iCs w:val="1"/>
          <w:color w:val="auto"/>
        </w:rPr>
        <w:t>Reporting Obligations; Exchange Act Compliance</w:t>
      </w:r>
      <w:r>
        <w:rPr>
          <w:rFonts w:ascii="Arial" w:cs="Arial" w:eastAsia="Arial" w:hAnsi="Arial"/>
          <w:sz w:val="12"/>
          <w:szCs w:val="12"/>
          <w:color w:val="auto"/>
        </w:rPr>
        <w:t>. The Company will (i) file the Preliminary Prospectus (in form and substance satisfactory to the Placement Agent) with the Commission within the time periods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specified by Rule 424 under the Securities Act, (ii) file any Free Writing Prospectus to the extent required by Rule 433 under the Securities Act, if applicable, (iii) file promptly all reports required to be filed by the Company with the Commission pursuant to Section 13(a), 13(c) or 15(d) of the Exchange Act subsequent to the date of the Prospectus and during such period as the Prospectus would be required by law to be delivered (whether physically or through compliance with Rule 172 under the Securities Act or any similar rule) (the “</w:t>
      </w:r>
      <w:r>
        <w:rPr>
          <w:rFonts w:ascii="Arial" w:cs="Arial" w:eastAsia="Arial" w:hAnsi="Arial"/>
          <w:sz w:val="12"/>
          <w:szCs w:val="12"/>
          <w:i w:val="1"/>
          <w:iCs w:val="1"/>
          <w:color w:val="auto"/>
        </w:rPr>
        <w:t>Prospectus Delivery Period</w:t>
      </w:r>
      <w:r>
        <w:rPr>
          <w:rFonts w:ascii="Arial" w:cs="Arial" w:eastAsia="Arial" w:hAnsi="Arial"/>
          <w:sz w:val="12"/>
          <w:szCs w:val="12"/>
          <w:color w:val="auto"/>
        </w:rPr>
        <w:t>”), and (iv) furnish copies of each Free Writing Prospectus, if any, (to the extent not previously delivered) to the Placement Agent prior to 11:00 a.m. Eastern time, on the second business day next succeeding the date of this Agreement in such quantities as the Placement Agent shall reasonably request. Company agrees to maintain effectiveness of the Registration Statement during all periods in which Warrants remain outstanding.</w:t>
      </w:r>
    </w:p>
    <w:p>
      <w:pPr>
        <w:spacing w:after="0" w:line="147" w:lineRule="exact"/>
        <w:rPr>
          <w:rFonts w:ascii="Arial" w:cs="Arial" w:eastAsia="Arial" w:hAnsi="Arial"/>
          <w:sz w:val="12"/>
          <w:szCs w:val="12"/>
          <w:color w:val="auto"/>
        </w:rPr>
      </w:pPr>
    </w:p>
    <w:p>
      <w:pPr>
        <w:jc w:val="both"/>
        <w:ind w:left="100" w:firstLine="432"/>
        <w:spacing w:after="0" w:line="263" w:lineRule="auto"/>
        <w:tabs>
          <w:tab w:leader="none" w:pos="981" w:val="left"/>
        </w:tabs>
        <w:numPr>
          <w:ilvl w:val="0"/>
          <w:numId w:val="129"/>
        </w:numPr>
        <w:rPr>
          <w:rFonts w:ascii="Arial" w:cs="Arial" w:eastAsia="Arial" w:hAnsi="Arial"/>
          <w:sz w:val="12"/>
          <w:szCs w:val="12"/>
          <w:color w:val="auto"/>
        </w:rPr>
      </w:pPr>
      <w:r>
        <w:rPr>
          <w:rFonts w:ascii="Arial" w:cs="Arial" w:eastAsia="Arial" w:hAnsi="Arial"/>
          <w:sz w:val="12"/>
          <w:szCs w:val="12"/>
          <w:i w:val="1"/>
          <w:iCs w:val="1"/>
          <w:color w:val="auto"/>
        </w:rPr>
        <w:t>Abbreviated Registration Statement</w:t>
      </w:r>
      <w:r>
        <w:rPr>
          <w:rFonts w:ascii="Arial" w:cs="Arial" w:eastAsia="Arial" w:hAnsi="Arial"/>
          <w:sz w:val="12"/>
          <w:szCs w:val="12"/>
          <w:color w:val="auto"/>
        </w:rPr>
        <w:t>. If the Company elects to rely upon Rule 462(b) under the Securities Act, the Company shall file a registration statement under Rule 462(b) with the Commission in compliance with</w:t>
      </w:r>
      <w:r>
        <w:rPr>
          <w:rFonts w:ascii="Arial" w:cs="Arial" w:eastAsia="Arial" w:hAnsi="Arial"/>
          <w:sz w:val="12"/>
          <w:szCs w:val="12"/>
          <w:i w:val="1"/>
          <w:iCs w:val="1"/>
          <w:color w:val="auto"/>
        </w:rPr>
        <w:t xml:space="preserve"> </w:t>
      </w:r>
      <w:r>
        <w:rPr>
          <w:rFonts w:ascii="Arial" w:cs="Arial" w:eastAsia="Arial" w:hAnsi="Arial"/>
          <w:sz w:val="12"/>
          <w:szCs w:val="12"/>
          <w:color w:val="auto"/>
        </w:rPr>
        <w:t>Rule 462(b) by 8:00 a.m., Eastern time, on the business day next succeeding the date of this Agreement, and the Company shall at the time of filing either pay to the Commission the filing fee for such Rule 462(b) registration statement or give irrevocable instructions for the payment of such fee pursuant to the Rules and Regulations.</w:t>
      </w:r>
    </w:p>
    <w:p>
      <w:pPr>
        <w:spacing w:after="0" w:line="140" w:lineRule="exact"/>
        <w:rPr>
          <w:rFonts w:ascii="Arial" w:cs="Arial" w:eastAsia="Arial" w:hAnsi="Arial"/>
          <w:sz w:val="12"/>
          <w:szCs w:val="12"/>
          <w:color w:val="auto"/>
        </w:rPr>
      </w:pPr>
    </w:p>
    <w:p>
      <w:pPr>
        <w:jc w:val="both"/>
        <w:ind w:left="100" w:firstLine="432"/>
        <w:spacing w:after="0" w:line="263" w:lineRule="auto"/>
        <w:tabs>
          <w:tab w:leader="none" w:pos="1038" w:val="left"/>
        </w:tabs>
        <w:numPr>
          <w:ilvl w:val="0"/>
          <w:numId w:val="129"/>
        </w:numPr>
        <w:rPr>
          <w:rFonts w:ascii="Arial" w:cs="Arial" w:eastAsia="Arial" w:hAnsi="Arial"/>
          <w:sz w:val="12"/>
          <w:szCs w:val="12"/>
          <w:color w:val="auto"/>
        </w:rPr>
      </w:pPr>
      <w:r>
        <w:rPr>
          <w:rFonts w:ascii="Arial" w:cs="Arial" w:eastAsia="Arial" w:hAnsi="Arial"/>
          <w:sz w:val="12"/>
          <w:szCs w:val="12"/>
          <w:i w:val="1"/>
          <w:iCs w:val="1"/>
          <w:color w:val="auto"/>
        </w:rPr>
        <w:t>Amendments or Supplements</w:t>
      </w:r>
      <w:r>
        <w:rPr>
          <w:rFonts w:ascii="Arial" w:cs="Arial" w:eastAsia="Arial" w:hAnsi="Arial"/>
          <w:sz w:val="12"/>
          <w:szCs w:val="12"/>
          <w:color w:val="auto"/>
        </w:rPr>
        <w:t>. The Company will not, during the Prospectus Delivery Period in connection with the Offering contemplated by this Agreement, file any amendment or supplement to the Registration</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 or the Prospectus unless a copy thereof shall first have been submitted to the Placement Agent within a reasonable period of time prior to the filing thereof and the Placement Agent shall not have reasonably objected thereto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262890</wp:posOffset>
            </wp:positionV>
            <wp:extent cx="729932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27" w:name="page228"/>
    <w:bookmarkEnd w:id="227"/>
    <w:p>
      <w:pPr>
        <w:jc w:val="both"/>
        <w:ind w:left="-432" w:firstLine="432"/>
        <w:spacing w:after="0" w:line="254" w:lineRule="auto"/>
        <w:tabs>
          <w:tab w:leader="none" w:pos="449"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Notice to Placement Agent</w:t>
      </w:r>
      <w:r>
        <w:rPr>
          <w:rFonts w:ascii="Arial" w:cs="Arial" w:eastAsia="Arial" w:hAnsi="Arial"/>
          <w:sz w:val="12"/>
          <w:szCs w:val="12"/>
          <w:color w:val="auto"/>
        </w:rPr>
        <w:t>. The Company will notify the Placement Agent promptly, and will, if requested, confirm such notification in writing: (i) the receipt of any comments of, or requests for additional information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from, the Commission; (ii) the time and date of any filing of any post-effective amendment to the Registration Statement or any amendment or supplement to the Disclosure Documents, (iii) the time and date when any post-effective amendment to the Registration Statement becomes effective; (iv) of the issuance by the Commission of any stop order suspending the effectiveness of the Registration Statement, or any post-effective amendment thereto or any order preventing or suspending the use of any Disclosure Documents, or the initiation of any proceedings for that purpose or the threat thereof; (v) of receipt by the Company of any notification with respect to any suspension or the approval of the Securities (including any shares of Common Stock underlying the Securities) from any securities exchange upon which it is listed for trading or included or designated for quotation, or the initiation or threatening of any proceeding for such purpose. The Company will use its reasonable best efforts to prevent the issuance or invocation of any such stop order or suspension by the Commission and, if any such stop order or suspension is so issued or invoked, to obtain as soon as possible the withdrawal or removal thereof.</w:t>
      </w:r>
    </w:p>
    <w:p>
      <w:pPr>
        <w:spacing w:after="0" w:line="148" w:lineRule="exact"/>
        <w:rPr>
          <w:rFonts w:ascii="Arial" w:cs="Arial" w:eastAsia="Arial" w:hAnsi="Arial"/>
          <w:sz w:val="12"/>
          <w:szCs w:val="12"/>
          <w:color w:val="auto"/>
        </w:rPr>
      </w:pPr>
    </w:p>
    <w:p>
      <w:pPr>
        <w:jc w:val="both"/>
        <w:ind w:left="-432" w:firstLine="432"/>
        <w:spacing w:after="0" w:line="309" w:lineRule="auto"/>
        <w:tabs>
          <w:tab w:leader="none" w:pos="451" w:val="left"/>
        </w:tabs>
        <w:numPr>
          <w:ilvl w:val="0"/>
          <w:numId w:val="130"/>
        </w:numPr>
        <w:rPr>
          <w:rFonts w:ascii="Arial" w:cs="Arial" w:eastAsia="Arial" w:hAnsi="Arial"/>
          <w:sz w:val="10"/>
          <w:szCs w:val="10"/>
          <w:color w:val="auto"/>
        </w:rPr>
      </w:pPr>
      <w:r>
        <w:rPr>
          <w:rFonts w:ascii="Arial" w:cs="Arial" w:eastAsia="Arial" w:hAnsi="Arial"/>
          <w:sz w:val="10"/>
          <w:szCs w:val="10"/>
          <w:i w:val="1"/>
          <w:iCs w:val="1"/>
          <w:color w:val="auto"/>
        </w:rPr>
        <w:t>Filing of Amendments or Supplements</w:t>
      </w:r>
      <w:r>
        <w:rPr>
          <w:rFonts w:ascii="Arial" w:cs="Arial" w:eastAsia="Arial" w:hAnsi="Arial"/>
          <w:sz w:val="10"/>
          <w:szCs w:val="10"/>
          <w:color w:val="auto"/>
        </w:rPr>
        <w:t>. If, during the Prospectus Delivery Period, any event shall occur or condition exist as a result of which it is necessary to amend or supplement the Prospectus (or, if the Prospectus</w:t>
      </w:r>
      <w:r>
        <w:rPr>
          <w:rFonts w:ascii="Arial" w:cs="Arial" w:eastAsia="Arial" w:hAnsi="Arial"/>
          <w:sz w:val="10"/>
          <w:szCs w:val="10"/>
          <w:i w:val="1"/>
          <w:iCs w:val="1"/>
          <w:color w:val="auto"/>
        </w:rPr>
        <w:t xml:space="preserve"> </w:t>
      </w:r>
      <w:r>
        <w:rPr>
          <w:rFonts w:ascii="Arial" w:cs="Arial" w:eastAsia="Arial" w:hAnsi="Arial"/>
          <w:sz w:val="10"/>
          <w:szCs w:val="10"/>
          <w:color w:val="auto"/>
        </w:rPr>
        <w:t>is not yet available to prospective purchasers, the Disclosure Documents) in order to make the statements therein, in the light of the circumstances when the Prospectus (or, if the Prospectus is not yet available to prospective purchasers, the Disclosure Documents) is delivered to an Investor, not misleading, or if, in the opinion of counsel for the Placement Agent, it is necessary to amend or supplement the Prospectus (or, if the Prospectus is not yet available to prospective purchasers, the Disclosure Documents) to comply with applicable law, forthwith to prepare, file with the Commission and furnish, at its own expense, to the Placement Agent, either amendments or supplements to the Prospectus (or, if the Prospectus is not yet available to prospective purchasers, the Disclosure Documents) so that the statements in the Prospectus (or, if the Prospectus is not yet available to prospective purchasers, the Disclosure Documents) as so amended or supplemented will not, in the light of the circumstances when the Prospectus (or, if the Prospectus is not yet available to prospective purchasers, the Disclosure Documents) is delivered to an Investor, be misleading or so that the Prospectus (or, if the Prospectus is not yet available to prospective purchasers, the Disclosure Documents), as amended or supplemented, will comply with law. If at any time following issuance of an Free Writing Prospectus there occurred or occurs an event or development as a result of which such Free Writing Prospectus conflicted or would conflict with the information contained in the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promptly will notify the Placement Agent and will promptly amend or supplement, at its own expense, such Free Writing Prospectus to eliminate or correct such conflict, untrue statement or omission.</w:t>
      </w:r>
    </w:p>
    <w:p>
      <w:pPr>
        <w:spacing w:after="0" w:line="122" w:lineRule="exact"/>
        <w:rPr>
          <w:rFonts w:ascii="Arial" w:cs="Arial" w:eastAsia="Arial" w:hAnsi="Arial"/>
          <w:sz w:val="10"/>
          <w:szCs w:val="10"/>
          <w:color w:val="auto"/>
        </w:rPr>
      </w:pPr>
    </w:p>
    <w:p>
      <w:pPr>
        <w:jc w:val="both"/>
        <w:ind w:left="-432" w:firstLine="432"/>
        <w:spacing w:after="0" w:line="290" w:lineRule="auto"/>
        <w:tabs>
          <w:tab w:leader="none" w:pos="465" w:val="left"/>
        </w:tabs>
        <w:numPr>
          <w:ilvl w:val="0"/>
          <w:numId w:val="130"/>
        </w:numPr>
        <w:rPr>
          <w:rFonts w:ascii="Arial" w:cs="Arial" w:eastAsia="Arial" w:hAnsi="Arial"/>
          <w:sz w:val="11"/>
          <w:szCs w:val="11"/>
          <w:color w:val="auto"/>
        </w:rPr>
      </w:pPr>
      <w:r>
        <w:rPr>
          <w:rFonts w:ascii="Arial" w:cs="Arial" w:eastAsia="Arial" w:hAnsi="Arial"/>
          <w:sz w:val="11"/>
          <w:szCs w:val="11"/>
          <w:i w:val="1"/>
          <w:iCs w:val="1"/>
          <w:color w:val="auto"/>
        </w:rPr>
        <w:t>Delivery of Copies</w:t>
      </w:r>
      <w:r>
        <w:rPr>
          <w:rFonts w:ascii="Arial" w:cs="Arial" w:eastAsia="Arial" w:hAnsi="Arial"/>
          <w:sz w:val="11"/>
          <w:szCs w:val="11"/>
          <w:color w:val="auto"/>
        </w:rPr>
        <w:t>. The Company will deliver promptly to the Placement Agent and its counsel such number of the following documents as the Placement Agent shall reasonably request: (i) conformed copies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 Statement as originally filed with the Commission and each amendment thereto (in each case excluding exhibits), (ii) copies of any Preliminary Prospectus or Free Writing Prospectus, (iii) during the Prospectus Delivery Period, copies of the Prospectus (or any amendments or supplements thereto); (iii) any document incorporated by reference in the Prospectus (other than any such document that is filed with the Commission electronically via EDGAR) and (iv) all correspondence to and from, and all documents issued to and by, the Commission in connection with the registration of the Securities under the Securities Act.</w:t>
      </w:r>
    </w:p>
    <w:p>
      <w:pPr>
        <w:spacing w:after="0" w:line="127" w:lineRule="exact"/>
        <w:rPr>
          <w:rFonts w:ascii="Arial" w:cs="Arial" w:eastAsia="Arial" w:hAnsi="Arial"/>
          <w:sz w:val="11"/>
          <w:szCs w:val="11"/>
          <w:color w:val="auto"/>
        </w:rPr>
      </w:pPr>
    </w:p>
    <w:p>
      <w:pPr>
        <w:ind w:left="-432" w:right="20" w:firstLine="432"/>
        <w:spacing w:after="0" w:line="276" w:lineRule="auto"/>
        <w:tabs>
          <w:tab w:leader="none" w:pos="485"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Earnings Statement</w:t>
      </w:r>
      <w:r>
        <w:rPr>
          <w:rFonts w:ascii="Arial" w:cs="Arial" w:eastAsia="Arial" w:hAnsi="Arial"/>
          <w:sz w:val="12"/>
          <w:szCs w:val="12"/>
          <w:color w:val="auto"/>
        </w:rPr>
        <w:t>. As soon as practicable, but in any event not later than 15 months after the end of the Company’s current fiscal quarter, the Company will make generally available to holders of its securities and</w:t>
      </w:r>
      <w:r>
        <w:rPr>
          <w:rFonts w:ascii="Arial" w:cs="Arial" w:eastAsia="Arial" w:hAnsi="Arial"/>
          <w:sz w:val="12"/>
          <w:szCs w:val="12"/>
          <w:i w:val="1"/>
          <w:iCs w:val="1"/>
          <w:color w:val="auto"/>
        </w:rPr>
        <w:t xml:space="preserve"> </w:t>
      </w:r>
      <w:r>
        <w:rPr>
          <w:rFonts w:ascii="Arial" w:cs="Arial" w:eastAsia="Arial" w:hAnsi="Arial"/>
          <w:sz w:val="12"/>
          <w:szCs w:val="12"/>
          <w:color w:val="auto"/>
        </w:rPr>
        <w:t>deliver to the Placement Agent, an earnings statement of the Company (which need not be audited) that will satisfy the provisions of Section 11(a) and Rule 158 of the Securities Act.</w:t>
      </w:r>
    </w:p>
    <w:p>
      <w:pPr>
        <w:spacing w:after="0" w:line="277" w:lineRule="exact"/>
        <w:rPr>
          <w:rFonts w:ascii="Arial" w:cs="Arial" w:eastAsia="Arial" w:hAnsi="Arial"/>
          <w:sz w:val="12"/>
          <w:szCs w:val="12"/>
          <w:color w:val="auto"/>
        </w:rPr>
      </w:pPr>
    </w:p>
    <w:p>
      <w:pPr>
        <w:ind w:left="-432" w:firstLine="432"/>
        <w:spacing w:after="0" w:line="276" w:lineRule="auto"/>
        <w:tabs>
          <w:tab w:leader="none" w:pos="467"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Use of Proceeds</w:t>
      </w:r>
      <w:r>
        <w:rPr>
          <w:rFonts w:ascii="Arial" w:cs="Arial" w:eastAsia="Arial" w:hAnsi="Arial"/>
          <w:sz w:val="12"/>
          <w:szCs w:val="12"/>
          <w:color w:val="auto"/>
        </w:rPr>
        <w:t>. The Company will apply the net proceeds from the sale of the Securities in all material respects in the manner set forth in the Registration Statement and the Disclosure Documents under the heading</w:t>
      </w:r>
      <w:r>
        <w:rPr>
          <w:rFonts w:ascii="Arial" w:cs="Arial" w:eastAsia="Arial" w:hAnsi="Arial"/>
          <w:sz w:val="12"/>
          <w:szCs w:val="12"/>
          <w:i w:val="1"/>
          <w:iCs w:val="1"/>
          <w:color w:val="auto"/>
        </w:rPr>
        <w:t xml:space="preserve"> </w:t>
      </w: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258445</wp:posOffset>
            </wp:positionV>
            <wp:extent cx="7299325" cy="18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8" w:name="page229"/>
    <w:bookmarkEnd w:id="228"/>
    <w:p>
      <w:pPr>
        <w:jc w:val="both"/>
        <w:ind w:left="-432" w:firstLine="432"/>
        <w:spacing w:after="0" w:line="279" w:lineRule="auto"/>
        <w:tabs>
          <w:tab w:leader="none" w:pos="413" w:val="left"/>
        </w:tabs>
        <w:numPr>
          <w:ilvl w:val="0"/>
          <w:numId w:val="131"/>
        </w:numPr>
        <w:rPr>
          <w:rFonts w:ascii="Arial" w:cs="Arial" w:eastAsia="Arial" w:hAnsi="Arial"/>
          <w:sz w:val="11"/>
          <w:szCs w:val="11"/>
          <w:color w:val="auto"/>
        </w:rPr>
      </w:pPr>
      <w:r>
        <w:rPr>
          <w:rFonts w:ascii="Arial" w:cs="Arial" w:eastAsia="Arial" w:hAnsi="Arial"/>
          <w:sz w:val="11"/>
          <w:szCs w:val="11"/>
          <w:i w:val="1"/>
          <w:iCs w:val="1"/>
          <w:color w:val="auto"/>
        </w:rPr>
        <w:t>Public Communications</w:t>
      </w:r>
      <w:r>
        <w:rPr>
          <w:rFonts w:ascii="Arial" w:cs="Arial" w:eastAsia="Arial" w:hAnsi="Arial"/>
          <w:sz w:val="11"/>
          <w:szCs w:val="11"/>
          <w:color w:val="auto"/>
        </w:rPr>
        <w:t>. Prior to the termination of the Offering, the Company will not issue any press release or other communication directly or indirectly or hold any press conference with respect to the Company, its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condition, financial or otherwise, or the earnings, business, operations or prospects of any of them, or the offering of the Securities, without the prior written consent of the Placement Agent, unless in the reasonable judgment of the Company and its counsel, and after notification to the Placement Agent, such press release or communication is required by law, in which case the Company shall use its reasonable best efforts to allow the Placement Agent reasonable time to comment on such release or other communication in advance of such issuance. Upon consummation of the Offering, the Company agrees that any reference to “Geller Biopharm” in any press release or other communications issued by the Company to the public relating to the Offering will refer to “Geller Biopharm” as “Geller Biopharm, a healthcare investment banking division of Financial West Group, a member of FINRA/SIPC”. Furthermore, if requested by the Placement Agent, the Company agrees to include a mutually acceptable reference to “Geller Biopharm” in any such press release or other public announcement made by the Company regarding the Offering. Additionally, the Company acknowledges that the Placement Agent may, at its option and expense (and only after the first public disclosure or announcement of the Offering by the Company) place announcements and advertisements or otherwise publicize Geller Biopharm’s role in facilitating the Offering (which may include the reproduction of the Company’s logo), stating that Geller Biopharm acted as placement agent in connection with such transaction;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Placement Agent shall first submit a copy of any such announcement or advertisement to the Company for its approval, which approval shall not be unreasonably withheld.</w:t>
      </w:r>
    </w:p>
    <w:p>
      <w:pPr>
        <w:spacing w:after="0" w:line="135" w:lineRule="exact"/>
        <w:rPr>
          <w:rFonts w:ascii="Arial" w:cs="Arial" w:eastAsia="Arial" w:hAnsi="Arial"/>
          <w:sz w:val="11"/>
          <w:szCs w:val="11"/>
          <w:color w:val="auto"/>
        </w:rPr>
      </w:pPr>
    </w:p>
    <w:p>
      <w:pPr>
        <w:jc w:val="both"/>
        <w:ind w:left="-432" w:firstLine="432"/>
        <w:spacing w:after="0" w:line="278" w:lineRule="auto"/>
        <w:tabs>
          <w:tab w:leader="none" w:pos="440" w:val="left"/>
        </w:tabs>
        <w:numPr>
          <w:ilvl w:val="0"/>
          <w:numId w:val="131"/>
        </w:numPr>
        <w:rPr>
          <w:rFonts w:ascii="Arial" w:cs="Arial" w:eastAsia="Arial" w:hAnsi="Arial"/>
          <w:sz w:val="11"/>
          <w:szCs w:val="11"/>
          <w:color w:val="auto"/>
        </w:rPr>
      </w:pPr>
      <w:r>
        <w:rPr>
          <w:rFonts w:ascii="Arial" w:cs="Arial" w:eastAsia="Arial" w:hAnsi="Arial"/>
          <w:sz w:val="11"/>
          <w:szCs w:val="11"/>
          <w:i w:val="1"/>
          <w:iCs w:val="1"/>
          <w:color w:val="auto"/>
        </w:rPr>
        <w:t>Lock-Up Period</w:t>
      </w:r>
      <w:r>
        <w:rPr>
          <w:rFonts w:ascii="Arial" w:cs="Arial" w:eastAsia="Arial" w:hAnsi="Arial"/>
          <w:sz w:val="11"/>
          <w:szCs w:val="11"/>
          <w:color w:val="auto"/>
        </w:rPr>
        <w:t>. Except as described in the Disclosure Documents, the Company, on behalf of itself and any successor entity, has agreed that, without the prior written consent of the Placement Agent, it will not, for a</w:t>
      </w:r>
      <w:r>
        <w:rPr>
          <w:rFonts w:ascii="Arial" w:cs="Arial" w:eastAsia="Arial" w:hAnsi="Arial"/>
          <w:sz w:val="11"/>
          <w:szCs w:val="11"/>
          <w:i w:val="1"/>
          <w:iCs w:val="1"/>
          <w:color w:val="auto"/>
        </w:rPr>
        <w:t xml:space="preserve"> </w:t>
      </w:r>
      <w:r>
        <w:rPr>
          <w:rFonts w:ascii="Arial" w:cs="Arial" w:eastAsia="Arial" w:hAnsi="Arial"/>
          <w:sz w:val="11"/>
          <w:szCs w:val="11"/>
          <w:color w:val="auto"/>
        </w:rPr>
        <w:t>period of One Hundred and Eighty (180) days after the date of this Agreement (the “</w:t>
      </w:r>
      <w:r>
        <w:rPr>
          <w:rFonts w:ascii="Arial" w:cs="Arial" w:eastAsia="Arial" w:hAnsi="Arial"/>
          <w:sz w:val="11"/>
          <w:szCs w:val="11"/>
          <w:i w:val="1"/>
          <w:iCs w:val="1"/>
          <w:color w:val="auto"/>
        </w:rPr>
        <w:t>Lock-Up Period</w:t>
      </w:r>
      <w:r>
        <w:rPr>
          <w:rFonts w:ascii="Arial" w:cs="Arial" w:eastAsia="Arial" w:hAnsi="Arial"/>
          <w:sz w:val="11"/>
          <w:szCs w:val="11"/>
          <w:color w:val="auto"/>
        </w:rPr>
        <w: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 The restrictions contained in this Section 3(k) shall not apply to (1) the Securities and the shares of Common Stock issuable upon exercise thereof, (2) the issuance by the Company of shares of Common Stock upon the exercise of a stock option or warrant or the conversion of a security outstanding on the date hereof, of which the Placement Agent has been advised in writing; (3) the issuance by the Company of stock options or shares of capital stock of the Company under any equity compensation plan of the Company; or (4) the filing of a registration statement on Form S-8 with the Commission. Notwithstanding the foregoing, if (A) during the last 17 days of the Lock-Up Period, the Company issues an earnings release or material news or a material event relating to the Company occurs, or (B) prior to the expiration of the Lock-Up Period, the Company announces that it will release earnings results or becomes aware that material news or a material event will occur during the 16-day period beginning on the last day of the Lock-Up Period, the restrictions imposed by the foregoing Section 3(k) shall continue to apply until the expiration of the 18-day period beginning on the issuance of the earnings release or the occurrence of such material news or material event, as applicable, unless the Placement Agent waives, in writing, such extension.</w:t>
      </w:r>
    </w:p>
    <w:p>
      <w:pPr>
        <w:spacing w:after="0" w:line="133" w:lineRule="exact"/>
        <w:rPr>
          <w:rFonts w:ascii="Arial" w:cs="Arial" w:eastAsia="Arial" w:hAnsi="Arial"/>
          <w:sz w:val="11"/>
          <w:szCs w:val="11"/>
          <w:color w:val="auto"/>
        </w:rPr>
      </w:pPr>
    </w:p>
    <w:p>
      <w:pPr>
        <w:ind w:left="-432" w:firstLine="432"/>
        <w:spacing w:after="0" w:line="276" w:lineRule="auto"/>
        <w:tabs>
          <w:tab w:leader="none" w:pos="503" w:val="left"/>
        </w:tabs>
        <w:numPr>
          <w:ilvl w:val="0"/>
          <w:numId w:val="131"/>
        </w:numPr>
        <w:rPr>
          <w:rFonts w:ascii="Arial" w:cs="Arial" w:eastAsia="Arial" w:hAnsi="Arial"/>
          <w:sz w:val="12"/>
          <w:szCs w:val="12"/>
          <w:color w:val="auto"/>
        </w:rPr>
      </w:pPr>
      <w:r>
        <w:rPr>
          <w:rFonts w:ascii="Arial" w:cs="Arial" w:eastAsia="Arial" w:hAnsi="Arial"/>
          <w:sz w:val="12"/>
          <w:szCs w:val="12"/>
          <w:i w:val="1"/>
          <w:iCs w:val="1"/>
          <w:color w:val="auto"/>
        </w:rPr>
        <w:t>Stabilization</w:t>
      </w:r>
      <w:r>
        <w:rPr>
          <w:rFonts w:ascii="Arial" w:cs="Arial" w:eastAsia="Arial" w:hAnsi="Arial"/>
          <w:sz w:val="12"/>
          <w:szCs w:val="12"/>
          <w:color w:val="auto"/>
        </w:rPr>
        <w:t>. The Company will not take directly or indirectly any action designed, or that might reasonably be expected to cause or result in, or that will constitute, stabilization or manipulation of the price of any</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of the Company to facilitate the sale or resale of any of the Securities.</w:t>
      </w:r>
    </w:p>
    <w:p>
      <w:pPr>
        <w:spacing w:after="0" w:line="132" w:lineRule="exact"/>
        <w:rPr>
          <w:rFonts w:ascii="Arial" w:cs="Arial" w:eastAsia="Arial" w:hAnsi="Arial"/>
          <w:sz w:val="12"/>
          <w:szCs w:val="12"/>
          <w:color w:val="auto"/>
        </w:rPr>
      </w:pPr>
    </w:p>
    <w:p>
      <w:pPr>
        <w:ind w:left="408" w:hanging="408"/>
        <w:spacing w:after="0"/>
        <w:tabs>
          <w:tab w:leader="none" w:pos="408" w:val="left"/>
        </w:tabs>
        <w:numPr>
          <w:ilvl w:val="0"/>
          <w:numId w:val="131"/>
        </w:numPr>
        <w:rPr>
          <w:rFonts w:ascii="Arial" w:cs="Arial" w:eastAsia="Arial" w:hAnsi="Arial"/>
          <w:sz w:val="12"/>
          <w:szCs w:val="12"/>
          <w:color w:val="auto"/>
        </w:rPr>
      </w:pPr>
      <w:r>
        <w:rPr>
          <w:rFonts w:ascii="Arial" w:cs="Arial" w:eastAsia="Arial" w:hAnsi="Arial"/>
          <w:sz w:val="12"/>
          <w:szCs w:val="12"/>
          <w:i w:val="1"/>
          <w:iCs w:val="1"/>
          <w:color w:val="auto"/>
        </w:rPr>
        <w:t>Transfer Agent</w:t>
      </w:r>
      <w:r>
        <w:rPr>
          <w:rFonts w:ascii="Arial" w:cs="Arial" w:eastAsia="Arial" w:hAnsi="Arial"/>
          <w:sz w:val="12"/>
          <w:szCs w:val="12"/>
          <w:color w:val="auto"/>
        </w:rPr>
        <w:t>. The Company shall engage and maintain, at its expense, a transfer agent and, if necessary under the jurisdiction of incorporation of the Company, a registrar for the Common Stock.</w:t>
      </w:r>
    </w:p>
    <w:p>
      <w:pPr>
        <w:spacing w:after="0" w:line="168" w:lineRule="exact"/>
        <w:rPr>
          <w:rFonts w:ascii="Arial" w:cs="Arial" w:eastAsia="Arial" w:hAnsi="Arial"/>
          <w:sz w:val="12"/>
          <w:szCs w:val="12"/>
          <w:color w:val="auto"/>
        </w:rPr>
      </w:pPr>
    </w:p>
    <w:p>
      <w:pPr>
        <w:ind w:left="-432" w:right="20" w:firstLine="432"/>
        <w:spacing w:after="0" w:line="276" w:lineRule="auto"/>
        <w:tabs>
          <w:tab w:leader="none" w:pos="572" w:val="left"/>
        </w:tabs>
        <w:numPr>
          <w:ilvl w:val="0"/>
          <w:numId w:val="131"/>
        </w:numPr>
        <w:rPr>
          <w:rFonts w:ascii="Arial" w:cs="Arial" w:eastAsia="Arial" w:hAnsi="Arial"/>
          <w:sz w:val="12"/>
          <w:szCs w:val="12"/>
          <w:color w:val="auto"/>
        </w:rPr>
      </w:pPr>
      <w:r>
        <w:rPr>
          <w:rFonts w:ascii="Arial" w:cs="Arial" w:eastAsia="Arial" w:hAnsi="Arial"/>
          <w:sz w:val="12"/>
          <w:szCs w:val="12"/>
          <w:i w:val="1"/>
          <w:iCs w:val="1"/>
          <w:color w:val="auto"/>
        </w:rPr>
        <w:t>Investment Company Act</w:t>
      </w:r>
      <w:r>
        <w:rPr>
          <w:rFonts w:ascii="Arial" w:cs="Arial" w:eastAsia="Arial" w:hAnsi="Arial"/>
          <w:sz w:val="12"/>
          <w:szCs w:val="12"/>
          <w:color w:val="auto"/>
        </w:rPr>
        <w:t>. The Company shall not invest, or otherwise use the proceeds received by the Company from its sale of the Securities in such a manner as would require the Company to register as an</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 company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258445</wp:posOffset>
            </wp:positionV>
            <wp:extent cx="7299325" cy="1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29" w:name="page230"/>
    <w:bookmarkEnd w:id="229"/>
    <w:p>
      <w:pPr>
        <w:ind w:left="556" w:hanging="448"/>
        <w:spacing w:after="0"/>
        <w:tabs>
          <w:tab w:leader="none" w:pos="556" w:val="left"/>
        </w:tabs>
        <w:numPr>
          <w:ilvl w:val="1"/>
          <w:numId w:val="132"/>
        </w:numPr>
        <w:rPr>
          <w:rFonts w:ascii="Arial" w:cs="Arial" w:eastAsia="Arial" w:hAnsi="Arial"/>
          <w:sz w:val="12"/>
          <w:szCs w:val="12"/>
          <w:color w:val="auto"/>
        </w:rPr>
      </w:pPr>
      <w:r>
        <w:rPr>
          <w:rFonts w:ascii="Arial" w:cs="Arial" w:eastAsia="Arial" w:hAnsi="Arial"/>
          <w:sz w:val="12"/>
          <w:szCs w:val="12"/>
          <w:i w:val="1"/>
          <w:iCs w:val="1"/>
          <w:color w:val="auto"/>
        </w:rPr>
        <w:t>Sarbanes-Oxley Act</w:t>
      </w:r>
      <w:r>
        <w:rPr>
          <w:rFonts w:ascii="Arial" w:cs="Arial" w:eastAsia="Arial" w:hAnsi="Arial"/>
          <w:sz w:val="12"/>
          <w:szCs w:val="12"/>
          <w:color w:val="auto"/>
        </w:rPr>
        <w:t>. The Company will comply in all material respects with all effective applicable provisions of the Sarbanes Oxley Act.</w:t>
      </w:r>
    </w:p>
    <w:p>
      <w:pPr>
        <w:spacing w:after="0" w:line="168" w:lineRule="exact"/>
        <w:rPr>
          <w:rFonts w:ascii="Arial" w:cs="Arial" w:eastAsia="Arial" w:hAnsi="Arial"/>
          <w:sz w:val="12"/>
          <w:szCs w:val="12"/>
          <w:color w:val="auto"/>
        </w:rPr>
      </w:pPr>
    </w:p>
    <w:p>
      <w:pPr>
        <w:ind w:left="556" w:hanging="448"/>
        <w:spacing w:after="0"/>
        <w:tabs>
          <w:tab w:leader="none" w:pos="556" w:val="left"/>
        </w:tabs>
        <w:numPr>
          <w:ilvl w:val="1"/>
          <w:numId w:val="132"/>
        </w:numPr>
        <w:rPr>
          <w:rFonts w:ascii="Arial" w:cs="Arial" w:eastAsia="Arial" w:hAnsi="Arial"/>
          <w:sz w:val="11"/>
          <w:szCs w:val="11"/>
          <w:color w:val="auto"/>
        </w:rPr>
      </w:pPr>
      <w:r>
        <w:rPr>
          <w:rFonts w:ascii="Arial" w:cs="Arial" w:eastAsia="Arial" w:hAnsi="Arial"/>
          <w:sz w:val="11"/>
          <w:szCs w:val="11"/>
          <w:i w:val="1"/>
          <w:iCs w:val="1"/>
          <w:color w:val="auto"/>
        </w:rPr>
        <w:t xml:space="preserve">Periodic Reports. </w:t>
      </w:r>
      <w:r>
        <w:rPr>
          <w:rFonts w:ascii="Arial" w:cs="Arial" w:eastAsia="Arial" w:hAnsi="Arial"/>
          <w:sz w:val="11"/>
          <w:szCs w:val="11"/>
          <w:color w:val="auto"/>
        </w:rPr>
        <w:t>For two years after such Closing, the Company will use its commercially reasonable best efforts to file with the Commission such periodic and special reports as required by the Exchange Act.</w:t>
      </w:r>
    </w:p>
    <w:p>
      <w:pPr>
        <w:spacing w:after="0" w:line="179" w:lineRule="exact"/>
        <w:rPr>
          <w:rFonts w:ascii="Arial" w:cs="Arial" w:eastAsia="Arial" w:hAnsi="Arial"/>
          <w:sz w:val="11"/>
          <w:szCs w:val="11"/>
          <w:color w:val="auto"/>
        </w:rPr>
      </w:pPr>
    </w:p>
    <w:p>
      <w:pPr>
        <w:ind w:left="556" w:hanging="448"/>
        <w:spacing w:after="0"/>
        <w:tabs>
          <w:tab w:leader="none" w:pos="556" w:val="left"/>
        </w:tabs>
        <w:numPr>
          <w:ilvl w:val="1"/>
          <w:numId w:val="132"/>
        </w:numPr>
        <w:rPr>
          <w:rFonts w:ascii="Arial" w:cs="Arial" w:eastAsia="Arial" w:hAnsi="Arial"/>
          <w:sz w:val="12"/>
          <w:szCs w:val="12"/>
          <w:color w:val="auto"/>
        </w:rPr>
      </w:pPr>
      <w:r>
        <w:rPr>
          <w:rFonts w:ascii="Arial" w:cs="Arial" w:eastAsia="Arial" w:hAnsi="Arial"/>
          <w:sz w:val="12"/>
          <w:szCs w:val="12"/>
          <w:i w:val="1"/>
          <w:iCs w:val="1"/>
          <w:color w:val="auto"/>
        </w:rPr>
        <w:t>Reservation of Common Stock</w:t>
      </w:r>
      <w:r>
        <w:rPr>
          <w:rFonts w:ascii="Arial" w:cs="Arial" w:eastAsia="Arial" w:hAnsi="Arial"/>
          <w:sz w:val="12"/>
          <w:szCs w:val="12"/>
          <w:color w:val="auto"/>
        </w:rPr>
        <w:t>. The Company shall reserve from its authorized Common Stock a sufficient number of shares to provide for exercise of all Warrants.</w:t>
      </w:r>
    </w:p>
    <w:p>
      <w:pPr>
        <w:spacing w:after="0" w:line="168" w:lineRule="exact"/>
        <w:rPr>
          <w:rFonts w:ascii="Arial" w:cs="Arial" w:eastAsia="Arial" w:hAnsi="Arial"/>
          <w:sz w:val="12"/>
          <w:szCs w:val="12"/>
          <w:color w:val="auto"/>
        </w:rPr>
      </w:pPr>
    </w:p>
    <w:p>
      <w:pPr>
        <w:ind w:left="556" w:hanging="448"/>
        <w:spacing w:after="0"/>
        <w:tabs>
          <w:tab w:leader="none" w:pos="556" w:val="left"/>
        </w:tabs>
        <w:numPr>
          <w:ilvl w:val="1"/>
          <w:numId w:val="132"/>
        </w:numPr>
        <w:rPr>
          <w:rFonts w:ascii="Arial" w:cs="Arial" w:eastAsia="Arial" w:hAnsi="Arial"/>
          <w:sz w:val="11"/>
          <w:szCs w:val="11"/>
          <w:color w:val="auto"/>
        </w:rPr>
      </w:pPr>
      <w:r>
        <w:rPr>
          <w:rFonts w:ascii="Arial" w:cs="Arial" w:eastAsia="Arial" w:hAnsi="Arial"/>
          <w:sz w:val="11"/>
          <w:szCs w:val="11"/>
          <w:i w:val="1"/>
          <w:iCs w:val="1"/>
          <w:color w:val="auto"/>
        </w:rPr>
        <w:t>Blue Sky Filings</w:t>
      </w:r>
      <w:r>
        <w:rPr>
          <w:rFonts w:ascii="Arial" w:cs="Arial" w:eastAsia="Arial" w:hAnsi="Arial"/>
          <w:sz w:val="11"/>
          <w:szCs w:val="11"/>
          <w:color w:val="auto"/>
        </w:rPr>
        <w:t>. The Company shall make any required state securities filings in connection with the issuance and sale of the Securities (including the Shares of Common Stock issuable upon exercise thereof).</w:t>
      </w:r>
    </w:p>
    <w:p>
      <w:pPr>
        <w:spacing w:after="0" w:line="179" w:lineRule="exact"/>
        <w:rPr>
          <w:rFonts w:ascii="Arial" w:cs="Arial" w:eastAsia="Arial" w:hAnsi="Arial"/>
          <w:sz w:val="11"/>
          <w:szCs w:val="11"/>
          <w:color w:val="auto"/>
        </w:rPr>
      </w:pPr>
    </w:p>
    <w:p>
      <w:pPr>
        <w:ind w:left="-324" w:right="20" w:firstLine="432"/>
        <w:spacing w:after="0" w:line="276" w:lineRule="auto"/>
        <w:tabs>
          <w:tab w:leader="none" w:pos="528" w:val="left"/>
        </w:tabs>
        <w:numPr>
          <w:ilvl w:val="1"/>
          <w:numId w:val="132"/>
        </w:numPr>
        <w:rPr>
          <w:rFonts w:ascii="Arial" w:cs="Arial" w:eastAsia="Arial" w:hAnsi="Arial"/>
          <w:sz w:val="12"/>
          <w:szCs w:val="12"/>
          <w:color w:val="auto"/>
        </w:rPr>
      </w:pPr>
      <w:r>
        <w:rPr>
          <w:rFonts w:ascii="Arial" w:cs="Arial" w:eastAsia="Arial" w:hAnsi="Arial"/>
          <w:sz w:val="12"/>
          <w:szCs w:val="12"/>
          <w:i w:val="1"/>
          <w:iCs w:val="1"/>
          <w:color w:val="auto"/>
        </w:rPr>
        <w:t>DTC</w:t>
      </w:r>
      <w:r>
        <w:rPr>
          <w:rFonts w:ascii="Arial" w:cs="Arial" w:eastAsia="Arial" w:hAnsi="Arial"/>
          <w:sz w:val="12"/>
          <w:szCs w:val="12"/>
          <w:color w:val="auto"/>
        </w:rPr>
        <w:t>. For a period of two years from the Closing, the Company will employ as the transfer agent for the Common Stock a participant in the Depository Trust Company Automated Securities Transfer Program and cause</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Common Stock to be transferable pursuant to such program.</w:t>
      </w:r>
    </w:p>
    <w:p>
      <w:pPr>
        <w:spacing w:after="0" w:line="132" w:lineRule="exact"/>
        <w:rPr>
          <w:rFonts w:ascii="Arial" w:cs="Arial" w:eastAsia="Arial" w:hAnsi="Arial"/>
          <w:sz w:val="12"/>
          <w:szCs w:val="12"/>
          <w:color w:val="auto"/>
        </w:rPr>
      </w:pPr>
    </w:p>
    <w:p>
      <w:pPr>
        <w:jc w:val="both"/>
        <w:ind w:left="-324" w:firstLine="432"/>
        <w:spacing w:after="0" w:line="298" w:lineRule="auto"/>
        <w:tabs>
          <w:tab w:leader="none" w:pos="535" w:val="left"/>
        </w:tabs>
        <w:numPr>
          <w:ilvl w:val="1"/>
          <w:numId w:val="132"/>
        </w:numPr>
        <w:rPr>
          <w:rFonts w:ascii="Arial" w:cs="Arial" w:eastAsia="Arial" w:hAnsi="Arial"/>
          <w:sz w:val="11"/>
          <w:szCs w:val="11"/>
          <w:color w:val="auto"/>
        </w:rPr>
      </w:pPr>
      <w:r>
        <w:rPr>
          <w:rFonts w:ascii="Arial" w:cs="Arial" w:eastAsia="Arial" w:hAnsi="Arial"/>
          <w:sz w:val="11"/>
          <w:szCs w:val="11"/>
          <w:i w:val="1"/>
          <w:iCs w:val="1"/>
          <w:color w:val="auto"/>
        </w:rPr>
        <w:t>Release of D&amp;O Lock-up Period</w:t>
      </w:r>
      <w:r>
        <w:rPr>
          <w:rFonts w:ascii="Arial" w:cs="Arial" w:eastAsia="Arial" w:hAnsi="Arial"/>
          <w:sz w:val="11"/>
          <w:szCs w:val="11"/>
          <w:color w:val="auto"/>
        </w:rPr>
        <w:t>. If the Placement Agent, in its sole discretion, agrees to release or waive the restrictions set forth in the Lock-Up Agreement described in Section 2(gg) hereof for an officer or director of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Company and provide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Arial" w:cs="Arial" w:eastAsia="Arial" w:hAnsi="Arial"/>
          <w:sz w:val="11"/>
          <w:szCs w:val="11"/>
          <w:u w:val="single" w:color="auto"/>
          <w:color w:val="auto"/>
        </w:rPr>
        <w:t>Exhibit G</w:t>
      </w:r>
      <w:r>
        <w:rPr>
          <w:rFonts w:ascii="Arial" w:cs="Arial" w:eastAsia="Arial" w:hAnsi="Arial"/>
          <w:sz w:val="11"/>
          <w:szCs w:val="11"/>
          <w:color w:val="auto"/>
        </w:rPr>
        <w:t xml:space="preserve"> hereto through a major news service at least two (2) business days before the effective date of the release or waiver.</w:t>
      </w:r>
    </w:p>
    <w:p>
      <w:pPr>
        <w:spacing w:after="0" w:line="123" w:lineRule="exact"/>
        <w:rPr>
          <w:rFonts w:ascii="Arial" w:cs="Arial" w:eastAsia="Arial" w:hAnsi="Arial"/>
          <w:sz w:val="11"/>
          <w:szCs w:val="11"/>
          <w:color w:val="auto"/>
        </w:rPr>
      </w:pPr>
    </w:p>
    <w:p>
      <w:pPr>
        <w:jc w:val="both"/>
        <w:ind w:left="-424" w:firstLine="424"/>
        <w:spacing w:after="0" w:line="302" w:lineRule="auto"/>
        <w:tabs>
          <w:tab w:leader="none" w:pos="469" w:val="left"/>
        </w:tabs>
        <w:numPr>
          <w:ilvl w:val="0"/>
          <w:numId w:val="133"/>
        </w:numPr>
        <w:rPr>
          <w:rFonts w:ascii="Arial" w:cs="Arial" w:eastAsia="Arial" w:hAnsi="Arial"/>
          <w:sz w:val="10"/>
          <w:szCs w:val="10"/>
          <w:color w:val="auto"/>
        </w:rPr>
      </w:pPr>
      <w:r>
        <w:rPr>
          <w:rFonts w:ascii="Arial" w:cs="Arial" w:eastAsia="Arial" w:hAnsi="Arial"/>
          <w:sz w:val="10"/>
          <w:szCs w:val="10"/>
          <w:i w:val="1"/>
          <w:iCs w:val="1"/>
          <w:color w:val="auto"/>
        </w:rPr>
        <w:t>Right of First Refusal</w:t>
      </w:r>
      <w:r>
        <w:rPr>
          <w:rFonts w:ascii="Arial" w:cs="Arial" w:eastAsia="Arial" w:hAnsi="Arial"/>
          <w:sz w:val="10"/>
          <w:szCs w:val="10"/>
          <w:color w:val="auto"/>
        </w:rPr>
        <w:t>. During the term of this Agreement and during the Tail Period, if the Company or any of its affiliates proposes to effect any private placement of equity-linked or equity securities or other privately</w:t>
      </w:r>
      <w:r>
        <w:rPr>
          <w:rFonts w:ascii="Arial" w:cs="Arial" w:eastAsia="Arial" w:hAnsi="Arial"/>
          <w:sz w:val="10"/>
          <w:szCs w:val="10"/>
          <w:i w:val="1"/>
          <w:iCs w:val="1"/>
          <w:color w:val="auto"/>
        </w:rPr>
        <w:t xml:space="preserve"> </w:t>
      </w:r>
      <w:r>
        <w:rPr>
          <w:rFonts w:ascii="Arial" w:cs="Arial" w:eastAsia="Arial" w:hAnsi="Arial"/>
          <w:sz w:val="10"/>
          <w:szCs w:val="10"/>
          <w:color w:val="auto"/>
        </w:rPr>
        <w:t>placed, issued or arranged financing of equity-linked or equity securities (other than an Offering) for which the Company proposes to retain a financial advisor or placement agent, the Company agrees to offer to engage the Placement Agent) as the Company’s sole financial advisor or lead placement agent, as the case may be, in connection therewith. In addition, if the Company or any of its affiliates proposes to effect any public, Rule 144A or similar offering, issuance or placement of equity-linked or equity securities (other than an Offering), the Company agrees to offer to engage the Placement Agent as lead managing underwriter, initial purchaser or placement agent, as the case may be, in connection therewith. Additionally, during the term of this Agreement or during the Tail Period, the Placement Agent will have an irrevocable right of first refusal to act as lead placement agent in any sale in one transaction or a series of related transactions by existing security holders of the Company of the Company’s securities, other than in connection with an internal reorganization. In each case, such retention shall be subject to the Placement Agent’s agreement to so act and on terms, conditions and fees customary to the Placement Agent for similar transactions; provided, however, that the fees and commissions payable to the Placement Agent, shall equal 8% of the gross proceeds of the securities sold in such private placement, public, Rule 144A or similar offering, issuance or placement of equity-linked or equity securities from the sales of securities during the term of this Agreement or Tail Period regardless of the engagement of the Placement Agent on the terms described. The terms of such engagements shall be set forth in separate agreements and may be subject to, among other things, satisfactory completion of due diligence, market conditions, the absence of adverse changes to the Company’s business or financial condition, approval of any Placement Agent committee and any other conditions that the Placement Agent may deem appropriate for transactions of such nature. For the avoidance of doubt, the obligations of the Company pursuant to this subsection 3(t) are in addition to the Company’s obligations with respect to an Offering. The Placement Agent’s failure to exercise its right of first refusal with respect to any particular proposal shall not affect its right of first refusal relative to future proposals. The Placement Agent will not have more than one (1) opportunity to waive or terminate the right of first refusal in consideration of any payment or fee.</w:t>
      </w:r>
    </w:p>
    <w:p>
      <w:pPr>
        <w:spacing w:after="0" w:line="1" w:lineRule="exact"/>
        <w:rPr>
          <w:rFonts w:ascii="Arial" w:cs="Arial" w:eastAsia="Arial" w:hAnsi="Arial"/>
          <w:sz w:val="10"/>
          <w:szCs w:val="10"/>
          <w:color w:val="auto"/>
        </w:rPr>
      </w:pPr>
    </w:p>
    <w:p>
      <w:pPr>
        <w:jc w:val="both"/>
        <w:ind w:left="-324" w:firstLine="432"/>
        <w:spacing w:after="0" w:line="255" w:lineRule="auto"/>
        <w:tabs>
          <w:tab w:leader="none" w:pos="575" w:val="left"/>
        </w:tabs>
        <w:numPr>
          <w:ilvl w:val="1"/>
          <w:numId w:val="133"/>
        </w:numPr>
        <w:rPr>
          <w:rFonts w:ascii="Arial" w:cs="Arial" w:eastAsia="Arial" w:hAnsi="Arial"/>
          <w:sz w:val="12"/>
          <w:szCs w:val="12"/>
          <w:color w:val="auto"/>
        </w:rPr>
      </w:pPr>
      <w:r>
        <w:rPr>
          <w:rFonts w:ascii="Arial" w:cs="Arial" w:eastAsia="Arial" w:hAnsi="Arial"/>
          <w:sz w:val="12"/>
          <w:szCs w:val="12"/>
          <w:i w:val="1"/>
          <w:iCs w:val="1"/>
          <w:color w:val="auto"/>
        </w:rPr>
        <w:t>Autillion Transaction</w:t>
      </w:r>
      <w:r>
        <w:rPr>
          <w:rFonts w:ascii="Arial" w:cs="Arial" w:eastAsia="Arial" w:hAnsi="Arial"/>
          <w:sz w:val="12"/>
          <w:szCs w:val="12"/>
          <w:color w:val="auto"/>
        </w:rPr>
        <w:t>. In the event the Company consummates a transaction with Autillion AG (“</w:t>
      </w:r>
      <w:r>
        <w:rPr>
          <w:rFonts w:ascii="Arial" w:cs="Arial" w:eastAsia="Arial" w:hAnsi="Arial"/>
          <w:sz w:val="12"/>
          <w:szCs w:val="12"/>
          <w:i w:val="1"/>
          <w:iCs w:val="1"/>
          <w:color w:val="auto"/>
        </w:rPr>
        <w:t>Autillion</w:t>
      </w:r>
      <w:r>
        <w:rPr>
          <w:rFonts w:ascii="Arial" w:cs="Arial" w:eastAsia="Arial" w:hAnsi="Arial"/>
          <w:sz w:val="12"/>
          <w:szCs w:val="12"/>
          <w:color w:val="auto"/>
        </w:rPr>
        <w:t>”) pursuant to that certain Securities Purchase Agreement dated as of April 8, 2013 between the Company and</w:t>
      </w:r>
      <w:r>
        <w:rPr>
          <w:rFonts w:ascii="Arial" w:cs="Arial" w:eastAsia="Arial" w:hAnsi="Arial"/>
          <w:sz w:val="12"/>
          <w:szCs w:val="12"/>
          <w:i w:val="1"/>
          <w:iCs w:val="1"/>
          <w:color w:val="auto"/>
        </w:rPr>
        <w:t xml:space="preserve"> </w:t>
      </w:r>
      <w:r>
        <w:rPr>
          <w:rFonts w:ascii="Arial" w:cs="Arial" w:eastAsia="Arial" w:hAnsi="Arial"/>
          <w:sz w:val="12"/>
          <w:szCs w:val="12"/>
          <w:color w:val="auto"/>
        </w:rPr>
        <w:t>Autillion prior to the first Closing, and after the effective date of the Registration Statement, the Company shall pay the Placement Agent an additional non-refundable financial advisory fee equal to Five Hundred Thousand Dollars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266065</wp:posOffset>
            </wp:positionV>
            <wp:extent cx="7299325" cy="18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56"/>
          </w:cols>
          <w:pgMar w:left="644" w:top="554" w:right="199" w:bottom="1440" w:gutter="0" w:footer="0" w:header="0"/>
        </w:sectPr>
      </w:pPr>
    </w:p>
    <w:bookmarkStart w:id="230" w:name="page231"/>
    <w:bookmarkEnd w:id="230"/>
    <w:p>
      <w:pPr>
        <w:spacing w:after="0"/>
        <w:rPr>
          <w:sz w:val="20"/>
          <w:szCs w:val="20"/>
          <w:color w:val="auto"/>
        </w:rPr>
      </w:pPr>
      <w:r>
        <w:rPr>
          <w:rFonts w:ascii="Arial" w:cs="Arial" w:eastAsia="Arial" w:hAnsi="Arial"/>
          <w:sz w:val="12"/>
          <w:szCs w:val="12"/>
          <w:b w:val="1"/>
          <w:bCs w:val="1"/>
          <w:color w:val="auto"/>
        </w:rPr>
        <w:t>Section 4. Costs and Expenses</w:t>
      </w:r>
      <w:r>
        <w:rPr>
          <w:rFonts w:ascii="Arial" w:cs="Arial" w:eastAsia="Arial" w:hAnsi="Arial"/>
          <w:sz w:val="12"/>
          <w:szCs w:val="12"/>
          <w:color w:val="auto"/>
        </w:rPr>
        <w:t>.</w:t>
      </w:r>
    </w:p>
    <w:p>
      <w:pPr>
        <w:spacing w:after="0" w:line="172" w:lineRule="exact"/>
        <w:rPr>
          <w:sz w:val="20"/>
          <w:szCs w:val="20"/>
          <w:color w:val="auto"/>
        </w:rPr>
      </w:pPr>
    </w:p>
    <w:p>
      <w:pPr>
        <w:jc w:val="both"/>
        <w:ind w:firstLine="424"/>
        <w:spacing w:after="0" w:line="276" w:lineRule="auto"/>
        <w:tabs>
          <w:tab w:leader="none" w:pos="941" w:val="left"/>
        </w:tabs>
        <w:numPr>
          <w:ilvl w:val="0"/>
          <w:numId w:val="134"/>
        </w:numPr>
        <w:rPr>
          <w:rFonts w:ascii="Arial" w:cs="Arial" w:eastAsia="Arial" w:hAnsi="Arial"/>
          <w:sz w:val="11"/>
          <w:szCs w:val="11"/>
          <w:color w:val="auto"/>
        </w:rPr>
      </w:pPr>
      <w:r>
        <w:rPr>
          <w:rFonts w:ascii="Arial" w:cs="Arial" w:eastAsia="Arial" w:hAnsi="Arial"/>
          <w:sz w:val="11"/>
          <w:szCs w:val="11"/>
          <w:i w:val="1"/>
          <w:iCs w:val="1"/>
          <w:color w:val="auto"/>
        </w:rPr>
        <w:t xml:space="preserve">Offering Expenses. </w:t>
      </w:r>
      <w:r>
        <w:rPr>
          <w:rFonts w:ascii="Arial" w:cs="Arial" w:eastAsia="Arial" w:hAnsi="Arial"/>
          <w:sz w:val="11"/>
          <w:szCs w:val="11"/>
          <w:color w:val="auto"/>
        </w:rPr>
        <w:t>The Company, whether or not the transactions contemplated hereunder are consummated or this Agreement is terminated, will pay or reimburse if paid by the Placement Agent, all actual reasonable</w:t>
      </w:r>
      <w:r>
        <w:rPr>
          <w:rFonts w:ascii="Arial" w:cs="Arial" w:eastAsia="Arial" w:hAnsi="Arial"/>
          <w:sz w:val="11"/>
          <w:szCs w:val="11"/>
          <w:i w:val="1"/>
          <w:iCs w:val="1"/>
          <w:color w:val="auto"/>
        </w:rPr>
        <w:t xml:space="preserve"> </w:t>
      </w:r>
      <w:r>
        <w:rPr>
          <w:rFonts w:ascii="Arial" w:cs="Arial" w:eastAsia="Arial" w:hAnsi="Arial"/>
          <w:sz w:val="11"/>
          <w:szCs w:val="11"/>
          <w:color w:val="auto"/>
        </w:rPr>
        <w:t>out of pocket costs and expenses incident to the performance of the obligations of the Company under this Agreement and in connection with the transactions contemplated hereby, including without limitation, (i) all filing fees and communication expenses relating to the registration of the Securities to be sold in the Offering with the Commission; (ii) all Public Filing System filing fees and Placement Agent’s legal fees associated with the review of the Offering by FINRA; (iii) all fees, expenses and disbursements relating to the registration or qualification of such Securities under the “blue sky” securities laws of such states and other jurisdictions as the Placement Agent may reasonably designate (including, without limitation, all filing and registration fees, and the reasonable fees and disbursements of “blue sky” counsel not including any filing and registration fees); (iv) all fees, expenses and disbursements relating to the registration, qualification or exemption of such Securities under the securities laws of such foreign jurisdictions as the Placement Agent may reasonably designate; (v) the costs of all mailing, printing and distribution of the placement agent documents (including, without limitation, this Agreement, any Blue Sky Surveys and, if appropriate, any Agreement Among Placement Agents, Selected Dealers’ Agreement, Placement Agent’s Questionnaire and Power of Attorney), Registration Statements, Prospectuses and all amendments, supplements and exhibits thereto and as many preliminary and final Prospectuses as the Placement Agent may reasonably deem necessary; (vi) the costs and expenses of a public relations firm; (vii) the costs of preparing, printing and delivering certificates representing the Securities; (viii) fees and expenses of the transfer agent for the Common Stock; (ix) stock transfer and/or stamp taxes, if any, payable upon the transfer of securities from the Company to the Placement Agent; (x) the costs associated with computer diskettes or other digital compilations of the public offering materials as well as commemorative mementos and lucite tombstones, each of which the Company or its designee will provide within a reasonable time after such Closing in such quantities as the Placement Agent may reasonably request; (xi) the fees and expenses of the Company’s accountants; (xii) the fees and expenses of the Company’s legal counsel and other agents and representatives; (xiii) the cost of listing the Securities on any exchange or automated quotation system on which the Company’s Common Stock is then traded or quoted, as the case may be (xiv) fees, disbursements and other charges of Placement Agent’s legal counsel and other advisors if such counsel or advisory services, as the case may be, have been approved by the Company, which such approval shall not be unreasonably withheld; (xv) all travel expenses of the Placement Agent incurred in connection with the transactions contemplated by this Agreement; and (xvii) any other expenses incurred by the Placement Agent in connection with the Offering or any other transaction contemplated by this Agreement, provided that any expense in an individual amount of in excess of $5,000 shall have been pre-approved by the Company, which such approval shall not have been unreasonably withheld. The Placement Agent acknowledges that the Company has paid a non-refundable fee equal to $10,000 prior to the date hereof.</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5. Conditions of Placement Agent’s Obligations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obligations of the Placement Agent hereunder are subject to the following conditions:</w:t>
      </w:r>
    </w:p>
    <w:p>
      <w:pPr>
        <w:spacing w:after="0" w:line="168" w:lineRule="exact"/>
        <w:rPr>
          <w:sz w:val="20"/>
          <w:szCs w:val="20"/>
          <w:color w:val="auto"/>
        </w:rPr>
      </w:pPr>
    </w:p>
    <w:p>
      <w:pPr>
        <w:jc w:val="both"/>
        <w:ind w:left="100" w:firstLine="432"/>
        <w:spacing w:after="0" w:line="283" w:lineRule="auto"/>
        <w:tabs>
          <w:tab w:leader="none" w:pos="975" w:val="left"/>
        </w:tabs>
        <w:numPr>
          <w:ilvl w:val="0"/>
          <w:numId w:val="135"/>
        </w:numPr>
        <w:rPr>
          <w:rFonts w:ascii="Arial" w:cs="Arial" w:eastAsia="Arial" w:hAnsi="Arial"/>
          <w:sz w:val="11"/>
          <w:szCs w:val="11"/>
          <w:color w:val="auto"/>
        </w:rPr>
      </w:pPr>
      <w:r>
        <w:rPr>
          <w:rFonts w:ascii="Arial" w:cs="Arial" w:eastAsia="Arial" w:hAnsi="Arial"/>
          <w:sz w:val="11"/>
          <w:szCs w:val="11"/>
          <w:i w:val="1"/>
          <w:iCs w:val="1"/>
          <w:color w:val="auto"/>
        </w:rPr>
        <w:t xml:space="preserve">Effectiveness of Registration Statement; Rule 430A Information. </w:t>
      </w:r>
      <w:r>
        <w:rPr>
          <w:rFonts w:ascii="Arial" w:cs="Arial" w:eastAsia="Arial" w:hAnsi="Arial"/>
          <w:sz w:val="11"/>
          <w:szCs w:val="11"/>
          <w:color w:val="auto"/>
        </w:rPr>
        <w:t>The Registration Statement has become effective not later than 5:00 p.m., Eastern time, on the date of this Agreement or such later date and time as shall</w:t>
      </w:r>
      <w:r>
        <w:rPr>
          <w:rFonts w:ascii="Arial" w:cs="Arial" w:eastAsia="Arial" w:hAnsi="Arial"/>
          <w:sz w:val="11"/>
          <w:szCs w:val="11"/>
          <w:i w:val="1"/>
          <w:iCs w:val="1"/>
          <w:color w:val="auto"/>
        </w:rPr>
        <w:t xml:space="preserve"> </w:t>
      </w:r>
      <w:r>
        <w:rPr>
          <w:rFonts w:ascii="Arial" w:cs="Arial" w:eastAsia="Arial" w:hAnsi="Arial"/>
          <w:sz w:val="11"/>
          <w:szCs w:val="11"/>
          <w:color w:val="auto"/>
        </w:rPr>
        <w:t>be consented to in writing by you, and, at such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 prospectus containing the information permitted to be omitted from the Registration Statement by Rule 430A (“</w:t>
      </w:r>
      <w:r>
        <w:rPr>
          <w:rFonts w:ascii="Arial" w:cs="Arial" w:eastAsia="Arial" w:hAnsi="Arial"/>
          <w:sz w:val="11"/>
          <w:szCs w:val="11"/>
          <w:i w:val="1"/>
          <w:iCs w:val="1"/>
          <w:color w:val="auto"/>
        </w:rPr>
        <w:t>Rule 430A</w:t>
      </w:r>
      <w:r>
        <w:rPr>
          <w:rFonts w:ascii="Arial" w:cs="Arial" w:eastAsia="Arial" w:hAnsi="Arial"/>
          <w:sz w:val="11"/>
          <w:szCs w:val="11"/>
          <w:color w:val="auto"/>
        </w:rPr>
        <w:t xml:space="preserve"> </w:t>
      </w:r>
      <w:r>
        <w:rPr>
          <w:rFonts w:ascii="Arial" w:cs="Arial" w:eastAsia="Arial" w:hAnsi="Arial"/>
          <w:sz w:val="11"/>
          <w:szCs w:val="11"/>
          <w:i w:val="1"/>
          <w:iCs w:val="1"/>
          <w:color w:val="auto"/>
        </w:rPr>
        <w:t>Information</w:t>
      </w:r>
      <w:r>
        <w:rPr>
          <w:rFonts w:ascii="Arial" w:cs="Arial" w:eastAsia="Arial" w:hAnsi="Arial"/>
          <w:sz w:val="11"/>
          <w:szCs w:val="11"/>
          <w:color w:val="auto"/>
        </w:rPr>
        <w:t>”) shall have been filed with the Commission in the manner and within the time frame required by Rule 424(b) under the Regulations (without reliance on Rule 424(b)(8)) or a post-effective amendment providing such</w:t>
      </w:r>
      <w:r>
        <w:rPr>
          <w:rFonts w:ascii="Arial" w:cs="Arial" w:eastAsia="Arial" w:hAnsi="Arial"/>
          <w:sz w:val="11"/>
          <w:szCs w:val="11"/>
          <w:i w:val="1"/>
          <w:iCs w:val="1"/>
          <w:color w:val="auto"/>
        </w:rPr>
        <w:t xml:space="preserve"> </w:t>
      </w:r>
      <w:r>
        <w:rPr>
          <w:rFonts w:ascii="Arial" w:cs="Arial" w:eastAsia="Arial" w:hAnsi="Arial"/>
          <w:sz w:val="11"/>
          <w:szCs w:val="11"/>
          <w:color w:val="auto"/>
        </w:rPr>
        <w:t>information shall have been filed with, and declared effective by, the Commission in accordance with the requirements of Rule 430A under the Regulations.</w:t>
      </w:r>
      <w:r>
        <w:rPr>
          <w:rFonts w:ascii="Arial" w:cs="Arial" w:eastAsia="Arial" w:hAnsi="Arial"/>
          <w:sz w:val="11"/>
          <w:szCs w:val="1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360680</wp:posOffset>
            </wp:positionV>
            <wp:extent cx="7299325" cy="18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31" w:name="page232"/>
    <w:bookmarkEnd w:id="231"/>
    <w:p>
      <w:pPr>
        <w:ind w:left="-432" w:right="20" w:firstLine="432"/>
        <w:spacing w:after="0" w:line="276" w:lineRule="auto"/>
        <w:tabs>
          <w:tab w:leader="none" w:pos="476" w:val="left"/>
        </w:tabs>
        <w:numPr>
          <w:ilvl w:val="0"/>
          <w:numId w:val="136"/>
        </w:numPr>
        <w:rPr>
          <w:rFonts w:ascii="Arial" w:cs="Arial" w:eastAsia="Arial" w:hAnsi="Arial"/>
          <w:sz w:val="12"/>
          <w:szCs w:val="12"/>
          <w:color w:val="auto"/>
        </w:rPr>
      </w:pPr>
      <w:r>
        <w:rPr>
          <w:rFonts w:ascii="Arial" w:cs="Arial" w:eastAsia="Arial" w:hAnsi="Arial"/>
          <w:sz w:val="12"/>
          <w:szCs w:val="12"/>
          <w:i w:val="1"/>
          <w:iCs w:val="1"/>
          <w:color w:val="auto"/>
        </w:rPr>
        <w:t>Abbreviated Registration Statement</w:t>
      </w:r>
      <w:r>
        <w:rPr>
          <w:rFonts w:ascii="Arial" w:cs="Arial" w:eastAsia="Arial" w:hAnsi="Arial"/>
          <w:sz w:val="12"/>
          <w:szCs w:val="12"/>
          <w:color w:val="auto"/>
        </w:rPr>
        <w:t>. If the Company has elected to rely upon Rule 462(b), the registration statement filed under Rule 462(b) shall have become effective under the Securities Act by 8:00 a.m., Eastern</w:t>
      </w:r>
      <w:r>
        <w:rPr>
          <w:rFonts w:ascii="Arial" w:cs="Arial" w:eastAsia="Arial" w:hAnsi="Arial"/>
          <w:sz w:val="12"/>
          <w:szCs w:val="12"/>
          <w:i w:val="1"/>
          <w:iCs w:val="1"/>
          <w:color w:val="auto"/>
        </w:rPr>
        <w:t xml:space="preserve"> </w:t>
      </w:r>
      <w:r>
        <w:rPr>
          <w:rFonts w:ascii="Arial" w:cs="Arial" w:eastAsia="Arial" w:hAnsi="Arial"/>
          <w:sz w:val="12"/>
          <w:szCs w:val="12"/>
          <w:color w:val="auto"/>
        </w:rPr>
        <w:t>time, on the business day next succeeding the date of this Agreement.</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478" w:val="left"/>
        </w:tabs>
        <w:numPr>
          <w:ilvl w:val="0"/>
          <w:numId w:val="136"/>
        </w:numPr>
        <w:rPr>
          <w:rFonts w:ascii="Arial" w:cs="Arial" w:eastAsia="Arial" w:hAnsi="Arial"/>
          <w:sz w:val="12"/>
          <w:szCs w:val="12"/>
          <w:color w:val="auto"/>
        </w:rPr>
      </w:pPr>
      <w:r>
        <w:rPr>
          <w:rFonts w:ascii="Arial" w:cs="Arial" w:eastAsia="Arial" w:hAnsi="Arial"/>
          <w:sz w:val="12"/>
          <w:szCs w:val="12"/>
          <w:i w:val="1"/>
          <w:iCs w:val="1"/>
          <w:color w:val="auto"/>
        </w:rPr>
        <w:t>Action Preventing Issuance</w:t>
      </w:r>
      <w:r>
        <w:rPr>
          <w:rFonts w:ascii="Arial" w:cs="Arial" w:eastAsia="Arial" w:hAnsi="Arial"/>
          <w:sz w:val="12"/>
          <w:szCs w:val="12"/>
          <w:color w:val="auto"/>
        </w:rPr>
        <w:t>. No action shall have been taken and no statute, rule, regulation or order shall have been enacted, adopted or issued by any governmental agency or body which would, as of such Closing</w:t>
      </w:r>
      <w:r>
        <w:rPr>
          <w:rFonts w:ascii="Arial" w:cs="Arial" w:eastAsia="Arial" w:hAnsi="Arial"/>
          <w:sz w:val="12"/>
          <w:szCs w:val="12"/>
          <w:i w:val="1"/>
          <w:iCs w:val="1"/>
          <w:color w:val="auto"/>
        </w:rPr>
        <w:t xml:space="preserve"> </w:t>
      </w:r>
      <w:r>
        <w:rPr>
          <w:rFonts w:ascii="Arial" w:cs="Arial" w:eastAsia="Arial" w:hAnsi="Arial"/>
          <w:sz w:val="12"/>
          <w:szCs w:val="12"/>
          <w:color w:val="auto"/>
        </w:rPr>
        <w:t>Date, prevent the issuance or sale of the Securities (or the issuance of securities upon the exercise thereof); and no injunction, restraining order or order of any other nature by any federal or state court of competent jurisdiction shall have been issued as of such Closing Date which would prevent the issuance or sale of the Securities.</w:t>
      </w:r>
    </w:p>
    <w:p>
      <w:pPr>
        <w:spacing w:after="0" w:line="140" w:lineRule="exact"/>
        <w:rPr>
          <w:rFonts w:ascii="Arial" w:cs="Arial" w:eastAsia="Arial" w:hAnsi="Arial"/>
          <w:sz w:val="12"/>
          <w:szCs w:val="12"/>
          <w:color w:val="auto"/>
        </w:rPr>
      </w:pPr>
    </w:p>
    <w:p>
      <w:pPr>
        <w:jc w:val="both"/>
        <w:ind w:left="-432" w:firstLine="432"/>
        <w:spacing w:after="0" w:line="298" w:lineRule="auto"/>
        <w:tabs>
          <w:tab w:leader="none" w:pos="467" w:val="left"/>
        </w:tabs>
        <w:numPr>
          <w:ilvl w:val="0"/>
          <w:numId w:val="136"/>
        </w:numPr>
        <w:rPr>
          <w:rFonts w:ascii="Arial" w:cs="Arial" w:eastAsia="Arial" w:hAnsi="Arial"/>
          <w:sz w:val="11"/>
          <w:szCs w:val="11"/>
          <w:color w:val="auto"/>
        </w:rPr>
      </w:pPr>
      <w:r>
        <w:rPr>
          <w:rFonts w:ascii="Arial" w:cs="Arial" w:eastAsia="Arial" w:hAnsi="Arial"/>
          <w:sz w:val="11"/>
          <w:szCs w:val="11"/>
          <w:i w:val="1"/>
          <w:iCs w:val="1"/>
          <w:color w:val="auto"/>
        </w:rPr>
        <w:t>Objection of Placement Agent</w:t>
      </w:r>
      <w:r>
        <w:rPr>
          <w:rFonts w:ascii="Arial" w:cs="Arial" w:eastAsia="Arial" w:hAnsi="Arial"/>
          <w:sz w:val="11"/>
          <w:szCs w:val="11"/>
          <w:color w:val="auto"/>
        </w:rPr>
        <w:t>. No Prospectus or amendment or supplement to the Registration Statement shall have been filed to which the Placement Agent shall have objected in writing. The Placement Agent shall</w:t>
      </w:r>
      <w:r>
        <w:rPr>
          <w:rFonts w:ascii="Arial" w:cs="Arial" w:eastAsia="Arial" w:hAnsi="Arial"/>
          <w:sz w:val="11"/>
          <w:szCs w:val="11"/>
          <w:i w:val="1"/>
          <w:iCs w:val="1"/>
          <w:color w:val="auto"/>
        </w:rPr>
        <w:t xml:space="preserve"> </w:t>
      </w:r>
      <w:r>
        <w:rPr>
          <w:rFonts w:ascii="Arial" w:cs="Arial" w:eastAsia="Arial" w:hAnsi="Arial"/>
          <w:sz w:val="11"/>
          <w:szCs w:val="11"/>
          <w:color w:val="auto"/>
        </w:rPr>
        <w:t>not have advised the Company that the Registration Statement or the Disclosure Documents, or any amendment thereof or supplement thereto, or any Free Writing Prospectus contains an untrue statement of fact which, in its opinion, is material, or omits to state a fact which, in its opinion, is material and is required to be stated therein or necessary to make the statements therein, in light of the circumstances under which they were made, not misleading.</w:t>
      </w:r>
    </w:p>
    <w:p>
      <w:pPr>
        <w:spacing w:after="0" w:line="123" w:lineRule="exact"/>
        <w:rPr>
          <w:rFonts w:ascii="Arial" w:cs="Arial" w:eastAsia="Arial" w:hAnsi="Arial"/>
          <w:sz w:val="11"/>
          <w:szCs w:val="11"/>
          <w:color w:val="auto"/>
        </w:rPr>
      </w:pPr>
    </w:p>
    <w:p>
      <w:pPr>
        <w:jc w:val="both"/>
        <w:ind w:left="-432" w:firstLine="432"/>
        <w:spacing w:after="0" w:line="279" w:lineRule="auto"/>
        <w:tabs>
          <w:tab w:leader="none" w:pos="433" w:val="left"/>
        </w:tabs>
        <w:numPr>
          <w:ilvl w:val="0"/>
          <w:numId w:val="136"/>
        </w:numPr>
        <w:rPr>
          <w:rFonts w:ascii="Arial" w:cs="Arial" w:eastAsia="Arial" w:hAnsi="Arial"/>
          <w:sz w:val="11"/>
          <w:szCs w:val="11"/>
          <w:color w:val="auto"/>
        </w:rPr>
      </w:pPr>
      <w:r>
        <w:rPr>
          <w:rFonts w:ascii="Arial" w:cs="Arial" w:eastAsia="Arial" w:hAnsi="Arial"/>
          <w:sz w:val="11"/>
          <w:szCs w:val="11"/>
          <w:i w:val="1"/>
          <w:iCs w:val="1"/>
          <w:color w:val="auto"/>
        </w:rPr>
        <w:t>No Material Adverse Change</w:t>
      </w:r>
      <w:r>
        <w:rPr>
          <w:rFonts w:ascii="Arial" w:cs="Arial" w:eastAsia="Arial" w:hAnsi="Arial"/>
          <w:sz w:val="11"/>
          <w:szCs w:val="11"/>
          <w:color w:val="auto"/>
        </w:rPr>
        <w:t>. (i) Prior to such Closing, there shall not have occurred any change, or any development involving a prospective change, in the condition, financial or otherwise, or in the earnings,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prospects or operations of the Company from that set forth in the Disclosure Documents that, in the Placement Agent’s reasonable judgment, is material and adverse and that makes it, in the Placement Agent’s reasonable judgment, impracticable to market the Securities on the terms and in the manner contemplated in the Disclosure Documents. There shall not have occurred any of the following: (i) a suspension or material limitation in trading in securities generally on the New York Stock Exchange, the NASDAQ Stock Market, the NASDAQ Global Select Market, the NASDAQ Global Market, the NASDAQ Capital Market, US Alternext LLC or the over the counter market or the establishing on such exchanges or market by the SEC or by such exchanges or markets of minimum or maximum prices that are not in force and effect on the date hereof; (ii) a suspension or material limitation in trading in the Company’s securities on any exchange or market or the establishing on any such market or exchange by the SEC or by such market of minimum or maximum prices that are not in force and effect on the date hereof; (iii) a general moratorium on commercial banking activities declared by either federal or any state authorities; (iv) the outbreak or escalation of hostilities involving the United States or the declaration by the United States of a national emergency or war, which in the Placement Agent’s reasonable judgment makes it impracticable or inadvisable to proceed with the public offering or the delivery of the Securities in the manner contemplated in the Prospectus; or (v) any calamity or crisis, change in national, international or world affairs, act of God, change in the international or domestic markets, or change in the existing financial, political or economic conditions in the United States or elsewhere, that in the Placement Agent’s reasonable judgment makes it impracticable or inadvisable to proceed with the public offering or the delivery of the Securities in the manner contemplated in each of the Disclosure Documents.</w:t>
      </w:r>
    </w:p>
    <w:p>
      <w:pPr>
        <w:spacing w:after="0" w:line="132" w:lineRule="exact"/>
        <w:rPr>
          <w:rFonts w:ascii="Arial" w:cs="Arial" w:eastAsia="Arial" w:hAnsi="Arial"/>
          <w:sz w:val="11"/>
          <w:szCs w:val="11"/>
          <w:color w:val="auto"/>
        </w:rPr>
      </w:pPr>
    </w:p>
    <w:p>
      <w:pPr>
        <w:jc w:val="both"/>
        <w:ind w:left="-432" w:firstLine="432"/>
        <w:spacing w:after="0" w:line="263" w:lineRule="auto"/>
        <w:tabs>
          <w:tab w:leader="none" w:pos="456" w:val="left"/>
        </w:tabs>
        <w:numPr>
          <w:ilvl w:val="0"/>
          <w:numId w:val="136"/>
        </w:numPr>
        <w:rPr>
          <w:rFonts w:ascii="Arial" w:cs="Arial" w:eastAsia="Arial" w:hAnsi="Arial"/>
          <w:sz w:val="12"/>
          <w:szCs w:val="12"/>
          <w:color w:val="auto"/>
        </w:rPr>
      </w:pPr>
      <w:r>
        <w:rPr>
          <w:rFonts w:ascii="Arial" w:cs="Arial" w:eastAsia="Arial" w:hAnsi="Arial"/>
          <w:sz w:val="12"/>
          <w:szCs w:val="12"/>
          <w:i w:val="1"/>
          <w:iCs w:val="1"/>
          <w:color w:val="auto"/>
        </w:rPr>
        <w:t>Representations and Warranties</w:t>
      </w:r>
      <w:r>
        <w:rPr>
          <w:rFonts w:ascii="Arial" w:cs="Arial" w:eastAsia="Arial" w:hAnsi="Arial"/>
          <w:sz w:val="12"/>
          <w:szCs w:val="12"/>
          <w:color w:val="auto"/>
        </w:rPr>
        <w:t>. Each of the representations and warranties of the Company contained herein shall be true and correct when made and on and as of such Closing Date, as if made on such date (except</w:t>
      </w:r>
      <w:r>
        <w:rPr>
          <w:rFonts w:ascii="Arial" w:cs="Arial" w:eastAsia="Arial" w:hAnsi="Arial"/>
          <w:sz w:val="12"/>
          <w:szCs w:val="12"/>
          <w:i w:val="1"/>
          <w:iCs w:val="1"/>
          <w:color w:val="auto"/>
        </w:rPr>
        <w:t xml:space="preserve"> </w:t>
      </w:r>
      <w:r>
        <w:rPr>
          <w:rFonts w:ascii="Arial" w:cs="Arial" w:eastAsia="Arial" w:hAnsi="Arial"/>
          <w:sz w:val="12"/>
          <w:szCs w:val="12"/>
          <w:color w:val="auto"/>
        </w:rPr>
        <w:t>that those representations and warranties that address matters only as of a particular date shall remain true and correct as of such date), and all covenants and agreements herein contained to be performed on the part of the Company and all conditions herein contained to be fulfilled or complied with by the Company at or prior to such Closing Date shall have been duly performed, fulfilled or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366395</wp:posOffset>
            </wp:positionV>
            <wp:extent cx="7299325" cy="1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32" w:name="page233"/>
    <w:bookmarkEnd w:id="232"/>
    <w:p>
      <w:pPr>
        <w:jc w:val="both"/>
        <w:ind w:left="-432" w:firstLine="432"/>
        <w:spacing w:after="0" w:line="257" w:lineRule="auto"/>
        <w:tabs>
          <w:tab w:leader="none" w:pos="539" w:val="left"/>
        </w:tabs>
        <w:numPr>
          <w:ilvl w:val="0"/>
          <w:numId w:val="137"/>
        </w:numPr>
        <w:rPr>
          <w:rFonts w:ascii="Arial" w:cs="Arial" w:eastAsia="Arial" w:hAnsi="Arial"/>
          <w:sz w:val="12"/>
          <w:szCs w:val="12"/>
          <w:color w:val="auto"/>
        </w:rPr>
      </w:pPr>
      <w:r>
        <w:rPr>
          <w:rFonts w:ascii="Arial" w:cs="Arial" w:eastAsia="Arial" w:hAnsi="Arial"/>
          <w:sz w:val="12"/>
          <w:szCs w:val="12"/>
          <w:i w:val="1"/>
          <w:iCs w:val="1"/>
          <w:color w:val="auto"/>
        </w:rPr>
        <w:t>Opinion of Counsel to the Company</w:t>
      </w:r>
      <w:r>
        <w:rPr>
          <w:rFonts w:ascii="Arial" w:cs="Arial" w:eastAsia="Arial" w:hAnsi="Arial"/>
          <w:sz w:val="12"/>
          <w:szCs w:val="12"/>
          <w:color w:val="auto"/>
        </w:rPr>
        <w:t>. The Placement Agent shall have received from (i) The Disclosure Law Group, such counsel’s written opinion, addressed to the Placement Agent and the Investors acquiring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Securities from the Company on such Closing Date pursuant to a Subscription Agreement and dated such Closing Date, in substantially the form as is set forth on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and (ii) Morrison &amp; Foerster LLP, intellectual property counsel to the Company, such counsel’s written opinion, addressed to the Placement Agent and the Investors acquiring Securities from the Company on such Closing Date pursuant to a Subscription Agreement and dated such Closing Date, in substantially the form as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attached hereto. The Disclosure Law Group shall also have furnished to the Placement Agent a written statement, addressed to the Placement Agent and dated such Closing Date, in substantially the form as is set forth on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attached hereto.</w:t>
      </w:r>
    </w:p>
    <w:p>
      <w:pPr>
        <w:spacing w:after="0" w:line="143" w:lineRule="exact"/>
        <w:rPr>
          <w:rFonts w:ascii="Arial" w:cs="Arial" w:eastAsia="Arial" w:hAnsi="Arial"/>
          <w:sz w:val="12"/>
          <w:szCs w:val="12"/>
          <w:color w:val="auto"/>
        </w:rPr>
      </w:pPr>
    </w:p>
    <w:p>
      <w:pPr>
        <w:ind w:left="-432" w:right="20" w:firstLine="432"/>
        <w:spacing w:after="0" w:line="276" w:lineRule="auto"/>
        <w:tabs>
          <w:tab w:leader="none" w:pos="449" w:val="left"/>
        </w:tabs>
        <w:numPr>
          <w:ilvl w:val="0"/>
          <w:numId w:val="137"/>
        </w:numPr>
        <w:rPr>
          <w:rFonts w:ascii="Arial" w:cs="Arial" w:eastAsia="Arial" w:hAnsi="Arial"/>
          <w:sz w:val="12"/>
          <w:szCs w:val="12"/>
          <w:color w:val="auto"/>
        </w:rPr>
      </w:pPr>
      <w:r>
        <w:rPr>
          <w:rFonts w:ascii="Arial" w:cs="Arial" w:eastAsia="Arial" w:hAnsi="Arial"/>
          <w:sz w:val="12"/>
          <w:szCs w:val="12"/>
          <w:i w:val="1"/>
          <w:iCs w:val="1"/>
          <w:color w:val="auto"/>
        </w:rPr>
        <w:t>Officer’s Certificate</w:t>
      </w:r>
      <w:r>
        <w:rPr>
          <w:rFonts w:ascii="Arial" w:cs="Arial" w:eastAsia="Arial" w:hAnsi="Arial"/>
          <w:sz w:val="12"/>
          <w:szCs w:val="12"/>
          <w:color w:val="auto"/>
        </w:rPr>
        <w:t>. The Placement Agent shall have received on such Closing Date a certificate, addressed to the Placement Agent and dated such Closing Date, of the chief executive or chief operating officer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chief financial officer or chief accounting officer of the Company to the effect that:</w:t>
      </w:r>
    </w:p>
    <w:p>
      <w:pPr>
        <w:spacing w:after="0" w:line="132" w:lineRule="exact"/>
        <w:rPr>
          <w:rFonts w:ascii="Arial" w:cs="Arial" w:eastAsia="Arial" w:hAnsi="Arial"/>
          <w:sz w:val="12"/>
          <w:szCs w:val="12"/>
          <w:color w:val="auto"/>
        </w:rPr>
      </w:pPr>
    </w:p>
    <w:p>
      <w:pPr>
        <w:jc w:val="both"/>
        <w:ind w:left="-112" w:firstLine="437"/>
        <w:spacing w:after="0" w:line="298" w:lineRule="auto"/>
        <w:tabs>
          <w:tab w:leader="none" w:pos="469" w:val="left"/>
        </w:tabs>
        <w:numPr>
          <w:ilvl w:val="1"/>
          <w:numId w:val="137"/>
        </w:numPr>
        <w:rPr>
          <w:rFonts w:ascii="Arial" w:cs="Arial" w:eastAsia="Arial" w:hAnsi="Arial"/>
          <w:sz w:val="11"/>
          <w:szCs w:val="11"/>
          <w:color w:val="auto"/>
        </w:rPr>
      </w:pPr>
      <w:r>
        <w:rPr>
          <w:rFonts w:ascii="Arial" w:cs="Arial" w:eastAsia="Arial" w:hAnsi="Arial"/>
          <w:sz w:val="11"/>
          <w:szCs w:val="11"/>
          <w:color w:val="auto"/>
        </w:rPr>
        <w:t>each of the representations, warranties and agreements of the Company in this Agreement were true and correct when originally made and are true and correct as of the time of receipt and acceptance of an executed Subscription Agreement (“</w:t>
      </w:r>
      <w:r>
        <w:rPr>
          <w:rFonts w:ascii="Arial" w:cs="Arial" w:eastAsia="Arial" w:hAnsi="Arial"/>
          <w:sz w:val="11"/>
          <w:szCs w:val="11"/>
          <w:i w:val="1"/>
          <w:iCs w:val="1"/>
          <w:color w:val="auto"/>
        </w:rPr>
        <w:t>Time of Sale</w:t>
      </w:r>
      <w:r>
        <w:rPr>
          <w:rFonts w:ascii="Arial" w:cs="Arial" w:eastAsia="Arial" w:hAnsi="Arial"/>
          <w:sz w:val="11"/>
          <w:szCs w:val="11"/>
          <w:color w:val="auto"/>
        </w:rPr>
        <w:t>”) and such Closing Date (except that those representations and warranties that address matters only as of a particular date shall remain true and correct as of such date); and the Company has complied in all material respects with all agreements and satisfied all the conditions on its part required under this Agreement to be performed or satisfied at or prior to such Closing Date;</w:t>
      </w:r>
    </w:p>
    <w:p>
      <w:pPr>
        <w:spacing w:after="0" w:line="123" w:lineRule="exact"/>
        <w:rPr>
          <w:rFonts w:ascii="Arial" w:cs="Arial" w:eastAsia="Arial" w:hAnsi="Arial"/>
          <w:sz w:val="11"/>
          <w:szCs w:val="11"/>
          <w:color w:val="auto"/>
        </w:rPr>
      </w:pPr>
    </w:p>
    <w:p>
      <w:pPr>
        <w:jc w:val="both"/>
        <w:ind w:left="-112" w:firstLine="437"/>
        <w:spacing w:after="0" w:line="281" w:lineRule="auto"/>
        <w:tabs>
          <w:tab w:leader="none" w:pos="499" w:val="left"/>
        </w:tabs>
        <w:numPr>
          <w:ilvl w:val="1"/>
          <w:numId w:val="137"/>
        </w:numPr>
        <w:rPr>
          <w:rFonts w:ascii="Arial" w:cs="Arial" w:eastAsia="Arial" w:hAnsi="Arial"/>
          <w:sz w:val="11"/>
          <w:szCs w:val="11"/>
          <w:color w:val="auto"/>
        </w:rPr>
      </w:pPr>
      <w:r>
        <w:rPr>
          <w:rFonts w:ascii="Arial" w:cs="Arial" w:eastAsia="Arial" w:hAnsi="Arial"/>
          <w:sz w:val="11"/>
          <w:szCs w:val="11"/>
          <w:color w:val="auto"/>
        </w:rPr>
        <w:t>subsequent to the respective dates as of which information is given in the Disclosure Documents, there has not been (A) a material adverse change or any development involving a prospective material adverse change in the general affairs, business, properties, management, prospects, financial condition or results of operations of the Company and the Subsidiaries taken as a whole,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the Subsidiaries, except obligations incurred in the ordinary course of business, (D) except as disclosed in the Disclosure Documents, any change in the capital stock (other than a change in the number of outstanding shares of Common Stock due to the issuance of shares upon the exercise of outstanding options or warrants) or any material change in the short term or long term indebtedness of the Company or any of the Subsidiaries taken as a whole, (E) any dividend or distribution of any kind declared, paid or made on the capital stock of the Company or the Subsidiaries or (F) any loss or damage (whether or not insured) to the property of the Company or its Subsidiaries which has been sustained or will have been sustained which has had or is reasonably likely to result in a Material Adverse Effect;</w:t>
      </w:r>
    </w:p>
    <w:p>
      <w:pPr>
        <w:spacing w:after="0" w:line="134" w:lineRule="exact"/>
        <w:rPr>
          <w:rFonts w:ascii="Arial" w:cs="Arial" w:eastAsia="Arial" w:hAnsi="Arial"/>
          <w:sz w:val="11"/>
          <w:szCs w:val="11"/>
          <w:color w:val="auto"/>
        </w:rPr>
      </w:pPr>
    </w:p>
    <w:p>
      <w:pPr>
        <w:ind w:left="-112" w:firstLine="437"/>
        <w:spacing w:after="0" w:line="323" w:lineRule="auto"/>
        <w:tabs>
          <w:tab w:leader="none" w:pos="532" w:val="left"/>
        </w:tabs>
        <w:numPr>
          <w:ilvl w:val="1"/>
          <w:numId w:val="137"/>
        </w:numPr>
        <w:rPr>
          <w:rFonts w:ascii="Arial" w:cs="Arial" w:eastAsia="Arial" w:hAnsi="Arial"/>
          <w:sz w:val="11"/>
          <w:szCs w:val="11"/>
          <w:color w:val="auto"/>
        </w:rPr>
      </w:pPr>
      <w:r>
        <w:rPr>
          <w:rFonts w:ascii="Arial" w:cs="Arial" w:eastAsia="Arial" w:hAnsi="Arial"/>
          <w:sz w:val="11"/>
          <w:szCs w:val="11"/>
          <w:color w:val="auto"/>
        </w:rPr>
        <w:t>no stop order suspending the effectiveness of the Registration Statement or any part thereof or any amendment thereof or the qualification of the Securities for offering or sale, nor suspending or preventing the use of the Disclosure Documents shall have been issued, and no proceedings for that purpose shall be pending or to their knowledge, threatened by the Commission or any state or regulatory body;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346710</wp:posOffset>
            </wp:positionV>
            <wp:extent cx="7299325" cy="1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33" w:name="page234"/>
    <w:bookmarkEnd w:id="233"/>
    <w:p>
      <w:pPr>
        <w:jc w:val="both"/>
        <w:ind w:left="-112" w:firstLine="437"/>
        <w:spacing w:after="0" w:line="280" w:lineRule="auto"/>
        <w:tabs>
          <w:tab w:leader="none" w:pos="533" w:val="left"/>
        </w:tabs>
        <w:numPr>
          <w:ilvl w:val="1"/>
          <w:numId w:val="138"/>
        </w:numPr>
        <w:rPr>
          <w:rFonts w:ascii="Arial" w:cs="Arial" w:eastAsia="Arial" w:hAnsi="Arial"/>
          <w:sz w:val="11"/>
          <w:szCs w:val="11"/>
          <w:color w:val="auto"/>
        </w:rPr>
      </w:pPr>
      <w:r>
        <w:rPr>
          <w:rFonts w:ascii="Arial" w:cs="Arial" w:eastAsia="Arial" w:hAnsi="Arial"/>
          <w:sz w:val="11"/>
          <w:szCs w:val="11"/>
          <w:color w:val="auto"/>
        </w:rPr>
        <w:t>the signers of said certificate have reviewed the Registration Statement and the Disclosure Documents, and any amendments thereof or supplements thereto (and any documents filed under the Exchange Act and deemed to be incorporated by reference into the Disclosure Documents), and (A) (i) each part of the Registration Statement and any amendment thereof do not and did not contain when the Registration Statement (or such amendment) became effective, any untrue statement of a material fact or omit to state, and did not omit to state when the Registration Statement (or such amendment) became effective, any material fact required to be stated therein or necessary to make the statements therein not misleading and (ii) as of the Time of Sale, the Disclosure Documents contained any untrue statement of material fact or omits to state any material fact necessary to make the statements therein, in light of the circumstances under which they were made, not misleading and (iii) the Prospectus, as amended or supplemented, does not and did not contain, as of its issue date and as of such Closing Date, any untrue statement of material fact or omit to state and did not omit to state as of such date, a material fact necessary to make the statements therein, in light of the circumstances under which they were made, not misleading, and (B) since the Time of Sale, there has occurred no event required to be set forth in an amendment or supplement to the Registration Statement or the Disclosure Documents which has not been so set forth and there has been no document required to be filed under the Exchange Act that upon such filing would be deemed to be incorporated by reference into the Disclosure Documents that has not been so filed.</w:t>
      </w:r>
    </w:p>
    <w:p>
      <w:pPr>
        <w:spacing w:after="0" w:line="134" w:lineRule="exact"/>
        <w:rPr>
          <w:rFonts w:ascii="Arial" w:cs="Arial" w:eastAsia="Arial" w:hAnsi="Arial"/>
          <w:sz w:val="11"/>
          <w:szCs w:val="11"/>
          <w:color w:val="auto"/>
        </w:rPr>
      </w:pPr>
    </w:p>
    <w:p>
      <w:pPr>
        <w:ind w:left="-432" w:firstLine="432"/>
        <w:spacing w:after="0" w:line="276" w:lineRule="auto"/>
        <w:tabs>
          <w:tab w:leader="none" w:pos="431"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Other Filings with the Commission</w:t>
      </w:r>
      <w:r>
        <w:rPr>
          <w:rFonts w:ascii="Arial" w:cs="Arial" w:eastAsia="Arial" w:hAnsi="Arial"/>
          <w:sz w:val="12"/>
          <w:szCs w:val="12"/>
          <w:color w:val="auto"/>
        </w:rPr>
        <w:t>. The Company shall have prepared and filed with the Commission a Current Report on Form 8-K with respect to the transactions contemplated hereby, including as an exhibit thereto</w:t>
      </w:r>
      <w:r>
        <w:rPr>
          <w:rFonts w:ascii="Arial" w:cs="Arial" w:eastAsia="Arial" w:hAnsi="Arial"/>
          <w:sz w:val="12"/>
          <w:szCs w:val="12"/>
          <w:i w:val="1"/>
          <w:iCs w:val="1"/>
          <w:color w:val="auto"/>
        </w:rPr>
        <w:t xml:space="preserve"> </w:t>
      </w:r>
      <w:r>
        <w:rPr>
          <w:rFonts w:ascii="Arial" w:cs="Arial" w:eastAsia="Arial" w:hAnsi="Arial"/>
          <w:sz w:val="12"/>
          <w:szCs w:val="12"/>
          <w:color w:val="auto"/>
        </w:rPr>
        <w:t>this Agreement and any other documents relating thereto.</w:t>
      </w:r>
    </w:p>
    <w:p>
      <w:pPr>
        <w:spacing w:after="0" w:line="132" w:lineRule="exact"/>
        <w:rPr>
          <w:rFonts w:ascii="Arial" w:cs="Arial" w:eastAsia="Arial" w:hAnsi="Arial"/>
          <w:sz w:val="12"/>
          <w:szCs w:val="12"/>
          <w:color w:val="auto"/>
        </w:rPr>
      </w:pPr>
    </w:p>
    <w:p>
      <w:pPr>
        <w:jc w:val="both"/>
        <w:ind w:left="-432" w:firstLine="432"/>
        <w:spacing w:after="0" w:line="263" w:lineRule="auto"/>
        <w:tabs>
          <w:tab w:leader="none" w:pos="494"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No FINRA Objection</w:t>
      </w:r>
      <w:r>
        <w:rPr>
          <w:rFonts w:ascii="Arial" w:cs="Arial" w:eastAsia="Arial" w:hAnsi="Arial"/>
          <w:sz w:val="12"/>
          <w:szCs w:val="12"/>
          <w:color w:val="auto"/>
        </w:rPr>
        <w:t>. FINRA shall not have raised any objection with respect to the fairness and reasonableness of the placement agency terms and arrangements relating to the issuance and sale of the Securities;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that if any such objection is raised, the Company and the Placement Agent shall negotiate promptly and in good faith appropriate modifications to such placement agency terms and arrangements in order to satisfy such objections.</w:t>
      </w:r>
    </w:p>
    <w:p>
      <w:pPr>
        <w:spacing w:after="0" w:line="140" w:lineRule="exact"/>
        <w:rPr>
          <w:rFonts w:ascii="Arial" w:cs="Arial" w:eastAsia="Arial" w:hAnsi="Arial"/>
          <w:sz w:val="12"/>
          <w:szCs w:val="12"/>
          <w:color w:val="auto"/>
        </w:rPr>
      </w:pPr>
    </w:p>
    <w:p>
      <w:pPr>
        <w:jc w:val="both"/>
        <w:ind w:left="-432" w:firstLine="432"/>
        <w:spacing w:after="0" w:line="263" w:lineRule="auto"/>
        <w:tabs>
          <w:tab w:leader="none" w:pos="440"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 xml:space="preserve">Cold Comfort Letter. </w:t>
      </w:r>
      <w:r>
        <w:rPr>
          <w:rFonts w:ascii="Arial" w:cs="Arial" w:eastAsia="Arial" w:hAnsi="Arial"/>
          <w:sz w:val="12"/>
          <w:szCs w:val="12"/>
          <w:color w:val="auto"/>
        </w:rPr>
        <w:t>At the time this Agreement is executed the Placement Agent shall have received a cold comfort letter containing statements and information of the type customarily included in accountants' comfort</w:t>
      </w:r>
      <w:r>
        <w:rPr>
          <w:rFonts w:ascii="Arial" w:cs="Arial" w:eastAsia="Arial" w:hAnsi="Arial"/>
          <w:sz w:val="12"/>
          <w:szCs w:val="12"/>
          <w:i w:val="1"/>
          <w:iCs w:val="1"/>
          <w:color w:val="auto"/>
        </w:rPr>
        <w:t xml:space="preserve"> </w:t>
      </w:r>
      <w:r>
        <w:rPr>
          <w:rFonts w:ascii="Arial" w:cs="Arial" w:eastAsia="Arial" w:hAnsi="Arial"/>
          <w:sz w:val="12"/>
          <w:szCs w:val="12"/>
          <w:color w:val="auto"/>
        </w:rPr>
        <w:t>letters with respect to the financial statements and certain financial information contained in the Registration Statement and the Disclosure Documents, addressed to the Placement Agent and in form and substance satisfactory in all respects to the Placement Agent and to the Auditor dated as of the date of this Agreement.</w:t>
      </w:r>
    </w:p>
    <w:p>
      <w:pPr>
        <w:spacing w:after="0" w:line="140" w:lineRule="exact"/>
        <w:rPr>
          <w:rFonts w:ascii="Arial" w:cs="Arial" w:eastAsia="Arial" w:hAnsi="Arial"/>
          <w:sz w:val="12"/>
          <w:szCs w:val="12"/>
          <w:color w:val="auto"/>
        </w:rPr>
      </w:pPr>
    </w:p>
    <w:p>
      <w:pPr>
        <w:ind w:left="-432" w:firstLine="432"/>
        <w:spacing w:after="0" w:line="276" w:lineRule="auto"/>
        <w:tabs>
          <w:tab w:leader="none" w:pos="413"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Bring-down Comfort Letter</w:t>
      </w:r>
      <w:r>
        <w:rPr>
          <w:rFonts w:ascii="Arial" w:cs="Arial" w:eastAsia="Arial" w:hAnsi="Arial"/>
          <w:sz w:val="12"/>
          <w:szCs w:val="12"/>
          <w:color w:val="auto"/>
        </w:rPr>
        <w:t>. At each Closing, the Placement Agent shall have received from the Auditor a letter, dated as of such Closing, to the effect that the Auditor reaffirms the statements made in its letter furnished</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Section 5(k), except that the specified date referred to shall be a date not more than three (3) business days prior to such Closing.</w:t>
      </w:r>
    </w:p>
    <w:p>
      <w:pPr>
        <w:spacing w:after="0" w:line="132" w:lineRule="exact"/>
        <w:rPr>
          <w:rFonts w:ascii="Arial" w:cs="Arial" w:eastAsia="Arial" w:hAnsi="Arial"/>
          <w:sz w:val="12"/>
          <w:szCs w:val="12"/>
          <w:color w:val="auto"/>
        </w:rPr>
      </w:pPr>
    </w:p>
    <w:p>
      <w:pPr>
        <w:ind w:left="-432" w:firstLine="432"/>
        <w:spacing w:after="0" w:line="276" w:lineRule="auto"/>
        <w:tabs>
          <w:tab w:leader="none" w:pos="536"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 xml:space="preserve">Lock Up. </w:t>
      </w:r>
      <w:r>
        <w:rPr>
          <w:rFonts w:ascii="Arial" w:cs="Arial" w:eastAsia="Arial" w:hAnsi="Arial"/>
          <w:sz w:val="12"/>
          <w:szCs w:val="12"/>
          <w:color w:val="auto"/>
        </w:rPr>
        <w:t>The Company has caused the Company’s officers, directors and each owner of at least 10% of the Company’s outstanding shares of Common Stock (or securities convertible or exercisable into shares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Common Stock) to enter into a letter agreement, substantially in the form attached hereto as </w:t>
      </w:r>
      <w:r>
        <w:rPr>
          <w:rFonts w:ascii="Arial" w:cs="Arial" w:eastAsia="Arial" w:hAnsi="Arial"/>
          <w:sz w:val="12"/>
          <w:szCs w:val="12"/>
          <w:u w:val="single" w:color="auto"/>
          <w:color w:val="auto"/>
        </w:rPr>
        <w:t>Exhibit F</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48" w:hanging="448"/>
        <w:spacing w:after="0"/>
        <w:tabs>
          <w:tab w:leader="none" w:pos="448"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Reservation of Common Stock</w:t>
      </w:r>
      <w:r>
        <w:rPr>
          <w:rFonts w:ascii="Arial" w:cs="Arial" w:eastAsia="Arial" w:hAnsi="Arial"/>
          <w:sz w:val="12"/>
          <w:szCs w:val="12"/>
          <w:color w:val="auto"/>
        </w:rPr>
        <w:t>. The Company shall have reserved from its authorized Common Stock a sufficient number of shares to provide for exercise of all Warrants.</w:t>
      </w:r>
    </w:p>
    <w:p>
      <w:pPr>
        <w:spacing w:after="0" w:line="168" w:lineRule="exact"/>
        <w:rPr>
          <w:rFonts w:ascii="Arial" w:cs="Arial" w:eastAsia="Arial" w:hAnsi="Arial"/>
          <w:sz w:val="12"/>
          <w:szCs w:val="12"/>
          <w:color w:val="auto"/>
        </w:rPr>
      </w:pPr>
    </w:p>
    <w:p>
      <w:pPr>
        <w:ind w:left="448" w:hanging="448"/>
        <w:spacing w:after="0"/>
        <w:tabs>
          <w:tab w:leader="none" w:pos="448"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Blue Sky Filings</w:t>
      </w:r>
      <w:r>
        <w:rPr>
          <w:rFonts w:ascii="Arial" w:cs="Arial" w:eastAsia="Arial" w:hAnsi="Arial"/>
          <w:sz w:val="12"/>
          <w:szCs w:val="12"/>
          <w:color w:val="auto"/>
        </w:rPr>
        <w:t>. All state securities filings required to be made for the issuance and sale of the Securities (including the shares of Common Stock issuable upon exercise thereof)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383540</wp:posOffset>
            </wp:positionV>
            <wp:extent cx="7299325"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34" w:name="page235"/>
    <w:bookmarkEnd w:id="234"/>
    <w:p>
      <w:pPr>
        <w:jc w:val="both"/>
        <w:ind w:left="100" w:firstLine="432"/>
        <w:spacing w:after="0" w:line="259" w:lineRule="auto"/>
        <w:tabs>
          <w:tab w:leader="none" w:pos="972"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Secretary’s Certificate</w:t>
      </w:r>
      <w:r>
        <w:rPr>
          <w:rFonts w:ascii="Arial" w:cs="Arial" w:eastAsia="Arial" w:hAnsi="Arial"/>
          <w:sz w:val="12"/>
          <w:szCs w:val="12"/>
          <w:color w:val="auto"/>
        </w:rPr>
        <w:t>. At each Closing, the Placement Agent shall have received a certificate of the Company signed by the Secretary of the Company, dated the Closing Date certifying: (i) that each of the Charter and</w:t>
      </w:r>
      <w:r>
        <w:rPr>
          <w:rFonts w:ascii="Arial" w:cs="Arial" w:eastAsia="Arial" w:hAnsi="Arial"/>
          <w:sz w:val="12"/>
          <w:szCs w:val="12"/>
          <w:i w:val="1"/>
          <w:iCs w:val="1"/>
          <w:color w:val="auto"/>
        </w:rPr>
        <w:t xml:space="preserve"> </w:t>
      </w:r>
      <w:r>
        <w:rPr>
          <w:rFonts w:ascii="Arial" w:cs="Arial" w:eastAsia="Arial" w:hAnsi="Arial"/>
          <w:sz w:val="12"/>
          <w:szCs w:val="12"/>
          <w:color w:val="auto"/>
        </w:rPr>
        <w:t>Bylaws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142" w:lineRule="exact"/>
        <w:rPr>
          <w:rFonts w:ascii="Arial" w:cs="Arial" w:eastAsia="Arial" w:hAnsi="Arial"/>
          <w:sz w:val="12"/>
          <w:szCs w:val="12"/>
          <w:color w:val="auto"/>
        </w:rPr>
      </w:pPr>
    </w:p>
    <w:p>
      <w:pPr>
        <w:jc w:val="both"/>
        <w:ind w:left="100" w:firstLine="432"/>
        <w:spacing w:after="0" w:line="263" w:lineRule="auto"/>
        <w:tabs>
          <w:tab w:leader="none" w:pos="990"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Additional Documents</w:t>
      </w:r>
      <w:r>
        <w:rPr>
          <w:rFonts w:ascii="Arial" w:cs="Arial" w:eastAsia="Arial" w:hAnsi="Arial"/>
          <w:sz w:val="12"/>
          <w:szCs w:val="12"/>
          <w:color w:val="auto"/>
        </w:rPr>
        <w:t>. Prior to any Closing Date, the Company shall have furnished to the Placement Agent such further information, certificates or documents as the Placement Agent shall have reasonably requested</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purpose of enabling it to pass upon the issuance and sale of the Securities as contemplated herein, or in order to evidence the accuracy of any of the representations and warranties, or the satisfaction of any of the conditions or agreements, herein contained.</w:t>
      </w:r>
    </w:p>
    <w:p>
      <w:pPr>
        <w:spacing w:after="0" w:line="140" w:lineRule="exact"/>
        <w:rPr>
          <w:rFonts w:ascii="Arial" w:cs="Arial" w:eastAsia="Arial" w:hAnsi="Arial"/>
          <w:sz w:val="12"/>
          <w:szCs w:val="12"/>
          <w:color w:val="auto"/>
        </w:rPr>
      </w:pPr>
    </w:p>
    <w:p>
      <w:pPr>
        <w:ind w:left="100" w:firstLine="432"/>
        <w:spacing w:after="0" w:line="276" w:lineRule="auto"/>
        <w:tabs>
          <w:tab w:leader="none" w:pos="1033"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Reverse Stock Split</w:t>
      </w:r>
      <w:r>
        <w:rPr>
          <w:rFonts w:ascii="Arial" w:cs="Arial" w:eastAsia="Arial" w:hAnsi="Arial"/>
          <w:sz w:val="12"/>
          <w:szCs w:val="12"/>
          <w:color w:val="auto"/>
        </w:rPr>
        <w:t>. Prior to the Closing Date, the Company shall have received approval of from FINRA of the Reverse Stock Split of the Company’s Common Stock and reflected the Reverse Stock Split in the</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 Documents.</w:t>
      </w:r>
    </w:p>
    <w:p>
      <w:pPr>
        <w:spacing w:after="0" w:line="132" w:lineRule="exact"/>
        <w:rPr>
          <w:rFonts w:ascii="Arial" w:cs="Arial" w:eastAsia="Arial" w:hAnsi="Arial"/>
          <w:sz w:val="12"/>
          <w:szCs w:val="12"/>
          <w:color w:val="auto"/>
        </w:rPr>
      </w:pPr>
    </w:p>
    <w:p>
      <w:pPr>
        <w:jc w:val="both"/>
        <w:ind w:firstLine="532"/>
        <w:spacing w:after="0" w:line="263" w:lineRule="auto"/>
        <w:tabs>
          <w:tab w:leader="none" w:pos="1075"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Stockholder Approval</w:t>
      </w:r>
      <w:r>
        <w:rPr>
          <w:rFonts w:ascii="Arial" w:cs="Arial" w:eastAsia="Arial" w:hAnsi="Arial"/>
          <w:sz w:val="12"/>
          <w:szCs w:val="12"/>
          <w:color w:val="auto"/>
        </w:rPr>
        <w:t>. Prior to the Closing Date, the Company shall have obtained the approval of its stockholders, if required by the Nevada Revised Statutes, FINRA, the Commission or any other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authority. All opinions, letters, evidence and certificates mentioned above or elsewhere in this Agreement shall be deemed to be in compliance with the provisions hereof only if they are in form and substance reasonably satisfactory to counsel for the Placement Agent.</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If any condition specified in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is not satisfied when and as required to be satisfied, this Agreement may be terminated by the Placement Agent by notice to the Company at any time prior to such Closing Date, which termination shall be without liability on the part of any party to any other party, except that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shall at all times be effective and shall survive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299325"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35" w:name="page236"/>
    <w:bookmarkEnd w:id="235"/>
    <w:p>
      <w:pPr>
        <w:spacing w:after="0"/>
        <w:rPr>
          <w:sz w:val="20"/>
          <w:szCs w:val="20"/>
          <w:color w:val="auto"/>
        </w:rPr>
      </w:pPr>
      <w:r>
        <w:rPr>
          <w:rFonts w:ascii="Arial" w:cs="Arial" w:eastAsia="Arial" w:hAnsi="Arial"/>
          <w:sz w:val="12"/>
          <w:szCs w:val="12"/>
          <w:b w:val="1"/>
          <w:bCs w:val="1"/>
          <w:color w:val="auto"/>
        </w:rPr>
        <w:t>Section 6. Indemnification and Contribution</w:t>
      </w:r>
      <w:r>
        <w:rPr>
          <w:rFonts w:ascii="Arial" w:cs="Arial" w:eastAsia="Arial" w:hAnsi="Arial"/>
          <w:sz w:val="12"/>
          <w:szCs w:val="12"/>
          <w:i w:val="1"/>
          <w:iCs w:val="1"/>
          <w:color w:val="auto"/>
        </w:rPr>
        <w:t>.</w:t>
      </w:r>
    </w:p>
    <w:p>
      <w:pPr>
        <w:spacing w:after="0" w:line="172" w:lineRule="exact"/>
        <w:rPr>
          <w:sz w:val="20"/>
          <w:szCs w:val="20"/>
          <w:color w:val="auto"/>
        </w:rPr>
      </w:pPr>
    </w:p>
    <w:p>
      <w:pPr>
        <w:jc w:val="both"/>
        <w:ind w:left="100" w:firstLine="432"/>
        <w:spacing w:after="0" w:line="275" w:lineRule="auto"/>
        <w:tabs>
          <w:tab w:leader="none" w:pos="704" w:val="left"/>
        </w:tabs>
        <w:numPr>
          <w:ilvl w:val="0"/>
          <w:numId w:val="141"/>
        </w:numPr>
        <w:rPr>
          <w:rFonts w:ascii="Arial" w:cs="Arial" w:eastAsia="Arial" w:hAnsi="Arial"/>
          <w:sz w:val="11"/>
          <w:szCs w:val="11"/>
          <w:color w:val="auto"/>
        </w:rPr>
      </w:pPr>
      <w:r>
        <w:rPr>
          <w:rFonts w:ascii="Arial" w:cs="Arial" w:eastAsia="Arial" w:hAnsi="Arial"/>
          <w:sz w:val="11"/>
          <w:szCs w:val="11"/>
          <w:i w:val="1"/>
          <w:iCs w:val="1"/>
          <w:color w:val="auto"/>
        </w:rPr>
        <w:t>Indemnification of the Placement Agent</w:t>
      </w:r>
      <w:r>
        <w:rPr>
          <w:rFonts w:ascii="Arial" w:cs="Arial" w:eastAsia="Arial" w:hAnsi="Arial"/>
          <w:sz w:val="11"/>
          <w:szCs w:val="11"/>
          <w:color w:val="auto"/>
        </w:rPr>
        <w:t>. The Company agrees to indemnify, defend and hold harmless, to the fullest extent permitted by law, the Placement Agent, its directors and officers, and each person, if any, who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controls such Placement Agent within the meaning of either Section 15 of the Securities Act or Section 20 of the Exchange Act, and the successors and assigns of all of the foregoing persons, from and against any loss, damage, claim or liability (including, without limitation, any loss, damage, claim or liability arising from any suit, action, proceeding, investigation, inquiry, stockholder or derivative action or arbitration proceeding), which, jointly or severally, the Placement Agent or any such person may become subject under the Securities Act, the Exchange Act, or other federal or state statutory law or regulation, the common law or otherwise, (including in settlement of any litigation, if such settlement is effected with the written consent of the Company), insofar as such loss, damage, claim or liability (or actions in respect thereof as contemplated below) arises out of or is based upon: (i) any untrue statement or alleged untrue statement of a material fact contained in the Registration Statement, or any amendment thereto or the omission or alleged omission to state a material fact required to be stated therein or necessary to make the statements therein not misleading; (ii) any untrue statement or alleged untrue statement of a material fact contained in any Preliminary Prospectus, any Issuer Free Writing Prospectus or the Prospectus (or any amendment or supplement thereto), or the omission or alleged omission to state therein a material fact required to be stated therein or necessary to make the statements made therein, in light of the circumstances under which they were made, not misleading; (iii) any action arising out of or contemplated by the terms of this Agreement, including, without limitation, any related services and activities prior to the date of this Agreement; and, in the case of (i) - (iii) above, to reimburse the Placement Agent and each such controlling person for any and all expenses (including fees and disbursements of counsel and costs of any investigation or preparation) as such expenses are incurred by such Placement Agent or such controlling person in connection with investigating, defending, settling, compromising or paying any such loss, claim, damage, liability, expense or action;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foregoing indemnity shall not apply to any loss, claim, damage, liability or expense to the extent, but only to the extent, it arises out of or is based upon any untrue statement or alleged untrue statement of a material fact contained in or omitted from, and in conformity with information concerning the Placement Agent furnished in writing by or on behalf of the Placement Agent to the Company expressly for use therein, which information the parties hereto agree is limited to the Placement Agent Information (as defined in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(iii) any untrue statement or alleged untrue statement made by the Company in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hereof or the failure by the Company to perform when and as required any agreement or covenant contained herein, or (iv) any untrue statement or alleged untrue statement of any material fact contained in any audio or visual materials (x) provided to Investors by or with the written approval of the Company or (y) based upon written information furnished by or on behalf of the Company with its approval and provided to Investors by or with the written approval of the Company including, without limitation, slides, videos, films or tape recordings used in any road show or investor presentations made to investors by the Company (whether in person or electronically) in connection with the marketing of the Securities. Notwithstanding anything to the contrary herein, for the avoidance of doubt, the Company agrees that the Placement Agent shall not have any liability to the Company or any person asserting claims on behalf of or in right of the Company in connection with or as a result of any matter referred to in this Agreement or the Placement Agent’s engagement by the Company generally, including, without limitation, related services and activities prior to the date hereof, exept to the extent that it shall be determined by a court of competent jurisdiction in a judgment that has become final in that it is no longer subject to appeal or other review, that any losses, claims, damages, liabilities or expenses incurred by the Company resulted primarily from the Placement Agent’s gross negligence or willful misconduct in performing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368935</wp:posOffset>
            </wp:positionV>
            <wp:extent cx="7299325" cy="1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36" w:name="page237"/>
    <w:bookmarkEnd w:id="236"/>
    <w:p>
      <w:pPr>
        <w:jc w:val="both"/>
        <w:ind w:left="-432" w:firstLine="432"/>
        <w:spacing w:after="0" w:line="276" w:lineRule="auto"/>
        <w:tabs>
          <w:tab w:leader="none" w:pos="170" w:val="left"/>
        </w:tabs>
        <w:numPr>
          <w:ilvl w:val="0"/>
          <w:numId w:val="142"/>
        </w:numPr>
        <w:rPr>
          <w:rFonts w:ascii="Arial" w:cs="Arial" w:eastAsia="Arial" w:hAnsi="Arial"/>
          <w:sz w:val="11"/>
          <w:szCs w:val="11"/>
          <w:color w:val="auto"/>
        </w:rPr>
      </w:pPr>
      <w:r>
        <w:rPr>
          <w:rFonts w:ascii="Arial" w:cs="Arial" w:eastAsia="Arial" w:hAnsi="Arial"/>
          <w:sz w:val="11"/>
          <w:szCs w:val="11"/>
          <w:i w:val="1"/>
          <w:iCs w:val="1"/>
          <w:color w:val="auto"/>
        </w:rPr>
        <w:t>Notice and Procedures</w:t>
      </w:r>
      <w:r>
        <w:rPr>
          <w:rFonts w:ascii="Arial" w:cs="Arial" w:eastAsia="Arial" w:hAnsi="Arial"/>
          <w:sz w:val="11"/>
          <w:szCs w:val="11"/>
          <w:color w:val="auto"/>
        </w:rPr>
        <w:t>. If any action, suit or proceeding (each, a “</w:t>
      </w:r>
      <w:r>
        <w:rPr>
          <w:rFonts w:ascii="Arial" w:cs="Arial" w:eastAsia="Arial" w:hAnsi="Arial"/>
          <w:sz w:val="11"/>
          <w:szCs w:val="11"/>
          <w:i w:val="1"/>
          <w:iCs w:val="1"/>
          <w:color w:val="auto"/>
        </w:rPr>
        <w:t>Proceeding</w:t>
      </w:r>
      <w:r>
        <w:rPr>
          <w:rFonts w:ascii="Arial" w:cs="Arial" w:eastAsia="Arial" w:hAnsi="Arial"/>
          <w:sz w:val="11"/>
          <w:szCs w:val="11"/>
          <w:color w:val="auto"/>
        </w:rPr>
        <w:t>”) is brought against a person (an “</w:t>
      </w:r>
      <w:r>
        <w:rPr>
          <w:rFonts w:ascii="Arial" w:cs="Arial" w:eastAsia="Arial" w:hAnsi="Arial"/>
          <w:sz w:val="11"/>
          <w:szCs w:val="11"/>
          <w:i w:val="1"/>
          <w:iCs w:val="1"/>
          <w:color w:val="auto"/>
        </w:rPr>
        <w:t>indemnified party</w:t>
      </w:r>
      <w:r>
        <w:rPr>
          <w:rFonts w:ascii="Arial" w:cs="Arial" w:eastAsia="Arial" w:hAnsi="Arial"/>
          <w:sz w:val="11"/>
          <w:szCs w:val="11"/>
          <w:color w:val="auto"/>
        </w:rPr>
        <w:t>”) in respect of which indemnity may be sought against the Company ( the “</w:t>
      </w:r>
      <w:r>
        <w:rPr>
          <w:rFonts w:ascii="Arial" w:cs="Arial" w:eastAsia="Arial" w:hAnsi="Arial"/>
          <w:sz w:val="11"/>
          <w:szCs w:val="11"/>
          <w:i w:val="1"/>
          <w:iCs w:val="1"/>
          <w:color w:val="auto"/>
        </w:rPr>
        <w:t>indemnifying party</w:t>
      </w:r>
      <w:r>
        <w:rPr>
          <w:rFonts w:ascii="Arial" w:cs="Arial" w:eastAsia="Arial" w:hAnsi="Arial"/>
          <w:sz w:val="11"/>
          <w:szCs w:val="11"/>
          <w:color w:val="auto"/>
        </w:rPr>
        <w:t>”) pursuant to</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subsection (a)</w:t>
      </w:r>
      <w:r>
        <w:rPr>
          <w:rFonts w:ascii="Arial" w:cs="Arial" w:eastAsia="Arial" w:hAnsi="Arial"/>
          <w:sz w:val="11"/>
          <w:szCs w:val="11"/>
          <w:i w:val="1"/>
          <w:iCs w:val="1"/>
          <w:color w:val="auto"/>
        </w:rPr>
        <w:t xml:space="preserve"> </w:t>
      </w:r>
      <w:r>
        <w:rPr>
          <w:rFonts w:ascii="Arial" w:cs="Arial" w:eastAsia="Arial" w:hAnsi="Arial"/>
          <w:sz w:val="11"/>
          <w:szCs w:val="11"/>
          <w:color w:val="auto"/>
        </w:rPr>
        <w:t>or</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subsection (b)</w:t>
      </w:r>
      <w:r>
        <w:rPr>
          <w:rFonts w:ascii="Arial" w:cs="Arial" w:eastAsia="Arial" w:hAnsi="Arial"/>
          <w:sz w:val="11"/>
          <w:szCs w:val="11"/>
          <w:i w:val="1"/>
          <w:iCs w:val="1"/>
          <w:color w:val="auto"/>
        </w:rPr>
        <w:t xml:space="preserve"> </w:t>
      </w:r>
      <w:r>
        <w:rPr>
          <w:rFonts w:ascii="Arial" w:cs="Arial" w:eastAsia="Arial" w:hAnsi="Arial"/>
          <w:sz w:val="11"/>
          <w:szCs w:val="11"/>
          <w:color w:val="auto"/>
        </w:rPr>
        <w:t>of this</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such indemnified party shall promptly notify such indemnifying party in writing of the institution of such Proceeding and such indemnifying party shall assume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defense of such Proceeding, including the employment of counsel reasonably satisfactory to such indemnified party and payment of all fees and expenses;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omission to so notify such indemnifying party shall not relieve such indemnifying party from any liability which such indemnifying party may have to any indemnified party or otherwise, except to the extent such failure results in the forfeiture by the indemnifying party of substantial rights or defenses.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the indemnifying party in connection with the defense of such Proceeding, (ii) the indemnifying party shall not have, within a reasonable period of time in light of the circumstances, employed counsel to defend such Proceeding or (iii) such indemnified party or parties shall have reasonably concluded that there may be defenses available to it or them which are different from, additional to or in conflict with those available to such indemnifying party, in any of which events such reasonable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An indemnifying party shall not be liable for any settlement of any Proceeding (including by consent to the entry of any judgment) effected without its written consent but, if settled with its written consent or if there be a final judgment for the plaintiff, such indemnifying party agrees to indemnify and hold harmless the indemnified party or parties from and against any loss or liability by reason of such settlement or judgment. Notwithstanding the foregoing sentence, if at any time an indemnified party shall have requested an indemnifying party to reimburse the indemnified party for fees and expenses of counsel (which fees and expenses shall be reasonably documented) as contemplated by the second sentence of this </w:t>
      </w:r>
      <w:r>
        <w:rPr>
          <w:rFonts w:ascii="Arial" w:cs="Arial" w:eastAsia="Arial" w:hAnsi="Arial"/>
          <w:sz w:val="11"/>
          <w:szCs w:val="11"/>
          <w:u w:val="single" w:color="auto"/>
          <w:color w:val="auto"/>
        </w:rPr>
        <w:t>Section 6(b)</w:t>
      </w:r>
      <w:r>
        <w:rPr>
          <w:rFonts w:ascii="Arial" w:cs="Arial" w:eastAsia="Arial" w:hAnsi="Arial"/>
          <w:sz w:val="11"/>
          <w:szCs w:val="11"/>
          <w:color w:val="auto"/>
        </w:rPr>
        <w:t>, then the indemnifying party agrees that it shall be liable for any settlement of any Proceeding effected without its written consent if (i) such settlement is entered into more than 90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compromise or consent to the entry of judgment in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364490</wp:posOffset>
            </wp:positionV>
            <wp:extent cx="7299325" cy="1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48"/>
          </w:cols>
          <w:pgMar w:left="752" w:top="554" w:right="199" w:bottom="1440" w:gutter="0" w:footer="0" w:header="0"/>
        </w:sectPr>
      </w:pPr>
    </w:p>
    <w:bookmarkStart w:id="237" w:name="page238"/>
    <w:bookmarkEnd w:id="237"/>
    <w:p>
      <w:pPr>
        <w:jc w:val="both"/>
        <w:ind w:left="100" w:firstLine="432"/>
        <w:spacing w:after="0" w:line="306" w:lineRule="auto"/>
        <w:tabs>
          <w:tab w:leader="none" w:pos="695" w:val="left"/>
        </w:tabs>
        <w:numPr>
          <w:ilvl w:val="1"/>
          <w:numId w:val="143"/>
        </w:numPr>
        <w:rPr>
          <w:rFonts w:ascii="Arial" w:cs="Arial" w:eastAsia="Arial" w:hAnsi="Arial"/>
          <w:sz w:val="10"/>
          <w:szCs w:val="10"/>
          <w:color w:val="auto"/>
        </w:rPr>
      </w:pPr>
      <w:r>
        <w:rPr>
          <w:rFonts w:ascii="Arial" w:cs="Arial" w:eastAsia="Arial" w:hAnsi="Arial"/>
          <w:sz w:val="10"/>
          <w:szCs w:val="10"/>
          <w:i w:val="1"/>
          <w:iCs w:val="1"/>
          <w:color w:val="auto"/>
        </w:rPr>
        <w:t>Contribution</w:t>
      </w:r>
      <w:r>
        <w:rPr>
          <w:rFonts w:ascii="Arial" w:cs="Arial" w:eastAsia="Arial" w:hAnsi="Arial"/>
          <w:sz w:val="10"/>
          <w:szCs w:val="10"/>
          <w:color w:val="auto"/>
        </w:rPr>
        <w:t>. If the indemnification provided for in this</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6</w:t>
      </w:r>
      <w:r>
        <w:rPr>
          <w:rFonts w:ascii="Arial" w:cs="Arial" w:eastAsia="Arial" w:hAnsi="Arial"/>
          <w:sz w:val="10"/>
          <w:szCs w:val="10"/>
          <w:i w:val="1"/>
          <w:iCs w:val="1"/>
          <w:color w:val="auto"/>
        </w:rPr>
        <w:t xml:space="preserve"> </w:t>
      </w:r>
      <w:r>
        <w:rPr>
          <w:rFonts w:ascii="Arial" w:cs="Arial" w:eastAsia="Arial" w:hAnsi="Arial"/>
          <w:sz w:val="10"/>
          <w:szCs w:val="10"/>
          <w:color w:val="auto"/>
        </w:rPr>
        <w:t>is unavailable to an indemnified party under</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subsection (a)</w:t>
      </w:r>
      <w:r>
        <w:rPr>
          <w:rFonts w:ascii="Arial" w:cs="Arial" w:eastAsia="Arial" w:hAnsi="Arial"/>
          <w:sz w:val="10"/>
          <w:szCs w:val="10"/>
          <w:i w:val="1"/>
          <w:iCs w:val="1"/>
          <w:color w:val="auto"/>
        </w:rPr>
        <w:t xml:space="preserve"> </w:t>
      </w:r>
      <w:r>
        <w:rPr>
          <w:rFonts w:ascii="Arial" w:cs="Arial" w:eastAsia="Arial" w:hAnsi="Arial"/>
          <w:sz w:val="10"/>
          <w:szCs w:val="10"/>
          <w:color w:val="auto"/>
        </w:rPr>
        <w:t>or</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subsection (b)</w:t>
      </w:r>
      <w:r>
        <w:rPr>
          <w:rFonts w:ascii="Arial" w:cs="Arial" w:eastAsia="Arial" w:hAnsi="Arial"/>
          <w:sz w:val="10"/>
          <w:szCs w:val="10"/>
          <w:i w:val="1"/>
          <w:iCs w:val="1"/>
          <w:color w:val="auto"/>
        </w:rPr>
        <w:t xml:space="preserve"> </w:t>
      </w:r>
      <w:r>
        <w:rPr>
          <w:rFonts w:ascii="Arial" w:cs="Arial" w:eastAsia="Arial" w:hAnsi="Arial"/>
          <w:sz w:val="10"/>
          <w:szCs w:val="10"/>
          <w:color w:val="auto"/>
        </w:rPr>
        <w:t>of this</w:t>
      </w:r>
      <w:r>
        <w:rPr>
          <w:rFonts w:ascii="Arial" w:cs="Arial" w:eastAsia="Arial" w:hAnsi="Arial"/>
          <w:sz w:val="10"/>
          <w:szCs w:val="10"/>
          <w:i w:val="1"/>
          <w:iCs w:val="1"/>
          <w:color w:val="auto"/>
        </w:rPr>
        <w:t xml:space="preserve"> </w:t>
      </w:r>
      <w:r>
        <w:rPr>
          <w:rFonts w:ascii="Arial" w:cs="Arial" w:eastAsia="Arial" w:hAnsi="Arial"/>
          <w:sz w:val="10"/>
          <w:szCs w:val="10"/>
          <w:u w:val="single" w:color="auto"/>
          <w:color w:val="auto"/>
        </w:rPr>
        <w:t>Section 6</w:t>
      </w:r>
      <w:r>
        <w:rPr>
          <w:rFonts w:ascii="Arial" w:cs="Arial" w:eastAsia="Arial" w:hAnsi="Arial"/>
          <w:sz w:val="10"/>
          <w:szCs w:val="10"/>
          <w:i w:val="1"/>
          <w:iCs w:val="1"/>
          <w:color w:val="auto"/>
        </w:rPr>
        <w:t xml:space="preserve"> </w:t>
      </w:r>
      <w:r>
        <w:rPr>
          <w:rFonts w:ascii="Arial" w:cs="Arial" w:eastAsia="Arial" w:hAnsi="Arial"/>
          <w:sz w:val="10"/>
          <w:szCs w:val="10"/>
          <w:color w:val="auto"/>
        </w:rPr>
        <w:t>or insufficient to hold an indemnified party harmless in respect</w:t>
      </w:r>
      <w:r>
        <w:rPr>
          <w:rFonts w:ascii="Arial" w:cs="Arial" w:eastAsia="Arial" w:hAnsi="Arial"/>
          <w:sz w:val="10"/>
          <w:szCs w:val="10"/>
          <w:i w:val="1"/>
          <w:iCs w:val="1"/>
          <w:color w:val="auto"/>
        </w:rPr>
        <w:t xml:space="preserve"> </w:t>
      </w:r>
      <w:r>
        <w:rPr>
          <w:rFonts w:ascii="Arial" w:cs="Arial" w:eastAsia="Arial" w:hAnsi="Arial"/>
          <w:sz w:val="10"/>
          <w:szCs w:val="10"/>
          <w:color w:val="auto"/>
        </w:rPr>
        <w:t>of any losses, claims, damages, liabilities or expenses referred to therein, then each applicable indemnifying party, in lieu of indemnifying such indemnified party, shall contribute to the amount paid or payable by such indemnified party as a result of the losses, claims, damages, liabilities or expenses referred to in s</w:t>
      </w:r>
      <w:r>
        <w:rPr>
          <w:rFonts w:ascii="Arial" w:cs="Arial" w:eastAsia="Arial" w:hAnsi="Arial"/>
          <w:sz w:val="10"/>
          <w:szCs w:val="10"/>
          <w:u w:val="single" w:color="auto"/>
          <w:color w:val="auto"/>
        </w:rPr>
        <w:t>ubsection (a)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subsection (b)</w:t>
      </w:r>
      <w:r>
        <w:rPr>
          <w:rFonts w:ascii="Arial" w:cs="Arial" w:eastAsia="Arial" w:hAnsi="Arial"/>
          <w:sz w:val="10"/>
          <w:szCs w:val="10"/>
          <w:color w:val="auto"/>
        </w:rPr>
        <w:t xml:space="preserve"> above, (i) in such proportion as is appropriate to reflect the relative benefits received by the Company on the one hand and the Placement Agent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the indemnified party or parties on the other hand in connection with the statements or omissions that resulted in such losses, claims, damages, liabilities or expenses, as well as any other relevant equitable considerations. The relative benefits received by the Company on the one hand and the Placement Agent on the other hand shall be deemed to be in the same respective proportions as the total net proceeds from the offering of the Securities (before deducting expenses) received by the Company and the total Placement Fee received by the Placement Agent, in each case as set forth on the cover of the Prospectus, bear to the aggregate public offering price of the Securities. The relative fault of the Company on the one hand and the Placement Agent on the other hand shall be determined by reference to, among other things, whether the untrue or alleged untrue statement of a material fact or the omission or alleged omission to state a material fact relates to information supplied by the Company, on the one hand, or by the Placement Agent, on the other hand, and the parties’ relevant intent, knowledge, access to information and opportunity to correct or prevent such untrue statement or omission. The Company and the Placement Agent agree that it would not be just and equitable if contribution pursuant to this </w:t>
      </w:r>
      <w:r>
        <w:rPr>
          <w:rFonts w:ascii="Arial" w:cs="Arial" w:eastAsia="Arial" w:hAnsi="Arial"/>
          <w:sz w:val="10"/>
          <w:szCs w:val="10"/>
          <w:u w:val="single" w:color="auto"/>
          <w:color w:val="auto"/>
        </w:rPr>
        <w:t>subsection (d)</w:t>
      </w:r>
      <w:r>
        <w:rPr>
          <w:rFonts w:ascii="Arial" w:cs="Arial" w:eastAsia="Arial" w:hAnsi="Arial"/>
          <w:sz w:val="10"/>
          <w:szCs w:val="10"/>
          <w:color w:val="auto"/>
        </w:rPr>
        <w:t xml:space="preserve"> were to be determined by pro rata allocation or by any other method of allocation which does not take account of the equitable considerations referred to in the first sentence of this </w:t>
      </w:r>
      <w:r>
        <w:rPr>
          <w:rFonts w:ascii="Arial" w:cs="Arial" w:eastAsia="Arial" w:hAnsi="Arial"/>
          <w:sz w:val="10"/>
          <w:szCs w:val="10"/>
          <w:u w:val="single" w:color="auto"/>
          <w:color w:val="auto"/>
        </w:rPr>
        <w:t>Section 6(c)</w:t>
      </w:r>
      <w:r>
        <w:rPr>
          <w:rFonts w:ascii="Arial" w:cs="Arial" w:eastAsia="Arial" w:hAnsi="Arial"/>
          <w:sz w:val="10"/>
          <w:szCs w:val="10"/>
          <w:color w:val="auto"/>
        </w:rPr>
        <w:t xml:space="preserve">. The amount paid or payable by an indemnified party as a result of the losses, claims, damages or liabilities referred to in the first sentence of this </w:t>
      </w:r>
      <w:r>
        <w:rPr>
          <w:rFonts w:ascii="Arial" w:cs="Arial" w:eastAsia="Arial" w:hAnsi="Arial"/>
          <w:sz w:val="10"/>
          <w:szCs w:val="10"/>
          <w:u w:val="single" w:color="auto"/>
          <w:color w:val="auto"/>
        </w:rPr>
        <w:t>Section 6(c)</w:t>
      </w:r>
      <w:r>
        <w:rPr>
          <w:rFonts w:ascii="Arial" w:cs="Arial" w:eastAsia="Arial" w:hAnsi="Arial"/>
          <w:sz w:val="10"/>
          <w:szCs w:val="10"/>
          <w:color w:val="auto"/>
        </w:rPr>
        <w:t xml:space="preserve"> shall be deemed to include any legal or other expenses reasonably incurred by such indemnified party in connection with investigating or defending against any action or claim which is the subject of this </w:t>
      </w:r>
      <w:r>
        <w:rPr>
          <w:rFonts w:ascii="Arial" w:cs="Arial" w:eastAsia="Arial" w:hAnsi="Arial"/>
          <w:sz w:val="10"/>
          <w:szCs w:val="10"/>
          <w:u w:val="single" w:color="auto"/>
          <w:color w:val="auto"/>
        </w:rPr>
        <w:t>Section 6(c)</w:t>
      </w:r>
      <w:r>
        <w:rPr>
          <w:rFonts w:ascii="Arial" w:cs="Arial" w:eastAsia="Arial" w:hAnsi="Arial"/>
          <w:sz w:val="10"/>
          <w:szCs w:val="10"/>
          <w:color w:val="auto"/>
        </w:rPr>
        <w:t>. No person guilty of fraudulent misrepresentation (within the meaning of Section 11(f) of the Securities Act) shall be entitled to contribution from any person who was not guilty of such fraudulent misrepresentation. Notwithstanding anything to the contrary herein, in no event shall the Company contribute less than the amount necessary to assure that the Placement Agent is not liable for losses, claims, damages, liabilities and expenses in excess of the amount of fees actually received by the Placement Agent under this Agreement.</w:t>
      </w:r>
    </w:p>
    <w:p>
      <w:pPr>
        <w:spacing w:after="0" w:line="271" w:lineRule="exact"/>
        <w:rPr>
          <w:rFonts w:ascii="Arial" w:cs="Arial" w:eastAsia="Arial" w:hAnsi="Arial"/>
          <w:sz w:val="10"/>
          <w:szCs w:val="10"/>
          <w:color w:val="auto"/>
        </w:rPr>
      </w:pPr>
    </w:p>
    <w:p>
      <w:pPr>
        <w:jc w:val="both"/>
        <w:ind w:left="100" w:firstLine="432"/>
        <w:spacing w:after="0" w:line="277" w:lineRule="auto"/>
        <w:tabs>
          <w:tab w:leader="none" w:pos="711" w:val="left"/>
        </w:tabs>
        <w:numPr>
          <w:ilvl w:val="1"/>
          <w:numId w:val="143"/>
        </w:numPr>
        <w:rPr>
          <w:rFonts w:ascii="Arial" w:cs="Arial" w:eastAsia="Arial" w:hAnsi="Arial"/>
          <w:sz w:val="11"/>
          <w:szCs w:val="11"/>
          <w:color w:val="auto"/>
        </w:rPr>
      </w:pPr>
      <w:r>
        <w:rPr>
          <w:rFonts w:ascii="Arial" w:cs="Arial" w:eastAsia="Arial" w:hAnsi="Arial"/>
          <w:sz w:val="11"/>
          <w:szCs w:val="11"/>
          <w:i w:val="1"/>
          <w:iCs w:val="1"/>
          <w:color w:val="auto"/>
        </w:rPr>
        <w:t>Representations and Agreements to Survive Delivery</w:t>
      </w:r>
      <w:r>
        <w:rPr>
          <w:rFonts w:ascii="Arial" w:cs="Arial" w:eastAsia="Arial" w:hAnsi="Arial"/>
          <w:sz w:val="11"/>
          <w:szCs w:val="11"/>
          <w:color w:val="auto"/>
        </w:rPr>
        <w:t>. The obligations of the Company under this</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i w:val="1"/>
          <w:iCs w:val="1"/>
          <w:color w:val="auto"/>
        </w:rPr>
        <w:t xml:space="preserve"> </w:t>
      </w:r>
      <w:r>
        <w:rPr>
          <w:rFonts w:ascii="Arial" w:cs="Arial" w:eastAsia="Arial" w:hAnsi="Arial"/>
          <w:sz w:val="11"/>
          <w:szCs w:val="11"/>
          <w:color w:val="auto"/>
        </w:rPr>
        <w:t>shall be in addition to any liability which the Company may otherwise have. The indemnity and contribution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agreements of the parties contained in this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and the covenants, warranties and representations of the Company contained in this Agreement shall remain operative and in full force and effect regardless of (i) any termination of this Agreement, (ii) any investigation made by or on behalf of the Placement Agent, any person who controls the Placement Agent within the meaning of either Section 15 of the Securities Act or Section 20 of the Exchange Act or any affiliate of the Placement Agent, or by or on behalf of the Company, its directors or officers or any person who controls the Company within the meaning of either Section 15 of the Securities Act or Section 20 of the Exchange Act, and</w:t>
      </w:r>
    </w:p>
    <w:p>
      <w:pPr>
        <w:spacing w:after="0" w:line="1" w:lineRule="exact"/>
        <w:rPr>
          <w:rFonts w:ascii="Arial" w:cs="Arial" w:eastAsia="Arial" w:hAnsi="Arial"/>
          <w:sz w:val="11"/>
          <w:szCs w:val="11"/>
          <w:color w:val="auto"/>
        </w:rPr>
      </w:pPr>
    </w:p>
    <w:p>
      <w:pPr>
        <w:ind w:left="100"/>
        <w:spacing w:after="0" w:line="261" w:lineRule="auto"/>
        <w:tabs>
          <w:tab w:leader="none" w:pos="323"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issuance and delivery of the Securities. The Company and the Placement Agent agree promptly to notify each other of the commencement of any Proceeding against it and, in the case of the Company, against any of the Company’s officers or directors in connection with the issuance and sale of the Securities, or in connection with the Registration Statement, the Disclosure Package or the Prospectus.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7. Information Furnished by Placement Agent</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Company acknowledges that the statements set forth in the ninth paragraph under the heading “Plan of Distribution” in the Prospectus (the “</w:t>
      </w:r>
      <w:r>
        <w:rPr>
          <w:rFonts w:ascii="Arial" w:cs="Arial" w:eastAsia="Arial" w:hAnsi="Arial"/>
          <w:sz w:val="12"/>
          <w:szCs w:val="12"/>
          <w:i w:val="1"/>
          <w:iCs w:val="1"/>
          <w:color w:val="auto"/>
        </w:rPr>
        <w:t>Placement Agent Information</w:t>
      </w:r>
      <w:r>
        <w:rPr>
          <w:rFonts w:ascii="Arial" w:cs="Arial" w:eastAsia="Arial" w:hAnsi="Arial"/>
          <w:sz w:val="12"/>
          <w:szCs w:val="12"/>
          <w:color w:val="auto"/>
        </w:rPr>
        <w:t xml:space="preserve">”) constitute the only information relating to the Placement Agent furnished in writing to the Company by the Placement Agent as such information is referred to in </w:t>
      </w:r>
      <w:r>
        <w:rPr>
          <w:rFonts w:ascii="Arial" w:cs="Arial" w:eastAsia="Arial" w:hAnsi="Arial"/>
          <w:sz w:val="12"/>
          <w:szCs w:val="12"/>
          <w:u w:val="single" w:color="auto"/>
          <w:color w:val="auto"/>
        </w:rPr>
        <w:t>Sections 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w:t>
      </w:r>
      <w:r>
        <w:rPr>
          <w:rFonts w:ascii="Arial" w:cs="Arial" w:eastAsia="Arial" w:hAnsi="Arial"/>
          <w:sz w:val="12"/>
          <w:szCs w:val="1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361315</wp:posOffset>
            </wp:positionV>
            <wp:extent cx="7299325" cy="18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38" w:name="page239"/>
    <w:bookmarkEnd w:id="238"/>
    <w:p>
      <w:pPr>
        <w:spacing w:after="0"/>
        <w:rPr>
          <w:sz w:val="20"/>
          <w:szCs w:val="20"/>
          <w:color w:val="auto"/>
        </w:rPr>
      </w:pPr>
      <w:r>
        <w:rPr>
          <w:rFonts w:ascii="Arial" w:cs="Arial" w:eastAsia="Arial" w:hAnsi="Arial"/>
          <w:sz w:val="12"/>
          <w:szCs w:val="12"/>
          <w:b w:val="1"/>
          <w:bCs w:val="1"/>
          <w:color w:val="auto"/>
        </w:rPr>
        <w:t>Section 8. Termination</w:t>
      </w:r>
      <w:r>
        <w:rPr>
          <w:rFonts w:ascii="Arial" w:cs="Arial" w:eastAsia="Arial" w:hAnsi="Arial"/>
          <w:sz w:val="12"/>
          <w:szCs w:val="12"/>
          <w:i w:val="1"/>
          <w:iCs w:val="1"/>
          <w:color w:val="auto"/>
        </w:rPr>
        <w:t>.</w:t>
      </w:r>
    </w:p>
    <w:p>
      <w:pPr>
        <w:spacing w:after="0" w:line="190" w:lineRule="exact"/>
        <w:rPr>
          <w:sz w:val="20"/>
          <w:szCs w:val="20"/>
          <w:color w:val="auto"/>
        </w:rPr>
      </w:pPr>
    </w:p>
    <w:p>
      <w:pPr>
        <w:ind w:firstLine="424"/>
        <w:spacing w:after="0" w:line="276" w:lineRule="auto"/>
        <w:tabs>
          <w:tab w:leader="none" w:pos="71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This Agreement shall remain in effect until [___], 2014, unless extended in writing by the Company and Placement Agent. A “Tail Period” shall extend for twelve (12) months from the earlier of the final closing of the Offering or termination of this Agreement. The provisions of this Agreement intended to survive the termination hereof shall survive the termination of this Agreement for any reason.</w:t>
      </w:r>
    </w:p>
    <w:p>
      <w:pPr>
        <w:spacing w:after="0" w:line="150" w:lineRule="exact"/>
        <w:rPr>
          <w:rFonts w:ascii="Arial" w:cs="Arial" w:eastAsia="Arial" w:hAnsi="Arial"/>
          <w:sz w:val="12"/>
          <w:szCs w:val="12"/>
          <w:color w:val="auto"/>
        </w:rPr>
      </w:pPr>
    </w:p>
    <w:p>
      <w:pPr>
        <w:jc w:val="both"/>
        <w:ind w:firstLine="424"/>
        <w:spacing w:after="0" w:line="279" w:lineRule="auto"/>
        <w:tabs>
          <w:tab w:leader="none" w:pos="725" w:val="left"/>
        </w:tabs>
        <w:numPr>
          <w:ilvl w:val="0"/>
          <w:numId w:val="145"/>
        </w:numPr>
        <w:rPr>
          <w:rFonts w:ascii="Arial" w:cs="Arial" w:eastAsia="Arial" w:hAnsi="Arial"/>
          <w:sz w:val="11"/>
          <w:szCs w:val="11"/>
          <w:color w:val="auto"/>
        </w:rPr>
      </w:pPr>
      <w:r>
        <w:rPr>
          <w:rFonts w:ascii="Arial" w:cs="Arial" w:eastAsia="Arial" w:hAnsi="Arial"/>
          <w:sz w:val="11"/>
          <w:szCs w:val="11"/>
          <w:color w:val="auto"/>
        </w:rPr>
        <w:t xml:space="preserve">The Placement Agent shall have the right to terminate this Agreement by giving notice as hereinafter specified at any time at or prior to the any Closing Date, without liability on the part of the Placement Agent to the Company, if (i) prior to delivery and payment for the Securities (A) trading in the shares of Common Stock shall have been suspended or materially limited on any exchange or in the over-the-counter market, (B) a general moratorium on commercial banking activities shall have been declared by federal or New York state authorities, (C) there shall have occurred any outbreak or material escalation of hostilities or acts of terrorism involving the United States or there shall have been a declaration by the United States of a national emergency or war, (D) there shall have occurred any other calamity or crisis or any material change in general economic, political or financial conditions in the United States or elsewhere, if the effect of any such event specified in clause (C) or (D), in the reasonable judgment of the Placement Agent, makes it impractical or inadvisable to proceed with the completion of the sale of and payment for the Securities on such Closing Date on the terms and in the manner contemplated by this Agreement and the Disclosure Documents, or (ii) since the time of execution of this Agreement or the earlier respective dates as of which information is given in the Disclosure Documents, there has been (A) any Material Adverse Effect or (B) the Company shall have sustained a loss by strike, fire, flood, earthquake, accident or other calamity of such character that in the reasonable judgment of the Placement Agent would, individually or in the aggregate, result in a Material Adverse Effect and which would, in the judgment of the Placement Agent, make it impracticable or inadvisable to proceed with the offering or the delivery of the Securities on the terms and in the manner contemplated in the Disclosure Documents. Any such termination shall be without liability of any party to any other party except that the provisions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shall at all times be effective notwithstanding such termination.</w:t>
      </w:r>
    </w:p>
    <w:p>
      <w:pPr>
        <w:spacing w:after="0" w:line="132" w:lineRule="exact"/>
        <w:rPr>
          <w:rFonts w:ascii="Arial" w:cs="Arial" w:eastAsia="Arial" w:hAnsi="Arial"/>
          <w:sz w:val="11"/>
          <w:szCs w:val="11"/>
          <w:color w:val="auto"/>
        </w:rPr>
      </w:pPr>
    </w:p>
    <w:p>
      <w:pPr>
        <w:jc w:val="both"/>
        <w:ind w:right="20" w:firstLine="424"/>
        <w:spacing w:after="0" w:line="263" w:lineRule="auto"/>
        <w:tabs>
          <w:tab w:leader="none" w:pos="945" w:val="left"/>
        </w:tabs>
        <w:numPr>
          <w:ilvl w:val="0"/>
          <w:numId w:val="145"/>
        </w:numPr>
        <w:rPr>
          <w:rFonts w:ascii="Arial" w:cs="Arial" w:eastAsia="Arial" w:hAnsi="Arial"/>
          <w:sz w:val="12"/>
          <w:szCs w:val="12"/>
          <w:color w:val="auto"/>
        </w:rPr>
      </w:pPr>
      <w:r>
        <w:rPr>
          <w:rFonts w:ascii="Arial" w:cs="Arial" w:eastAsia="Arial" w:hAnsi="Arial"/>
          <w:sz w:val="12"/>
          <w:szCs w:val="12"/>
          <w:color w:val="auto"/>
        </w:rPr>
        <w:t xml:space="preserve">If (1) this Agreement shall be terminated by the Placement Agent pursuant to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8(a)(i)(B)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8(a)(ii)(A)</w:t>
      </w:r>
      <w:r>
        <w:rPr>
          <w:rFonts w:ascii="Arial" w:cs="Arial" w:eastAsia="Arial" w:hAnsi="Arial"/>
          <w:sz w:val="12"/>
          <w:szCs w:val="12"/>
          <w:color w:val="auto"/>
        </w:rPr>
        <w:t xml:space="preserve"> or (2) the sale of the Securities to Investors is not consummated because of any failure, refusal or inability on the part of the Company to comply with the terms or perform any agreement or obligation of this Agreement or any Subscription Agreement, other than by reason of a default by the Placement Agent or any Investor, the Company will pay the amounts described in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hereof.</w:t>
      </w:r>
    </w:p>
    <w:p>
      <w:pPr>
        <w:spacing w:after="0" w:line="140" w:lineRule="exact"/>
        <w:rPr>
          <w:rFonts w:ascii="Arial" w:cs="Arial" w:eastAsia="Arial" w:hAnsi="Arial"/>
          <w:sz w:val="12"/>
          <w:szCs w:val="12"/>
          <w:color w:val="auto"/>
        </w:rPr>
      </w:pPr>
    </w:p>
    <w:p>
      <w:pPr>
        <w:jc w:val="both"/>
        <w:ind w:firstLine="424"/>
        <w:spacing w:after="0" w:line="298" w:lineRule="auto"/>
        <w:tabs>
          <w:tab w:leader="none" w:pos="951" w:val="left"/>
        </w:tabs>
        <w:numPr>
          <w:ilvl w:val="0"/>
          <w:numId w:val="145"/>
        </w:numPr>
        <w:rPr>
          <w:rFonts w:ascii="Arial" w:cs="Arial" w:eastAsia="Arial" w:hAnsi="Arial"/>
          <w:sz w:val="11"/>
          <w:szCs w:val="11"/>
          <w:color w:val="auto"/>
        </w:rPr>
      </w:pPr>
      <w:r>
        <w:rPr>
          <w:rFonts w:ascii="Arial" w:cs="Arial" w:eastAsia="Arial" w:hAnsi="Arial"/>
          <w:sz w:val="11"/>
          <w:szCs w:val="11"/>
          <w:color w:val="auto"/>
        </w:rPr>
        <w:t xml:space="preserve">The Company may terminate this Agreement in the event all of the following occur: (i) a Closing has not occurred on or before September 30, 2014; (ii) all of the conditions to the Closing have been satisfied on such Closing Date, other than those conditions relating to actions to be taken at the Closing by Investors; and (iii) all of the conditions to the Placement Agent’s obligations contained in Section 5 hereof have been satisfied on such Closing Date. Any such termination shall be without liability of any party to any other party except that the provisions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shall at all times be effective notwithstanding such termination.</w:t>
      </w:r>
    </w:p>
    <w:p>
      <w:pPr>
        <w:spacing w:after="0" w:line="123" w:lineRule="exact"/>
        <w:rPr>
          <w:rFonts w:ascii="Arial" w:cs="Arial" w:eastAsia="Arial" w:hAnsi="Arial"/>
          <w:sz w:val="11"/>
          <w:szCs w:val="11"/>
          <w:color w:val="auto"/>
        </w:rPr>
      </w:pPr>
    </w:p>
    <w:p>
      <w:pPr>
        <w:jc w:val="both"/>
        <w:ind w:firstLine="424"/>
        <w:spacing w:after="0" w:line="255" w:lineRule="auto"/>
        <w:tabs>
          <w:tab w:leader="none" w:pos="89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Notwithstanding any termination or expiration of this Agreement pursuant to the terms hereof or otherwise, if on or before the twelve (12) month anniversary of such termination or expiration the Company completes any private financing of equity, equity-linked or debt or other capital raising activity of the Company (other than the Autilion Transaction and exercise by any person or entity of any options, warrants or other convertible securities other than the Warrants issued pursuant to this Agreement) (i) with any of the Investors who were Introduced to the Company in connection with the financing contemplated hereby by the Placement Agent or (ii) as a result of the use by the Company of materials or other work product prepared by the Placement Agent in connection with the Offering, the Company shall pay to the Placement Agent, at the closing of any such offering or financing, the fees described in, and in accordance with the terms and provisions of, Section 1(a) above. For purposes of this Section 8(e), “Introduced” shall mean any e-mail correspondence, in-person meetings or any other form of direct contact involving both the Company and the Placement Agent, including telephonic communications with respect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299325"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39" w:name="page240"/>
    <w:bookmarkEnd w:id="239"/>
    <w:p>
      <w:pPr>
        <w:spacing w:after="0"/>
        <w:rPr>
          <w:sz w:val="20"/>
          <w:szCs w:val="20"/>
          <w:color w:val="auto"/>
        </w:rPr>
      </w:pPr>
      <w:r>
        <w:rPr>
          <w:rFonts w:ascii="Arial" w:cs="Arial" w:eastAsia="Arial" w:hAnsi="Arial"/>
          <w:sz w:val="12"/>
          <w:szCs w:val="12"/>
          <w:b w:val="1"/>
          <w:bCs w:val="1"/>
          <w:color w:val="auto"/>
        </w:rPr>
        <w:t xml:space="preserve">Section 9. </w:t>
      </w:r>
      <w:r>
        <w:rPr>
          <w:rFonts w:ascii="Arial" w:cs="Arial" w:eastAsia="Arial" w:hAnsi="Arial"/>
          <w:sz w:val="12"/>
          <w:szCs w:val="12"/>
          <w:color w:val="auto"/>
        </w:rPr>
        <w:t>Notices</w:t>
      </w:r>
      <w:r>
        <w:rPr>
          <w:rFonts w:ascii="Arial" w:cs="Arial" w:eastAsia="Arial" w:hAnsi="Arial"/>
          <w:sz w:val="12"/>
          <w:szCs w:val="12"/>
          <w:i w:val="1"/>
          <w:iCs w:val="1"/>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statements, requests, notices and agreements hereunder shall be in writing or by facsimile, and: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if to the Placement Agent, shall be delivered or sent by mail, telex or facsimile transmission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Geller Biopharm</w:t>
      </w:r>
    </w:p>
    <w:p>
      <w:pPr>
        <w:ind w:left="420"/>
        <w:spacing w:after="0" w:line="209" w:lineRule="auto"/>
        <w:rPr>
          <w:sz w:val="20"/>
          <w:szCs w:val="20"/>
          <w:color w:val="auto"/>
        </w:rPr>
      </w:pPr>
      <w:r>
        <w:rPr>
          <w:rFonts w:ascii="Arial" w:cs="Arial" w:eastAsia="Arial" w:hAnsi="Arial"/>
          <w:sz w:val="12"/>
          <w:szCs w:val="12"/>
          <w:color w:val="auto"/>
        </w:rPr>
        <w:t>140 West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 Suite 14B</w:t>
      </w:r>
    </w:p>
    <w:p>
      <w:pPr>
        <w:ind w:left="420"/>
        <w:spacing w:after="0"/>
        <w:rPr>
          <w:sz w:val="20"/>
          <w:szCs w:val="20"/>
          <w:color w:val="auto"/>
        </w:rPr>
      </w:pPr>
      <w:r>
        <w:rPr>
          <w:rFonts w:ascii="Arial" w:cs="Arial" w:eastAsia="Arial" w:hAnsi="Arial"/>
          <w:sz w:val="12"/>
          <w:szCs w:val="12"/>
          <w:color w:val="auto"/>
        </w:rPr>
        <w:t>New York, NY 10019</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Attn: Matthew Geller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a copy (which shall not constitute notice)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Sichenzia Ross Friedman Ference LLP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61 Broadway, 32nd Floor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New York, New York 10006</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Attn: Harvey J. Kesner, Esq.</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(212) 930-9725</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if to the Company shall be delivered or sent by mail, telex or facsimile transmission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Attention: Chief Executive Officer</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888-482-2602</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with a copy (which shall not constitute notice) to:</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Disclosure Law Group</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One American Plaza, Ste. 700</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San Diego, CA 92101</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Attention: Daniel Rumsey, Esq.</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Fax No: 619-330-2101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Any such notice shall be effective only upon receipt. Any party to this Agreement may change such address for notices by sending to the parties to this Agreement written notice of a new address for such purpose.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10. Persons Entitled to Benefit of Agreement</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This Agreement shall inure to the benefit of and shall be binding upon the Placement Agent, the Company and their respective successors and assigns and the controlling persons, officers and directors referred to in </w:t>
      </w:r>
      <w:r>
        <w:rPr>
          <w:rFonts w:ascii="Arial" w:cs="Arial" w:eastAsia="Arial" w:hAnsi="Arial"/>
          <w:sz w:val="11"/>
          <w:szCs w:val="11"/>
          <w:u w:val="single" w:color="auto"/>
          <w:color w:val="auto"/>
        </w:rPr>
        <w:t>Section 6</w:t>
      </w:r>
      <w:r>
        <w:rPr>
          <w:rFonts w:ascii="Arial" w:cs="Arial" w:eastAsia="Arial" w:hAnsi="Arial"/>
          <w:sz w:val="11"/>
          <w:szCs w:val="11"/>
          <w:color w:val="auto"/>
        </w:rPr>
        <w:t>. Nothing in this Agreement is intended or shall be construed to give to any other person, firm or corporation, other than the persons, firms or corporations mentioned in the preceding sentence, any legal or equitable remedy or claim under or in respect of this Agreement, or any provision herein contained. The term “successors and assigns” as herein used shall not include any purchaser of the Securities by reason merely of such purchase.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11. Governing Law</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Agreement shall be governed by and construed in accordance with the laws of the State of New York without giving effect to the conflicts of laws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40" w:name="page241"/>
    <w:bookmarkEnd w:id="240"/>
    <w:p>
      <w:pPr>
        <w:spacing w:after="0"/>
        <w:rPr>
          <w:sz w:val="20"/>
          <w:szCs w:val="20"/>
          <w:color w:val="auto"/>
        </w:rPr>
      </w:pPr>
      <w:r>
        <w:rPr>
          <w:rFonts w:ascii="Arial" w:cs="Arial" w:eastAsia="Arial" w:hAnsi="Arial"/>
          <w:sz w:val="12"/>
          <w:szCs w:val="12"/>
          <w:b w:val="1"/>
          <w:bCs w:val="1"/>
          <w:color w:val="auto"/>
        </w:rPr>
        <w:t>Section 12. No Fiduciary Relationship</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The Company hereby acknowledges that the Placement Agent is acting solely as a placement agent in connection with the offering of the Company’s securities. The Company further acknowledges that the Placement Agent is acting pursuant to a contractual relationship created solely by this Agreement entered into on an arm’s length basis and in no event do the parties intend that the Placement Agent act or be responsible as a fiduciary to the Company, its management, stockholders, creditors or any other person in connection with any activity that the Placement Agent may undertake or have undertaken in furtherance of the offering of the Company’s securities, either before or after the date hereof. The Placement Agent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Placement Agent agree that they are each responsible for making their own independent judgments with respect to any such transactions, and that any opinions or views expressed by the Placement Agent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Placement Agent with respect to any breach or alleged breach of any fiduciary or similar duty to the Company in connection with the transactions contemplated by this Agreement or any matters leading up to such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13. Headings.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Section headings in this Agreement have been inserted as a matter of convenience of reference and are not a part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14. Amendments and Waivers</w:t>
      </w:r>
      <w:r>
        <w:rPr>
          <w:rFonts w:ascii="Arial" w:cs="Arial" w:eastAsia="Arial" w:hAnsi="Arial"/>
          <w:sz w:val="12"/>
          <w:szCs w:val="12"/>
          <w:color w:val="auto"/>
        </w:rPr>
        <w:t>.</w:t>
      </w:r>
    </w:p>
    <w:p>
      <w:pPr>
        <w:spacing w:after="0" w:line="17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15. Submission to Jurisdiction</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Except as set forth below, no Proceeding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hereby consents to the jurisdiction of such courts and personal service with respect thereto. The Company hereby consents to personal jurisdiction, service and venue in any court in which any Proceeding arising out of or in any way relating to this Agreement is brought by any third party against the Placement Agent. The Company and the Placement Agent each hereby waives all right to trial by jury in any Proceeding (whether based upon contract, tort or otherwise) in any way arising out of or relating to this Agreement. The Company and the Placement Agent each agrees that a final judgment in any such Proceeding brought in any such court shall be conclusive and binding upon such party and may be enforced in any other courts in the jurisdiction of which such party is or may be subject, by suit upon such judgment.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16. Counterparts</w:t>
      </w:r>
      <w:r>
        <w:rPr>
          <w:rFonts w:ascii="Arial" w:cs="Arial" w:eastAsia="Arial" w:hAnsi="Arial"/>
          <w:sz w:val="12"/>
          <w:szCs w:val="12"/>
          <w:color w:val="auto"/>
        </w:rPr>
        <w: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This Agreement may be executed in one or more counterparts and, if executed in more than one counterpart, the executed counterparts shall each be deemed to be an original and all such counterparts shall together constitute one and the same instrument. Delivery of an executed counterpart by facsimile shall be effective as delivery of a manually executed counterpart thereof.</w:t>
      </w:r>
    </w:p>
    <w:p>
      <w:pPr>
        <w:spacing w:after="0" w:line="133"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41" w:name="page242"/>
    <w:bookmarkEnd w:id="241"/>
    <w:p>
      <w:pPr>
        <w:ind w:left="420"/>
        <w:spacing w:after="0"/>
        <w:rPr>
          <w:sz w:val="20"/>
          <w:szCs w:val="20"/>
          <w:color w:val="auto"/>
        </w:rPr>
      </w:pPr>
      <w:r>
        <w:rPr>
          <w:rFonts w:ascii="Arial" w:cs="Arial" w:eastAsia="Arial" w:hAnsi="Arial"/>
          <w:sz w:val="10"/>
          <w:szCs w:val="10"/>
          <w:color w:val="auto"/>
        </w:rPr>
        <w:t>If the foregoing is in accordance with your understanding of the agreement between the Company and the Placement Agent, kindly indicate your acceptance in the space provided for that purpose below.</w:t>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Very truly yours,</w:t>
      </w: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VISTAGEN THERAPEUTICS, INC.</w:t>
      </w: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9525</wp:posOffset>
            </wp:positionV>
            <wp:extent cx="2247900" cy="11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47900" cy="1143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Accepted as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date first above written:</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GELLER BIOPHARM</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9525</wp:posOffset>
            </wp:positionV>
            <wp:extent cx="2242185"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42185" cy="1143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FINANCIAL WEST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2242185"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42185" cy="1143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554"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2"/>
          <w:szCs w:val="12"/>
          <w:b w:val="1"/>
          <w:bCs w:val="1"/>
          <w:u w:val="single" w:color="auto"/>
          <w:color w:val="auto"/>
        </w:rPr>
        <w:t>APPENDIX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488950</wp:posOffset>
            </wp:positionV>
            <wp:extent cx="7299325" cy="18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3" w:name="page244"/>
    <w:bookmarkEnd w:id="243"/>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Form of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581025</wp:posOffset>
            </wp:positionV>
            <wp:extent cx="729932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4" w:name="page245"/>
    <w:bookmarkEnd w:id="244"/>
    <w:p>
      <w:pPr>
        <w:jc w:val="center"/>
        <w:ind w:right="-1220"/>
        <w:spacing w:after="0"/>
        <w:rPr>
          <w:sz w:val="20"/>
          <w:szCs w:val="20"/>
          <w:color w:val="auto"/>
        </w:rPr>
      </w:pPr>
      <w:r>
        <w:rPr>
          <w:rFonts w:ascii="Arial" w:cs="Arial" w:eastAsia="Arial" w:hAnsi="Arial"/>
          <w:sz w:val="12"/>
          <w:szCs w:val="12"/>
          <w:b w:val="1"/>
          <w:bCs w:val="1"/>
          <w:u w:val="single" w:color="auto"/>
          <w:color w:val="auto"/>
        </w:rPr>
        <w:t>EXHIBIT B</w:t>
      </w:r>
    </w:p>
    <w:p>
      <w:pPr>
        <w:spacing w:after="0" w:line="172" w:lineRule="exact"/>
        <w:rPr>
          <w:sz w:val="20"/>
          <w:szCs w:val="20"/>
          <w:color w:val="auto"/>
        </w:rPr>
      </w:pPr>
    </w:p>
    <w:p>
      <w:pPr>
        <w:jc w:val="right"/>
        <w:ind w:right="4139"/>
        <w:spacing w:after="0"/>
        <w:rPr>
          <w:sz w:val="20"/>
          <w:szCs w:val="20"/>
          <w:color w:val="auto"/>
        </w:rPr>
      </w:pPr>
      <w:r>
        <w:rPr>
          <w:rFonts w:ascii="Arial" w:cs="Arial" w:eastAsia="Arial" w:hAnsi="Arial"/>
          <w:sz w:val="12"/>
          <w:szCs w:val="12"/>
          <w:color w:val="auto"/>
        </w:rPr>
        <w:t>Offering Terms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Number of Securities: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7299325" cy="18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550"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2"/>
          <w:szCs w:val="12"/>
          <w:b w:val="1"/>
          <w:bCs w:val="1"/>
          <w:u w:val="single" w:color="auto"/>
          <w:color w:val="auto"/>
        </w:rPr>
        <w:t>EXHIBIT C</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Form of Opinion of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574040</wp:posOffset>
            </wp:positionV>
            <wp:extent cx="729932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2"/>
          <w:szCs w:val="12"/>
          <w:b w:val="1"/>
          <w:bCs w:val="1"/>
          <w:u w:val="single" w:color="auto"/>
          <w:color w:val="auto"/>
        </w:rPr>
        <w:t>EXHIBIT 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Form of Intellectual Property Opinion of IP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574040</wp:posOffset>
            </wp:positionV>
            <wp:extent cx="7299325" cy="18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12"/>
          <w:szCs w:val="12"/>
          <w:b w:val="1"/>
          <w:bCs w:val="1"/>
          <w:u w:val="single" w:color="auto"/>
          <w:color w:val="auto"/>
        </w:rPr>
        <w:t>EXHIBIT 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Form of Negative Assurance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581025</wp:posOffset>
            </wp:positionV>
            <wp:extent cx="7299325" cy="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8" w:name="page249"/>
    <w:bookmarkEnd w:id="248"/>
    <w:p>
      <w:pPr>
        <w:jc w:val="center"/>
        <w:ind w:right="-7"/>
        <w:spacing w:after="0"/>
        <w:rPr>
          <w:sz w:val="20"/>
          <w:szCs w:val="20"/>
          <w:color w:val="auto"/>
        </w:rPr>
      </w:pPr>
      <w:r>
        <w:rPr>
          <w:rFonts w:ascii="Arial" w:cs="Arial" w:eastAsia="Arial" w:hAnsi="Arial"/>
          <w:sz w:val="12"/>
          <w:szCs w:val="12"/>
          <w:b w:val="1"/>
          <w:bCs w:val="1"/>
          <w:u w:val="single" w:color="auto"/>
          <w:color w:val="auto"/>
        </w:rPr>
        <w:t>EXHIBIT F</w:t>
      </w:r>
    </w:p>
    <w:p>
      <w:pPr>
        <w:spacing w:after="0" w:line="1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Form of Lock-Up Agreement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Financial West Group</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Geller Biopharm</w:t>
      </w:r>
    </w:p>
    <w:p>
      <w:pPr>
        <w:ind w:left="8"/>
        <w:spacing w:after="0" w:line="197" w:lineRule="auto"/>
        <w:rPr>
          <w:sz w:val="20"/>
          <w:szCs w:val="20"/>
          <w:color w:val="auto"/>
        </w:rPr>
      </w:pPr>
      <w:r>
        <w:rPr>
          <w:rFonts w:ascii="Arial" w:cs="Arial" w:eastAsia="Arial" w:hAnsi="Arial"/>
          <w:sz w:val="12"/>
          <w:szCs w:val="12"/>
          <w:color w:val="auto"/>
        </w:rPr>
        <w:t>140 W.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w:t>
      </w:r>
    </w:p>
    <w:p>
      <w:pPr>
        <w:ind w:left="8"/>
        <w:spacing w:after="0"/>
        <w:rPr>
          <w:sz w:val="20"/>
          <w:szCs w:val="20"/>
          <w:color w:val="auto"/>
        </w:rPr>
      </w:pPr>
      <w:r>
        <w:rPr>
          <w:rFonts w:ascii="Arial" w:cs="Arial" w:eastAsia="Arial" w:hAnsi="Arial"/>
          <w:sz w:val="12"/>
          <w:szCs w:val="12"/>
          <w:color w:val="auto"/>
        </w:rPr>
        <w:t>New York, NY 100019</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color w:val="auto"/>
        </w:rPr>
        <w:t>Ladies and Gentlemen:</w:t>
      </w:r>
    </w:p>
    <w:p>
      <w:pPr>
        <w:spacing w:after="0" w:line="164" w:lineRule="exact"/>
        <w:rPr>
          <w:sz w:val="20"/>
          <w:szCs w:val="20"/>
          <w:color w:val="auto"/>
        </w:rPr>
      </w:pPr>
    </w:p>
    <w:p>
      <w:pPr>
        <w:jc w:val="both"/>
        <w:ind w:left="8" w:firstLine="432"/>
        <w:spacing w:after="0" w:line="331" w:lineRule="auto"/>
        <w:rPr>
          <w:sz w:val="20"/>
          <w:szCs w:val="20"/>
          <w:color w:val="auto"/>
        </w:rPr>
      </w:pPr>
      <w:r>
        <w:rPr>
          <w:rFonts w:ascii="Arial" w:cs="Arial" w:eastAsia="Arial" w:hAnsi="Arial"/>
          <w:sz w:val="11"/>
          <w:szCs w:val="11"/>
          <w:color w:val="auto"/>
        </w:rPr>
        <w:t>The undersigned understands that Geller Biopharm (the “</w:t>
      </w:r>
      <w:r>
        <w:rPr>
          <w:rFonts w:ascii="Arial" w:cs="Arial" w:eastAsia="Arial" w:hAnsi="Arial"/>
          <w:sz w:val="11"/>
          <w:szCs w:val="11"/>
          <w:b w:val="1"/>
          <w:bCs w:val="1"/>
          <w:color w:val="auto"/>
        </w:rPr>
        <w:t>Placement Agent</w:t>
      </w:r>
      <w:r>
        <w:rPr>
          <w:rFonts w:ascii="Arial" w:cs="Arial" w:eastAsia="Arial" w:hAnsi="Arial"/>
          <w:sz w:val="11"/>
          <w:szCs w:val="11"/>
          <w:color w:val="auto"/>
        </w:rPr>
        <w:t>”) proposes to enter into a Placement Agency Agreement (the “</w:t>
      </w:r>
      <w:r>
        <w:rPr>
          <w:rFonts w:ascii="Arial" w:cs="Arial" w:eastAsia="Arial" w:hAnsi="Arial"/>
          <w:sz w:val="11"/>
          <w:szCs w:val="11"/>
          <w:b w:val="1"/>
          <w:bCs w:val="1"/>
          <w:color w:val="auto"/>
        </w:rPr>
        <w:t>Placement Agency Agreement</w:t>
      </w:r>
      <w:r>
        <w:rPr>
          <w:rFonts w:ascii="Arial" w:cs="Arial" w:eastAsia="Arial" w:hAnsi="Arial"/>
          <w:sz w:val="11"/>
          <w:szCs w:val="11"/>
          <w:color w:val="auto"/>
        </w:rPr>
        <w:t>”) with VistaGen Therapeutics, Inc., a Nevada corporation (the “</w:t>
      </w:r>
      <w:r>
        <w:rPr>
          <w:rFonts w:ascii="Arial" w:cs="Arial" w:eastAsia="Arial" w:hAnsi="Arial"/>
          <w:sz w:val="11"/>
          <w:szCs w:val="11"/>
          <w:b w:val="1"/>
          <w:bCs w:val="1"/>
          <w:color w:val="auto"/>
        </w:rPr>
        <w:t>Company</w:t>
      </w:r>
      <w:r>
        <w:rPr>
          <w:rFonts w:ascii="Arial" w:cs="Arial" w:eastAsia="Arial" w:hAnsi="Arial"/>
          <w:sz w:val="11"/>
          <w:szCs w:val="11"/>
          <w:color w:val="auto"/>
        </w:rPr>
        <w:t>”), providing for the public offering (the “</w:t>
      </w:r>
      <w:r>
        <w:rPr>
          <w:rFonts w:ascii="Arial" w:cs="Arial" w:eastAsia="Arial" w:hAnsi="Arial"/>
          <w:sz w:val="11"/>
          <w:szCs w:val="11"/>
          <w:b w:val="1"/>
          <w:bCs w:val="1"/>
          <w:color w:val="auto"/>
        </w:rPr>
        <w:t>Public Offering</w:t>
      </w:r>
      <w:r>
        <w:rPr>
          <w:rFonts w:ascii="Arial" w:cs="Arial" w:eastAsia="Arial" w:hAnsi="Arial"/>
          <w:sz w:val="11"/>
          <w:szCs w:val="11"/>
          <w:color w:val="auto"/>
        </w:rPr>
        <w:t>”) of securities of the Company (the “</w:t>
      </w:r>
      <w:r>
        <w:rPr>
          <w:rFonts w:ascii="Arial" w:cs="Arial" w:eastAsia="Arial" w:hAnsi="Arial"/>
          <w:sz w:val="11"/>
          <w:szCs w:val="11"/>
          <w:b w:val="1"/>
          <w:bCs w:val="1"/>
          <w:color w:val="auto"/>
        </w:rPr>
        <w:t>Securities</w:t>
      </w:r>
      <w:r>
        <w:rPr>
          <w:rFonts w:ascii="Arial" w:cs="Arial" w:eastAsia="Arial" w:hAnsi="Arial"/>
          <w:sz w:val="11"/>
          <w:szCs w:val="11"/>
          <w:color w:val="auto"/>
        </w:rPr>
        <w:t>”). Geller Biopharm is a healthcare investment banking division of Financial West Group.</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1"/>
          <w:szCs w:val="11"/>
          <w:color w:val="auto"/>
        </w:rPr>
        <w:t>To induce the Placement Agent to continue its efforts in connection with the Public Offering, and to facilitate successful consummation of the Public Offering, the undersigned hereby agrees that, without the prior written consent of the Placement Agent, the undersigned will not, during the period commencing on the Closing of the Public Offering, and ending one hundred and eighty (180) thereafter (the “</w:t>
      </w:r>
      <w:r>
        <w:rPr>
          <w:rFonts w:ascii="Arial" w:cs="Arial" w:eastAsia="Arial" w:hAnsi="Arial"/>
          <w:sz w:val="11"/>
          <w:szCs w:val="11"/>
          <w:b w:val="1"/>
          <w:bCs w:val="1"/>
          <w:color w:val="auto"/>
        </w:rPr>
        <w:t>Lock-Up Period</w:t>
      </w:r>
      <w:r>
        <w:rPr>
          <w:rFonts w:ascii="Arial" w:cs="Arial" w:eastAsia="Arial" w:hAnsi="Arial"/>
          <w:sz w:val="11"/>
          <w:szCs w:val="11"/>
          <w:color w:val="auto"/>
        </w:rPr>
        <w:t>”), (1) offer, pledge, sell, contract to sell, grant, encumber, lend, grant any option for the sale of, or otherwise transfer or dispose of, directly or indirectly, any Securities or any shares of the Company’s Common Stock, par value $0.001 per share (the “</w:t>
      </w:r>
      <w:r>
        <w:rPr>
          <w:rFonts w:ascii="Arial" w:cs="Arial" w:eastAsia="Arial" w:hAnsi="Arial"/>
          <w:sz w:val="11"/>
          <w:szCs w:val="11"/>
          <w:b w:val="1"/>
          <w:bCs w:val="1"/>
          <w:color w:val="auto"/>
        </w:rPr>
        <w:t>Common Stock</w:t>
      </w:r>
      <w:r>
        <w:rPr>
          <w:rFonts w:ascii="Arial" w:cs="Arial" w:eastAsia="Arial" w:hAnsi="Arial"/>
          <w:sz w:val="11"/>
          <w:szCs w:val="11"/>
          <w:color w:val="auto"/>
        </w:rPr>
        <w:t>”) or any securities convertible into or exercisable or exchangeable for Securities or shares of Common Stock, whether now owned or hereafter acquired by the undersigned or with respect to which the undersigned has or hereafter acquires the power of disposition (collectively, the “</w:t>
      </w:r>
      <w:r>
        <w:rPr>
          <w:rFonts w:ascii="Arial" w:cs="Arial" w:eastAsia="Arial" w:hAnsi="Arial"/>
          <w:sz w:val="11"/>
          <w:szCs w:val="11"/>
          <w:b w:val="1"/>
          <w:bCs w:val="1"/>
          <w:color w:val="auto"/>
        </w:rPr>
        <w:t>Lock-Up Securities</w:t>
      </w:r>
      <w:r>
        <w:rPr>
          <w:rFonts w:ascii="Arial" w:cs="Arial" w:eastAsia="Arial" w:hAnsi="Arial"/>
          <w:sz w:val="11"/>
          <w:szCs w:val="11"/>
          <w:color w:val="auto"/>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spacing w:after="0" w:line="1" w:lineRule="exact"/>
        <w:rPr>
          <w:sz w:val="20"/>
          <w:szCs w:val="20"/>
          <w:color w:val="auto"/>
        </w:rPr>
      </w:pPr>
    </w:p>
    <w:p>
      <w:pPr>
        <w:jc w:val="both"/>
        <w:ind w:left="8" w:hanging="8"/>
        <w:spacing w:after="0" w:line="277" w:lineRule="auto"/>
        <w:tabs>
          <w:tab w:leader="none" w:pos="188"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publicly disclose the intention to make any offer, sale, pledge or disposition, or to enter into any transaction, swap, hedge or other arrangement relating to any Lock-Up Securities. Notwithstanding the foregoing, and subject to the conditions below, the undersigned may transfer Lock-Up Securities without the prior written consent of the Placement Agent in connection with (a) transactions relating to Lock-Up Securities acquired in open market transactions after the completion of the Public Offering;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filing under Section 16(a) of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xml:space="preserve">”), shall be required or shall be voluntarily made in connection with subsequent sales of Lock-Up Securities acquired in such open market transactions; (b) transfers of Lock-Up Securities as a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gift, by will or intestacy or to a family member or trust for the benefit of a family member (for purposes of this lock-up agreement, “family member” means any relationship by blood, marriage or adoption, not more remote than first cousin); (c) transfers of Lock-Up Securities to a charity or educational institution; or (d) if the undersigned, directly or indirectly, controls a corporation, partnership, limited liability company or other business entity, any transfers of Lock-Up Securities to any shareholder, partner or member of, or owner of similar equity interests in, the undersigned, as the case may be;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any transfer pursuant to the foregoing clauses (b), (c) or (d), (i) any such transfer shall not involve a disposition for value, (ii) each transferee shall sign and deliver to the Placement Agent a lock-up agreement substantially in the form of this lock-up agreement and (iii) no filing under Section 16(a) of the Exchange Act shall be required or shall be voluntarily made. The undersigned also agrees and consents to the entry of stop transfer instructions with the Company’s transfer agent and registrar against the transfer of the undersigned’s Lock-Up Securities except in compliance with this lock-up agreement.</w:t>
      </w:r>
    </w:p>
    <w:p>
      <w:pPr>
        <w:spacing w:after="0" w:line="13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If (i) during the last 17 days of the Lock-Up Period, the Company issues an earnings release or material news or a material event relating to the Company occurs, or (ii) prior to the expiration of the Lock-Up Period, the Company announces that it will release earnings results or becomes aware that material news or a material event will occur during the 16-day period beginning on the last day of the Lock-Up Period, the restrictions imposed by this lock-up agreement shall continue to apply until the expiration of the 18-day period beginning on the issuance of the earnings release or the occurrence of such material news or material event, as applicable, unless the Placement Agent waives, in writing,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9325" cy="18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712" w:right="199" w:bottom="1440" w:gutter="0" w:footer="0" w:header="0"/>
        </w:sectPr>
      </w:pPr>
    </w:p>
    <w:bookmarkStart w:id="249" w:name="page250"/>
    <w:bookmarkEnd w:id="249"/>
    <w:p>
      <w:pPr>
        <w:jc w:val="both"/>
        <w:ind w:firstLine="432"/>
        <w:spacing w:after="0" w:line="230" w:lineRule="auto"/>
        <w:rPr>
          <w:sz w:val="20"/>
          <w:szCs w:val="20"/>
          <w:color w:val="auto"/>
        </w:rPr>
      </w:pPr>
      <w:r>
        <w:rPr>
          <w:rFonts w:ascii="Arial" w:cs="Arial" w:eastAsia="Arial" w:hAnsi="Arial"/>
          <w:sz w:val="12"/>
          <w:szCs w:val="12"/>
          <w:color w:val="auto"/>
        </w:rPr>
        <w:t>The undersigned agrees that, prior to engaging in any transaction or taking any other action that is subject to the terms of this lock-up agreement during the period from the date hereof to and including the 34</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following the expiration of the initial Lock-Up Period, the undersigned will give notice thereof to the Company and will not consummate any such transaction or take any such action unless it has received written confirmation from the Company that the Lock-Up Period (as may have been extended pursuant to the previous paragraph) has expired.</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the undersigned is an officer or director of the Company, (i) the undersigned agrees that the foregoing restrictions shall be equally applicable to any issuer-directed or “friends and family” Securities that the undersigned may purchase in the Public Offering; (ii) the Placement Agent agrees that, at least three (3) business days before the effective date of any release or waiver of the foregoing restrictions in connection with a transfer of Lock-Up Securities, the Placement Agent will notify the Company of the impending release or waiver; and (iii) the Company has agreed in the Placement Agency Agreement to announce the impending release or waiver by press release through a major news service at least two (2) business days before the effective date of the release or waiver. Any release or waiver granted by the Placement Agent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No provision in this agreement shall be deemed to restrict or prohibit the exercise, exchange or conversion by the undersigned of any securities exercisable or exchangeable for or convertible into securities of the Company,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undersigned does not transfer such securities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undersigned understands that the Company and the Placement Agent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undersigned understands that, if the Placement Agency Agreement is not executed by [____], 2014, or if the Placement Agency Agreement (other than the provisions thereof which survive termination) shall terminate or be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terminated prior to payment for and delivery of the Securities to be sold thereunder, then this lock-up agreement shall be void and of no further force or effect.</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Whether or not the Public Offering actually occurs depends on a number of factors, including market conditions. Any Public Offering will only be made pursuant to a Placement Agency Agreement, the terms of which are subject to negotiation between the Company and the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4" w:right="199" w:bottom="1440" w:gutter="0" w:footer="0" w:header="0"/>
        </w:sectPr>
      </w:pPr>
    </w:p>
    <w:bookmarkStart w:id="250" w:name="page251"/>
    <w:bookmarkEnd w:id="250"/>
    <w:p>
      <w:pPr>
        <w:ind w:left="3320"/>
        <w:spacing w:after="0"/>
        <w:rPr>
          <w:sz w:val="20"/>
          <w:szCs w:val="20"/>
          <w:color w:val="auto"/>
        </w:rPr>
      </w:pPr>
      <w:r>
        <w:rPr>
          <w:rFonts w:ascii="Arial" w:cs="Arial" w:eastAsia="Arial" w:hAnsi="Arial"/>
          <w:sz w:val="12"/>
          <w:szCs w:val="1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192405</wp:posOffset>
            </wp:positionV>
            <wp:extent cx="4398010"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292" w:lineRule="exact"/>
        <w:rPr>
          <w:sz w:val="20"/>
          <w:szCs w:val="20"/>
          <w:color w:val="auto"/>
        </w:rPr>
      </w:pPr>
    </w:p>
    <w:p>
      <w:pPr>
        <w:ind w:left="3320"/>
        <w:spacing w:after="0"/>
        <w:rPr>
          <w:sz w:val="20"/>
          <w:szCs w:val="20"/>
          <w:color w:val="auto"/>
        </w:rPr>
      </w:pPr>
      <w:r>
        <w:rPr>
          <w:rFonts w:ascii="Arial" w:cs="Arial" w:eastAsia="Arial" w:hAnsi="Arial"/>
          <w:sz w:val="10"/>
          <w:szCs w:val="10"/>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207010</wp:posOffset>
            </wp:positionV>
            <wp:extent cx="439801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98010" cy="11430"/>
                    </a:xfrm>
                    <a:prstGeom prst="rect">
                      <a:avLst/>
                    </a:prstGeom>
                    <a:noFill/>
                  </pic:spPr>
                </pic:pic>
              </a:graphicData>
            </a:graphic>
          </wp:anchor>
        </w:drawing>
      </w:r>
    </w:p>
    <w:p>
      <w:pPr>
        <w:spacing w:after="0" w:line="315" w:lineRule="exact"/>
        <w:rPr>
          <w:sz w:val="20"/>
          <w:szCs w:val="20"/>
          <w:color w:val="auto"/>
        </w:rPr>
      </w:pPr>
    </w:p>
    <w:p>
      <w:pPr>
        <w:ind w:left="3320"/>
        <w:spacing w:after="0"/>
        <w:rPr>
          <w:sz w:val="20"/>
          <w:szCs w:val="20"/>
          <w:color w:val="auto"/>
        </w:rPr>
      </w:pPr>
      <w:r>
        <w:rPr>
          <w:rFonts w:ascii="Arial" w:cs="Arial" w:eastAsia="Arial" w:hAnsi="Arial"/>
          <w:sz w:val="11"/>
          <w:szCs w:val="11"/>
          <w:color w:val="auto"/>
        </w:rPr>
        <w:t>(Title of Signatory, in the case of entities - Please Print)</w:t>
      </w:r>
    </w:p>
    <w:p>
      <w:pPr>
        <w:spacing w:after="0" w:line="162"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9525</wp:posOffset>
            </wp:positionV>
            <wp:extent cx="3654425" cy="11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203835</wp:posOffset>
            </wp:positionV>
            <wp:extent cx="3654425"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398145</wp:posOffset>
            </wp:positionV>
            <wp:extent cx="3654425"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54425" cy="1143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1069975</wp:posOffset>
            </wp:positionV>
            <wp:extent cx="7299325" cy="18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12"/>
          <w:szCs w:val="12"/>
          <w:b w:val="1"/>
          <w:bCs w:val="1"/>
          <w:u w:val="single" w:color="auto"/>
          <w:color w:val="auto"/>
        </w:rPr>
        <w:t>EXHIBIT 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Press Release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VistaGen Therapeutics, Inc.</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VistaGen Therapeutics, Inc. (the “Company”) announced today that Geller Biopharm, [a healthcare investment banking division of Financial West Group], acting as placement agent in the Company’s recent public offering of _______ of</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 Company’s ______, is [waiving] [releasing] a lock-up restriction with respect to _________ shares of the Company’s stock held by [certain officers or directors] [an officer or director] of the Company. The [waiver] [release] will take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effect on _________, 20___, and the shares may be sold on or after such date.</w:t>
      </w:r>
    </w:p>
    <w:p>
      <w:pPr>
        <w:spacing w:after="0" w:line="155"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644525</wp:posOffset>
            </wp:positionV>
            <wp:extent cx="7299325" cy="18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52" w:name="page253"/>
    <w:bookmarkEnd w:id="252"/>
    <w:p>
      <w:pPr>
        <w:ind w:left="5340"/>
        <w:spacing w:after="0"/>
        <w:rPr>
          <w:sz w:val="20"/>
          <w:szCs w:val="20"/>
          <w:color w:val="auto"/>
        </w:rPr>
      </w:pPr>
      <w:r>
        <w:rPr>
          <w:rFonts w:ascii="Arial" w:cs="Arial" w:eastAsia="Arial" w:hAnsi="Arial"/>
          <w:sz w:val="11"/>
          <w:szCs w:val="11"/>
          <w:b w:val="1"/>
          <w:bCs w:val="1"/>
          <w:color w:val="auto"/>
        </w:rPr>
        <w:t>SCHEDULE A</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VistaGen Therapeutic, Inc.’s officers, directors and each owner of at least 5% of the Company’s outstanding shares:</w:t>
      </w:r>
    </w:p>
    <w:p>
      <w:pPr>
        <w:sectPr>
          <w:pgSz w:w="11900" w:h="16838" w:orient="portrait"/>
          <w:cols w:equalWidth="0" w:num="1">
            <w:col w:w="10239"/>
          </w:cols>
          <w:pgMar w:left="220" w:top="550" w:right="1440"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493645"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26670</wp:posOffset>
            </wp:positionV>
            <wp:extent cx="2310765" cy="11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1076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19685</wp:posOffset>
            </wp:positionV>
            <wp:extent cx="2162175" cy="11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62175" cy="114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3">
            <w:col w:w="4500" w:space="720"/>
            <w:col w:w="3140" w:space="720"/>
            <w:col w:w="1159"/>
          </w:cols>
          <w:pgMar w:left="220" w:top="550" w:right="1440"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Named Executive Officers: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 Percentage of class based on [____]shares of common stock outstanding as of [___], 2014.</w:t>
      </w:r>
    </w:p>
    <w:p>
      <w:pPr>
        <w:sectPr>
          <w:pgSz w:w="11900" w:h="16838" w:orient="portrait"/>
          <w:cols w:equalWidth="0" w:num="1">
            <w:col w:w="10239"/>
          </w:cols>
          <w:pgMar w:left="220" w:top="550" w:right="1440" w:bottom="1440" w:gutter="0" w:footer="0" w:header="0"/>
          <w:type w:val="continuous"/>
        </w:sectPr>
      </w:pPr>
    </w:p>
    <w:bookmarkStart w:id="253" w:name="page254"/>
    <w:bookmarkEnd w:id="253"/>
    <w:p>
      <w:pPr>
        <w:jc w:val="right"/>
        <w:spacing w:after="0"/>
        <w:rPr>
          <w:sz w:val="20"/>
          <w:szCs w:val="20"/>
          <w:color w:val="auto"/>
        </w:rPr>
      </w:pPr>
      <w:r>
        <w:rPr>
          <w:rFonts w:ascii="Arial" w:cs="Arial" w:eastAsia="Arial" w:hAnsi="Arial"/>
          <w:sz w:val="14"/>
          <w:szCs w:val="14"/>
          <w:b w:val="1"/>
          <w:bCs w:val="1"/>
          <w:color w:val="auto"/>
        </w:rPr>
        <w:t>Exhibit 10.109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ESCROW DEPOSIT AGREEMENT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ESCROW DEPOSIT AGREEMENT</w:t>
      </w:r>
      <w:r>
        <w:rPr>
          <w:rFonts w:ascii="Arial" w:cs="Arial" w:eastAsia="Arial" w:hAnsi="Arial"/>
          <w:sz w:val="12"/>
          <w:szCs w:val="12"/>
          <w:color w:val="auto"/>
        </w:rPr>
        <w:t xml:space="preserve"> (this “Agreement”) dated as of this __ day of _____ 20114, by and among </w:t>
      </w:r>
      <w:r>
        <w:rPr>
          <w:rFonts w:ascii="Arial" w:cs="Arial" w:eastAsia="Arial" w:hAnsi="Arial"/>
          <w:sz w:val="12"/>
          <w:szCs w:val="12"/>
          <w:b w:val="1"/>
          <w:bCs w:val="1"/>
          <w:color w:val="auto"/>
        </w:rPr>
        <w:t>VistaGen Therapeutics, Inc.</w:t>
      </w:r>
      <w:r>
        <w:rPr>
          <w:rFonts w:ascii="Arial" w:cs="Arial" w:eastAsia="Arial" w:hAnsi="Arial"/>
          <w:sz w:val="12"/>
          <w:szCs w:val="12"/>
          <w:color w:val="auto"/>
        </w:rPr>
        <w:t>, a Nevada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having an address at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____________________, </w:t>
      </w:r>
      <w:r>
        <w:rPr>
          <w:rFonts w:ascii="Arial" w:cs="Arial" w:eastAsia="Arial" w:hAnsi="Arial"/>
          <w:sz w:val="11"/>
          <w:szCs w:val="11"/>
          <w:b w:val="1"/>
          <w:bCs w:val="1"/>
          <w:color w:val="auto"/>
        </w:rPr>
        <w:t>__________________</w:t>
      </w:r>
      <w:r>
        <w:rPr>
          <w:rFonts w:ascii="Arial" w:cs="Arial" w:eastAsia="Arial" w:hAnsi="Arial"/>
          <w:sz w:val="11"/>
          <w:szCs w:val="11"/>
          <w:color w:val="auto"/>
        </w:rPr>
        <w:t>, a ___________. (“</w:t>
      </w:r>
      <w:r>
        <w:rPr>
          <w:rFonts w:ascii="Arial" w:cs="Arial" w:eastAsia="Arial" w:hAnsi="Arial"/>
          <w:sz w:val="11"/>
          <w:szCs w:val="11"/>
          <w:b w:val="1"/>
          <w:bCs w:val="1"/>
          <w:color w:val="auto"/>
        </w:rPr>
        <w:t>Placement Agent</w:t>
      </w:r>
      <w:r>
        <w:rPr>
          <w:rFonts w:ascii="Arial" w:cs="Arial" w:eastAsia="Arial" w:hAnsi="Arial"/>
          <w:sz w:val="11"/>
          <w:szCs w:val="11"/>
          <w:color w:val="auto"/>
        </w:rPr>
        <w:t xml:space="preserve">”), having an address at ______________________, and </w:t>
      </w:r>
      <w:r>
        <w:rPr>
          <w:rFonts w:ascii="Arial" w:cs="Arial" w:eastAsia="Arial" w:hAnsi="Arial"/>
          <w:sz w:val="11"/>
          <w:szCs w:val="11"/>
          <w:b w:val="1"/>
          <w:bCs w:val="1"/>
          <w:color w:val="auto"/>
        </w:rPr>
        <w:t>SIGNATURE BANK</w:t>
      </w:r>
      <w:r>
        <w:rPr>
          <w:rFonts w:ascii="Arial" w:cs="Arial" w:eastAsia="Arial" w:hAnsi="Arial"/>
          <w:sz w:val="11"/>
          <w:szCs w:val="11"/>
          <w:color w:val="auto"/>
        </w:rPr>
        <w:t xml:space="preserve"> (the “</w:t>
      </w:r>
      <w:r>
        <w:rPr>
          <w:rFonts w:ascii="Arial" w:cs="Arial" w:eastAsia="Arial" w:hAnsi="Arial"/>
          <w:sz w:val="11"/>
          <w:szCs w:val="11"/>
          <w:b w:val="1"/>
          <w:bCs w:val="1"/>
          <w:color w:val="auto"/>
        </w:rPr>
        <w:t>Escrow Agent</w:t>
      </w:r>
      <w:r>
        <w:rPr>
          <w:rFonts w:ascii="Arial" w:cs="Arial" w:eastAsia="Arial" w:hAnsi="Arial"/>
          <w:sz w:val="11"/>
          <w:szCs w:val="11"/>
          <w:color w:val="auto"/>
        </w:rPr>
        <w:t>”), a New York State chartered bank, having an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office at [</w:t>
      </w:r>
      <w:r>
        <w:rPr>
          <w:rFonts w:ascii="Arial" w:cs="Arial" w:eastAsia="Arial" w:hAnsi="Arial"/>
          <w:sz w:val="11"/>
          <w:szCs w:val="11"/>
          <w:i w:val="1"/>
          <w:iCs w:val="1"/>
          <w:color w:val="auto"/>
        </w:rPr>
        <w:t>insert address of Signature Bank’s financial center maintaining the account</w:t>
      </w:r>
      <w:r>
        <w:rPr>
          <w:rFonts w:ascii="Arial" w:cs="Arial" w:eastAsia="Arial" w:hAnsi="Arial"/>
          <w:sz w:val="11"/>
          <w:szCs w:val="11"/>
          <w:color w:val="auto"/>
        </w:rPr>
        <w:t>]. All capitalized terms not herein defined shall have the meaning ascribed to them in that certain Prospectus, dated ______, 2014, as amended 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supplemented from time-to-time, including all attachments, schedules and exhibits thereto (the “</w:t>
      </w:r>
      <w:r>
        <w:rPr>
          <w:rFonts w:ascii="Arial" w:cs="Arial" w:eastAsia="Arial" w:hAnsi="Arial"/>
          <w:sz w:val="12"/>
          <w:szCs w:val="12"/>
          <w:b w:val="1"/>
          <w:bCs w:val="1"/>
          <w:color w:val="auto"/>
        </w:rPr>
        <w:t>Prospectus</w:t>
      </w:r>
      <w:r>
        <w:rPr>
          <w:rFonts w:ascii="Arial" w:cs="Arial" w:eastAsia="Arial" w:hAnsi="Arial"/>
          <w:sz w:val="12"/>
          <w:szCs w:val="1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 I T N E S S E T H</w:t>
      </w:r>
      <w:r>
        <w:rPr>
          <w:rFonts w:ascii="Arial" w:cs="Arial" w:eastAsia="Arial" w:hAnsi="Arial"/>
          <w:sz w:val="12"/>
          <w:szCs w:val="12"/>
          <w:b w:val="1"/>
          <w:bCs w:val="1"/>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pursuant to the terms of the Prospectus the Company desires to sell (the “</w:t>
      </w:r>
      <w:r>
        <w:rPr>
          <w:rFonts w:ascii="Arial" w:cs="Arial" w:eastAsia="Arial" w:hAnsi="Arial"/>
          <w:sz w:val="11"/>
          <w:szCs w:val="11"/>
          <w:b w:val="1"/>
          <w:bCs w:val="1"/>
          <w:color w:val="auto"/>
        </w:rPr>
        <w:t>Offering</w:t>
      </w:r>
      <w:r>
        <w:rPr>
          <w:rFonts w:ascii="Arial" w:cs="Arial" w:eastAsia="Arial" w:hAnsi="Arial"/>
          <w:sz w:val="11"/>
          <w:szCs w:val="11"/>
          <w:color w:val="auto"/>
        </w:rPr>
        <w:t>”) up to _____ shares of common stock, $ ___ par value, of the Company (“Shares”) resulting in gross proceeds to the Company of</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up to $__________ (“Maximum Amount”). Each Share is being sold at a price of $____ per Share; and</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unless the Offering is consummated by _______ (the “Termination Date”), and the Termination Date has not been extended by Company and the Placement Agent to no later than ________ (“Final Termination</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Date”), the Offering shall terminate and all funds shall be returned to the Investors in the Offering; and</w:t>
      </w:r>
    </w:p>
    <w:p>
      <w:pPr>
        <w:spacing w:after="0" w:line="15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Placement Agent desire to establish an escrow account with the Escrow Agent into which the Company and Placement Agent shall instruct Investors introduced to the Company by Placement Agent</w:t>
      </w:r>
      <w:r>
        <w:rPr>
          <w:rFonts w:ascii="Arial" w:cs="Arial" w:eastAsia="Arial" w:hAnsi="Arial"/>
          <w:sz w:val="12"/>
          <w:szCs w:val="12"/>
          <w:b w:val="1"/>
          <w:bCs w:val="1"/>
          <w:color w:val="auto"/>
        </w:rPr>
        <w:t xml:space="preserve"> </w:t>
      </w:r>
      <w:r>
        <w:rPr>
          <w:rFonts w:ascii="Arial" w:cs="Arial" w:eastAsia="Arial" w:hAnsi="Arial"/>
          <w:sz w:val="12"/>
          <w:szCs w:val="12"/>
          <w:color w:val="auto"/>
        </w:rPr>
        <w:t>(the “</w:t>
      </w:r>
      <w:r>
        <w:rPr>
          <w:rFonts w:ascii="Arial" w:cs="Arial" w:eastAsia="Arial" w:hAnsi="Arial"/>
          <w:sz w:val="12"/>
          <w:szCs w:val="12"/>
          <w:b w:val="1"/>
          <w:bCs w:val="1"/>
          <w:color w:val="auto"/>
        </w:rPr>
        <w:t>Investors</w:t>
      </w:r>
      <w:r>
        <w:rPr>
          <w:rFonts w:ascii="Arial" w:cs="Arial" w:eastAsia="Arial" w:hAnsi="Arial"/>
          <w:sz w:val="12"/>
          <w:szCs w:val="12"/>
          <w:color w:val="auto"/>
        </w:rPr>
        <w:t>”) to deposit checks and other instruments for the payment of money made payable to the order of “Signature Bank as Escrow Agent for [</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 and Escrow Agent is willing to accept said checks and other instruments for the payment of money in accordance with the terms hereinafter set forth; and</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as issuer, and Placement Agent, as an introducing broker-dealer, represent and warrant to the Escrow Agent that they will comply with all of their respective obligations under applicable state and</w:t>
      </w:r>
      <w:r>
        <w:rPr>
          <w:rFonts w:ascii="Arial" w:cs="Arial" w:eastAsia="Arial" w:hAnsi="Arial"/>
          <w:sz w:val="12"/>
          <w:szCs w:val="12"/>
          <w:b w:val="1"/>
          <w:bCs w:val="1"/>
          <w:color w:val="auto"/>
        </w:rPr>
        <w:t xml:space="preserve"> </w:t>
      </w:r>
      <w:r>
        <w:rPr>
          <w:rFonts w:ascii="Arial" w:cs="Arial" w:eastAsia="Arial" w:hAnsi="Arial"/>
          <w:sz w:val="12"/>
          <w:szCs w:val="12"/>
          <w:color w:val="auto"/>
        </w:rPr>
        <w:t>federal securities laws and regulations with respect to sale of the Offering; and</w:t>
      </w:r>
    </w:p>
    <w:p>
      <w:pPr>
        <w:spacing w:after="0" w:line="125"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Placement Agent represent and warrant to the Escrow Agent that they have not stated to any individual or entity that the Escrow Agent’s duties will include anything other than those duties stated in</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and</w:t>
      </w:r>
    </w:p>
    <w:p>
      <w:pPr>
        <w:spacing w:after="0" w:line="125"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Placement Agent warrant to the Escrow Agent that a copy of each document that has been delivered to Investors and third parties that include Escrow Agent’s name and duties, has been attached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hereto as </w:t>
      </w:r>
      <w:r>
        <w:rPr>
          <w:rFonts w:ascii="Arial" w:cs="Arial" w:eastAsia="Arial" w:hAnsi="Arial"/>
          <w:sz w:val="12"/>
          <w:szCs w:val="12"/>
          <w:u w:val="single" w:color="auto"/>
          <w:color w:val="auto"/>
        </w:rPr>
        <w:t>Schedule I</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7299325" cy="18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254" w:name="page255"/>
    <w:bookmarkEnd w:id="254"/>
    <w:p>
      <w:pPr>
        <w:ind w:left="428"/>
        <w:spacing w:after="0"/>
        <w:rPr>
          <w:sz w:val="20"/>
          <w:szCs w:val="20"/>
          <w:color w:val="auto"/>
        </w:rPr>
      </w:pPr>
      <w:r>
        <w:rPr>
          <w:rFonts w:ascii="Arial" w:cs="Arial" w:eastAsia="Arial" w:hAnsi="Arial"/>
          <w:sz w:val="12"/>
          <w:szCs w:val="12"/>
          <w:b w:val="1"/>
          <w:bCs w:val="1"/>
          <w:color w:val="auto"/>
        </w:rPr>
        <w:t xml:space="preserve">NOW, THEREFORE, IT IS AGREED </w:t>
      </w:r>
      <w:r>
        <w:rPr>
          <w:rFonts w:ascii="Arial" w:cs="Arial" w:eastAsia="Arial" w:hAnsi="Arial"/>
          <w:sz w:val="12"/>
          <w:szCs w:val="12"/>
          <w:color w:val="auto"/>
        </w:rPr>
        <w:t>as follows:</w:t>
      </w:r>
    </w:p>
    <w:p>
      <w:pPr>
        <w:spacing w:after="0" w:line="172" w:lineRule="exact"/>
        <w:rPr>
          <w:sz w:val="20"/>
          <w:szCs w:val="20"/>
          <w:color w:val="auto"/>
        </w:rPr>
      </w:pPr>
    </w:p>
    <w:p>
      <w:pPr>
        <w:ind w:left="428" w:hanging="428"/>
        <w:spacing w:after="0"/>
        <w:tabs>
          <w:tab w:leader="none" w:pos="428"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Delivery of Escrow Funds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jc w:val="both"/>
        <w:ind w:left="8" w:firstLine="857"/>
        <w:spacing w:after="0" w:line="257" w:lineRule="auto"/>
        <w:tabs>
          <w:tab w:leader="none" w:pos="1036" w:val="left"/>
        </w:tabs>
        <w:numPr>
          <w:ilvl w:val="2"/>
          <w:numId w:val="147"/>
        </w:numPr>
        <w:rPr>
          <w:rFonts w:ascii="Arial" w:cs="Arial" w:eastAsia="Arial" w:hAnsi="Arial"/>
          <w:sz w:val="12"/>
          <w:szCs w:val="12"/>
          <w:color w:val="auto"/>
        </w:rPr>
      </w:pPr>
      <w:r>
        <w:rPr>
          <w:rFonts w:ascii="Arial" w:cs="Arial" w:eastAsia="Arial" w:hAnsi="Arial"/>
          <w:sz w:val="12"/>
          <w:szCs w:val="12"/>
          <w:color w:val="auto"/>
        </w:rPr>
        <w:t>Placement Agent and the Company shall instruct Investors to deliver to Escrow Agent checks made payable to the order of “Signature Bank, as Escrow Agent for [</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 or wire transfer to Signature Bank, [</w:t>
      </w:r>
      <w:r>
        <w:rPr>
          <w:rFonts w:ascii="Arial" w:cs="Arial" w:eastAsia="Arial" w:hAnsi="Arial"/>
          <w:sz w:val="12"/>
          <w:szCs w:val="12"/>
          <w:i w:val="1"/>
          <w:iCs w:val="1"/>
          <w:color w:val="auto"/>
        </w:rPr>
        <w:t>insert address of Signature Bank’s financial center maintaining the account</w:t>
      </w:r>
      <w:r>
        <w:rPr>
          <w:rFonts w:ascii="Arial" w:cs="Arial" w:eastAsia="Arial" w:hAnsi="Arial"/>
          <w:sz w:val="12"/>
          <w:szCs w:val="12"/>
          <w:color w:val="auto"/>
        </w:rPr>
        <w:t>], ABA No. 026013576 for credit to Signature Bank, as Escrow Agent for [</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 Account No. _____________, in each case, with the name and address of the individual or entity making payment. In the event any Subscriber’s address is not provided to Escrow Agent by the Subscriber, then Placement Agent and/or the Company agree to promptly provide Escrow Agent with such information in writing. The checks or wire transfers shall be deposited into a non interest-bearing account at Signature Bank entitled “Signature Bank, as Escrow Agent for [</w:t>
      </w:r>
      <w:r>
        <w:rPr>
          <w:rFonts w:ascii="Arial" w:cs="Arial" w:eastAsia="Arial" w:hAnsi="Arial"/>
          <w:sz w:val="12"/>
          <w:szCs w:val="12"/>
          <w:i w:val="1"/>
          <w:iCs w:val="1"/>
          <w:color w:val="auto"/>
        </w:rPr>
        <w:t>insert Company’s full legal</w:t>
      </w:r>
      <w:r>
        <w:rPr>
          <w:rFonts w:ascii="Arial" w:cs="Arial" w:eastAsia="Arial" w:hAnsi="Arial"/>
          <w:sz w:val="12"/>
          <w:szCs w:val="12"/>
          <w:color w:val="auto"/>
        </w:rPr>
        <w:t xml:space="preserve"> </w:t>
      </w:r>
      <w:r>
        <w:rPr>
          <w:rFonts w:ascii="Arial" w:cs="Arial" w:eastAsia="Arial" w:hAnsi="Arial"/>
          <w:sz w:val="12"/>
          <w:szCs w:val="12"/>
          <w:i w:val="1"/>
          <w:iCs w:val="1"/>
          <w:color w:val="auto"/>
        </w:rPr>
        <w:t>name</w:t>
      </w:r>
      <w:r>
        <w:rPr>
          <w:rFonts w:ascii="Arial" w:cs="Arial" w:eastAsia="Arial" w:hAnsi="Arial"/>
          <w:sz w:val="12"/>
          <w:szCs w:val="12"/>
          <w:color w:val="auto"/>
        </w:rPr>
        <w:t>]” (the “</w:t>
      </w:r>
      <w:r>
        <w:rPr>
          <w:rFonts w:ascii="Arial" w:cs="Arial" w:eastAsia="Arial" w:hAnsi="Arial"/>
          <w:sz w:val="12"/>
          <w:szCs w:val="12"/>
          <w:b w:val="1"/>
          <w:bCs w:val="1"/>
          <w:color w:val="auto"/>
        </w:rPr>
        <w:t>Escrow Account</w:t>
      </w:r>
      <w:r>
        <w:rPr>
          <w:rFonts w:ascii="Arial" w:cs="Arial" w:eastAsia="Arial" w:hAnsi="Arial"/>
          <w:sz w:val="12"/>
          <w:szCs w:val="12"/>
          <w:color w:val="auto"/>
        </w:rPr>
        <w:t>”).</w:t>
      </w:r>
    </w:p>
    <w:p>
      <w:pPr>
        <w:spacing w:after="0" w:line="139" w:lineRule="exact"/>
        <w:rPr>
          <w:rFonts w:ascii="Arial" w:cs="Arial" w:eastAsia="Arial" w:hAnsi="Arial"/>
          <w:sz w:val="12"/>
          <w:szCs w:val="12"/>
          <w:color w:val="auto"/>
        </w:rPr>
      </w:pPr>
    </w:p>
    <w:p>
      <w:pPr>
        <w:ind w:left="908" w:hanging="476"/>
        <w:spacing w:after="0"/>
        <w:tabs>
          <w:tab w:leader="none" w:pos="908" w:val="left"/>
        </w:tabs>
        <w:numPr>
          <w:ilvl w:val="1"/>
          <w:numId w:val="147"/>
        </w:numPr>
        <w:rPr>
          <w:rFonts w:ascii="Arial" w:cs="Arial" w:eastAsia="Arial" w:hAnsi="Arial"/>
          <w:sz w:val="12"/>
          <w:szCs w:val="12"/>
          <w:color w:val="auto"/>
        </w:rPr>
      </w:pPr>
      <w:r>
        <w:rPr>
          <w:rFonts w:ascii="Arial" w:cs="Arial" w:eastAsia="Arial" w:hAnsi="Arial"/>
          <w:sz w:val="12"/>
          <w:szCs w:val="12"/>
          <w:color w:val="auto"/>
        </w:rPr>
        <w:t>The collected funds deposited into the Escrow Account are referred to as the “</w:t>
      </w:r>
      <w:r>
        <w:rPr>
          <w:rFonts w:ascii="Arial" w:cs="Arial" w:eastAsia="Arial" w:hAnsi="Arial"/>
          <w:sz w:val="12"/>
          <w:szCs w:val="12"/>
          <w:b w:val="1"/>
          <w:bCs w:val="1"/>
          <w:color w:val="auto"/>
        </w:rPr>
        <w:t>Escrow Funds</w:t>
      </w:r>
      <w:r>
        <w:rPr>
          <w:rFonts w:ascii="Arial" w:cs="Arial" w:eastAsia="Arial" w:hAnsi="Arial"/>
          <w:sz w:val="12"/>
          <w:szCs w:val="12"/>
          <w:color w:val="auto"/>
        </w:rPr>
        <w:t>.”</w:t>
      </w:r>
    </w:p>
    <w:p>
      <w:pPr>
        <w:spacing w:after="0" w:line="172" w:lineRule="exact"/>
        <w:rPr>
          <w:rFonts w:ascii="Arial" w:cs="Arial" w:eastAsia="Arial" w:hAnsi="Arial"/>
          <w:sz w:val="12"/>
          <w:szCs w:val="12"/>
          <w:color w:val="auto"/>
        </w:rPr>
      </w:pPr>
    </w:p>
    <w:p>
      <w:pPr>
        <w:ind w:left="8" w:right="20" w:firstLine="424"/>
        <w:spacing w:after="0" w:line="276" w:lineRule="auto"/>
        <w:tabs>
          <w:tab w:leader="none" w:pos="906" w:val="left"/>
        </w:tabs>
        <w:numPr>
          <w:ilvl w:val="1"/>
          <w:numId w:val="147"/>
        </w:numPr>
        <w:rPr>
          <w:rFonts w:ascii="Arial" w:cs="Arial" w:eastAsia="Arial" w:hAnsi="Arial"/>
          <w:sz w:val="12"/>
          <w:szCs w:val="12"/>
          <w:color w:val="auto"/>
        </w:rPr>
      </w:pPr>
      <w:r>
        <w:rPr>
          <w:rFonts w:ascii="Arial" w:cs="Arial" w:eastAsia="Arial" w:hAnsi="Arial"/>
          <w:sz w:val="12"/>
          <w:szCs w:val="12"/>
          <w:color w:val="auto"/>
        </w:rPr>
        <w:t>The Escrow Agent shall have no duty or responsibility to enforce the collection or demand payment of any funds deposited into the Escrow Account. If, for any reason, any check deposited into the Escrow Account shall be returned unpaid to the Escrow Agent, the sole duty of the Escrow Agent shall be to return the check to the Subscriber and advise the Company and Placement Agent promptly thereof.</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Release of Escrow Funds</w:t>
      </w:r>
      <w:r>
        <w:rPr>
          <w:rFonts w:ascii="Arial" w:cs="Arial" w:eastAsia="Arial" w:hAnsi="Arial"/>
          <w:sz w:val="12"/>
          <w:szCs w:val="12"/>
          <w:color w:val="auto"/>
        </w:rPr>
        <w:t>. The Escrow Funds shall be paid by the Escrow Agent in accordance with the following:</w:t>
      </w:r>
    </w:p>
    <w:p>
      <w:pPr>
        <w:spacing w:after="0" w:line="164" w:lineRule="exact"/>
        <w:rPr>
          <w:rFonts w:ascii="Arial" w:cs="Arial" w:eastAsia="Arial" w:hAnsi="Arial"/>
          <w:sz w:val="12"/>
          <w:szCs w:val="12"/>
          <w:color w:val="auto"/>
        </w:rPr>
      </w:pPr>
    </w:p>
    <w:p>
      <w:pPr>
        <w:ind w:left="8" w:firstLine="424"/>
        <w:spacing w:after="0" w:line="283" w:lineRule="auto"/>
        <w:tabs>
          <w:tab w:leader="none" w:pos="922"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In the event that the Company and Placement Agent advise the Escrow Agent in writing that the Offering has been terminated (the “</w:t>
      </w:r>
      <w:r>
        <w:rPr>
          <w:rFonts w:ascii="Arial" w:cs="Arial" w:eastAsia="Arial" w:hAnsi="Arial"/>
          <w:sz w:val="12"/>
          <w:szCs w:val="12"/>
          <w:b w:val="1"/>
          <w:bCs w:val="1"/>
          <w:color w:val="auto"/>
        </w:rPr>
        <w:t>Termination Notice</w:t>
      </w:r>
      <w:r>
        <w:rPr>
          <w:rFonts w:ascii="Arial" w:cs="Arial" w:eastAsia="Arial" w:hAnsi="Arial"/>
          <w:sz w:val="12"/>
          <w:szCs w:val="12"/>
          <w:color w:val="auto"/>
        </w:rPr>
        <w:t>”), the Escrow Agent shall promptly return the funds paid by each Subscriber to said Subscriber without interest or offset.</w:t>
      </w:r>
    </w:p>
    <w:p>
      <w:pPr>
        <w:spacing w:after="0" w:line="128" w:lineRule="exact"/>
        <w:rPr>
          <w:rFonts w:ascii="Arial" w:cs="Arial" w:eastAsia="Arial" w:hAnsi="Arial"/>
          <w:sz w:val="12"/>
          <w:szCs w:val="12"/>
          <w:color w:val="auto"/>
        </w:rPr>
      </w:pPr>
    </w:p>
    <w:p>
      <w:pPr>
        <w:ind w:left="8" w:firstLine="424"/>
        <w:spacing w:after="0" w:line="276" w:lineRule="auto"/>
        <w:tabs>
          <w:tab w:leader="none" w:pos="612"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If prior to 3:00 P.M. Eastern time on the Termination Date, the Escrow Agent receives written notice, in the form of Exhibit A, attached hereto and made a part hereof, and signed by the Company and Placement Agent, stating that the Termination Date has been extended to the Final Termination Date, then the Termination Date shall be so extended.</w:t>
      </w:r>
    </w:p>
    <w:p>
      <w:pPr>
        <w:spacing w:after="0" w:line="132" w:lineRule="exact"/>
        <w:rPr>
          <w:rFonts w:ascii="Arial" w:cs="Arial" w:eastAsia="Arial" w:hAnsi="Arial"/>
          <w:sz w:val="12"/>
          <w:szCs w:val="12"/>
          <w:color w:val="auto"/>
        </w:rPr>
      </w:pPr>
    </w:p>
    <w:p>
      <w:pPr>
        <w:jc w:val="both"/>
        <w:ind w:left="8" w:firstLine="424"/>
        <w:spacing w:after="0" w:line="259" w:lineRule="auto"/>
        <w:tabs>
          <w:tab w:leader="none" w:pos="604" w:val="left"/>
        </w:tabs>
        <w:numPr>
          <w:ilvl w:val="1"/>
          <w:numId w:val="147"/>
        </w:numPr>
        <w:rPr>
          <w:rFonts w:ascii="Arial" w:cs="Arial" w:eastAsia="Arial" w:hAnsi="Arial"/>
          <w:sz w:val="12"/>
          <w:szCs w:val="12"/>
          <w:color w:val="auto"/>
        </w:rPr>
      </w:pPr>
      <w:r>
        <w:rPr>
          <w:rFonts w:ascii="Arial" w:cs="Arial" w:eastAsia="Arial" w:hAnsi="Arial"/>
          <w:sz w:val="12"/>
          <w:szCs w:val="12"/>
          <w:color w:val="auto"/>
        </w:rPr>
        <w:t>Provided that the Escrow Agent does not receive the Termination Notice in accordance with paragraph 2(a), the Escrow Agent shall, upon receipt of written instructions, in the form of Exhibit B, attached hereto and made a part hereof, or in a form and substance satisfactory to the Escrow Agent, received from the Company and Placement Agent, pay the Escrow Funds in accordance with such written instructions, such payment or payments to be made by wire transfer within one (1) business day of receipt of such written instructions. Such instructions must be received by the Escrow Agent no later than 3:00 PM Eastern Time on a Banking Day for the Escrow Agent to process such instructions that Banking Day.</w:t>
      </w:r>
    </w:p>
    <w:p>
      <w:pPr>
        <w:spacing w:after="0" w:line="142" w:lineRule="exact"/>
        <w:rPr>
          <w:rFonts w:ascii="Arial" w:cs="Arial" w:eastAsia="Arial" w:hAnsi="Arial"/>
          <w:sz w:val="12"/>
          <w:szCs w:val="12"/>
          <w:color w:val="auto"/>
        </w:rPr>
      </w:pPr>
    </w:p>
    <w:p>
      <w:pPr>
        <w:jc w:val="both"/>
        <w:ind w:left="8" w:firstLine="424"/>
        <w:spacing w:after="0" w:line="263" w:lineRule="auto"/>
        <w:tabs>
          <w:tab w:leader="none" w:pos="93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If by 3:00 P.M. Eastern time on the later of the Termination Date or the date stated in the Extension Notice, if any, that the Escrow Agent has received in accordance with paragraph 2(b) above, the Escrow Agent has not received written instructions from the Company and Placement Agent regarding the disbursement of the Escrow Funds, then the Escrow Agent shall promptly return the Escrow Funds to the Investors without interest or offset. The Escrow Funds returned to each Subscriber shall be free and clear of any and all claims of the Escrow Agent.</w:t>
      </w:r>
    </w:p>
    <w:p>
      <w:pPr>
        <w:spacing w:after="0" w:line="140" w:lineRule="exact"/>
        <w:rPr>
          <w:rFonts w:ascii="Arial" w:cs="Arial" w:eastAsia="Arial" w:hAnsi="Arial"/>
          <w:sz w:val="12"/>
          <w:szCs w:val="12"/>
          <w:color w:val="auto"/>
        </w:rPr>
      </w:pPr>
    </w:p>
    <w:p>
      <w:pPr>
        <w:ind w:left="888" w:hanging="456"/>
        <w:spacing w:after="0"/>
        <w:tabs>
          <w:tab w:leader="none" w:pos="888" w:val="left"/>
        </w:tabs>
        <w:numPr>
          <w:ilvl w:val="1"/>
          <w:numId w:val="147"/>
        </w:numPr>
        <w:rPr>
          <w:rFonts w:ascii="Arial" w:cs="Arial" w:eastAsia="Arial" w:hAnsi="Arial"/>
          <w:sz w:val="12"/>
          <w:szCs w:val="12"/>
          <w:color w:val="auto"/>
        </w:rPr>
      </w:pPr>
      <w:r>
        <w:rPr>
          <w:rFonts w:ascii="Arial" w:cs="Arial" w:eastAsia="Arial" w:hAnsi="Arial"/>
          <w:sz w:val="12"/>
          <w:szCs w:val="12"/>
          <w:color w:val="auto"/>
        </w:rPr>
        <w:t>The Escrow Agent shall not be required to pay any uncollected funds or any funds that are not available for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7299325" cy="18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255" w:name="page256"/>
    <w:bookmarkEnd w:id="255"/>
    <w:p>
      <w:pPr>
        <w:ind w:left="8" w:firstLine="424"/>
        <w:spacing w:after="0" w:line="323" w:lineRule="auto"/>
        <w:tabs>
          <w:tab w:leader="none" w:pos="937" w:val="left"/>
        </w:tabs>
        <w:numPr>
          <w:ilvl w:val="1"/>
          <w:numId w:val="148"/>
        </w:numPr>
        <w:rPr>
          <w:rFonts w:ascii="Arial" w:cs="Arial" w:eastAsia="Arial" w:hAnsi="Arial"/>
          <w:sz w:val="11"/>
          <w:szCs w:val="11"/>
          <w:color w:val="auto"/>
        </w:rPr>
      </w:pPr>
      <w:r>
        <w:rPr>
          <w:rFonts w:ascii="Arial" w:cs="Arial" w:eastAsia="Arial" w:hAnsi="Arial"/>
          <w:sz w:val="11"/>
          <w:szCs w:val="11"/>
          <w:color w:val="auto"/>
        </w:rPr>
        <w:t>If the Termination Date, Final Termination Date or any date that is a deadline under this Agreement for giving the Escrow Agent notice or instructions or for the Escrow Agent to take action is not a Banking Day, then such date shall be the Banking Day that immediately preceding that date. A Banking Day is any day other than a Saturday, Sunday or a day that a New York State chartered bank is not legally obligated to be opened.</w:t>
      </w:r>
    </w:p>
    <w:p>
      <w:pPr>
        <w:spacing w:after="0" w:line="109" w:lineRule="exact"/>
        <w:rPr>
          <w:rFonts w:ascii="Arial" w:cs="Arial" w:eastAsia="Arial" w:hAnsi="Arial"/>
          <w:sz w:val="11"/>
          <w:szCs w:val="11"/>
          <w:color w:val="auto"/>
        </w:rPr>
      </w:pPr>
    </w:p>
    <w:p>
      <w:pPr>
        <w:ind w:left="428" w:hanging="428"/>
        <w:spacing w:after="0"/>
        <w:tabs>
          <w:tab w:leader="none" w:pos="428" w:val="left"/>
        </w:tabs>
        <w:numPr>
          <w:ilvl w:val="0"/>
          <w:numId w:val="149"/>
        </w:numPr>
        <w:rPr>
          <w:rFonts w:ascii="Arial" w:cs="Arial" w:eastAsia="Arial" w:hAnsi="Arial"/>
          <w:sz w:val="12"/>
          <w:szCs w:val="12"/>
          <w:color w:val="auto"/>
        </w:rPr>
      </w:pPr>
      <w:r>
        <w:rPr>
          <w:rFonts w:ascii="Arial" w:cs="Arial" w:eastAsia="Arial" w:hAnsi="Arial"/>
          <w:sz w:val="12"/>
          <w:szCs w:val="12"/>
          <w:u w:val="single" w:color="auto"/>
          <w:color w:val="auto"/>
        </w:rPr>
        <w:t>Acceptance by Escrow Agent</w:t>
      </w:r>
      <w:r>
        <w:rPr>
          <w:rFonts w:ascii="Arial" w:cs="Arial" w:eastAsia="Arial" w:hAnsi="Arial"/>
          <w:sz w:val="12"/>
          <w:szCs w:val="12"/>
          <w:color w:val="auto"/>
        </w:rPr>
        <w:t>. The Escrow Agent hereby accepts and agrees to perform its obligations hereunder, provided that:</w:t>
      </w:r>
    </w:p>
    <w:p>
      <w:pPr>
        <w:spacing w:after="0" w:line="168" w:lineRule="exact"/>
        <w:rPr>
          <w:rFonts w:ascii="Arial" w:cs="Arial" w:eastAsia="Arial" w:hAnsi="Arial"/>
          <w:sz w:val="12"/>
          <w:szCs w:val="12"/>
          <w:color w:val="auto"/>
        </w:rPr>
      </w:pPr>
    </w:p>
    <w:p>
      <w:pPr>
        <w:jc w:val="both"/>
        <w:ind w:left="8" w:firstLine="424"/>
        <w:spacing w:after="0" w:line="257" w:lineRule="auto"/>
        <w:tabs>
          <w:tab w:leader="none" w:pos="956" w:val="left"/>
        </w:tabs>
        <w:numPr>
          <w:ilvl w:val="1"/>
          <w:numId w:val="149"/>
        </w:numPr>
        <w:rPr>
          <w:rFonts w:ascii="Arial" w:cs="Arial" w:eastAsia="Arial" w:hAnsi="Arial"/>
          <w:sz w:val="12"/>
          <w:szCs w:val="12"/>
          <w:color w:val="auto"/>
        </w:rPr>
      </w:pPr>
      <w:r>
        <w:rPr>
          <w:rFonts w:ascii="Arial" w:cs="Arial" w:eastAsia="Arial" w:hAnsi="Arial"/>
          <w:sz w:val="12"/>
          <w:szCs w:val="12"/>
          <w:color w:val="auto"/>
        </w:rPr>
        <w:t xml:space="preserve">The Escrow Agent may act in reliance upon any signature believed by it to be genuine, and may assume that any person who has been designated by Placement Agent or the Company to give any written instructions, notice or receipt, or make any statements in connection with the provisions hereof has been duly authorized to do so. Escrow Agent shall have no duty to make inquiry as to the genuineness, accuracy or validity of any statements or instructions or any signatures on statements or instructions. The names and true signatures of each individual authorized to act singly on behalf of the Company and Placement Agent are stated in </w:t>
      </w:r>
      <w:r>
        <w:rPr>
          <w:rFonts w:ascii="Arial" w:cs="Arial" w:eastAsia="Arial" w:hAnsi="Arial"/>
          <w:sz w:val="12"/>
          <w:szCs w:val="12"/>
          <w:u w:val="single" w:color="auto"/>
          <w:color w:val="auto"/>
        </w:rPr>
        <w:t>Schedule II</w:t>
      </w:r>
      <w:r>
        <w:rPr>
          <w:rFonts w:ascii="Arial" w:cs="Arial" w:eastAsia="Arial" w:hAnsi="Arial"/>
          <w:sz w:val="12"/>
          <w:szCs w:val="12"/>
          <w:color w:val="auto"/>
        </w:rPr>
        <w:t>, which is attached hereto and made a part hereof. The Company and Placement Agent may each remove or add one or more of its authorized signers stated on Schedule II by notifying the Escrow Agent of such change in accordance with this Agreement, which notice shall include the true signature for any new authorized signatories.</w:t>
      </w:r>
    </w:p>
    <w:p>
      <w:pPr>
        <w:spacing w:after="0" w:line="143" w:lineRule="exact"/>
        <w:rPr>
          <w:rFonts w:ascii="Arial" w:cs="Arial" w:eastAsia="Arial" w:hAnsi="Arial"/>
          <w:sz w:val="12"/>
          <w:szCs w:val="12"/>
          <w:color w:val="auto"/>
        </w:rPr>
      </w:pPr>
    </w:p>
    <w:p>
      <w:pPr>
        <w:ind w:left="8" w:right="20" w:firstLine="424"/>
        <w:spacing w:after="0" w:line="276" w:lineRule="auto"/>
        <w:tabs>
          <w:tab w:leader="none" w:pos="908" w:val="left"/>
        </w:tabs>
        <w:numPr>
          <w:ilvl w:val="1"/>
          <w:numId w:val="149"/>
        </w:numPr>
        <w:rPr>
          <w:rFonts w:ascii="Arial" w:cs="Arial" w:eastAsia="Arial" w:hAnsi="Arial"/>
          <w:sz w:val="12"/>
          <w:szCs w:val="12"/>
          <w:color w:val="auto"/>
        </w:rPr>
      </w:pPr>
      <w:r>
        <w:rPr>
          <w:rFonts w:ascii="Arial" w:cs="Arial" w:eastAsia="Arial" w:hAnsi="Arial"/>
          <w:sz w:val="12"/>
          <w:szCs w:val="12"/>
          <w:color w:val="auto"/>
        </w:rPr>
        <w:t>The Escrow Agent may act relative hereto in reliance upon advice of counsel in reference to any matter connected herewith. The Escrow Agent shall not be liable for any mistake of fact or error of judgment or law, or for any acts or omissions of any kind, unless caused by its willful misconduct or gross negligence.</w:t>
      </w:r>
    </w:p>
    <w:p>
      <w:pPr>
        <w:spacing w:after="0" w:line="132" w:lineRule="exact"/>
        <w:rPr>
          <w:rFonts w:ascii="Arial" w:cs="Arial" w:eastAsia="Arial" w:hAnsi="Arial"/>
          <w:sz w:val="12"/>
          <w:szCs w:val="12"/>
          <w:color w:val="auto"/>
        </w:rPr>
      </w:pPr>
    </w:p>
    <w:p>
      <w:pPr>
        <w:ind w:left="8" w:right="20" w:firstLine="424"/>
        <w:spacing w:after="0" w:line="380" w:lineRule="auto"/>
        <w:tabs>
          <w:tab w:leader="none" w:pos="944" w:val="left"/>
        </w:tabs>
        <w:numPr>
          <w:ilvl w:val="1"/>
          <w:numId w:val="149"/>
        </w:numPr>
        <w:rPr>
          <w:rFonts w:ascii="Arial" w:cs="Arial" w:eastAsia="Arial" w:hAnsi="Arial"/>
          <w:sz w:val="10"/>
          <w:szCs w:val="10"/>
          <w:color w:val="auto"/>
        </w:rPr>
      </w:pPr>
      <w:r>
        <w:rPr>
          <w:rFonts w:ascii="Arial" w:cs="Arial" w:eastAsia="Arial" w:hAnsi="Arial"/>
          <w:sz w:val="10"/>
          <w:szCs w:val="10"/>
          <w:color w:val="auto"/>
        </w:rPr>
        <w:t>Placement Agent and the Company agree to indemnify and hold the Escrow Agent harmless from and against any and all claims, losses, costs, liabilities, damages, suits, demands, judgments or expenses (including but not limited to reasonable attorney’s fees) claimed against or incurred by Escrow Agent arising out of or related, directly or indirectly, to this Escrow Agreement unless caused by the Escrow Agent’s gross negligence or willful misconduct.</w:t>
      </w:r>
    </w:p>
    <w:p>
      <w:pPr>
        <w:spacing w:after="0" w:line="86" w:lineRule="exact"/>
        <w:rPr>
          <w:rFonts w:ascii="Arial" w:cs="Arial" w:eastAsia="Arial" w:hAnsi="Arial"/>
          <w:sz w:val="10"/>
          <w:szCs w:val="10"/>
          <w:color w:val="auto"/>
        </w:rPr>
      </w:pPr>
    </w:p>
    <w:p>
      <w:pPr>
        <w:ind w:left="8" w:firstLine="424"/>
        <w:spacing w:after="0" w:line="276" w:lineRule="auto"/>
        <w:tabs>
          <w:tab w:leader="none" w:pos="93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In the event that the Escrow Agent shall be uncertain as to its duties or rights hereunder, the Escrow Agent shall be entitled to (i) refrain from taking any action other than to keep safely the Escrow Funds until it shall be directed otherwise by a court of competent jurisdiction, or (ii) deliver the Escrow Funds to a court of competent jurisdiction.</w:t>
      </w:r>
    </w:p>
    <w:p>
      <w:pPr>
        <w:spacing w:after="0" w:line="132" w:lineRule="exact"/>
        <w:rPr>
          <w:rFonts w:ascii="Arial" w:cs="Arial" w:eastAsia="Arial" w:hAnsi="Arial"/>
          <w:sz w:val="12"/>
          <w:szCs w:val="12"/>
          <w:color w:val="auto"/>
        </w:rPr>
      </w:pPr>
    </w:p>
    <w:p>
      <w:pPr>
        <w:jc w:val="both"/>
        <w:ind w:left="8" w:firstLine="424"/>
        <w:spacing w:after="0" w:line="259" w:lineRule="auto"/>
        <w:tabs>
          <w:tab w:leader="none" w:pos="902" w:val="left"/>
        </w:tabs>
        <w:numPr>
          <w:ilvl w:val="1"/>
          <w:numId w:val="149"/>
        </w:numPr>
        <w:rPr>
          <w:rFonts w:ascii="Arial" w:cs="Arial" w:eastAsia="Arial" w:hAnsi="Arial"/>
          <w:sz w:val="12"/>
          <w:szCs w:val="12"/>
          <w:color w:val="auto"/>
        </w:rPr>
      </w:pPr>
      <w:r>
        <w:rPr>
          <w:rFonts w:ascii="Arial" w:cs="Arial" w:eastAsia="Arial" w:hAnsi="Arial"/>
          <w:sz w:val="12"/>
          <w:szCs w:val="12"/>
          <w:color w:val="auto"/>
        </w:rPr>
        <w:t>The Escrow Agent shall have no duty, responsibility or obligation to interpret or enforce the terms of any agreement other than Escrow Agent’s obligations hereunder, and the Escrow Agent shall not be required to make a request that any monies be delivered to the Escrow Account, it being agreed that the sole duties and responsibilities of the Escrow Agent shall be to the extent not prohibited by applicable law (i) to accept checks or other instruments for the payment of money and wire transfers delivered to the Escrow Agent for the Escrow Account and deposit said checks and wire transfers into the non-interest bearing Escrow Account, and (ii) to disburse or refrain from disbursing the Escrow Funds as stated above, provided that the checks received by the Escrow Agent have been collected and are available for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9325" cy="18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56" w:name="page257"/>
    <w:bookmarkEnd w:id="256"/>
    <w:p>
      <w:pPr>
        <w:jc w:val="both"/>
        <w:ind w:left="8" w:hanging="8"/>
        <w:spacing w:after="0" w:line="254" w:lineRule="auto"/>
        <w:tabs>
          <w:tab w:leader="none" w:pos="446"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Escrow Account Statements and Information.</w:t>
      </w:r>
      <w:r>
        <w:rPr>
          <w:rFonts w:ascii="Arial" w:cs="Arial" w:eastAsia="Arial" w:hAnsi="Arial"/>
          <w:sz w:val="12"/>
          <w:szCs w:val="12"/>
          <w:color w:val="auto"/>
        </w:rPr>
        <w:t xml:space="preserve"> The Escrow Agent agrees to send to the Company and/or the Placement Agent a copy of the Escrow Account periodic statement, upon request in accordance with the Escrow Agent’s regular practices for providing account statements to its non-escrow clients and to also provide the Company and/or Placement Agent, or their designee, upon request other deposit account information, including Account balances, by telephone or by computer communication, to the extent practicable. The Company and Placement Agent agree to complete and sign all forms or agreements required by the Escrow Agent for that purpose. The Company and Placement Agent each consent to the Escrow Agent’s release of such Account information to any of the individuals designated by Company or Placement Agent, which designation has been signed in accordance with paragraph 3(a) by any of the persons in Schedule II. Further, the Company and Placement Agent have an option to receive e-mail notification of incoming and outgoing wire transfers. If this e-mail notification service is requested and subsequently approved by the Escrow Agent, the Company and Placement Agent agrees to provide a valid e-mail address and other information necessary to set-up this service and sign all forms and agreements required for such service. The Company and Placement Agent each consent to the Escrow Agent’s release of wire transfer information to the designated e-mail address(es). The Escrow Agent’s liability for failure to comply with this section shall not exceed the cost of providing such information.</w:t>
      </w:r>
    </w:p>
    <w:p>
      <w:pPr>
        <w:spacing w:after="0" w:line="146" w:lineRule="exact"/>
        <w:rPr>
          <w:rFonts w:ascii="Arial" w:cs="Arial" w:eastAsia="Arial" w:hAnsi="Arial"/>
          <w:sz w:val="12"/>
          <w:szCs w:val="12"/>
          <w:color w:val="auto"/>
        </w:rPr>
      </w:pPr>
    </w:p>
    <w:p>
      <w:pPr>
        <w:jc w:val="both"/>
        <w:ind w:left="8" w:hanging="8"/>
        <w:spacing w:after="0" w:line="305" w:lineRule="auto"/>
        <w:tabs>
          <w:tab w:leader="none" w:pos="473" w:val="left"/>
        </w:tabs>
        <w:numPr>
          <w:ilvl w:val="0"/>
          <w:numId w:val="150"/>
        </w:numPr>
        <w:rPr>
          <w:rFonts w:ascii="Arial" w:cs="Arial" w:eastAsia="Arial" w:hAnsi="Arial"/>
          <w:sz w:val="10"/>
          <w:szCs w:val="10"/>
          <w:color w:val="auto"/>
        </w:rPr>
      </w:pPr>
      <w:r>
        <w:rPr>
          <w:rFonts w:ascii="Arial" w:cs="Arial" w:eastAsia="Arial" w:hAnsi="Arial"/>
          <w:sz w:val="10"/>
          <w:szCs w:val="10"/>
          <w:u w:val="single" w:color="auto"/>
          <w:color w:val="auto"/>
        </w:rPr>
        <w:t>Resignation and Termination of the Escrow Agent</w:t>
      </w:r>
      <w:r>
        <w:rPr>
          <w:rFonts w:ascii="Arial" w:cs="Arial" w:eastAsia="Arial" w:hAnsi="Arial"/>
          <w:sz w:val="10"/>
          <w:szCs w:val="10"/>
          <w:color w:val="auto"/>
        </w:rPr>
        <w:t>. The Escrow Agent may resign at any time by giving 30 days’ prior written notice of such resignation to Placement Agent and the Company. Upon providing such notice, the Escrow Agent shall have no further obligation hereunder except to hold as depositary the Escrow Funds that it receives until the end of such 30-day period. In such event, the Escrow Agent shall not take any action, other than receiving and depositing Investors checks and wire transfers in accordance with this Agreement, until the Company has designated a banking corporation, trust company, attorney or other person as successor. Upon receipt of such written designation signed by Placement Agent and the Company, the Escrow Agent shall promptly deliver the Escrow Funds to such successor and shall thereafter have no further obligations hereunder. If such instructions are not received within</w:t>
      </w:r>
    </w:p>
    <w:p>
      <w:pPr>
        <w:ind w:left="8" w:hanging="8"/>
        <w:spacing w:after="0" w:line="261" w:lineRule="auto"/>
        <w:tabs>
          <w:tab w:leader="none" w:pos="173" w:val="left"/>
        </w:tabs>
        <w:numPr>
          <w:ilvl w:val="0"/>
          <w:numId w:val="151"/>
        </w:numPr>
        <w:rPr>
          <w:rFonts w:ascii="Arial" w:cs="Arial" w:eastAsia="Arial" w:hAnsi="Arial"/>
          <w:sz w:val="12"/>
          <w:szCs w:val="12"/>
          <w:color w:val="auto"/>
        </w:rPr>
      </w:pPr>
      <w:r>
        <w:rPr>
          <w:rFonts w:ascii="Arial" w:cs="Arial" w:eastAsia="Arial" w:hAnsi="Arial"/>
          <w:sz w:val="12"/>
          <w:szCs w:val="12"/>
          <w:color w:val="auto"/>
        </w:rPr>
        <w:t>days following the effective date of such resignation, then the Escrow Agent may deposit the Escrow Funds held by it pursuant to this Agreement with a clerk of a court of competent jurisdiction pending the appointment of a successor. In either case provided for in this paragraph, the Escrow Agent shall be relieved of all further obligations and released from all liability thereafter arising with respect to the Escrow Funds.</w:t>
      </w:r>
    </w:p>
    <w:p>
      <w:pPr>
        <w:spacing w:after="0" w:line="141" w:lineRule="exact"/>
        <w:rPr>
          <w:sz w:val="20"/>
          <w:szCs w:val="20"/>
          <w:color w:val="auto"/>
        </w:rPr>
      </w:pPr>
    </w:p>
    <w:p>
      <w:pPr>
        <w:ind w:left="448" w:hanging="448"/>
        <w:spacing w:after="0"/>
        <w:tabs>
          <w:tab w:leader="none" w:pos="448" w:val="left"/>
        </w:tabs>
        <w:numPr>
          <w:ilvl w:val="0"/>
          <w:numId w:val="152"/>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The Company and Placement Agent may terminate the appointment of the Escrow Agent hereunder upon written notice specifying the date upon which such termination shall take effect, which date shall be at least</w:t>
      </w:r>
    </w:p>
    <w:p>
      <w:pPr>
        <w:spacing w:after="0" w:line="26" w:lineRule="exact"/>
        <w:rPr>
          <w:rFonts w:ascii="Arial" w:cs="Arial" w:eastAsia="Arial" w:hAnsi="Arial"/>
          <w:sz w:val="11"/>
          <w:szCs w:val="11"/>
          <w:color w:val="auto"/>
        </w:rPr>
      </w:pPr>
    </w:p>
    <w:p>
      <w:pPr>
        <w:jc w:val="both"/>
        <w:ind w:left="8" w:hanging="8"/>
        <w:spacing w:after="0" w:line="284" w:lineRule="auto"/>
        <w:tabs>
          <w:tab w:leader="none" w:pos="170" w:val="left"/>
        </w:tabs>
        <w:numPr>
          <w:ilvl w:val="0"/>
          <w:numId w:val="153"/>
        </w:numPr>
        <w:rPr>
          <w:rFonts w:ascii="Arial" w:cs="Arial" w:eastAsia="Arial" w:hAnsi="Arial"/>
          <w:sz w:val="11"/>
          <w:szCs w:val="11"/>
          <w:color w:val="auto"/>
        </w:rPr>
      </w:pPr>
      <w:r>
        <w:rPr>
          <w:rFonts w:ascii="Arial" w:cs="Arial" w:eastAsia="Arial" w:hAnsi="Arial"/>
          <w:sz w:val="11"/>
          <w:szCs w:val="11"/>
          <w:color w:val="auto"/>
        </w:rPr>
        <w:t xml:space="preserve">days from the date of such notice. In the event of such termination, the Company and Placement Agent shall, within 30 days of such notice, appoint a successor escrow agent and the Escrow Agent shall, upon receipt of written instructions signed by the Company and Placement Agent, turn over to such successor escrow agent all of the Escrow Funds;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the Company and Placement Agent fail to appoint a successor escrow agent within such 30-day period, such termination notice shall be null and void and the Escrow Agent shall continue to be bound by all of the provisions hereof. Upon receipt of the Escrow Funds, the successor escrow agent shall become the escrow agent hereunder and shall be bound by all of the provisions hereof and Signature Bank shall be relieved of all further obligations and released from all liability thereafter arising with respect to the Escrow Funds and under this Agreement.</w:t>
      </w:r>
    </w:p>
    <w:p>
      <w:pPr>
        <w:spacing w:after="0" w:line="131" w:lineRule="exact"/>
        <w:rPr>
          <w:rFonts w:ascii="Arial" w:cs="Arial" w:eastAsia="Arial" w:hAnsi="Arial"/>
          <w:sz w:val="11"/>
          <w:szCs w:val="11"/>
          <w:color w:val="auto"/>
        </w:rPr>
      </w:pPr>
    </w:p>
    <w:p>
      <w:pPr>
        <w:ind w:left="428" w:hanging="428"/>
        <w:spacing w:after="0"/>
        <w:tabs>
          <w:tab w:leader="none" w:pos="428"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Investment</w:t>
      </w:r>
      <w:r>
        <w:rPr>
          <w:rFonts w:ascii="Arial" w:cs="Arial" w:eastAsia="Arial" w:hAnsi="Arial"/>
          <w:sz w:val="12"/>
          <w:szCs w:val="12"/>
          <w:color w:val="auto"/>
        </w:rPr>
        <w:t>. All funds received by the Escrow Agent shall be invested only in non-interest bearing bank accounts at Signature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7299325" cy="18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57" w:name="page258"/>
    <w:bookmarkEnd w:id="257"/>
    <w:p>
      <w:pPr>
        <w:jc w:val="both"/>
        <w:ind w:left="8" w:hanging="8"/>
        <w:spacing w:after="0" w:line="286" w:lineRule="auto"/>
        <w:tabs>
          <w:tab w:leader="none" w:pos="503" w:val="left"/>
        </w:tabs>
        <w:numPr>
          <w:ilvl w:val="0"/>
          <w:numId w:val="155"/>
        </w:numPr>
        <w:rPr>
          <w:rFonts w:ascii="Arial" w:cs="Arial" w:eastAsia="Arial" w:hAnsi="Arial"/>
          <w:sz w:val="11"/>
          <w:szCs w:val="11"/>
          <w:color w:val="auto"/>
        </w:rPr>
      </w:pPr>
      <w:r>
        <w:rPr>
          <w:rFonts w:ascii="Arial" w:cs="Arial" w:eastAsia="Arial" w:hAnsi="Arial"/>
          <w:sz w:val="11"/>
          <w:szCs w:val="11"/>
          <w:u w:val="single" w:color="auto"/>
          <w:color w:val="auto"/>
        </w:rPr>
        <w:t>Compensation</w:t>
      </w:r>
      <w:r>
        <w:rPr>
          <w:rFonts w:ascii="Arial" w:cs="Arial" w:eastAsia="Arial" w:hAnsi="Arial"/>
          <w:sz w:val="11"/>
          <w:szCs w:val="11"/>
          <w:color w:val="auto"/>
        </w:rPr>
        <w:t>. Escrow Agent shall be entitled, for the duties to be performed by it hereunder, to a fee of $4,000, which fee shall be paid by the Company upon the signing of this Agreement. In addition, the Company shall be obligated to reimburse Escrow Agent for all fees, costs and expenses incurred or that become due in connection with this Agreement or the Escrow Account, including reasonable attorney’s fees. Neither the modification, cancellation, termination or rescission of this Agreement nor the resignation or termination of the Escrow Agent shall affect the right of Escrow Agent to retain the amount of any fee which has been paid, or to be reimbursed or paid any amount which has been incurred or becomes due, prior to the effective date of any such modification, cancellation, termination, resignation or rescission. To the extent the Escrow Agent has incurred any such expenses, or any such fee becomes due, prior to any closing, the Escrow Agent shall advise the Company and the Company shall direct all such amounts to be paid directly at any such closing.</w:t>
      </w:r>
    </w:p>
    <w:p>
      <w:pPr>
        <w:spacing w:after="0" w:line="129" w:lineRule="exact"/>
        <w:rPr>
          <w:rFonts w:ascii="Arial" w:cs="Arial" w:eastAsia="Arial" w:hAnsi="Arial"/>
          <w:sz w:val="11"/>
          <w:szCs w:val="11"/>
          <w:color w:val="auto"/>
        </w:rPr>
      </w:pPr>
    </w:p>
    <w:p>
      <w:pPr>
        <w:ind w:left="8" w:hanging="8"/>
        <w:spacing w:after="0" w:line="276" w:lineRule="auto"/>
        <w:tabs>
          <w:tab w:leader="none" w:pos="4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demands and other communications required or permitted to be given hereunder shall be in writing and shall be deemed to have been duly given if sent by hand-delivery, by facsimile (followed by first-class mail), by nationally recognized overnight courier service or by prepaid registered or certified mail, return receipt requested, to the addresses set forth below:</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to Placement Agent:</w:t>
      </w:r>
    </w:p>
    <w:p>
      <w:pPr>
        <w:spacing w:after="0" w:line="33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Geller Biopharm</w:t>
      </w:r>
    </w:p>
    <w:p>
      <w:pPr>
        <w:ind w:left="868"/>
        <w:spacing w:after="0" w:line="209" w:lineRule="auto"/>
        <w:rPr>
          <w:sz w:val="20"/>
          <w:szCs w:val="20"/>
          <w:color w:val="auto"/>
        </w:rPr>
      </w:pPr>
      <w:r>
        <w:rPr>
          <w:rFonts w:ascii="Arial" w:cs="Arial" w:eastAsia="Arial" w:hAnsi="Arial"/>
          <w:sz w:val="12"/>
          <w:szCs w:val="12"/>
          <w:color w:val="auto"/>
        </w:rPr>
        <w:t>140 West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 Suite 14B</w:t>
      </w:r>
    </w:p>
    <w:p>
      <w:pPr>
        <w:ind w:left="868"/>
        <w:spacing w:after="0"/>
        <w:rPr>
          <w:sz w:val="20"/>
          <w:szCs w:val="20"/>
          <w:color w:val="auto"/>
        </w:rPr>
      </w:pPr>
      <w:r>
        <w:rPr>
          <w:rFonts w:ascii="Arial" w:cs="Arial" w:eastAsia="Arial" w:hAnsi="Arial"/>
          <w:sz w:val="12"/>
          <w:szCs w:val="12"/>
          <w:color w:val="auto"/>
        </w:rPr>
        <w:t>New York, NY 10019</w:t>
      </w:r>
    </w:p>
    <w:p>
      <w:pPr>
        <w:spacing w:after="0" w:line="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Attn: Matthew Geller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Fax No.:</w:t>
      </w:r>
    </w:p>
    <w:p>
      <w:pPr>
        <w:spacing w:after="0" w:line="15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with a copy to:</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Sichenzia Ross Friedman Ference LLP</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61 Broadway, 32nd Floor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New York 10006</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Attn: Harvey J. Kesner, Esq.</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Fax No.: (212) 930-9725</w:t>
      </w:r>
    </w:p>
    <w:p>
      <w:pPr>
        <w:spacing w:after="0" w:line="200" w:lineRule="exact"/>
        <w:rPr>
          <w:sz w:val="20"/>
          <w:szCs w:val="20"/>
          <w:color w:val="auto"/>
        </w:rPr>
      </w:pPr>
    </w:p>
    <w:p>
      <w:pPr>
        <w:spacing w:after="0" w:line="28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to the Company:</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 Chief Executive Officer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Tel. No.: (650) 577-3600</w:t>
      </w:r>
    </w:p>
    <w:p>
      <w:pPr>
        <w:spacing w:after="0" w:line="15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with a copy to:</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Disclosure Law Group</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501 West Broadway, Suite 800</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San Diego, California 92101</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 Daniel W. Rumsey</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Tel No.: (619) 795-1134</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Fax No.: (619) 330-2101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9325"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58" w:name="page259"/>
    <w:bookmarkEnd w:id="258"/>
    <w:p>
      <w:pPr>
        <w:ind w:left="428"/>
        <w:spacing w:after="0"/>
        <w:rPr>
          <w:sz w:val="20"/>
          <w:szCs w:val="20"/>
          <w:color w:val="auto"/>
        </w:rPr>
      </w:pPr>
      <w:r>
        <w:rPr>
          <w:rFonts w:ascii="Arial" w:cs="Arial" w:eastAsia="Arial" w:hAnsi="Arial"/>
          <w:sz w:val="12"/>
          <w:szCs w:val="12"/>
          <w:color w:val="auto"/>
        </w:rPr>
        <w:t>If to Escrow Agent:</w:t>
      </w:r>
    </w:p>
    <w:p>
      <w:pPr>
        <w:spacing w:after="0" w:line="16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Signature Bank</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address of financial center</w:t>
      </w:r>
      <w:r>
        <w:rPr>
          <w:rFonts w:ascii="Arial" w:cs="Arial" w:eastAsia="Arial" w:hAnsi="Arial"/>
          <w:sz w:val="12"/>
          <w:szCs w:val="12"/>
          <w:i w:val="1"/>
          <w:iCs w:val="1"/>
          <w:color w:val="auto"/>
        </w:rPr>
        <w:t>]</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_______________</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u w:val="single" w:color="auto"/>
          <w:color w:val="auto"/>
        </w:rPr>
        <w:t>Attention</w:t>
      </w:r>
      <w:r>
        <w:rPr>
          <w:rFonts w:ascii="Arial" w:cs="Arial" w:eastAsia="Arial" w:hAnsi="Arial"/>
          <w:sz w:val="12"/>
          <w:szCs w:val="12"/>
          <w:color w:val="auto"/>
        </w:rPr>
        <w:t xml:space="preserve">: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name &amp; title of Group Director</w:t>
      </w:r>
      <w:r>
        <w:rPr>
          <w:rFonts w:ascii="Arial" w:cs="Arial" w:eastAsia="Arial" w:hAnsi="Arial"/>
          <w:sz w:val="12"/>
          <w:szCs w:val="12"/>
          <w:i w:val="1"/>
          <w:iCs w:val="1"/>
          <w:color w:val="auto"/>
        </w:rPr>
        <w:t>]</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 xml:space="preserve">Fax: </w:t>
      </w:r>
      <w:r>
        <w:rPr>
          <w:rFonts w:ascii="Arial" w:cs="Arial" w:eastAsia="Arial" w:hAnsi="Arial"/>
          <w:sz w:val="12"/>
          <w:szCs w:val="12"/>
          <w:i w:val="1"/>
          <w:iCs w:val="1"/>
          <w:color w:val="auto"/>
        </w:rPr>
        <w:t>[Private Client Group’s fax number]</w:t>
      </w:r>
    </w:p>
    <w:p>
      <w:pPr>
        <w:spacing w:after="0" w:line="159" w:lineRule="exact"/>
        <w:rPr>
          <w:sz w:val="20"/>
          <w:szCs w:val="20"/>
          <w:color w:val="auto"/>
        </w:rPr>
      </w:pPr>
    </w:p>
    <w:p>
      <w:pPr>
        <w:ind w:left="748" w:hanging="748"/>
        <w:spacing w:after="0"/>
        <w:tabs>
          <w:tab w:leader="none" w:pos="748"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jc w:val="both"/>
        <w:ind w:left="8" w:firstLine="424"/>
        <w:spacing w:after="0" w:line="259" w:lineRule="auto"/>
        <w:tabs>
          <w:tab w:leader="none" w:pos="945" w:val="left"/>
        </w:tabs>
        <w:numPr>
          <w:ilvl w:val="1"/>
          <w:numId w:val="156"/>
        </w:numPr>
        <w:rPr>
          <w:rFonts w:ascii="Arial" w:cs="Arial" w:eastAsia="Arial" w:hAnsi="Arial"/>
          <w:sz w:val="12"/>
          <w:szCs w:val="12"/>
          <w:color w:val="auto"/>
        </w:rPr>
      </w:pPr>
      <w:r>
        <w:rPr>
          <w:rFonts w:ascii="Arial" w:cs="Arial" w:eastAsia="Arial" w:hAnsi="Arial"/>
          <w:sz w:val="12"/>
          <w:szCs w:val="12"/>
          <w:color w:val="auto"/>
        </w:rPr>
        <w:t>This Agreement shall be governed by and construed and enforced in accordance with the laws of the State of New York applicable to agreements made and to be entirely performed within such State, without regard to choice of law principles and any action brought hereunder shall be brought in the courts of the State of New York, located in the County of New York. Each party hereto irrevocably waives any objection on the grounds of venue, forum nonconveniens or any similar grounds and irrevocably consents to service of process by mail or in any manner permitted by applicable law and consents to the jurisdiction of said courts. Each of the parties hereto hereby waives all right to trial by jury in any action, proceeding or counterclaim arising out of the transactions contemplated by this Agreement.</w:t>
      </w:r>
    </w:p>
    <w:p>
      <w:pPr>
        <w:spacing w:after="0" w:line="142" w:lineRule="exact"/>
        <w:rPr>
          <w:rFonts w:ascii="Arial" w:cs="Arial" w:eastAsia="Arial" w:hAnsi="Arial"/>
          <w:sz w:val="12"/>
          <w:szCs w:val="12"/>
          <w:color w:val="auto"/>
        </w:rPr>
      </w:pPr>
    </w:p>
    <w:p>
      <w:pPr>
        <w:ind w:left="908" w:hanging="476"/>
        <w:spacing w:after="0"/>
        <w:tabs>
          <w:tab w:leader="none" w:pos="908" w:val="left"/>
        </w:tabs>
        <w:numPr>
          <w:ilvl w:val="1"/>
          <w:numId w:val="156"/>
        </w:numPr>
        <w:rPr>
          <w:rFonts w:ascii="Arial" w:cs="Arial" w:eastAsia="Arial" w:hAnsi="Arial"/>
          <w:sz w:val="11"/>
          <w:szCs w:val="11"/>
          <w:color w:val="auto"/>
        </w:rPr>
      </w:pPr>
      <w:r>
        <w:rPr>
          <w:rFonts w:ascii="Arial" w:cs="Arial" w:eastAsia="Arial" w:hAnsi="Arial"/>
          <w:sz w:val="11"/>
          <w:szCs w:val="11"/>
          <w:color w:val="auto"/>
        </w:rPr>
        <w:t>This Agreement sets forth the entire agreement and understanding of the parties with respect to the matters contained herein and supersedes all prior agreements, arrangements and understandings relating thereto.</w:t>
      </w:r>
    </w:p>
    <w:p>
      <w:pPr>
        <w:spacing w:after="0" w:line="179" w:lineRule="exact"/>
        <w:rPr>
          <w:rFonts w:ascii="Arial" w:cs="Arial" w:eastAsia="Arial" w:hAnsi="Arial"/>
          <w:sz w:val="11"/>
          <w:szCs w:val="11"/>
          <w:color w:val="auto"/>
        </w:rPr>
      </w:pPr>
    </w:p>
    <w:p>
      <w:pPr>
        <w:ind w:left="888" w:hanging="456"/>
        <w:spacing w:after="0"/>
        <w:tabs>
          <w:tab w:leader="none" w:pos="88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All of the terms and conditions of this Agreement shall be binding upon, and inure to the benefit of and be enforceable by, the parties hereto, as well as their respective successors and assigns.</w:t>
      </w:r>
    </w:p>
    <w:p>
      <w:pPr>
        <w:spacing w:after="0" w:line="168" w:lineRule="exact"/>
        <w:rPr>
          <w:rFonts w:ascii="Arial" w:cs="Arial" w:eastAsia="Arial" w:hAnsi="Arial"/>
          <w:sz w:val="12"/>
          <w:szCs w:val="12"/>
          <w:color w:val="auto"/>
        </w:rPr>
      </w:pPr>
    </w:p>
    <w:p>
      <w:pPr>
        <w:jc w:val="both"/>
        <w:ind w:left="8" w:firstLine="424"/>
        <w:spacing w:after="0" w:line="290" w:lineRule="auto"/>
        <w:tabs>
          <w:tab w:leader="none" w:pos="908" w:val="left"/>
        </w:tabs>
        <w:numPr>
          <w:ilvl w:val="1"/>
          <w:numId w:val="156"/>
        </w:numPr>
        <w:rPr>
          <w:rFonts w:ascii="Arial" w:cs="Arial" w:eastAsia="Arial" w:hAnsi="Arial"/>
          <w:sz w:val="11"/>
          <w:szCs w:val="11"/>
          <w:color w:val="auto"/>
        </w:rPr>
      </w:pPr>
      <w:r>
        <w:rPr>
          <w:rFonts w:ascii="Arial" w:cs="Arial" w:eastAsia="Arial" w:hAnsi="Arial"/>
          <w:sz w:val="11"/>
          <w:szCs w:val="11"/>
          <w:color w:val="auto"/>
        </w:rPr>
        <w:t>This Agreement may be amended, modified, superseded or canceled, and any of the terms or conditions hereof may be waived, only by a written instrument executed by each party hereto or, in the case of a waiver, by the party waiving compliance. The failure of any party at any time or times to require performance of any provision hereof shall in no manner affect its right at a later time to enforce the same. No waiver of any party of any condition, or of the breach of any term contained in this Agreement, whether by conduct or otherwise, in any one or more instances shall be deemed to be or construed as a further or continuing waiver of any such condition or breach or a waiver of any other condition or of the breach of any other term of this Agreement. No party may assign any rights, duties or obligations hereunder unless all other parties have given their prior written consent.</w:t>
      </w:r>
    </w:p>
    <w:p>
      <w:pPr>
        <w:spacing w:after="0" w:line="127" w:lineRule="exact"/>
        <w:rPr>
          <w:rFonts w:ascii="Arial" w:cs="Arial" w:eastAsia="Arial" w:hAnsi="Arial"/>
          <w:sz w:val="11"/>
          <w:szCs w:val="11"/>
          <w:color w:val="auto"/>
        </w:rPr>
      </w:pPr>
    </w:p>
    <w:p>
      <w:pPr>
        <w:ind w:left="888" w:hanging="456"/>
        <w:spacing w:after="0"/>
        <w:tabs>
          <w:tab w:leader="none" w:pos="88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If any provision included in this Agreement proves to be invalid or unenforceable, it shall not affect the validity of the remaining provisions.</w:t>
      </w:r>
    </w:p>
    <w:p>
      <w:pPr>
        <w:spacing w:after="0" w:line="168" w:lineRule="exact"/>
        <w:rPr>
          <w:rFonts w:ascii="Arial" w:cs="Arial" w:eastAsia="Arial" w:hAnsi="Arial"/>
          <w:sz w:val="12"/>
          <w:szCs w:val="12"/>
          <w:color w:val="auto"/>
        </w:rPr>
      </w:pPr>
    </w:p>
    <w:p>
      <w:pPr>
        <w:ind w:left="8" w:firstLine="424"/>
        <w:spacing w:after="0" w:line="276" w:lineRule="auto"/>
        <w:tabs>
          <w:tab w:leader="none" w:pos="954" w:val="left"/>
        </w:tabs>
        <w:numPr>
          <w:ilvl w:val="1"/>
          <w:numId w:val="156"/>
        </w:numPr>
        <w:rPr>
          <w:rFonts w:ascii="Arial" w:cs="Arial" w:eastAsia="Arial" w:hAnsi="Arial"/>
          <w:sz w:val="12"/>
          <w:szCs w:val="12"/>
          <w:color w:val="auto"/>
        </w:rPr>
      </w:pPr>
      <w:r>
        <w:rPr>
          <w:rFonts w:ascii="Arial" w:cs="Arial" w:eastAsia="Arial" w:hAnsi="Arial"/>
          <w:sz w:val="12"/>
          <w:szCs w:val="12"/>
          <w:color w:val="auto"/>
        </w:rPr>
        <w:t>This Agreement and any modification or amendment of this Agreement may be executed in several counterparts or by separate instruments and all of such counterparts and instruments shall constitute one agreement, binding on all of the parties hereto.</w:t>
      </w:r>
    </w:p>
    <w:p>
      <w:pPr>
        <w:spacing w:after="0" w:line="132" w:lineRule="exact"/>
        <w:rPr>
          <w:rFonts w:ascii="Arial" w:cs="Arial" w:eastAsia="Arial" w:hAnsi="Arial"/>
          <w:sz w:val="12"/>
          <w:szCs w:val="12"/>
          <w:color w:val="auto"/>
        </w:rPr>
      </w:pPr>
    </w:p>
    <w:p>
      <w:pPr>
        <w:jc w:val="both"/>
        <w:ind w:left="8" w:hanging="8"/>
        <w:spacing w:after="0" w:line="263" w:lineRule="auto"/>
        <w:tabs>
          <w:tab w:leader="none" w:pos="872"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Form of Signature.</w:t>
      </w:r>
      <w:r>
        <w:rPr>
          <w:rFonts w:ascii="Arial" w:cs="Arial" w:eastAsia="Arial" w:hAnsi="Arial"/>
          <w:sz w:val="12"/>
          <w:szCs w:val="12"/>
          <w:color w:val="auto"/>
        </w:rPr>
        <w:t xml:space="preserve"> The parties hereto agree to accept a facsimile transmission copy of their respective actual signatures as evidence of their actual signatures to this Agreement and any modification or amendment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each party who produces a facsimile signature agrees, by the express terms hereof, to place, promptly after transmission of his or her signature by fax, a true and correct original copy of his or her signature in overnight mail to the address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9932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59" w:name="page260"/>
    <w:bookmarkEnd w:id="259"/>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have duly executed this Agreement as of the date first set forth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gridSpan w:val="3"/>
          </w:tcPr>
          <w:p>
            <w:pPr>
              <w:spacing w:after="0"/>
              <w:rPr>
                <w:sz w:val="20"/>
                <w:szCs w:val="20"/>
                <w:color w:val="auto"/>
              </w:rPr>
            </w:pPr>
            <w:r>
              <w:rPr>
                <w:rFonts w:ascii="Arial" w:cs="Arial" w:eastAsia="Arial" w:hAnsi="Arial"/>
                <w:sz w:val="12"/>
                <w:szCs w:val="12"/>
                <w:color w:val="auto"/>
              </w:rPr>
              <w:t>___________________________</w:t>
            </w:r>
          </w:p>
        </w:tc>
        <w:tc>
          <w:tcPr>
            <w:tcW w:w="4280" w:type="dxa"/>
            <w:vAlign w:val="bottom"/>
            <w:gridSpan w:val="2"/>
          </w:tcPr>
          <w:p>
            <w:pPr>
              <w:jc w:val="right"/>
              <w:ind w:right="2040"/>
              <w:spacing w:after="0"/>
              <w:rPr>
                <w:sz w:val="20"/>
                <w:szCs w:val="20"/>
                <w:color w:val="auto"/>
              </w:rPr>
            </w:pPr>
            <w:r>
              <w:rPr>
                <w:rFonts w:ascii="Arial" w:cs="Arial" w:eastAsia="Arial" w:hAnsi="Arial"/>
                <w:sz w:val="12"/>
                <w:szCs w:val="12"/>
                <w:color w:val="auto"/>
              </w:rPr>
              <w:t>_______________________</w:t>
            </w:r>
          </w:p>
        </w:tc>
        <w:tc>
          <w:tcPr>
            <w:tcW w:w="4140" w:type="dxa"/>
            <w:vAlign w:val="bottom"/>
          </w:tcPr>
          <w:p>
            <w:pPr>
              <w:spacing w:after="0"/>
              <w:rPr>
                <w:sz w:val="13"/>
                <w:szCs w:val="13"/>
                <w:color w:val="auto"/>
              </w:rPr>
            </w:pPr>
          </w:p>
        </w:tc>
      </w:tr>
      <w:tr>
        <w:trPr>
          <w:trHeight w:val="468"/>
        </w:trPr>
        <w:tc>
          <w:tcPr>
            <w:tcW w:w="380" w:type="dxa"/>
            <w:vAlign w:val="bottom"/>
          </w:tcPr>
          <w:p>
            <w:pPr>
              <w:ind w:left="20"/>
              <w:spacing w:after="0"/>
              <w:rPr>
                <w:sz w:val="20"/>
                <w:szCs w:val="20"/>
                <w:color w:val="auto"/>
              </w:rPr>
            </w:pPr>
            <w:r>
              <w:rPr>
                <w:rFonts w:ascii="Arial" w:cs="Arial" w:eastAsia="Arial" w:hAnsi="Arial"/>
                <w:sz w:val="12"/>
                <w:szCs w:val="12"/>
                <w:color w:val="auto"/>
              </w:rPr>
              <w:t>By:</w:t>
            </w: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900" w:type="dxa"/>
            <w:vAlign w:val="bottom"/>
            <w:gridSpan w:val="2"/>
          </w:tcPr>
          <w:p>
            <w:pPr>
              <w:ind w:left="2340"/>
              <w:spacing w:after="0"/>
              <w:rPr>
                <w:sz w:val="20"/>
                <w:szCs w:val="20"/>
                <w:color w:val="auto"/>
              </w:rPr>
            </w:pPr>
            <w:r>
              <w:rPr>
                <w:rFonts w:ascii="Arial" w:cs="Arial" w:eastAsia="Arial" w:hAnsi="Arial"/>
                <w:sz w:val="12"/>
                <w:szCs w:val="12"/>
                <w:color w:val="auto"/>
              </w:rPr>
              <w:t>By:</w:t>
            </w:r>
          </w:p>
        </w:tc>
      </w:tr>
      <w:tr>
        <w:trPr>
          <w:trHeight w:val="133"/>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0" w:type="dxa"/>
            <w:vAlign w:val="bottom"/>
            <w:tcBorders>
              <w:top w:val="single" w:sz="8" w:color="auto"/>
            </w:tcBorders>
          </w:tcPr>
          <w:p>
            <w:pPr>
              <w:jc w:val="right"/>
              <w:ind w:right="2220"/>
              <w:spacing w:after="0" w:line="133" w:lineRule="exact"/>
              <w:rPr>
                <w:sz w:val="20"/>
                <w:szCs w:val="20"/>
                <w:color w:val="auto"/>
              </w:rPr>
            </w:pPr>
            <w:r>
              <w:rPr>
                <w:rFonts w:ascii="Arial" w:cs="Arial" w:eastAsia="Arial" w:hAnsi="Arial"/>
                <w:sz w:val="12"/>
                <w:szCs w:val="12"/>
                <w:color w:val="auto"/>
                <w:w w:val="84"/>
              </w:rPr>
              <w:t>Name:</w:t>
            </w:r>
          </w:p>
        </w:tc>
        <w:tc>
          <w:tcPr>
            <w:tcW w:w="1520" w:type="dxa"/>
            <w:vAlign w:val="bottom"/>
            <w:tcBorders>
              <w:top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41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Name:</w:t>
            </w:r>
          </w:p>
        </w:tc>
      </w:tr>
      <w:tr>
        <w:trPr>
          <w:trHeight w:val="153"/>
        </w:trPr>
        <w:tc>
          <w:tcPr>
            <w:tcW w:w="380" w:type="dxa"/>
            <w:vAlign w:val="bottom"/>
          </w:tcPr>
          <w:p>
            <w:pPr>
              <w:spacing w:after="0"/>
              <w:rPr>
                <w:sz w:val="13"/>
                <w:szCs w:val="13"/>
                <w:color w:val="auto"/>
              </w:rPr>
            </w:pPr>
          </w:p>
        </w:tc>
        <w:tc>
          <w:tcPr>
            <w:tcW w:w="2680" w:type="dxa"/>
            <w:vAlign w:val="bottom"/>
            <w:gridSpan w:val="2"/>
          </w:tcPr>
          <w:p>
            <w:pPr>
              <w:jc w:val="right"/>
              <w:ind w:right="2300"/>
              <w:spacing w:after="0"/>
              <w:rPr>
                <w:sz w:val="20"/>
                <w:szCs w:val="20"/>
                <w:color w:val="auto"/>
              </w:rPr>
            </w:pPr>
            <w:r>
              <w:rPr>
                <w:rFonts w:ascii="Arial" w:cs="Arial" w:eastAsia="Arial" w:hAnsi="Arial"/>
                <w:sz w:val="12"/>
                <w:szCs w:val="12"/>
                <w:color w:val="auto"/>
              </w:rPr>
              <w:t>Title:</w:t>
            </w:r>
          </w:p>
        </w:tc>
        <w:tc>
          <w:tcPr>
            <w:tcW w:w="1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Title:</w:t>
            </w:r>
          </w:p>
        </w:tc>
      </w:tr>
      <w:tr>
        <w:trPr>
          <w:trHeight w:val="450"/>
        </w:trPr>
        <w:tc>
          <w:tcPr>
            <w:tcW w:w="3060" w:type="dxa"/>
            <w:vAlign w:val="bottom"/>
            <w:gridSpan w:val="3"/>
          </w:tcPr>
          <w:p>
            <w:pPr>
              <w:spacing w:after="0"/>
              <w:rPr>
                <w:sz w:val="20"/>
                <w:szCs w:val="20"/>
                <w:color w:val="auto"/>
              </w:rPr>
            </w:pPr>
            <w:r>
              <w:rPr>
                <w:rFonts w:ascii="Arial" w:cs="Arial" w:eastAsia="Arial" w:hAnsi="Arial"/>
                <w:sz w:val="12"/>
                <w:szCs w:val="12"/>
                <w:color w:val="auto"/>
              </w:rPr>
              <w:t>SIGNATURE BANK</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2"/>
                <w:szCs w:val="12"/>
                <w:color w:val="auto"/>
              </w:rPr>
              <w:t>By:</w:t>
            </w:r>
          </w:p>
        </w:tc>
        <w:tc>
          <w:tcPr>
            <w:tcW w:w="2680" w:type="dxa"/>
            <w:vAlign w:val="bottom"/>
            <w:gridSpan w:val="2"/>
          </w:tcPr>
          <w:p>
            <w:pPr>
              <w:jc w:val="right"/>
              <w:ind w:right="760"/>
              <w:spacing w:after="0"/>
              <w:rPr>
                <w:sz w:val="20"/>
                <w:szCs w:val="20"/>
                <w:color w:val="auto"/>
              </w:rPr>
            </w:pPr>
            <w:r>
              <w:rPr>
                <w:rFonts w:ascii="Arial" w:cs="Arial" w:eastAsia="Arial" w:hAnsi="Arial"/>
                <w:sz w:val="12"/>
                <w:szCs w:val="12"/>
                <w:color w:val="auto"/>
                <w:w w:val="95"/>
              </w:rPr>
              <w:t>_____________________________</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Name:</w:t>
            </w: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140" w:type="dxa"/>
            <w:vAlign w:val="bottom"/>
          </w:tcPr>
          <w:p>
            <w:pPr>
              <w:spacing w:after="0"/>
              <w:rPr>
                <w:sz w:val="12"/>
                <w:szCs w:val="12"/>
                <w:color w:val="auto"/>
              </w:rPr>
            </w:pPr>
          </w:p>
        </w:tc>
      </w:t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Title:</w:t>
            </w:r>
          </w:p>
        </w:tc>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622"/>
        </w:trPr>
        <w:tc>
          <w:tcPr>
            <w:tcW w:w="380" w:type="dxa"/>
            <w:vAlign w:val="bottom"/>
          </w:tcPr>
          <w:p>
            <w:pPr>
              <w:spacing w:after="0"/>
              <w:rPr>
                <w:sz w:val="20"/>
                <w:szCs w:val="20"/>
                <w:color w:val="auto"/>
              </w:rPr>
            </w:pPr>
            <w:r>
              <w:rPr>
                <w:rFonts w:ascii="Arial" w:cs="Arial" w:eastAsia="Arial" w:hAnsi="Arial"/>
                <w:sz w:val="12"/>
                <w:szCs w:val="12"/>
                <w:color w:val="auto"/>
              </w:rPr>
              <w:t>By:</w:t>
            </w:r>
          </w:p>
        </w:tc>
        <w:tc>
          <w:tcPr>
            <w:tcW w:w="2680" w:type="dxa"/>
            <w:vAlign w:val="bottom"/>
            <w:gridSpan w:val="2"/>
          </w:tcPr>
          <w:p>
            <w:pPr>
              <w:jc w:val="right"/>
              <w:ind w:right="760"/>
              <w:spacing w:after="0"/>
              <w:rPr>
                <w:sz w:val="20"/>
                <w:szCs w:val="20"/>
                <w:color w:val="auto"/>
              </w:rPr>
            </w:pPr>
            <w:r>
              <w:rPr>
                <w:rFonts w:ascii="Arial" w:cs="Arial" w:eastAsia="Arial" w:hAnsi="Arial"/>
                <w:sz w:val="12"/>
                <w:szCs w:val="12"/>
                <w:color w:val="auto"/>
                <w:w w:val="95"/>
              </w:rPr>
              <w:t>_____________________________</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44"/>
        </w:trPr>
        <w:tc>
          <w:tcPr>
            <w:tcW w:w="380" w:type="dxa"/>
            <w:vAlign w:val="bottom"/>
          </w:tcPr>
          <w:p>
            <w:pPr>
              <w:spacing w:after="0"/>
              <w:rPr>
                <w:sz w:val="20"/>
                <w:szCs w:val="20"/>
                <w:color w:val="auto"/>
              </w:rPr>
            </w:pPr>
            <w:r>
              <w:rPr>
                <w:rFonts w:ascii="Arial" w:cs="Arial" w:eastAsia="Arial" w:hAnsi="Arial"/>
                <w:sz w:val="12"/>
                <w:szCs w:val="12"/>
                <w:color w:val="auto"/>
              </w:rPr>
              <w:t>Name:</w:t>
            </w: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140" w:type="dxa"/>
            <w:vAlign w:val="bottom"/>
          </w:tcPr>
          <w:p>
            <w:pPr>
              <w:spacing w:after="0"/>
              <w:rPr>
                <w:sz w:val="12"/>
                <w:szCs w:val="12"/>
                <w:color w:val="auto"/>
              </w:rPr>
            </w:pPr>
          </w:p>
        </w:tc>
      </w:t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Title:</w:t>
            </w:r>
          </w:p>
        </w:tc>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598"/>
        </w:trPr>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2"/>
          <w:szCs w:val="12"/>
          <w:b w:val="1"/>
          <w:bCs w:val="1"/>
          <w:u w:val="single" w:color="auto"/>
          <w:color w:val="auto"/>
        </w:rPr>
        <w:t>Schedule 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398145</wp:posOffset>
            </wp:positionV>
            <wp:extent cx="7299325" cy="18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261" w:name="page262"/>
    <w:bookmarkEnd w:id="261"/>
    <w:p>
      <w:pPr>
        <w:ind w:left="5420"/>
        <w:spacing w:after="0"/>
        <w:rPr>
          <w:sz w:val="20"/>
          <w:szCs w:val="20"/>
          <w:color w:val="auto"/>
        </w:rPr>
      </w:pPr>
      <w:r>
        <w:rPr>
          <w:rFonts w:ascii="Arial" w:cs="Arial" w:eastAsia="Arial" w:hAnsi="Arial"/>
          <w:sz w:val="12"/>
          <w:szCs w:val="12"/>
          <w:b w:val="1"/>
          <w:bCs w:val="1"/>
          <w:u w:val="single" w:color="auto"/>
          <w:color w:val="auto"/>
        </w:rPr>
        <w:t>Schedule II</w:t>
      </w:r>
    </w:p>
    <w:p>
      <w:pPr>
        <w:spacing w:after="0" w:line="172" w:lineRule="exact"/>
        <w:rPr>
          <w:sz w:val="20"/>
          <w:szCs w:val="20"/>
          <w:color w:val="auto"/>
        </w:rPr>
      </w:pPr>
    </w:p>
    <w:p>
      <w:pPr>
        <w:ind w:left="4880" w:right="919" w:hanging="4476"/>
        <w:spacing w:after="0" w:line="558" w:lineRule="auto"/>
        <w:rPr>
          <w:sz w:val="20"/>
          <w:szCs w:val="20"/>
          <w:color w:val="auto"/>
        </w:rPr>
      </w:pPr>
      <w:r>
        <w:rPr>
          <w:rFonts w:ascii="Arial" w:cs="Arial" w:eastAsia="Arial" w:hAnsi="Arial"/>
          <w:sz w:val="12"/>
          <w:szCs w:val="12"/>
          <w:color w:val="auto"/>
        </w:rPr>
        <w:t>The Escrow Agent is authorized to accept instructions signed or believed by the Escrow Agent to be signed by any one of the following on behalf of the Company and Placement Agent. [</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w:t>
      </w:r>
    </w:p>
    <w:p>
      <w:pPr>
        <w:spacing w:after="0" w:line="115" w:lineRule="exact"/>
        <w:rPr>
          <w:sz w:val="20"/>
          <w:szCs w:val="20"/>
          <w:color w:val="auto"/>
        </w:rPr>
      </w:pPr>
    </w:p>
    <w:p>
      <w:pPr>
        <w:spacing w:after="0"/>
        <w:tabs>
          <w:tab w:leader="none" w:pos="5720" w:val="left"/>
        </w:tabs>
        <w:rPr>
          <w:sz w:val="20"/>
          <w:szCs w:val="20"/>
          <w:color w:val="auto"/>
        </w:rPr>
      </w:pPr>
      <w:r>
        <w:rPr>
          <w:rFonts w:ascii="Arial" w:cs="Arial" w:eastAsia="Arial" w:hAnsi="Arial"/>
          <w:sz w:val="12"/>
          <w:szCs w:val="12"/>
          <w:u w:val="single" w:color="auto"/>
          <w:color w:val="auto"/>
        </w:rPr>
        <w:t>Name</w:t>
      </w:r>
      <w:r>
        <w:rPr>
          <w:sz w:val="20"/>
          <w:szCs w:val="20"/>
          <w:color w:val="auto"/>
        </w:rPr>
        <w:tab/>
      </w:r>
      <w:r>
        <w:rPr>
          <w:rFonts w:ascii="Arial" w:cs="Arial" w:eastAsia="Arial" w:hAnsi="Arial"/>
          <w:sz w:val="12"/>
          <w:szCs w:val="12"/>
          <w:u w:val="single" w:color="auto"/>
          <w:color w:val="auto"/>
        </w:rPr>
        <w:t>True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283845</wp:posOffset>
            </wp:positionV>
            <wp:extent cx="1824355"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24355" cy="1143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283845</wp:posOffset>
            </wp:positionV>
            <wp:extent cx="1824355"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24355"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Placement Agent’s full legal name</w:t>
      </w:r>
      <w:r>
        <w:rPr>
          <w:rFonts w:ascii="Arial" w:cs="Arial" w:eastAsia="Arial" w:hAnsi="Arial"/>
          <w:sz w:val="12"/>
          <w:szCs w:val="12"/>
          <w:color w:val="auto"/>
        </w:rPr>
        <w:t>]</w:t>
      </w:r>
    </w:p>
    <w:p>
      <w:pPr>
        <w:spacing w:after="0" w:line="200" w:lineRule="exact"/>
        <w:rPr>
          <w:sz w:val="20"/>
          <w:szCs w:val="20"/>
          <w:color w:val="auto"/>
        </w:rPr>
      </w:pPr>
    </w:p>
    <w:p>
      <w:pPr>
        <w:spacing w:after="0" w:line="292" w:lineRule="exact"/>
        <w:rPr>
          <w:sz w:val="20"/>
          <w:szCs w:val="20"/>
          <w:color w:val="auto"/>
        </w:rPr>
      </w:pPr>
    </w:p>
    <w:p>
      <w:pPr>
        <w:spacing w:after="0"/>
        <w:tabs>
          <w:tab w:leader="none" w:pos="5720" w:val="left"/>
        </w:tabs>
        <w:rPr>
          <w:sz w:val="20"/>
          <w:szCs w:val="20"/>
          <w:color w:val="auto"/>
        </w:rPr>
      </w:pPr>
      <w:r>
        <w:rPr>
          <w:rFonts w:ascii="Arial" w:cs="Arial" w:eastAsia="Arial" w:hAnsi="Arial"/>
          <w:sz w:val="12"/>
          <w:szCs w:val="12"/>
          <w:u w:val="single" w:color="auto"/>
          <w:color w:val="auto"/>
        </w:rPr>
        <w:t>Name</w:t>
      </w:r>
      <w:r>
        <w:rPr>
          <w:sz w:val="20"/>
          <w:szCs w:val="20"/>
          <w:color w:val="auto"/>
        </w:rPr>
        <w:tab/>
      </w:r>
      <w:r>
        <w:rPr>
          <w:rFonts w:ascii="Arial" w:cs="Arial" w:eastAsia="Arial" w:hAnsi="Arial"/>
          <w:sz w:val="12"/>
          <w:szCs w:val="12"/>
          <w:u w:val="single" w:color="auto"/>
          <w:color w:val="auto"/>
        </w:rPr>
        <w:t>True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283845</wp:posOffset>
            </wp:positionV>
            <wp:extent cx="1824355"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824355" cy="1143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283845</wp:posOffset>
            </wp:positionV>
            <wp:extent cx="1824355"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24355" cy="1143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772160</wp:posOffset>
            </wp:positionV>
            <wp:extent cx="7299325" cy="18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Extension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Date: __________________</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Signature Bank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address of financial center</w:t>
      </w:r>
      <w:r>
        <w:rPr>
          <w:rFonts w:ascii="Arial" w:cs="Arial" w:eastAsia="Arial" w:hAnsi="Arial"/>
          <w:sz w:val="12"/>
          <w:szCs w:val="12"/>
          <w:i w:val="1"/>
          <w:i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Attention: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name &amp; title of Group Director</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Dear _________:</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In accordance with the terms of paragraph 2(b) of an Escrow Deposit Agreement dated ___ _______, by and among [</w:t>
      </w:r>
      <w:r>
        <w:rPr>
          <w:rFonts w:ascii="Arial" w:cs="Arial" w:eastAsia="Arial" w:hAnsi="Arial"/>
          <w:sz w:val="11"/>
          <w:szCs w:val="11"/>
          <w:i w:val="1"/>
          <w:iCs w:val="1"/>
          <w:color w:val="auto"/>
        </w:rPr>
        <w:t>insert Company’s full legal name</w:t>
      </w:r>
      <w:r>
        <w:rPr>
          <w:rFonts w:ascii="Arial" w:cs="Arial" w:eastAsia="Arial" w:hAnsi="Arial"/>
          <w:sz w:val="11"/>
          <w:szCs w:val="11"/>
          <w:color w:val="auto"/>
        </w:rPr>
        <w:t>] (the “Company”), [</w:t>
      </w:r>
      <w:r>
        <w:rPr>
          <w:rFonts w:ascii="Arial" w:cs="Arial" w:eastAsia="Arial" w:hAnsi="Arial"/>
          <w:sz w:val="11"/>
          <w:szCs w:val="11"/>
          <w:i w:val="1"/>
          <w:iCs w:val="1"/>
          <w:color w:val="auto"/>
        </w:rPr>
        <w:t>insert Placement Agent’s full legal name</w:t>
      </w:r>
      <w:r>
        <w:rPr>
          <w:rFonts w:ascii="Arial" w:cs="Arial" w:eastAsia="Arial" w:hAnsi="Arial"/>
          <w:sz w:val="11"/>
          <w:szCs w:val="11"/>
          <w:color w:val="auto"/>
        </w:rPr>
        <w:t>] (“Placement Agent”),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and Signature Bank (the “Escrow Agent”), the Company and Placement Agent hereby notifies the Escrow Agent that the Termination Date has been extended to __________ __, 20__, the Final Termination Date.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Very truly yours,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Name:__________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Title:____________</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Placement Agent’s full legal name</w:t>
      </w: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Name:___________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789940</wp:posOffset>
            </wp:positionV>
            <wp:extent cx="729932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263" w:name="page264"/>
    <w:bookmarkEnd w:id="263"/>
    <w:p>
      <w:pPr>
        <w:jc w:val="center"/>
        <w:ind w:right="-279"/>
        <w:spacing w:after="0"/>
        <w:rPr>
          <w:sz w:val="20"/>
          <w:szCs w:val="20"/>
          <w:color w:val="auto"/>
        </w:rPr>
      </w:pPr>
      <w:r>
        <w:rPr>
          <w:rFonts w:ascii="Arial" w:cs="Arial" w:eastAsia="Arial" w:hAnsi="Arial"/>
          <w:sz w:val="12"/>
          <w:szCs w:val="12"/>
          <w:color w:val="auto"/>
        </w:rPr>
        <w:t>Exhibit B</w:t>
      </w:r>
    </w:p>
    <w:p>
      <w:pPr>
        <w:spacing w:after="0" w:line="164" w:lineRule="exact"/>
        <w:rPr>
          <w:sz w:val="20"/>
          <w:szCs w:val="20"/>
          <w:color w:val="auto"/>
        </w:rPr>
      </w:pPr>
    </w:p>
    <w:p>
      <w:pPr>
        <w:jc w:val="center"/>
        <w:ind w:right="-279"/>
        <w:spacing w:after="0"/>
        <w:rPr>
          <w:sz w:val="20"/>
          <w:szCs w:val="20"/>
          <w:color w:val="auto"/>
        </w:rPr>
      </w:pPr>
      <w:r>
        <w:rPr>
          <w:rFonts w:ascii="Arial" w:cs="Arial" w:eastAsia="Arial" w:hAnsi="Arial"/>
          <w:sz w:val="12"/>
          <w:szCs w:val="12"/>
          <w:b w:val="1"/>
          <w:bCs w:val="1"/>
          <w:u w:val="single" w:color="auto"/>
          <w:color w:val="auto"/>
        </w:rPr>
        <w:t>FORM OF ESCROW RELEASE NOTICE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Signature Bank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address of financial center</w:t>
      </w:r>
      <w:r>
        <w:rPr>
          <w:rFonts w:ascii="Arial" w:cs="Arial" w:eastAsia="Arial" w:hAnsi="Arial"/>
          <w:sz w:val="12"/>
          <w:szCs w:val="12"/>
          <w:i w:val="1"/>
          <w:i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Attention: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name &amp; title of Group Director</w:t>
      </w:r>
      <w:r>
        <w:rPr>
          <w:rFonts w:ascii="Arial" w:cs="Arial" w:eastAsia="Arial" w:hAnsi="Arial"/>
          <w:sz w:val="12"/>
          <w:szCs w:val="12"/>
          <w:i w:val="1"/>
          <w:i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Dear _________:</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In accordance with the terms of paragraph 2(c) of an Escrow Deposit Agreement dated as of ________ __, 20__ (the "Escrow Agreement"), by and between ____________ (the "Company"), Signature Bank (the "Escrow Agent")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__________. ("Placement Agent"), the Company and Placement Agent hereby notify the Escrow Agent that the ________ closing will be held on ___________ for gross proceeds of $_________.</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PLEASE DISTRIBUTE FUNDS BY WIRE TRANSFER AS FOLLOWS (wire instructions attached):</w:t>
      </w:r>
    </w:p>
    <w:p>
      <w:pPr>
        <w:sectPr>
          <w:pgSz w:w="11900" w:h="16838" w:orient="portrait"/>
          <w:cols w:equalWidth="0" w:num="1">
            <w:col w:w="11180"/>
          </w:cols>
          <w:pgMar w:left="220" w:top="392" w:right="49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91" w:lineRule="exact"/>
        <w:rPr>
          <w:sz w:val="20"/>
          <w:szCs w:val="20"/>
          <w:color w:val="auto"/>
        </w:rPr>
      </w:pPr>
    </w:p>
    <w:p>
      <w:pPr>
        <w:sectPr>
          <w:pgSz w:w="11900" w:h="16838" w:orient="portrait"/>
          <w:cols w:equalWidth="0" w:num="2">
            <w:col w:w="2660" w:space="720"/>
            <w:col w:w="7800"/>
          </w:cols>
          <w:pgMar w:left="220" w:top="392" w:right="499" w:bottom="1440" w:gutter="0" w:footer="0" w:header="0"/>
          <w:type w:val="continuous"/>
        </w:sectPr>
      </w:pPr>
    </w:p>
    <w:p>
      <w:pPr>
        <w:spacing w:after="0"/>
        <w:rPr>
          <w:sz w:val="20"/>
          <w:szCs w:val="20"/>
          <w:color w:val="auto"/>
        </w:rPr>
      </w:pPr>
      <w:r>
        <w:rPr>
          <w:rFonts w:ascii="Arial" w:cs="Arial" w:eastAsia="Arial" w:hAnsi="Arial"/>
          <w:sz w:val="10"/>
          <w:szCs w:val="10"/>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t>
      </w:r>
    </w:p>
    <w:p>
      <w:pPr>
        <w:spacing w:after="0" w:line="191" w:lineRule="exact"/>
        <w:rPr>
          <w:sz w:val="20"/>
          <w:szCs w:val="20"/>
          <w:color w:val="auto"/>
        </w:rPr>
      </w:pPr>
    </w:p>
    <w:p>
      <w:pPr>
        <w:sectPr>
          <w:pgSz w:w="11900" w:h="16838" w:orient="portrait"/>
          <w:cols w:equalWidth="0" w:num="2">
            <w:col w:w="2660" w:space="720"/>
            <w:col w:w="7800"/>
          </w:cols>
          <w:pgMar w:left="220" w:top="392" w:right="499" w:bottom="1440" w:gutter="0" w:footer="0" w:header="0"/>
          <w:type w:val="continuous"/>
        </w:sectPr>
      </w:pPr>
    </w:p>
    <w:p>
      <w:pPr>
        <w:spacing w:after="0"/>
        <w:rPr>
          <w:sz w:val="20"/>
          <w:szCs w:val="20"/>
          <w:color w:val="auto"/>
        </w:rPr>
      </w:pPr>
      <w:r>
        <w:rPr>
          <w:rFonts w:ascii="Arial" w:cs="Arial" w:eastAsia="Arial" w:hAnsi="Arial"/>
          <w:sz w:val="10"/>
          <w:szCs w:val="10"/>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ectPr>
          <w:pgSz w:w="11900" w:h="16838" w:orient="portrait"/>
          <w:cols w:equalWidth="0" w:num="2">
            <w:col w:w="2660" w:space="720"/>
            <w:col w:w="7800"/>
          </w:cols>
          <w:pgMar w:left="220" w:top="392" w:right="4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Very truly yours,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Company’s full legal name</w:t>
      </w: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Name:___________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Title:____________</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insert Placement Agent’s full legal name</w:t>
      </w:r>
      <w:r>
        <w:rPr>
          <w:rFonts w:ascii="Arial" w:cs="Arial" w:eastAsia="Arial" w:hAnsi="Arial"/>
          <w:sz w:val="11"/>
          <w:szCs w:val="1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By:_____________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Name:___________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Title:____________</w:t>
      </w:r>
    </w:p>
    <w:sectPr>
      <w:pgSz w:w="11900" w:h="16838" w:orient="portrait"/>
      <w:cols w:equalWidth="0" w:num="1">
        <w:col w:w="11180"/>
      </w:cols>
      <w:pgMar w:left="220" w:top="392"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1)"/>
      <w:numFmt w:val="decimal"/>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1."/>
      <w:numFmt w:val="decimal"/>
      <w:start w:val="1"/>
    </w:lvl>
  </w:abstractNum>
  <w:abstractNum w:abstractNumId="28">
    <w:nsid w:val="57FC4FBB"/>
    <w:multiLevelType w:val="hybridMultilevel"/>
    <w:lvl w:ilvl="0">
      <w:lvlJc w:val="left"/>
      <w:lvlText w:val="%1."/>
      <w:numFmt w:val="decimal"/>
      <w:start w:val="1"/>
    </w:lvl>
  </w:abstractNum>
  <w:abstractNum w:abstractNumId="29">
    <w:nsid w:val="CC1016F"/>
    <w:multiLevelType w:val="hybridMultilevel"/>
    <w:lvl w:ilvl="0">
      <w:lvlJc w:val="left"/>
      <w:lvlText w:val="%1."/>
      <w:numFmt w:val="decimal"/>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lvl w:ilvl="1">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1)"/>
      <w:numFmt w:val="decimal"/>
      <w:start w:val="4"/>
    </w:lvl>
  </w:abstractNum>
  <w:abstractNum w:abstractNumId="47">
    <w:nsid w:val="7DE67713"/>
    <w:multiLevelType w:val="hybridMultilevel"/>
    <w:lvl w:ilvl="0">
      <w:lvlJc w:val="left"/>
      <w:lvlText w:val="(%1)"/>
      <w:numFmt w:val="lowerLetter"/>
      <w:start w:val="1"/>
    </w:lvl>
  </w:abstractNum>
  <w:abstractNum w:abstractNumId="48">
    <w:nsid w:val="555C55B5"/>
    <w:multiLevelType w:val="hybridMultilevel"/>
    <w:lvl w:ilvl="0">
      <w:lvlJc w:val="left"/>
      <w:lvlText w:val="(%1)"/>
      <w:numFmt w:val="decimal"/>
      <w:start w:val="9"/>
    </w:lvl>
  </w:abstractNum>
  <w:abstractNum w:abstractNumId="49">
    <w:nsid w:val="3FA62ACA"/>
    <w:multiLevelType w:val="hybridMultilevel"/>
    <w:lvl w:ilvl="0">
      <w:lvlJc w:val="left"/>
      <w:lvlText w:val="(%1)"/>
      <w:numFmt w:val="decimal"/>
      <w:start w:val="12"/>
    </w:lvl>
  </w:abstractNum>
  <w:abstractNum w:abstractNumId="50">
    <w:nsid w:val="14FCE74E"/>
    <w:multiLevelType w:val="hybridMultilevel"/>
    <w:lvl w:ilvl="0">
      <w:lvlJc w:val="left"/>
      <w:lvlText w:val="(%1)"/>
      <w:numFmt w:val="decimal"/>
      <w:start w:val="1"/>
    </w:lvl>
    <w:lvl w:ilvl="1">
      <w:lvlJc w:val="left"/>
      <w:lvlText w:val="(%2)"/>
      <w:numFmt w:val="decimal"/>
      <w:start w:val="2"/>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5"/>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7"/>
    </w:lvl>
  </w:abstractNum>
  <w:abstractNum w:abstractNumId="62">
    <w:nsid w:val="97E1B4E"/>
    <w:multiLevelType w:val="hybridMultilevel"/>
    <w:lvl w:ilvl="0">
      <w:lvlJc w:val="left"/>
      <w:lvlText w:val="%1."/>
      <w:numFmt w:val="decimal"/>
      <w:start w:val="10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lvl w:ilvl="1">
      <w:lvlJc w:val="left"/>
      <w:lvlText w:val="●"/>
      <w:numFmt w:val="bullet"/>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lowerRoman"/>
      <w:start w:val="3"/>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1."/>
      <w:numFmt w:val="decimal"/>
      <w:start w:val="18"/>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1)"/>
      <w:numFmt w:val="decimal"/>
      <w:start w:val="1"/>
    </w:lvl>
    <w:lvl w:ilvl="1">
      <w:lvlJc w:val="left"/>
      <w:lvlText w:val="(%2)"/>
      <w:numFmt w:val="lowerRoman"/>
      <w:start w:val="1"/>
    </w:lvl>
  </w:abstractNum>
  <w:abstractNum w:abstractNumId="73">
    <w:nsid w:val="4BD8591A"/>
    <w:multiLevelType w:val="hybridMultilevel"/>
    <w:lvl w:ilvl="0">
      <w:lvlJc w:val="left"/>
      <w:lvlText w:val="(%1)"/>
      <w:numFmt w:val="decimal"/>
      <w:start w:val="4"/>
    </w:lvl>
    <w:lvl w:ilvl="1">
      <w:lvlJc w:val="left"/>
      <w:lvlText w:val="(%2)"/>
      <w:numFmt w:val="upperLetter"/>
      <w:start w:val="1"/>
    </w:lvl>
  </w:abstractNum>
  <w:abstractNum w:abstractNumId="74">
    <w:nsid w:val="78DF6A55"/>
    <w:multiLevelType w:val="hybridMultilevel"/>
    <w:lvl w:ilvl="0">
      <w:lvlJc w:val="left"/>
      <w:lvlText w:val="%1"/>
      <w:numFmt w:val="lowerRoman"/>
      <w:start w:val="1"/>
    </w:lvl>
    <w:lvl w:ilvl="1">
      <w:lvlJc w:val="left"/>
      <w:lvlText w:val="(%2)"/>
      <w:numFmt w:val="upperLetter"/>
      <w:start w:val="2"/>
    </w:lvl>
  </w:abstractNum>
  <w:abstractNum w:abstractNumId="75">
    <w:nsid w:val="39B7AAA2"/>
    <w:multiLevelType w:val="hybridMultilevel"/>
    <w:lvl w:ilvl="0">
      <w:lvlJc w:val="left"/>
      <w:lvlText w:val="(%1)"/>
      <w:numFmt w:val="lowerRoman"/>
      <w:start w:val="2"/>
    </w:lvl>
    <w:lvl w:ilvl="1">
      <w:lvlJc w:val="left"/>
      <w:lvlText w:val="%2"/>
      <w:numFmt w:val="upperLetter"/>
      <w:start w:val="1"/>
    </w:lvl>
  </w:abstractNum>
  <w:abstractNum w:abstractNumId="76">
    <w:nsid w:val="2B0D8DBE"/>
    <w:multiLevelType w:val="hybridMultilevel"/>
    <w:lvl w:ilvl="0">
      <w:lvlJc w:val="left"/>
      <w:lvlText w:val="(%1)"/>
      <w:numFmt w:val="lowerRoman"/>
      <w:start w:val="1"/>
    </w:lvl>
    <w:lvl w:ilvl="1">
      <w:lvlJc w:val="left"/>
      <w:lvlText w:val="(%2)"/>
      <w:numFmt w:val="decimal"/>
      <w:start w:val="6"/>
    </w:lvl>
  </w:abstractNum>
  <w:abstractNum w:abstractNumId="77">
    <w:nsid w:val="6C80EC70"/>
    <w:multiLevelType w:val="hybridMultilevel"/>
    <w:lvl w:ilvl="0">
      <w:lvlJc w:val="left"/>
      <w:lvlText w:val="(%1)"/>
      <w:numFmt w:val="lowerRoman"/>
      <w:start w:val="1"/>
    </w:lvl>
  </w:abstractNum>
  <w:abstractNum w:abstractNumId="78">
    <w:nsid w:val="379E21B5"/>
    <w:multiLevelType w:val="hybridMultilevel"/>
    <w:lvl w:ilvl="0">
      <w:lvlJc w:val="left"/>
      <w:lvlText w:val="(%1)"/>
      <w:numFmt w:val="lowerRoman"/>
      <w:start w:val="4"/>
    </w:lvl>
  </w:abstractNum>
  <w:abstractNum w:abstractNumId="79">
    <w:nsid w:val="69E37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80">
    <w:nsid w:val="2C27173B"/>
    <w:multiLevelType w:val="hybridMultilevel"/>
    <w:lvl w:ilvl="0">
      <w:lvlJc w:val="left"/>
      <w:lvlText w:val="(%1)"/>
      <w:numFmt w:val="lowerRoman"/>
      <w:start w:val="4"/>
    </w:lvl>
  </w:abstractNum>
  <w:abstractNum w:abstractNumId="81">
    <w:nsid w:val="4C9B0904"/>
    <w:multiLevelType w:val="hybridMultilevel"/>
    <w:lvl w:ilvl="0">
      <w:lvlJc w:val="left"/>
      <w:lvlText w:val="(%1)"/>
      <w:numFmt w:val="lowerLetter"/>
      <w:start w:val="2"/>
    </w:lvl>
  </w:abstractNum>
  <w:abstractNum w:abstractNumId="82">
    <w:nsid w:val="6AA7B75C"/>
    <w:multiLevelType w:val="hybridMultilevel"/>
    <w:lvl w:ilvl="0">
      <w:lvlJc w:val="left"/>
      <w:lvlText w:val="(%1)"/>
      <w:numFmt w:val="lowerLetter"/>
      <w:start w:val="1"/>
    </w:lvl>
    <w:lvl w:ilvl="1">
      <w:lvlJc w:val="left"/>
      <w:lvlText w:val="(%2)"/>
      <w:numFmt w:val="lowerLetter"/>
      <w:start w:val="9"/>
    </w:lvl>
  </w:abstractNum>
  <w:abstractNum w:abstractNumId="83">
    <w:nsid w:val="1DF029D3"/>
    <w:multiLevelType w:val="hybridMultilevel"/>
    <w:lvl w:ilvl="0">
      <w:lvlJc w:val="left"/>
      <w:lvlText w:val="%1"/>
      <w:numFmt w:val="lowerLetter"/>
      <w:start w:val="1"/>
    </w:lvl>
    <w:lvl w:ilvl="1">
      <w:lvlJc w:val="left"/>
      <w:lvlText w:val="(%2)"/>
      <w:numFmt w:val="lowerRoman"/>
      <w:start w:val="2"/>
    </w:lvl>
  </w:abstractNum>
  <w:abstractNum w:abstractNumId="84">
    <w:nsid w:val="5675FF36"/>
    <w:multiLevelType w:val="hybridMultilevel"/>
    <w:lvl w:ilvl="0">
      <w:lvlJc w:val="left"/>
      <w:lvlText w:val="(%1)"/>
      <w:numFmt w:val="lowerLetter"/>
      <w:start w:val="2"/>
    </w:lvl>
    <w:lvl w:ilvl="1">
      <w:lvlJc w:val="left"/>
      <w:lvlText w:val="%2"/>
      <w:numFmt w:val="lowerRoman"/>
      <w:start w:val="1"/>
    </w:lvl>
  </w:abstractNum>
  <w:abstractNum w:abstractNumId="85">
    <w:nsid w:val="3DD15094"/>
    <w:multiLevelType w:val="hybridMultilevel"/>
    <w:lvl w:ilvl="0">
      <w:lvlJc w:val="left"/>
      <w:lvlText w:val="(%1)"/>
      <w:numFmt w:val="lowerRoman"/>
      <w:start w:val="2"/>
    </w:lvl>
  </w:abstractNum>
  <w:abstractNum w:abstractNumId="86">
    <w:nsid w:val="3DB012B3"/>
    <w:multiLevelType w:val="hybridMultilevel"/>
    <w:lvl w:ilvl="0">
      <w:lvlJc w:val="left"/>
      <w:lvlText w:val="(%1)"/>
      <w:numFmt w:val="lowerLetter"/>
      <w:start w:val="1"/>
    </w:lvl>
  </w:abstractNum>
  <w:abstractNum w:abstractNumId="87">
    <w:nsid w:val="2708C9AF"/>
    <w:multiLevelType w:val="hybridMultilevel"/>
    <w:lvl w:ilvl="0">
      <w:lvlJc w:val="left"/>
      <w:lvlText w:val="(%1)"/>
      <w:numFmt w:val="lowerLetter"/>
      <w:start w:val="2"/>
    </w:lvl>
  </w:abstractNum>
  <w:abstractNum w:abstractNumId="88">
    <w:nsid w:val="5B25ACE2"/>
    <w:multiLevelType w:val="hybridMultilevel"/>
    <w:lvl w:ilvl="0">
      <w:lvlJc w:val="left"/>
      <w:lvlText w:val="(%1)"/>
      <w:numFmt w:val="lowerLetter"/>
      <w:start w:val="3"/>
    </w:lvl>
  </w:abstractNum>
  <w:abstractNum w:abstractNumId="89">
    <w:nsid w:val="175DFCF0"/>
    <w:multiLevelType w:val="hybridMultilevel"/>
    <w:lvl w:ilvl="0">
      <w:lvlJc w:val="left"/>
      <w:lvlText w:val="(%1)"/>
      <w:numFmt w:val="lowerLetter"/>
      <w:start w:val="4"/>
    </w:lvl>
  </w:abstractNum>
  <w:abstractNum w:abstractNumId="90">
    <w:nsid w:val="4F97E3E4"/>
    <w:multiLevelType w:val="hybridMultilevel"/>
    <w:lvl w:ilvl="0">
      <w:lvlJc w:val="left"/>
      <w:lvlText w:val="(%1)"/>
      <w:numFmt w:val="lowerLetter"/>
      <w:start w:val="5"/>
    </w:lvl>
  </w:abstractNum>
  <w:abstractNum w:abstractNumId="91">
    <w:nsid w:val="53B0A9E"/>
    <w:multiLevelType w:val="hybridMultilevel"/>
    <w:lvl w:ilvl="0">
      <w:lvlJc w:val="left"/>
      <w:lvlText w:val="(%1)"/>
      <w:numFmt w:val="lowerLetter"/>
      <w:start w:val="11"/>
    </w:lvl>
  </w:abstractNum>
  <w:abstractNum w:abstractNumId="92">
    <w:nsid w:val="34FD6B4F"/>
    <w:multiLevelType w:val="hybridMultilevel"/>
    <w:lvl w:ilvl="0">
      <w:lvlJc w:val="left"/>
      <w:lvlText w:val="(%1)"/>
      <w:numFmt w:val="lowerLetter"/>
      <w:start w:val="15"/>
    </w:lvl>
    <w:lvl w:ilvl="1">
      <w:lvlJc w:val="left"/>
      <w:lvlText w:val="(%2)"/>
      <w:numFmt w:val="lowerLetter"/>
      <w:start w:val="16"/>
    </w:lvl>
  </w:abstractNum>
  <w:abstractNum w:abstractNumId="93">
    <w:nsid w:val="5915FF32"/>
    <w:multiLevelType w:val="hybridMultilevel"/>
    <w:lvl w:ilvl="0">
      <w:lvlJc w:val="left"/>
      <w:lvlText w:val="(%1)"/>
      <w:numFmt w:val="lowerLetter"/>
      <w:start w:val="17"/>
    </w:lvl>
  </w:abstractNum>
  <w:abstractNum w:abstractNumId="94">
    <w:nsid w:val="56438D15"/>
    <w:multiLevelType w:val="hybridMultilevel"/>
    <w:lvl w:ilvl="0">
      <w:lvlJc w:val="left"/>
      <w:lvlText w:val="(%1)"/>
      <w:numFmt w:val="lowerLetter"/>
      <w:start w:val="22"/>
    </w:lvl>
  </w:abstractNum>
  <w:abstractNum w:abstractNumId="95">
    <w:nsid w:val="519E3149"/>
    <w:multiLevelType w:val="hybridMultilevel"/>
    <w:lvl w:ilvl="0">
      <w:lvlJc w:val="left"/>
      <w:lvlText w:val="(%1)"/>
      <w:numFmt w:val="lowerLetter"/>
      <w:start w:val="27"/>
    </w:lvl>
  </w:abstractNum>
  <w:abstractNum w:abstractNumId="96">
    <w:nsid w:val="2C6E4AFD"/>
    <w:multiLevelType w:val="hybridMultilevel"/>
    <w:lvl w:ilvl="0">
      <w:lvlJc w:val="left"/>
      <w:lvlText w:val="(%1)"/>
      <w:numFmt w:val="lowerLetter"/>
      <w:start w:val="30"/>
    </w:lvl>
    <w:lvl w:ilvl="1">
      <w:lvlJc w:val="left"/>
      <w:lvlText w:val="(%2)"/>
      <w:numFmt w:val="lowerLetter"/>
      <w:start w:val="33"/>
    </w:lvl>
  </w:abstractNum>
  <w:abstractNum w:abstractNumId="97">
    <w:nsid w:val="17A1B582"/>
    <w:multiLevelType w:val="hybridMultilevel"/>
    <w:lvl w:ilvl="0">
      <w:lvlJc w:val="left"/>
      <w:lvlText w:val="(%1)"/>
      <w:numFmt w:val="lowerLetter"/>
      <w:start w:val="34"/>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1"/>
      <w:numFmt w:val="lowerLetter"/>
      <w:start w:val="1"/>
    </w:lvl>
    <w:lvl w:ilvl="1">
      <w:lvlJc w:val="left"/>
      <w:lvlText w:val="(%2)"/>
      <w:numFmt w:val="lowerLetter"/>
      <w:start w:val="35"/>
    </w:lvl>
  </w:abstractNum>
  <w:abstractNum w:abstractNumId="100">
    <w:nsid w:val="5D888A08"/>
    <w:multiLevelType w:val="hybridMultilevel"/>
    <w:lvl w:ilvl="0">
      <w:lvlJc w:val="left"/>
      <w:lvlText w:val="(%1)"/>
      <w:numFmt w:val="lowerLetter"/>
      <w:start w:val="36"/>
    </w:lvl>
    <w:lvl w:ilvl="1">
      <w:lvlJc w:val="left"/>
      <w:lvlText w:val="%2"/>
      <w:numFmt w:val="lowerLetter"/>
      <w:start w:val="1"/>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lowerLetter"/>
      <w:start w:val="1"/>
    </w:lvl>
  </w:abstractNum>
  <w:abstractNum w:abstractNumId="103">
    <w:nsid w:val="19E21BB2"/>
    <w:multiLevelType w:val="hybridMultilevel"/>
    <w:lvl w:ilvl="0">
      <w:lvlJc w:val="left"/>
      <w:lvlText w:val="(%1)"/>
      <w:numFmt w:val="decimal"/>
      <w:start w:val="212"/>
    </w:lvl>
  </w:abstractNum>
  <w:abstractNum w:abstractNumId="104">
    <w:nsid w:val="75E0858A"/>
    <w:multiLevelType w:val="hybridMultilevel"/>
    <w:lvl w:ilvl="0">
      <w:lvlJc w:val="left"/>
      <w:lvlText w:val="(%1)"/>
      <w:numFmt w:val="decimal"/>
      <w:start w:val="212"/>
    </w:lvl>
  </w:abstractNum>
  <w:abstractNum w:abstractNumId="105">
    <w:nsid w:val="57A61A29"/>
    <w:multiLevelType w:val="hybridMultilevel"/>
    <w:lvl w:ilvl="0">
      <w:lvlJc w:val="left"/>
      <w:lvlText w:val="(%1)"/>
      <w:numFmt w:val="decimal"/>
      <w:start w:val="30"/>
    </w:lvl>
  </w:abstractNum>
  <w:abstractNum w:abstractNumId="106">
    <w:nsid w:val="5399C654"/>
    <w:multiLevelType w:val="hybridMultilevel"/>
    <w:lvl w:ilvl="0">
      <w:lvlJc w:val="left"/>
      <w:lvlText w:val="(%1)"/>
      <w:numFmt w:val="lowerRoman"/>
      <w:start w:val="2"/>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3"/>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6"/>
    </w:lvl>
  </w:abstractNum>
  <w:abstractNum w:abstractNumId="111">
    <w:nsid w:val="704E1DD5"/>
    <w:multiLevelType w:val="hybridMultilevel"/>
    <w:lvl w:ilvl="0">
      <w:lvlJc w:val="left"/>
      <w:lvlText w:val="(%1)"/>
      <w:numFmt w:val="lowerLetter"/>
      <w:start w:val="7"/>
    </w:lvl>
  </w:abstractNum>
  <w:abstractNum w:abstractNumId="112">
    <w:nsid w:val="57D2F10E"/>
    <w:multiLevelType w:val="hybridMultilevel"/>
    <w:lvl w:ilvl="0">
      <w:lvlJc w:val="left"/>
      <w:lvlText w:val="(%1)"/>
      <w:numFmt w:val="lowerLetter"/>
      <w:start w:val="11"/>
    </w:lvl>
  </w:abstractNum>
  <w:abstractNum w:abstractNumId="113">
    <w:nsid w:val="BFFAE18"/>
    <w:multiLevelType w:val="hybridMultilevel"/>
    <w:lvl w:ilvl="0">
      <w:lvlJc w:val="left"/>
      <w:lvlText w:val="%1"/>
      <w:numFmt w:val="lowerLetter"/>
      <w:start w:val="1"/>
    </w:lvl>
    <w:lvl w:ilvl="1">
      <w:lvlJc w:val="left"/>
      <w:lvlText w:val="(%2)"/>
      <w:numFmt w:val="lowerLetter"/>
      <w:start w:val="15"/>
    </w:lvl>
  </w:abstractNum>
  <w:abstractNum w:abstractNumId="114">
    <w:nsid w:val="E3E47A8"/>
    <w:multiLevelType w:val="hybridMultilevel"/>
    <w:lvl w:ilvl="0">
      <w:lvlJc w:val="left"/>
      <w:lvlText w:val="(%1)"/>
      <w:numFmt w:val="lowerLetter"/>
      <w:start w:val="4"/>
    </w:lvl>
    <w:lvl w:ilvl="1">
      <w:lvlJc w:val="left"/>
      <w:lvlText w:val="(%2)"/>
      <w:numFmt w:val="lowerLetter"/>
      <w:start w:val="18"/>
    </w:lvl>
  </w:abstractNum>
  <w:abstractNum w:abstractNumId="115">
    <w:nsid w:val="2E48F044"/>
    <w:multiLevelType w:val="hybridMultilevel"/>
    <w:lvl w:ilvl="0">
      <w:lvlJc w:val="left"/>
      <w:lvlText w:val="(%1)"/>
      <w:numFmt w:val="lowerLetter"/>
      <w:start w:val="20"/>
    </w:lvl>
  </w:abstractNum>
  <w:abstractNum w:abstractNumId="116">
    <w:nsid w:val="49D0FEAC"/>
    <w:multiLevelType w:val="hybridMultilevel"/>
    <w:lvl w:ilvl="0">
      <w:lvlJc w:val="left"/>
      <w:lvlText w:val="(%1)"/>
      <w:numFmt w:val="lowerLetter"/>
      <w:start w:val="24"/>
    </w:lvl>
  </w:abstractNum>
  <w:abstractNum w:abstractNumId="117">
    <w:nsid w:val="4BEE5A5B"/>
    <w:multiLevelType w:val="hybridMultilevel"/>
    <w:lvl w:ilvl="0">
      <w:lvlJc w:val="left"/>
      <w:lvlText w:val="(%1)"/>
      <w:numFmt w:val="lowerLetter"/>
      <w:start w:val="27"/>
    </w:lvl>
  </w:abstractNum>
  <w:abstractNum w:abstractNumId="118">
    <w:nsid w:val="5551B9F3"/>
    <w:multiLevelType w:val="hybridMultilevel"/>
    <w:lvl w:ilvl="0">
      <w:lvlJc w:val="left"/>
      <w:lvlText w:val="(%1)"/>
      <w:numFmt w:val="lowerLetter"/>
      <w:start w:val="28"/>
    </w:lvl>
  </w:abstractNum>
  <w:abstractNum w:abstractNumId="119">
    <w:nsid w:val="24F6AB8E"/>
    <w:multiLevelType w:val="hybridMultilevel"/>
    <w:lvl w:ilvl="0">
      <w:lvlJc w:val="left"/>
      <w:lvlText w:val="(%1)"/>
      <w:numFmt w:val="lowerLetter"/>
      <w:start w:val="32"/>
    </w:lvl>
  </w:abstractNum>
  <w:abstractNum w:abstractNumId="120">
    <w:nsid w:val="634C574C"/>
    <w:multiLevelType w:val="hybridMultilevel"/>
    <w:lvl w:ilvl="0">
      <w:lvlJc w:val="left"/>
      <w:lvlText w:val="%1"/>
      <w:numFmt w:val="lowerLetter"/>
      <w:start w:val="1"/>
    </w:lvl>
    <w:lvl w:ilvl="1">
      <w:lvlJc w:val="left"/>
      <w:lvlText w:val="(%2)"/>
      <w:numFmt w:val="lowerLetter"/>
      <w:start w:val="38"/>
    </w:lvl>
  </w:abstractNum>
  <w:abstractNum w:abstractNumId="121">
    <w:nsid w:val="24E99DD7"/>
    <w:multiLevelType w:val="hybridMultilevel"/>
    <w:lvl w:ilvl="0">
      <w:lvlJc w:val="left"/>
      <w:lvlText w:val="(%1)"/>
      <w:numFmt w:val="lowerLetter"/>
      <w:start w:val="9"/>
    </w:lvl>
    <w:lvl w:ilvl="1">
      <w:lvlJc w:val="left"/>
      <w:lvlText w:val="(%2)"/>
      <w:numFmt w:val="lowerLetter"/>
      <w:start w:val="42"/>
    </w:lvl>
  </w:abstractNum>
  <w:abstractNum w:abstractNumId="122">
    <w:nsid w:val="2A31B62D"/>
    <w:multiLevelType w:val="hybridMultilevel"/>
    <w:lvl w:ilvl="0">
      <w:lvlJc w:val="left"/>
      <w:lvlText w:val="%1"/>
      <w:numFmt w:val="lowerLetter"/>
      <w:start w:val="1"/>
    </w:lvl>
    <w:lvl w:ilvl="1">
      <w:lvlJc w:val="left"/>
      <w:lvlText w:val="(%2)"/>
      <w:numFmt w:val="lowerLetter"/>
      <w:start w:val="46"/>
    </w:lvl>
  </w:abstractNum>
  <w:abstractNum w:abstractNumId="123">
    <w:nsid w:val="1849C29B"/>
    <w:multiLevelType w:val="hybridMultilevel"/>
    <w:lvl w:ilvl="0">
      <w:lvlJc w:val="left"/>
      <w:lvlText w:val="(%1)"/>
      <w:numFmt w:val="lowerLetter"/>
      <w:start w:val="52"/>
    </w:lvl>
    <w:lvl w:ilvl="1">
      <w:lvlJc w:val="left"/>
      <w:lvlText w:val="%2"/>
      <w:numFmt w:val="lowerLetter"/>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1)"/>
      <w:numFmt w:val="lowerLetter"/>
      <w:start w:val="53"/>
    </w:lvl>
  </w:abstractNum>
  <w:abstractNum w:abstractNumId="126">
    <w:nsid w:val="69E7F3E5"/>
    <w:multiLevelType w:val="hybridMultilevel"/>
    <w:lvl w:ilvl="0">
      <w:lvlJc w:val="left"/>
      <w:lvlText w:val="%1"/>
      <w:numFmt w:val="lowerLetter"/>
      <w:start w:val="1"/>
    </w:lvl>
    <w:lvl w:ilvl="1">
      <w:lvlJc w:val="left"/>
      <w:lvlText w:val="(%2)"/>
      <w:numFmt w:val="lowerLetter"/>
      <w:start w:val="54"/>
    </w:lvl>
  </w:abstractNum>
  <w:abstractNum w:abstractNumId="127">
    <w:nsid w:val="2A6DE806"/>
    <w:multiLevelType w:val="hybridMultilevel"/>
    <w:lvl w:ilvl="0">
      <w:lvlJc w:val="left"/>
      <w:lvlText w:val="(%1)"/>
      <w:numFmt w:val="lowerLetter"/>
      <w:start w:val="61"/>
    </w:lvl>
    <w:lvl w:ilvl="1">
      <w:lvlJc w:val="left"/>
      <w:lvlText w:val="%2"/>
      <w:numFmt w:val="lowerLetter"/>
      <w:start w:val="1"/>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lowerLetter"/>
      <w:start w:val="4"/>
    </w:lvl>
  </w:abstractNum>
  <w:abstractNum w:abstractNumId="130">
    <w:nsid w:val="7AB49DAF"/>
    <w:multiLevelType w:val="hybridMultilevel"/>
    <w:lvl w:ilvl="0">
      <w:lvlJc w:val="left"/>
      <w:lvlText w:val="(%1)"/>
      <w:numFmt w:val="lowerLetter"/>
      <w:start w:val="9"/>
    </w:lvl>
  </w:abstractNum>
  <w:abstractNum w:abstractNumId="131">
    <w:nsid w:val="759F82CD"/>
    <w:multiLevelType w:val="hybridMultilevel"/>
    <w:lvl w:ilvl="0">
      <w:lvlJc w:val="left"/>
      <w:lvlText w:val="%1"/>
      <w:numFmt w:val="lowerLetter"/>
      <w:start w:val="1"/>
    </w:lvl>
    <w:lvl w:ilvl="1">
      <w:lvlJc w:val="left"/>
      <w:lvlText w:val="(%2)"/>
      <w:numFmt w:val="lowerLetter"/>
      <w:start w:val="14"/>
    </w:lvl>
  </w:abstractNum>
  <w:abstractNum w:abstractNumId="132">
    <w:nsid w:val="61E74EA3"/>
    <w:multiLevelType w:val="hybridMultilevel"/>
    <w:lvl w:ilvl="0">
      <w:lvlJc w:val="left"/>
      <w:lvlText w:val="(%1)"/>
      <w:numFmt w:val="lowerLetter"/>
      <w:start w:val="20"/>
    </w:lvl>
    <w:lvl w:ilvl="1">
      <w:lvlJc w:val="left"/>
      <w:lvlText w:val="(%2)"/>
      <w:numFmt w:val="lowerLetter"/>
      <w:start w:val="21"/>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1"/>
    </w:lvl>
  </w:abstractNum>
  <w:abstractNum w:abstractNumId="135">
    <w:nsid w:val="57C7D42D"/>
    <w:multiLevelType w:val="hybridMultilevel"/>
    <w:lvl w:ilvl="0">
      <w:lvlJc w:val="left"/>
      <w:lvlText w:val="(%1)"/>
      <w:numFmt w:val="lowerLetter"/>
      <w:start w:val="2"/>
    </w:lvl>
  </w:abstractNum>
  <w:abstractNum w:abstractNumId="136">
    <w:nsid w:val="312167AD"/>
    <w:multiLevelType w:val="hybridMultilevel"/>
    <w:lvl w:ilvl="0">
      <w:lvlJc w:val="left"/>
      <w:lvlText w:val="(%1)"/>
      <w:numFmt w:val="lowerLetter"/>
      <w:start w:val="7"/>
    </w:lvl>
    <w:lvl w:ilvl="1">
      <w:lvlJc w:val="left"/>
      <w:lvlText w:val="(%2)"/>
      <w:numFmt w:val="lowerRoman"/>
      <w:start w:val="1"/>
    </w:lvl>
  </w:abstractNum>
  <w:abstractNum w:abstractNumId="137">
    <w:nsid w:val="631B64D4"/>
    <w:multiLevelType w:val="hybridMultilevel"/>
    <w:lvl w:ilvl="0">
      <w:lvlJc w:val="left"/>
      <w:lvlText w:val="%1"/>
      <w:numFmt w:val="lowerLetter"/>
      <w:start w:val="1"/>
    </w:lvl>
    <w:lvl w:ilvl="1">
      <w:lvlJc w:val="left"/>
      <w:lvlText w:val="(%2)"/>
      <w:numFmt w:val="lowerRoman"/>
      <w:start w:val="4"/>
    </w:lvl>
  </w:abstractNum>
  <w:abstractNum w:abstractNumId="138">
    <w:nsid w:val="78B5E776"/>
    <w:multiLevelType w:val="hybridMultilevel"/>
    <w:lvl w:ilvl="0">
      <w:lvlJc w:val="left"/>
      <w:lvlText w:val="(%1)"/>
      <w:numFmt w:val="lowerLetter"/>
      <w:start w:val="9"/>
    </w:lvl>
    <w:lvl w:ilvl="1">
      <w:lvlJc w:val="left"/>
      <w:lvlText w:val="%2"/>
      <w:numFmt w:val="lowerRoman"/>
      <w:start w:val="1"/>
    </w:lvl>
  </w:abstractNum>
  <w:abstractNum w:abstractNumId="139">
    <w:nsid w:val="75486E47"/>
    <w:multiLevelType w:val="hybridMultilevel"/>
    <w:lvl w:ilvl="0">
      <w:lvlJc w:val="left"/>
      <w:lvlText w:val="(%1)"/>
      <w:numFmt w:val="lowerLetter"/>
      <w:start w:val="16"/>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2"/>
    </w:lvl>
  </w:abstractNum>
  <w:abstractNum w:abstractNumId="142">
    <w:nsid w:val="65968C1C"/>
    <w:multiLevelType w:val="hybridMultilevel"/>
    <w:lvl w:ilvl="0">
      <w:lvlJc w:val="left"/>
      <w:lvlText w:val="%1"/>
      <w:numFmt w:val="lowerLetter"/>
      <w:start w:val="1"/>
    </w:lvl>
    <w:lvl w:ilvl="1">
      <w:lvlJc w:val="left"/>
      <w:lvlText w:val="(%2)"/>
      <w:numFmt w:val="lowerLetter"/>
      <w:start w:val="3"/>
    </w:lvl>
  </w:abstractNum>
  <w:abstractNum w:abstractNumId="143">
    <w:nsid w:val="46263DEC"/>
    <w:multiLevelType w:val="hybridMultilevel"/>
    <w:lvl w:ilvl="0">
      <w:lvlJc w:val="left"/>
      <w:lvlText w:val="(%1)"/>
      <w:numFmt w:val="lowerLetter"/>
      <w:start w:val="61"/>
    </w:lvl>
    <w:lvl w:ilvl="1">
      <w:lvlJc w:val="left"/>
      <w:lvlText w:val="%2"/>
      <w:numFmt w:val="lowerLetter"/>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decimal"/>
      <w:start w:val="4"/>
    </w:lvl>
  </w:abstractNum>
  <w:abstractNum w:abstractNumId="146">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7">
    <w:nsid w:val="6FDE8AF6"/>
    <w:multiLevelType w:val="hybridMultilevel"/>
    <w:lvl w:ilvl="0">
      <w:lvlJc w:val="left"/>
      <w:lvlText w:val="%1"/>
      <w:numFmt w:val="decimal"/>
      <w:start w:val="1"/>
    </w:lvl>
    <w:lvl w:ilvl="1">
      <w:lvlJc w:val="left"/>
      <w:lvlText w:val="(%2)"/>
      <w:numFmt w:val="lowerLetter"/>
      <w:start w:val="6"/>
    </w:lvl>
  </w:abstractNum>
  <w:abstractNum w:abstractNumId="148">
    <w:nsid w:val="3FC32E20"/>
    <w:multiLevelType w:val="hybridMultilevel"/>
    <w:lvl w:ilvl="0">
      <w:lvlJc w:val="left"/>
      <w:lvlText w:val="%1."/>
      <w:numFmt w:val="decimal"/>
      <w:start w:val="3"/>
    </w:lvl>
    <w:lvl w:ilvl="1">
      <w:lvlJc w:val="left"/>
      <w:lvlText w:val="(%2)"/>
      <w:numFmt w:val="lowerLetter"/>
      <w:start w:val="1"/>
    </w:lvl>
  </w:abstractNum>
  <w:abstractNum w:abstractNumId="149">
    <w:nsid w:val="49C0E823"/>
    <w:multiLevelType w:val="hybridMultilevel"/>
    <w:lvl w:ilvl="0">
      <w:lvlJc w:val="left"/>
      <w:lvlText w:val="%1."/>
      <w:numFmt w:val="decimal"/>
      <w:start w:val="4"/>
    </w:lvl>
  </w:abstractNum>
  <w:abstractNum w:abstractNumId="150">
    <w:nsid w:val="14D53685"/>
    <w:multiLevelType w:val="hybridMultilevel"/>
    <w:lvl w:ilvl="0">
      <w:lvlJc w:val="left"/>
      <w:lvlText w:val="%1"/>
      <w:numFmt w:val="decimal"/>
      <w:start w:val="30"/>
    </w:lvl>
  </w:abstractNum>
  <w:abstractNum w:abstractNumId="151">
    <w:nsid w:val="230F856C"/>
    <w:multiLevelType w:val="hybridMultilevel"/>
    <w:lvl w:ilvl="0">
      <w:lvlJc w:val="left"/>
      <w:lvlText w:val="%1."/>
      <w:numFmt w:val="decimal"/>
      <w:start w:val="5"/>
    </w:lvl>
  </w:abstractNum>
  <w:abstractNum w:abstractNumId="152">
    <w:nsid w:val="6EAA85FB"/>
    <w:multiLevelType w:val="hybridMultilevel"/>
    <w:lvl w:ilvl="0">
      <w:lvlJc w:val="left"/>
      <w:lvlText w:val="%1"/>
      <w:numFmt w:val="decimal"/>
      <w:start w:val="30"/>
    </w:lvl>
  </w:abstractNum>
  <w:abstractNum w:abstractNumId="153">
    <w:nsid w:val="3F06ECB2"/>
    <w:multiLevelType w:val="hybridMultilevel"/>
    <w:lvl w:ilvl="0">
      <w:lvlJc w:val="left"/>
      <w:lvlText w:val="%1."/>
      <w:numFmt w:val="decimal"/>
      <w:start w:val="6"/>
    </w:lvl>
  </w:abstractNum>
  <w:abstractNum w:abstractNumId="154">
    <w:nsid w:val="3B594807"/>
    <w:multiLevelType w:val="hybridMultilevel"/>
    <w:lvl w:ilvl="0">
      <w:lvlJc w:val="left"/>
      <w:lvlText w:val="%1."/>
      <w:numFmt w:val="decimal"/>
      <w:start w:val="7"/>
    </w:lvl>
  </w:abstractNum>
  <w:abstractNum w:abstractNumId="155">
    <w:nsid w:val="6CAA2304"/>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2020-01-28T01:40:10Z</dcterms:created>
  <dcterms:modified xsi:type="dcterms:W3CDTF">2020-01-28T01:40:10Z</dcterms:modified>
</cp:coreProperties>
</file>