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(Title of Class of Securities)</w:t>
      </w:r>
    </w:p>
    <w:p>
      <w:pPr>
        <w:spacing w:after="0" w:line="27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(CUSIP Number)</w:t>
      </w:r>
    </w:p>
    <w:p>
      <w:pPr>
        <w:spacing w:after="0" w:line="27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Louis S. Citron, Esq.</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1954 Greenspring Drive, Suite 600, Timonium, MD 21093</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Authorized to Receive Notices and Communications)</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8" w:lineRule="exact"/>
        <w:rPr>
          <w:sz w:val="24"/>
          <w:szCs w:val="24"/>
          <w:color w:val="auto"/>
        </w:rPr>
      </w:pPr>
    </w:p>
    <w:p>
      <w:pPr>
        <w:ind w:left="2"/>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6" w:lineRule="exact"/>
        <w:rPr>
          <w:sz w:val="24"/>
          <w:szCs w:val="24"/>
          <w:color w:val="auto"/>
        </w:rPr>
      </w:pPr>
    </w:p>
    <w:p>
      <w:pPr>
        <w:ind w:left="2" w:hanging="2"/>
        <w:spacing w:after="0" w:line="202" w:lineRule="auto"/>
        <w:tabs>
          <w:tab w:leader="none" w:pos="128"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jc w:val="both"/>
        <w:ind w:left="2"/>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125730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142875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322"/>
          </w:cols>
          <w:pgMar w:left="778" w:top="693" w:right="7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2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1095" w:gutter="0" w:footer="0" w:header="0"/>
        </w:sect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Equity Opportunities 17,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2"/>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2"/>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2"/>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1095"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095"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3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1" w:right="339" w:bottom="609" w:gutter="0" w:footer="0" w:header="0"/>
        </w:sect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Enterprise Associates 17,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3"/>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3"/>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3"/>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82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1" w:right="339" w:bottom="609" w:gutter="0" w:footer="0" w:header="0"/>
          <w:type w:val="continuous"/>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4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Partners 17,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4"/>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4"/>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4"/>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5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17 GP,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5"/>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5"/>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5"/>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6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Baskett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6"/>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6"/>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6"/>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7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8"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 Behbahani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7"/>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7"/>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7"/>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744" w:gutter="0" w:footer="0" w:header="0"/>
          <w:type w:val="continuous"/>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8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8"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Carmen Chang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8"/>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8"/>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8"/>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744" w:gutter="0" w:footer="0" w:header="0"/>
          <w:type w:val="continuous"/>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9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8"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A. Florence, Jr.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9"/>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9"/>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9"/>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744"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10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8"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Liza Landsman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0"/>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0"/>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0"/>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744" w:gutter="0" w:footer="0" w:header="0"/>
          <w:type w:val="continuous"/>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w w:val="98"/>
              </w:rPr>
              <w:t>Page 11 of 27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Mohamad H. Makhzoumi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1"/>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1"/>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1"/>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12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Makower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2"/>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2"/>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2"/>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13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T. Mathers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3"/>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3"/>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3"/>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14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Sandell</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4"/>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4"/>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4"/>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15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W. Sonsini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5"/>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5"/>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5"/>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16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Walker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6"/>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6"/>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6"/>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17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Rick Yang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 citizen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7"/>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16,302,596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7"/>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7"/>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16,302,596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16,302,596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7" w:name="page18"/>
    <w:bookmarkEnd w:id="17"/>
    <w:p>
      <w:pPr>
        <w:ind w:left="80"/>
        <w:spacing w:after="0"/>
        <w:tabs>
          <w:tab w:leader="none" w:pos="5460" w:val="left"/>
          <w:tab w:leader="none" w:pos="9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18 of 27 Pages</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Security and Issuer</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Amendment No. 1 (“Amendment No. 1”) to Schedule 13D amends and supplements the statement on 13D originally filed on January 4, 2021 relating to the common shares, $0.001 par value (the “Common Stock”), of VistaGen Therapeutics, Inc. (the “Issuer”), having its principal executive office at 343 Allerton Ave., South San Francisco, California 94090.</w:t>
      </w: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Identity and Background</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Equity Opportunities 17, LLC (“GEO”);</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Enterprise Associates 17, L.P. (“NEA 17”), which is the sole member of GEO; NEA Partners 17, L.P. (“NEA Partners 17”), which is the sole general partner of NEA 17; and NEA 17 GP, LLC (“NEA 17 LLC” and, together with NEA Partners 17, the “Control Entities”), which is the sole general partner of NEA Partners 17; and</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Forest Baskett (“Baskett”), Ali Behbahani (“Behbahani”), Carmen Chang (“Chang”), Anthony A. Florence, Jr. (“Florence”), Liza Landsman (“Landsman”), Mohamad H. Makhzoumi (“Makhzoumi”), Joshua Makower (“Makower”), Edward T. Mathers (“Mathers”), Scott D. Sandell (“Sandell”), Peter W. Sonsini (“Sonsini”), Paul Walker (“Walker”) and Rick Yang (“Yang”) (together, the “Managers”). The Managers are the managers of NEA 17 LLC.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persons named in this Item 2 are referred to individually herein as a “Reporting Person” and collectively as the “Reporting Persons.”</w:t>
      </w:r>
    </w:p>
    <w:p>
      <w:pPr>
        <w:spacing w:after="0" w:line="23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The address of the principal business office of GEO, NEA 17, each Control Entity and Sandell is New Enterprise Associates, 1954 Greenspring Drive, Suite 600, Timonium, MD 21093. The address of the principal business office of Behbahani and Mathers is New Enterprise Associates, 5425 Wisconsin Avenue, Suite 800, Chevy Chase, MD 20815. The address of the principal business office of Baskett, Chang, Makhzoumi, Makower, Sonsini, Walker and Yang is New Enterprise Associates, 2855 Sand Hill Road, Menlo Park, California 94025. The address of the principal business office of Florence and Landsman is New Enterprise Associates, 104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10001.</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principal business of GEO and NEA 17 is to invest in and assist growth-oriented businesses located principally in the United States. The principal business of NEA Partners 17 is to act as the sole general partner of NEA 17. The principal business of NEA 17 LLC is to act as the sole general partner of NEA Partners 17. The principal business of each of the Managers is to manage the Control Entities, GEO and a number of affiliated partnerships with similar businesses.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GEO and NEA 17 LLC is a limited liability company organized under the laws of the State of Delaware. NEA 17 and NEA Partners 17 are limited partnerships organized under the laws of the State of Delaware. Each of the Managers is a United States citizen.</w:t>
      </w:r>
    </w:p>
    <w:p>
      <w:pPr>
        <w:sectPr>
          <w:pgSz w:w="11900" w:h="16838" w:orient="portrait"/>
          <w:cols w:equalWidth="0" w:num="1">
            <w:col w:w="11240"/>
          </w:cols>
          <w:pgMar w:left="320" w:top="648" w:right="33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19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Source and Amount of Funds or Other Consideration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22, 2020, the Issuer completed the closing of an underwritten offering (the “Offering”) of 63,000,000 shares of Common Stock and 2,000,000 shares of a newly issued series of convertible preferred stock (the “Series D Preferred Stock”). At the closing of the Offering, GEO purchased an aggregate of 9,360,000 shares of Common Stock at the Offering price of $0.92 per share and 301,852 shares of the Series D Preferred Stock at the Offering price of $21.16 per share. Each share of Series D Preferred Stock was initially convertible into 23 shares of Common Stock at any time at the option of GEO; provided, that the Series D Preferred Stock could not be convertible prior to the date on which the Issuer received approval of its stockholders of an amendment to the Issuer’s Restated and Amended Articles of Incorporation to increase the number of authorized shares of Common Stock to a total of 325,000,000 shares (the “Charter Amendment”) and, provided, further that the Series D Preferred Stock carries a limitation on exercise preventing GEO from beneficially owning in excess of 9.99% of the number of shares of the Issuer’s Common Stock outstanding. On March 5, 2021, the Issuer’s stockholders approved the Charter Amendment. Following the approval of the Charter Amendment, GEO converted its Series D Preferred Stock to Common Stock and now owns a total of 16,302,596 shares of the Issuer’s Common Stock (the “GEO Shares”).</w:t>
      </w:r>
    </w:p>
    <w:p>
      <w:pPr>
        <w:spacing w:after="0" w:line="16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working capital of GEO was the source of the funds for the purchase of the GEO Shares. No part of the purchase price of the GEO Shares was represented by funds or other consideration borrowed or otherwise obtained for the purpose of acquiring, holding, trading or voting the GEO Shares.</w:t>
      </w:r>
    </w:p>
    <w:p>
      <w:pPr>
        <w:spacing w:after="0" w:line="3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Purpose of Transaction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GEO acquired the GEO Shares for investment purposes. Depending on market conditions, its continuing evaluation of the business and prospects of the Issuer and other factors, GEO and other Reporting Persons may dispose of or acquire additional shares of the Issuer. Except as set forth above, none of the Reporting Persons has any present plans which relate to or would result in:</w:t>
      </w:r>
    </w:p>
    <w:p>
      <w:pPr>
        <w:spacing w:after="0" w:line="18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ectPr>
          <w:pgSz w:w="11900" w:h="16838" w:orient="portrait"/>
          <w:cols w:equalWidth="0" w:num="1">
            <w:col w:w="11240"/>
          </w:cols>
          <w:pgMar w:left="320" w:top="12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20 of 27 Pages</w:t>
            </w:r>
          </w:p>
        </w:tc>
      </w:tr>
      <w:tr>
        <w:trPr>
          <w:trHeight w:val="68"/>
        </w:trPr>
        <w:tc>
          <w:tcPr>
            <w:tcW w:w="720" w:type="dxa"/>
            <w:vAlign w:val="bottom"/>
            <w:tcBorders>
              <w:left w:val="single" w:sz="8" w:color="auto"/>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1141"/>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Item 5.  Interest in Securities of the Issuer.</w:t>
            </w:r>
          </w:p>
        </w:tc>
        <w:tc>
          <w:tcPr>
            <w:tcW w:w="38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30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 is the record owner of the GEO Shares. As the sole member of GEO, NEA 17 may be deemed to own beneficially the GEO Shares. As the general partner of NEA 17, NEA Partners 17 may be deemed to own beneficially the GEO Shares. As the sole general partner of NEA Partners 17, NEA 17 LLC may be deemed to own beneficially the GEO Shares. As members of NEA 17 LLC, each of the Managers may be deemed to own beneficially the GEO Shares.</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Each Reporting Person disclaims beneficial ownership of the GEO Shares other than those shares which such person owns of record.</w:t>
      </w:r>
    </w:p>
    <w:p>
      <w:pPr>
        <w:spacing w:after="0" w:line="248"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percentage of outstanding Common Stock of the Issuer which may be deemed to be beneficially owned by each Reporting Person is set forth on Line 13 of such Reporting Person’s cover sheet. Such percentage was calculated based on 190,202,496 shares of Common Stock outstanding as of April 26, 2021 as reported on the Issuer’s Form 8-K, filed with the Securities and Exchange Commission on April 26, 2021.</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set forth in Item 3 above, none of the Reporting Persons has effected any transaction in the Common Stock during the last 60 days.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Common Stock beneficially owned by any of the Reporting Persons.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Contracts, Arrangements, Undertakings or Relationships with Respect to Securities of the Issuer</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Material to be Filed as Exhibits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2 – Power of Attorney regarding filings under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3 – Power of Attorney on behalf of Liza Landsman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0" w:name="page21"/>
    <w:bookmarkEnd w:id="20"/>
    <w:p>
      <w:pPr>
        <w:ind w:left="80"/>
        <w:spacing w:after="0"/>
        <w:tabs>
          <w:tab w:leader="none" w:pos="5460" w:val="left"/>
          <w:tab w:leader="none" w:pos="9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21 of 27 Pages</w:t>
      </w:r>
    </w:p>
    <w:p>
      <w:pPr>
        <w:sectPr>
          <w:pgSz w:w="11900" w:h="16838" w:orient="portrait"/>
          <w:cols w:equalWidth="0" w:num="1">
            <w:col w:w="11240"/>
          </w:cols>
          <w:pgMar w:left="320" w:top="648"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EXECUTED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2021.</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NEW ENTERPRISE ASSOCIATES 17, L.P.</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Sole Member</w:t>
      </w:r>
    </w:p>
    <w:p>
      <w:pPr>
        <w:spacing w:after="0" w:line="319"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NEA PARTNERS 17, L.P.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40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9160" w:type="dxa"/>
            <w:vAlign w:val="bottom"/>
            <w:gridSpan w:val="7"/>
          </w:tcPr>
          <w:p>
            <w:pPr>
              <w:ind w:left="80"/>
              <w:spacing w:after="0"/>
              <w:rPr>
                <w:sz w:val="20"/>
                <w:szCs w:val="20"/>
                <w:color w:val="auto"/>
              </w:rPr>
            </w:pPr>
            <w:r>
              <w:rPr>
                <w:rFonts w:ascii="Arial" w:cs="Arial" w:eastAsia="Arial" w:hAnsi="Arial"/>
                <w:sz w:val="18"/>
                <w:szCs w:val="18"/>
                <w:color w:val="auto"/>
              </w:rPr>
              <w:t>NEA 17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7"/>
          </w:tcPr>
          <w:p>
            <w:pPr>
              <w:ind w:left="80"/>
              <w:spacing w:after="0"/>
              <w:rPr>
                <w:sz w:val="20"/>
                <w:szCs w:val="20"/>
                <w:color w:val="auto"/>
              </w:rPr>
            </w:pPr>
            <w:r>
              <w:rPr>
                <w:rFonts w:ascii="Arial" w:cs="Arial" w:eastAsia="Arial" w:hAnsi="Arial"/>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11240" w:type="dxa"/>
            <w:vAlign w:val="bottom"/>
            <w:gridSpan w:val="11"/>
          </w:tcPr>
          <w:p>
            <w:pPr>
              <w:spacing w:after="0"/>
              <w:rPr>
                <w:sz w:val="20"/>
                <w:szCs w:val="20"/>
                <w:color w:val="auto"/>
              </w:rPr>
            </w:pPr>
            <w:r>
              <w:rPr>
                <w:rFonts w:ascii="Arial" w:cs="Arial" w:eastAsia="Arial" w:hAnsi="Arial"/>
                <w:sz w:val="18"/>
                <w:szCs w:val="18"/>
                <w:color w:val="auto"/>
              </w:rPr>
              <w:t>NEW ENTERPRISE ASSOCIATES 17,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5"/>
          </w:tcPr>
          <w:p>
            <w:pPr>
              <w:ind w:left="220"/>
              <w:spacing w:after="0"/>
              <w:rPr>
                <w:sz w:val="20"/>
                <w:szCs w:val="20"/>
                <w:color w:val="auto"/>
              </w:rPr>
            </w:pPr>
            <w:r>
              <w:rPr>
                <w:rFonts w:ascii="Arial" w:cs="Arial" w:eastAsia="Arial" w:hAnsi="Arial"/>
                <w:sz w:val="18"/>
                <w:szCs w:val="18"/>
                <w:color w:val="auto"/>
              </w:rPr>
              <w:t>NEA PARTNERS 17, L.P.</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NEA 17 GP, LLC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2080" w:type="dxa"/>
            <w:vAlign w:val="bottom"/>
            <w:gridSpan w:val="4"/>
          </w:tcPr>
          <w:p>
            <w:pPr>
              <w:spacing w:after="0"/>
              <w:rPr>
                <w:sz w:val="20"/>
                <w:szCs w:val="20"/>
                <w:color w:val="auto"/>
              </w:rPr>
            </w:pPr>
            <w:r>
              <w:rPr>
                <w:rFonts w:ascii="Arial" w:cs="Arial" w:eastAsia="Arial" w:hAnsi="Arial"/>
                <w:sz w:val="18"/>
                <w:szCs w:val="18"/>
                <w:color w:val="auto"/>
                <w:w w:val="99"/>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w w:val="98"/>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648"/>
        </w:trPr>
        <w:tc>
          <w:tcPr>
            <w:tcW w:w="1360" w:type="dxa"/>
            <w:vAlign w:val="bottom"/>
            <w:gridSpan w:val="3"/>
          </w:tcPr>
          <w:p>
            <w:pPr>
              <w:spacing w:after="0"/>
              <w:rPr>
                <w:sz w:val="20"/>
                <w:szCs w:val="20"/>
                <w:color w:val="auto"/>
              </w:rPr>
            </w:pPr>
            <w:r>
              <w:rPr>
                <w:rFonts w:ascii="Arial" w:cs="Arial" w:eastAsia="Arial" w:hAnsi="Arial"/>
                <w:sz w:val="18"/>
                <w:szCs w:val="18"/>
                <w:color w:val="auto"/>
                <w:w w:val="98"/>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1215"/>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type w:val="continuous"/>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22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A. Florence, Jr.</w:t>
      </w:r>
    </w:p>
    <w:p>
      <w:pPr>
        <w:spacing w:after="0" w:line="200" w:lineRule="exact"/>
        <w:rPr>
          <w:sz w:val="20"/>
          <w:szCs w:val="20"/>
          <w:color w:val="auto"/>
        </w:rPr>
      </w:pPr>
    </w:p>
    <w:p>
      <w:pPr>
        <w:spacing w:after="0" w:line="227"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10120"/>
        <w:spacing w:after="0"/>
        <w:rPr>
          <w:sz w:val="20"/>
          <w:szCs w:val="20"/>
          <w:color w:val="auto"/>
        </w:rPr>
      </w:pPr>
      <w:r>
        <w:rPr>
          <w:rFonts w:ascii="Arial" w:cs="Arial" w:eastAsia="Arial" w:hAnsi="Arial"/>
          <w:sz w:val="16"/>
          <w:szCs w:val="16"/>
          <w:color w:val="auto"/>
        </w:rPr>
        <w:t>Liza Landsman</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00" w:lineRule="exact"/>
        <w:rPr>
          <w:sz w:val="20"/>
          <w:szCs w:val="20"/>
          <w:color w:val="auto"/>
        </w:rPr>
      </w:pPr>
    </w:p>
    <w:p>
      <w:pPr>
        <w:spacing w:after="0" w:line="227"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1000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00" w:lineRule="exact"/>
        <w:rPr>
          <w:sz w:val="20"/>
          <w:szCs w:val="20"/>
          <w:color w:val="auto"/>
        </w:rPr>
      </w:pPr>
    </w:p>
    <w:p>
      <w:pPr>
        <w:spacing w:after="0" w:line="227"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10060"/>
        <w:spacing w:after="0"/>
        <w:rPr>
          <w:sz w:val="20"/>
          <w:szCs w:val="20"/>
          <w:color w:val="auto"/>
        </w:rPr>
      </w:pPr>
      <w:r>
        <w:rPr>
          <w:rFonts w:ascii="Arial" w:cs="Arial" w:eastAsia="Arial" w:hAnsi="Arial"/>
          <w:sz w:val="16"/>
          <w:szCs w:val="16"/>
          <w:color w:val="auto"/>
        </w:rPr>
        <w:t>Scott D. Sandell</w:t>
      </w:r>
    </w:p>
    <w:p>
      <w:pPr>
        <w:spacing w:after="0" w:line="200" w:lineRule="exact"/>
        <w:rPr>
          <w:sz w:val="20"/>
          <w:szCs w:val="20"/>
          <w:color w:val="auto"/>
        </w:rPr>
      </w:pPr>
    </w:p>
    <w:p>
      <w:pPr>
        <w:spacing w:after="0" w:line="250"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10040"/>
        <w:spacing w:after="0"/>
        <w:rPr>
          <w:sz w:val="20"/>
          <w:szCs w:val="20"/>
          <w:color w:val="auto"/>
        </w:rPr>
      </w:pPr>
      <w:r>
        <w:rPr>
          <w:rFonts w:ascii="Arial" w:cs="Arial" w:eastAsia="Arial" w:hAnsi="Arial"/>
          <w:sz w:val="16"/>
          <w:szCs w:val="16"/>
          <w:color w:val="auto"/>
        </w:rPr>
        <w:t>Peter W. Sonsini</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-10160</wp:posOffset>
            </wp:positionV>
            <wp:extent cx="1675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576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Amendment No. 1 to Schedule 13D was executed by Sasha O. Keough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23 of 27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VistaGen Therapeutics,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EXECUTED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2021.</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LLC</w:t>
      </w:r>
    </w:p>
    <w:p>
      <w:pPr>
        <w:sectPr>
          <w:pgSz w:w="11900" w:h="16838" w:orient="portrait"/>
          <w:cols w:equalWidth="0" w:num="1">
            <w:col w:w="11240"/>
          </w:cols>
          <w:pgMar w:left="320" w:top="686"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NEW ENTERPRISE ASSOCIATES 17,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Sole Member</w:t>
      </w:r>
    </w:p>
    <w:p>
      <w:pPr>
        <w:spacing w:after="0" w:line="200" w:lineRule="exact"/>
        <w:rPr>
          <w:sz w:val="20"/>
          <w:szCs w:val="20"/>
          <w:color w:val="auto"/>
        </w:rPr>
      </w:pPr>
    </w:p>
    <w:p>
      <w:pPr>
        <w:sectPr>
          <w:pgSz w:w="11900" w:h="16838" w:orient="portrait"/>
          <w:cols w:equalWidth="0" w:num="2">
            <w:col w:w="260" w:space="460"/>
            <w:col w:w="10520"/>
          </w:cols>
          <w:pgMar w:left="320" w:top="686" w:right="339" w:bottom="1440" w:gutter="0" w:footer="0" w:header="0"/>
          <w:type w:val="continuous"/>
        </w:sectPr>
      </w:pPr>
    </w:p>
    <w:p>
      <w:pPr>
        <w:spacing w:after="0" w:line="11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NEA PARTNERS 17, L.P.</w:t>
      </w:r>
    </w:p>
    <w:p>
      <w:pPr>
        <w:spacing w:after="0" w:line="46" w:lineRule="exact"/>
        <w:rPr>
          <w:sz w:val="20"/>
          <w:szCs w:val="20"/>
          <w:color w:val="auto"/>
        </w:rPr>
      </w:pPr>
    </w:p>
    <w:p>
      <w:pPr>
        <w:sectPr>
          <w:pgSz w:w="11900" w:h="16838" w:orient="portrait"/>
          <w:cols w:equalWidth="0" w:num="2">
            <w:col w:w="980" w:space="460"/>
            <w:col w:w="9800"/>
          </w:cols>
          <w:pgMar w:left="320" w:top="68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0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3360" w:type="dxa"/>
            <w:vAlign w:val="bottom"/>
            <w:gridSpan w:val="6"/>
          </w:tcPr>
          <w:p>
            <w:pPr>
              <w:ind w:left="80"/>
              <w:spacing w:after="0"/>
              <w:rPr>
                <w:sz w:val="20"/>
                <w:szCs w:val="20"/>
                <w:color w:val="auto"/>
              </w:rPr>
            </w:pPr>
            <w:r>
              <w:rPr>
                <w:rFonts w:ascii="Arial" w:cs="Arial" w:eastAsia="Arial" w:hAnsi="Arial"/>
                <w:sz w:val="18"/>
                <w:szCs w:val="18"/>
                <w:color w:val="auto"/>
              </w:rPr>
              <w:t>NEA 17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60" w:type="dxa"/>
            <w:vAlign w:val="bottom"/>
            <w:gridSpan w:val="6"/>
          </w:tcPr>
          <w:p>
            <w:pPr>
              <w:ind w:left="80"/>
              <w:spacing w:after="0"/>
              <w:rPr>
                <w:sz w:val="20"/>
                <w:szCs w:val="20"/>
                <w:color w:val="auto"/>
              </w:rPr>
            </w:pPr>
            <w:r>
              <w:rPr>
                <w:rFonts w:ascii="Arial" w:cs="Arial" w:eastAsia="Arial" w:hAnsi="Arial"/>
                <w:sz w:val="18"/>
                <w:szCs w:val="18"/>
                <w:color w:val="auto"/>
              </w:rPr>
              <w:t>General Partner</w:t>
            </w:r>
          </w:p>
        </w:tc>
      </w:tr>
      <w:tr>
        <w:trPr>
          <w:trHeight w:val="500"/>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440" w:type="dxa"/>
            <w:vAlign w:val="bottom"/>
            <w:gridSpan w:val="10"/>
          </w:tcPr>
          <w:p>
            <w:pPr>
              <w:spacing w:after="0"/>
              <w:rPr>
                <w:sz w:val="20"/>
                <w:szCs w:val="20"/>
                <w:color w:val="auto"/>
              </w:rPr>
            </w:pPr>
            <w:r>
              <w:rPr>
                <w:rFonts w:ascii="Arial" w:cs="Arial" w:eastAsia="Arial" w:hAnsi="Arial"/>
                <w:sz w:val="18"/>
                <w:szCs w:val="18"/>
                <w:color w:val="auto"/>
              </w:rPr>
              <w:t>NEW ENTERPRISE ASSOCIATES 17,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5"/>
          </w:tcPr>
          <w:p>
            <w:pPr>
              <w:ind w:left="220"/>
              <w:spacing w:after="0"/>
              <w:rPr>
                <w:sz w:val="20"/>
                <w:szCs w:val="20"/>
                <w:color w:val="auto"/>
              </w:rPr>
            </w:pPr>
            <w:r>
              <w:rPr>
                <w:rFonts w:ascii="Arial" w:cs="Arial" w:eastAsia="Arial" w:hAnsi="Arial"/>
                <w:sz w:val="18"/>
                <w:szCs w:val="18"/>
                <w:color w:val="auto"/>
              </w:rPr>
              <w:t>NEA PARTNERS 17, L.P.</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NEA 17 GP, LLC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2080" w:type="dxa"/>
            <w:vAlign w:val="bottom"/>
            <w:gridSpan w:val="4"/>
          </w:tcPr>
          <w:p>
            <w:pPr>
              <w:spacing w:after="0"/>
              <w:rPr>
                <w:sz w:val="20"/>
                <w:szCs w:val="20"/>
                <w:color w:val="auto"/>
              </w:rPr>
            </w:pPr>
            <w:r>
              <w:rPr>
                <w:rFonts w:ascii="Arial" w:cs="Arial" w:eastAsia="Arial" w:hAnsi="Arial"/>
                <w:sz w:val="18"/>
                <w:szCs w:val="18"/>
                <w:color w:val="auto"/>
                <w:w w:val="99"/>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w w:val="98"/>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48"/>
        </w:trPr>
        <w:tc>
          <w:tcPr>
            <w:tcW w:w="1360" w:type="dxa"/>
            <w:vAlign w:val="bottom"/>
            <w:gridSpan w:val="3"/>
          </w:tcPr>
          <w:p>
            <w:pPr>
              <w:spacing w:after="0"/>
              <w:rPr>
                <w:sz w:val="20"/>
                <w:szCs w:val="20"/>
                <w:color w:val="auto"/>
              </w:rPr>
            </w:pPr>
            <w:r>
              <w:rPr>
                <w:rFonts w:ascii="Arial" w:cs="Arial" w:eastAsia="Arial" w:hAnsi="Arial"/>
                <w:sz w:val="18"/>
                <w:szCs w:val="18"/>
                <w:color w:val="auto"/>
                <w:w w:val="98"/>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24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A. Florence, Jr.</w:t>
      </w:r>
    </w:p>
    <w:p>
      <w:pPr>
        <w:spacing w:after="0" w:line="200" w:lineRule="exact"/>
        <w:rPr>
          <w:sz w:val="20"/>
          <w:szCs w:val="20"/>
          <w:color w:val="auto"/>
        </w:rPr>
      </w:pPr>
    </w:p>
    <w:p>
      <w:pPr>
        <w:spacing w:after="0" w:line="227"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10120"/>
        <w:spacing w:after="0"/>
        <w:rPr>
          <w:sz w:val="20"/>
          <w:szCs w:val="20"/>
          <w:color w:val="auto"/>
        </w:rPr>
      </w:pPr>
      <w:r>
        <w:rPr>
          <w:rFonts w:ascii="Arial" w:cs="Arial" w:eastAsia="Arial" w:hAnsi="Arial"/>
          <w:sz w:val="16"/>
          <w:szCs w:val="16"/>
          <w:color w:val="auto"/>
        </w:rPr>
        <w:t>Liza Landsman</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00" w:lineRule="exact"/>
        <w:rPr>
          <w:sz w:val="20"/>
          <w:szCs w:val="20"/>
          <w:color w:val="auto"/>
        </w:rPr>
      </w:pPr>
    </w:p>
    <w:p>
      <w:pPr>
        <w:spacing w:after="0" w:line="227"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1000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00" w:lineRule="exact"/>
        <w:rPr>
          <w:sz w:val="20"/>
          <w:szCs w:val="20"/>
          <w:color w:val="auto"/>
        </w:rPr>
      </w:pPr>
    </w:p>
    <w:p>
      <w:pPr>
        <w:spacing w:after="0" w:line="227"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10060"/>
        <w:spacing w:after="0"/>
        <w:rPr>
          <w:sz w:val="20"/>
          <w:szCs w:val="20"/>
          <w:color w:val="auto"/>
        </w:rPr>
      </w:pPr>
      <w:r>
        <w:rPr>
          <w:rFonts w:ascii="Arial" w:cs="Arial" w:eastAsia="Arial" w:hAnsi="Arial"/>
          <w:sz w:val="16"/>
          <w:szCs w:val="16"/>
          <w:color w:val="auto"/>
        </w:rPr>
        <w:t>Scott D. Sandell</w:t>
      </w:r>
    </w:p>
    <w:p>
      <w:pPr>
        <w:spacing w:after="0" w:line="200" w:lineRule="exact"/>
        <w:rPr>
          <w:sz w:val="20"/>
          <w:szCs w:val="20"/>
          <w:color w:val="auto"/>
        </w:rPr>
      </w:pPr>
    </w:p>
    <w:p>
      <w:pPr>
        <w:spacing w:after="0" w:line="250" w:lineRule="exact"/>
        <w:rPr>
          <w:sz w:val="20"/>
          <w:szCs w:val="20"/>
          <w:color w:val="auto"/>
        </w:rPr>
      </w:pPr>
    </w:p>
    <w:p>
      <w:pPr>
        <w:jc w:val="right"/>
        <w:ind w:right="10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10040"/>
        <w:spacing w:after="0"/>
        <w:rPr>
          <w:sz w:val="20"/>
          <w:szCs w:val="20"/>
          <w:color w:val="auto"/>
        </w:rPr>
      </w:pPr>
      <w:r>
        <w:rPr>
          <w:rFonts w:ascii="Arial" w:cs="Arial" w:eastAsia="Arial" w:hAnsi="Arial"/>
          <w:sz w:val="16"/>
          <w:szCs w:val="16"/>
          <w:color w:val="auto"/>
        </w:rPr>
        <w:t>Peter W. Sonsini</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-10160</wp:posOffset>
            </wp:positionV>
            <wp:extent cx="1675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7576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27"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This Agreement relating to Schedule 13D was executed by Sasha O. Keough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ind w:left="80"/>
        <w:spacing w:after="0"/>
        <w:tabs>
          <w:tab w:leader="none" w:pos="5460" w:val="left"/>
          <w:tab w:leader="none" w:pos="9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25 of 27 Pages</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0340"/>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13th day of March, 2017.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3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 James Barrett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37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Peter J. Barris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Forest Baskett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Ali Behbahani</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25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Colin Bryant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34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Carmen Chang</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Anthony A. Florence,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Anthony A. Florence, Jr.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94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Carol G. Gallagher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Dayna Grayson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61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Patrick J. Kerins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25" w:name="page26"/>
    <w:bookmarkEnd w:id="25"/>
    <w:p>
      <w:pPr>
        <w:spacing w:after="0"/>
        <w:tabs>
          <w:tab w:leader="none" w:pos="5380" w:val="left"/>
          <w:tab w:leader="none" w:pos="9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26 of 27 Pages</w:t>
      </w:r>
    </w:p>
    <w:p>
      <w:pPr>
        <w:sectPr>
          <w:pgSz w:w="11900" w:h="16838" w:orient="portrait"/>
          <w:cols w:equalWidth="0" w:num="1">
            <w:col w:w="10900"/>
          </w:cols>
          <w:pgMar w:left="400" w:top="648"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255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Vanessa Larco</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5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Joshua Makower</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6"/>
          <w:szCs w:val="16"/>
          <w:u w:val="single" w:color="auto"/>
          <w:color w:val="auto"/>
        </w:rPr>
        <w:t>/s/ Mohamad H. Makhzoumi</w:t>
      </w:r>
    </w:p>
    <w:p>
      <w:pPr>
        <w:spacing w:after="0" w:line="4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Mohamad H. Makhzoumi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70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Edward T. Mathers</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2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David M. Mott</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503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Sara M. Nayeem</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3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Jason R. Nunn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-3175</wp:posOffset>
            </wp:positionV>
            <wp:extent cx="1301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Gregory Papadopoulos</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3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Chetan Puttagunta</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598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Jon Sakoda</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2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Scott D. Sandell</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2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Brooke Seawell</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87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Peter W. Sonsini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42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Melissa Taunton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680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Frank M. Torti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846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Ravi Viswanathan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503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Paul E. Walker</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-10160</wp:posOffset>
            </wp:positionV>
            <wp:extent cx="12452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4523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777240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400" w:top="648" w:right="599" w:bottom="1440" w:gutter="0" w:footer="0" w:header="0"/>
          <w:type w:val="continuous"/>
        </w:sectPr>
      </w:pPr>
    </w:p>
    <w:bookmarkStart w:id="26" w:name="page27"/>
    <w:bookmarkEnd w:id="26"/>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27 of 27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KNOW ALL MEN BY THESE PRESENTS, that the undersigned hereby constitutes and appoints Louis S. Citron, Timothy Schaller, Sasha Keough and Stephanie Brecher, and each of them, with full power to act without the others, her true and lawful attorney-in-fact, with full power of substitution, to sign any and all instruments, certificates and documents that may be necessary, desirable or appropriate to be executed on behalf of herself as an individual or in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she might or could do in person, thereby ratifying and confirming all that said attorney-in-fact, or her substitutes, may lawfully do or cause to be done by virtue hereof.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1st day of April,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Liza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9005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Liza Landsman</w:t>
      </w:r>
    </w:p>
    <w:sectPr>
      <w:pgSz w:w="11900" w:h="16838" w:orient="portrait"/>
      <w:cols w:equalWidth="0" w:num="1">
        <w:col w:w="11240"/>
      </w:cols>
      <w:pgMar w:left="320" w:top="7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7"/>
    </w:lvl>
    <w:lvl w:ilvl="1">
      <w:lvlJc w:val="left"/>
      <w:lvlText w:val="0"/>
      <w:numFmt w:val="bullet"/>
      <w:start w:val="1"/>
    </w:lvl>
  </w:abstractNum>
  <w:abstractNum w:abstractNumId="2">
    <w:nsid w:val="1190CDE7"/>
    <w:multiLevelType w:val="hybridMultilevel"/>
    <w:lvl w:ilvl="0">
      <w:lvlJc w:val="left"/>
      <w:lvlText w:val="%1."/>
      <w:numFmt w:val="decimal"/>
      <w:start w:val="7"/>
    </w:lvl>
    <w:lvl w:ilvl="1">
      <w:lvlJc w:val="left"/>
      <w:lvlText w:val="0"/>
      <w:numFmt w:val="bullet"/>
      <w:start w:val="1"/>
    </w:lvl>
  </w:abstractNum>
  <w:abstractNum w:abstractNumId="3">
    <w:nsid w:val="66EF438D"/>
    <w:multiLevelType w:val="hybridMultilevel"/>
    <w:lvl w:ilvl="0">
      <w:lvlJc w:val="left"/>
      <w:lvlText w:val="%1."/>
      <w:numFmt w:val="decimal"/>
      <w:start w:val="7"/>
    </w:lvl>
    <w:lvl w:ilvl="1">
      <w:lvlJc w:val="left"/>
      <w:lvlText w:val="0"/>
      <w:numFmt w:val="bullet"/>
      <w:start w:val="1"/>
    </w:lvl>
  </w:abstractNum>
  <w:abstractNum w:abstractNumId="4">
    <w:nsid w:val="140E0F76"/>
    <w:multiLevelType w:val="hybridMultilevel"/>
    <w:lvl w:ilvl="0">
      <w:lvlJc w:val="left"/>
      <w:lvlText w:val="%1."/>
      <w:numFmt w:val="decimal"/>
      <w:start w:val="7"/>
    </w:lvl>
    <w:lvl w:ilvl="1">
      <w:lvlJc w:val="left"/>
      <w:lvlText w:val="0"/>
      <w:numFmt w:val="bullet"/>
      <w:start w:val="1"/>
    </w:lvl>
  </w:abstractNum>
  <w:abstractNum w:abstractNumId="5">
    <w:nsid w:val="3352255A"/>
    <w:multiLevelType w:val="hybridMultilevel"/>
    <w:lvl w:ilvl="0">
      <w:lvlJc w:val="left"/>
      <w:lvlText w:val="%1."/>
      <w:numFmt w:val="decimal"/>
      <w:start w:val="7"/>
    </w:lvl>
    <w:lvl w:ilvl="1">
      <w:lvlJc w:val="left"/>
      <w:lvlText w:val="0"/>
      <w:numFmt w:val="bullet"/>
      <w:start w:val="1"/>
    </w:lvl>
  </w:abstractNum>
  <w:abstractNum w:abstractNumId="6">
    <w:nsid w:val="109CF92E"/>
    <w:multiLevelType w:val="hybridMultilevel"/>
    <w:lvl w:ilvl="0">
      <w:lvlJc w:val="left"/>
      <w:lvlText w:val="%1."/>
      <w:numFmt w:val="decimal"/>
      <w:start w:val="7"/>
    </w:lvl>
    <w:lvl w:ilvl="1">
      <w:lvlJc w:val="left"/>
      <w:lvlText w:val="0"/>
      <w:numFmt w:val="bullet"/>
      <w:start w:val="1"/>
    </w:lvl>
  </w:abstractNum>
  <w:abstractNum w:abstractNumId="7">
    <w:nsid w:val="DED7263"/>
    <w:multiLevelType w:val="hybridMultilevel"/>
    <w:lvl w:ilvl="0">
      <w:lvlJc w:val="left"/>
      <w:lvlText w:val="%1."/>
      <w:numFmt w:val="decimal"/>
      <w:start w:val="7"/>
    </w:lvl>
    <w:lvl w:ilvl="1">
      <w:lvlJc w:val="left"/>
      <w:lvlText w:val="0"/>
      <w:numFmt w:val="bullet"/>
      <w:start w:val="1"/>
    </w:lvl>
  </w:abstractNum>
  <w:abstractNum w:abstractNumId="8">
    <w:nsid w:val="7FDCC233"/>
    <w:multiLevelType w:val="hybridMultilevel"/>
    <w:lvl w:ilvl="0">
      <w:lvlJc w:val="left"/>
      <w:lvlText w:val="%1."/>
      <w:numFmt w:val="decimal"/>
      <w:start w:val="7"/>
    </w:lvl>
    <w:lvl w:ilvl="1">
      <w:lvlJc w:val="left"/>
      <w:lvlText w:val="0"/>
      <w:numFmt w:val="bullet"/>
      <w:start w:val="1"/>
    </w:lvl>
  </w:abstractNum>
  <w:abstractNum w:abstractNumId="9">
    <w:nsid w:val="1BEFD79F"/>
    <w:multiLevelType w:val="hybridMultilevel"/>
    <w:lvl w:ilvl="0">
      <w:lvlJc w:val="left"/>
      <w:lvlText w:val="%1."/>
      <w:numFmt w:val="decimal"/>
      <w:start w:val="7"/>
    </w:lvl>
    <w:lvl w:ilvl="1">
      <w:lvlJc w:val="left"/>
      <w:lvlText w:val="0"/>
      <w:numFmt w:val="bullet"/>
      <w:start w:val="1"/>
    </w:lvl>
  </w:abstractNum>
  <w:abstractNum w:abstractNumId="10">
    <w:nsid w:val="41A7C4C9"/>
    <w:multiLevelType w:val="hybridMultilevel"/>
    <w:lvl w:ilvl="0">
      <w:lvlJc w:val="left"/>
      <w:lvlText w:val="%1."/>
      <w:numFmt w:val="decimal"/>
      <w:start w:val="7"/>
    </w:lvl>
    <w:lvl w:ilvl="1">
      <w:lvlJc w:val="left"/>
      <w:lvlText w:val="0"/>
      <w:numFmt w:val="bullet"/>
      <w:start w:val="1"/>
    </w:lvl>
  </w:abstractNum>
  <w:abstractNum w:abstractNumId="11">
    <w:nsid w:val="6B68079A"/>
    <w:multiLevelType w:val="hybridMultilevel"/>
    <w:lvl w:ilvl="0">
      <w:lvlJc w:val="left"/>
      <w:lvlText w:val="%1."/>
      <w:numFmt w:val="decimal"/>
      <w:start w:val="7"/>
    </w:lvl>
    <w:lvl w:ilvl="1">
      <w:lvlJc w:val="left"/>
      <w:lvlText w:val="0"/>
      <w:numFmt w:val="bullet"/>
      <w:start w:val="1"/>
    </w:lvl>
  </w:abstractNum>
  <w:abstractNum w:abstractNumId="12">
    <w:nsid w:val="4E6AFB66"/>
    <w:multiLevelType w:val="hybridMultilevel"/>
    <w:lvl w:ilvl="0">
      <w:lvlJc w:val="left"/>
      <w:lvlText w:val="%1."/>
      <w:numFmt w:val="decimal"/>
      <w:start w:val="7"/>
    </w:lvl>
    <w:lvl w:ilvl="1">
      <w:lvlJc w:val="left"/>
      <w:lvlText w:val="0"/>
      <w:numFmt w:val="bullet"/>
      <w:start w:val="1"/>
    </w:lvl>
  </w:abstractNum>
  <w:abstractNum w:abstractNumId="13">
    <w:nsid w:val="25E45D32"/>
    <w:multiLevelType w:val="hybridMultilevel"/>
    <w:lvl w:ilvl="0">
      <w:lvlJc w:val="left"/>
      <w:lvlText w:val="%1."/>
      <w:numFmt w:val="decimal"/>
      <w:start w:val="7"/>
    </w:lvl>
    <w:lvl w:ilvl="1">
      <w:lvlJc w:val="left"/>
      <w:lvlText w:val="0"/>
      <w:numFmt w:val="bullet"/>
      <w:start w:val="1"/>
    </w:lvl>
  </w:abstractNum>
  <w:abstractNum w:abstractNumId="14">
    <w:nsid w:val="519B500D"/>
    <w:multiLevelType w:val="hybridMultilevel"/>
    <w:lvl w:ilvl="0">
      <w:lvlJc w:val="left"/>
      <w:lvlText w:val="%1."/>
      <w:numFmt w:val="decimal"/>
      <w:start w:val="7"/>
    </w:lvl>
    <w:lvl w:ilvl="1">
      <w:lvlJc w:val="left"/>
      <w:lvlText w:val="0"/>
      <w:numFmt w:val="bullet"/>
      <w:start w:val="1"/>
    </w:lvl>
  </w:abstractNum>
  <w:abstractNum w:abstractNumId="15">
    <w:nsid w:val="431BD7B7"/>
    <w:multiLevelType w:val="hybridMultilevel"/>
    <w:lvl w:ilvl="0">
      <w:lvlJc w:val="left"/>
      <w:lvlText w:val="%1."/>
      <w:numFmt w:val="decimal"/>
      <w:start w:val="7"/>
    </w:lvl>
    <w:lvl w:ilvl="1">
      <w:lvlJc w:val="left"/>
      <w:lvlText w:val="0"/>
      <w:numFmt w:val="bullet"/>
      <w:start w:val="1"/>
    </w:lvl>
  </w:abstractNum>
  <w:abstractNum w:abstractNumId="16">
    <w:nsid w:val="3F2DBA31"/>
    <w:multiLevelType w:val="hybridMultilevel"/>
    <w:lvl w:ilvl="0">
      <w:lvlJc w:val="left"/>
      <w:lvlText w:val="%1."/>
      <w:numFmt w:val="decimal"/>
      <w:start w:val="7"/>
    </w:lvl>
    <w:lvl w:ilvl="1">
      <w:lvlJc w:val="left"/>
      <w:lvlText w:val="0"/>
      <w:numFmt w:val="bullet"/>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2021-04-29T09:18:25Z</dcterms:created>
  <dcterms:modified xsi:type="dcterms:W3CDTF">2021-04-29T09:18:25Z</dcterms:modified>
</cp:coreProperties>
</file>