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vtgn20231026_8k.htm"/>
      <w:bookmarkStart w:id="1" w:name="ksvtgn20231026_8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UNITED STATES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CURRENT REPORT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SECTION 13 OR 15(d) of the SECURITIES EXCHANGE ACT OF 1934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Date of Report (Date of earliest event reported): </w:t>
      </w:r>
      <w:r>
        <w:rPr>
          <w:rFonts w:ascii="Times New Roman" w:hAnsi="Times New Roman"/>
          <w:b/>
          <w:caps w:val="false"/>
          <w:smallCaps w:val="false"/>
          <w:sz w:val="20"/>
          <w:u w:val="single"/>
        </w:rPr>
        <w:t>October 24,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Vistagen Therapeutics, Inc.</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tblLayout w:type="fixed"/>
        <w:tblCellMar>
          <w:top w:w="0" w:type="dxa"/>
          <w:left w:w="0" w:type="dxa"/>
          <w:bottom w:w="0" w:type="dxa"/>
          <w:right w:w="0" w:type="dxa"/>
        </w:tblCellMar>
      </w:tblPr>
      <w:tblGrid>
        <w:gridCol w:w="2465"/>
        <w:gridCol w:w="2240"/>
        <w:gridCol w:w="1940"/>
      </w:tblGrid>
      <w:tr>
        <w:trPr/>
        <w:tc>
          <w:tcPr>
            <w:tcW w:w="2465" w:type="dxa"/>
            <w:tcBorders/>
            <w:vAlign w:val="center"/>
          </w:tcPr>
          <w:p>
            <w:pPr>
              <w:pStyle w:val="TableContents"/>
              <w:bidi w:val="0"/>
              <w:spacing w:before="0" w:after="0"/>
              <w:ind w:left="0" w:right="0" w:hanging="0"/>
              <w:jc w:val="center"/>
              <w:rPr>
                <w:rFonts w:ascii="Times New Roman" w:hAnsi="Times New Roman"/>
                <w:b/>
                <w:caps/>
                <w:sz w:val="20"/>
              </w:rPr>
            </w:pPr>
            <w:r>
              <w:rPr>
                <w:rFonts w:ascii="Times New Roman" w:hAnsi="Times New Roman"/>
                <w:b/>
                <w:caps/>
                <w:sz w:val="20"/>
              </w:rPr>
              <w:t>Nevada</w:t>
            </w:r>
          </w:p>
        </w:tc>
        <w:tc>
          <w:tcPr>
            <w:tcW w:w="22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000-54014</w:t>
            </w:r>
          </w:p>
        </w:tc>
        <w:tc>
          <w:tcPr>
            <w:tcW w:w="19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20-5093315</w:t>
            </w:r>
          </w:p>
        </w:tc>
      </w:tr>
      <w:tr>
        <w:trPr/>
        <w:tc>
          <w:tcPr>
            <w:tcW w:w="24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 xml:space="preserve">(State or other jurisdiction of </w:t>
            </w:r>
            <w:r>
              <w:rPr>
                <w:rFonts w:ascii="Times New Roman" w:hAnsi="Times New Roman"/>
                <w:caps w:val="false"/>
                <w:smallCaps w:val="false"/>
                <w:sz w:val="20"/>
              </w:rPr>
              <w:br/>
            </w:r>
            <w:r>
              <w:rPr>
                <w:rFonts w:ascii="Times New Roman" w:hAnsi="Times New Roman"/>
                <w:i/>
                <w:caps w:val="false"/>
                <w:smallCaps w:val="false"/>
                <w:sz w:val="20"/>
              </w:rPr>
              <w:t>incorporation)</w:t>
            </w:r>
          </w:p>
        </w:tc>
        <w:tc>
          <w:tcPr>
            <w:tcW w:w="2240"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 xml:space="preserve">(Commission File Number) </w:t>
            </w:r>
          </w:p>
        </w:tc>
        <w:tc>
          <w:tcPr>
            <w:tcW w:w="19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 xml:space="preserve">(IRS Employer </w:t>
            </w:r>
            <w:r>
              <w:rPr>
                <w:rFonts w:ascii="Times New Roman" w:hAnsi="Times New Roman"/>
                <w:caps w:val="false"/>
                <w:smallCaps w:val="false"/>
                <w:sz w:val="20"/>
              </w:rPr>
              <w:br/>
            </w:r>
            <w:r>
              <w:rPr>
                <w:rFonts w:ascii="Times New Roman" w:hAnsi="Times New Roman"/>
                <w:i/>
                <w:caps w:val="false"/>
                <w:smallCaps w:val="false"/>
                <w:sz w:val="20"/>
              </w:rPr>
              <w:t xml:space="preserve">Identification Number) </w:t>
            </w:r>
          </w:p>
        </w:tc>
      </w:tr>
    </w:tbl>
    <w:p>
      <w:pPr>
        <w:pStyle w:val="TextBody"/>
        <w:bidi w:val="0"/>
        <w:spacing w:before="0" w:after="0"/>
        <w:ind w:left="0" w:right="0" w:hanging="0"/>
        <w:jc w:val="left"/>
        <w:rPr>
          <w:caps w:val="false"/>
          <w:smallCaps w:val="false"/>
        </w:rPr>
      </w:pPr>
      <w:r>
        <w:rPr>
          <w:caps w:val="false"/>
          <w:smallCaps w:val="false"/>
        </w:rPr>
        <w:t> </w:t>
      </w:r>
    </w:p>
    <w:tbl>
      <w:tblPr>
        <w:tblW w:w="3290" w:type="dxa"/>
        <w:jc w:val="left"/>
        <w:tblInd w:w="0" w:type="dxa"/>
        <w:tblLayout w:type="fixed"/>
        <w:tblCellMar>
          <w:top w:w="0" w:type="dxa"/>
          <w:left w:w="0" w:type="dxa"/>
          <w:bottom w:w="0" w:type="dxa"/>
          <w:right w:w="0" w:type="dxa"/>
        </w:tblCellMar>
      </w:tblPr>
      <w:tblGrid>
        <w:gridCol w:w="3290"/>
      </w:tblGrid>
      <w:tr>
        <w:trPr/>
        <w:tc>
          <w:tcPr>
            <w:tcW w:w="329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343 Allerton Ave.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South San Francisco, California 94080</w:t>
            </w:r>
          </w:p>
        </w:tc>
      </w:tr>
      <w:tr>
        <w:trPr/>
        <w:tc>
          <w:tcPr>
            <w:tcW w:w="3290"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(Address of principal executive offices)</w:t>
            </w:r>
          </w:p>
        </w:tc>
      </w:tr>
    </w:tbl>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(650) 577-3600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(Registrant</w:t>
      </w:r>
      <w:r>
        <w:rPr>
          <w:rFonts w:ascii="Times New Roman" w:hAnsi="Times New Roman"/>
          <w:caps w:val="false"/>
          <w:smallCaps w:val="false"/>
          <w:sz w:val="20"/>
        </w:rPr>
        <w:t>’</w:t>
      </w:r>
      <w:r>
        <w:rPr>
          <w:rFonts w:ascii="Times New Roman" w:hAnsi="Times New Roman"/>
          <w:i/>
          <w:caps w:val="false"/>
          <w:smallCaps w:val="false"/>
          <w:sz w:val="20"/>
        </w:rPr>
        <w: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 Applicable</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 -12)</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 -2(b))</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 -4(c))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5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VTGN</w:t>
            </w:r>
          </w:p>
        </w:tc>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5.02</w:t>
      </w:r>
      <w:r>
        <w:rPr>
          <w:rFonts w:ascii="Times New Roman" w:hAnsi="Times New Roman"/>
          <w:caps w:val="false"/>
          <w:smallCaps w:val="false"/>
          <w:sz w:val="20"/>
        </w:rPr>
        <w:t>         </w:t>
      </w:r>
      <w:r>
        <w:rPr>
          <w:rFonts w:ascii="Times New Roman" w:hAnsi="Times New Roman"/>
          <w:b/>
          <w:caps w:val="false"/>
          <w:smallCaps w:val="false"/>
          <w:sz w:val="20"/>
        </w:rPr>
        <w:t>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October 24, 2023, Joshua Prince was appointed to serve as the Chief Operating Officer of Vistagen Therapeutics, Inc. (the “</w:t>
      </w:r>
      <w:r>
        <w:rPr>
          <w:rFonts w:ascii="Times New Roman" w:hAnsi="Times New Roman"/>
          <w:i/>
          <w:caps w:val="false"/>
          <w:smallCaps w:val="false"/>
          <w:sz w:val="20"/>
        </w:rPr>
        <w:t>Company</w:t>
      </w:r>
      <w:r>
        <w:rPr>
          <w:rFonts w:ascii="Times New Roman" w:hAnsi="Times New Roman"/>
          <w:caps w:val="false"/>
          <w:smallCaps w:val="false"/>
          <w:sz w:val="20"/>
        </w:rPr>
        <w:t>”).  Mr. Prince, age 53, has served as the Company’s Senior Vice President, Business Operations, since November 2021.  Mr. Prince has over 20 years of experience in the pharmaceutical industry. Throughout his career, he has developed extensive expertise from early development through commercial launch of pharmaceuticals across a range of therapeutic areas.  Prior to joining the Company, Mr. Prince held multiple positions at CSL Behring (ASX: CSL), Teva Pharmaceuticals (NYSE: TEVA), and AstraZeneca PLC (NASDAQ: AZN), including North American Lead, Commercial Insight and Analytics, Senior Director of CNS Global Insight, and Director of Forecasting &amp; Performance Analytics.  Mr. Prince holds a BS in Mechanical Engineering from the University of Missouri-Rolla, and an MBA from The Pennsylvania State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Except as disclosed herein, there are no arrangements or understandings between Mr. Prince and any other person pursuant to which he was appointed as the Company’s Chief Operating Officer, and Mr. Prince is not a participant in any related party transaction required to be reported pursuant to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his appointment, the Company entered into an Indemnification Agreement (the “</w:t>
      </w:r>
      <w:r>
        <w:rPr>
          <w:rFonts w:ascii="Times New Roman" w:hAnsi="Times New Roman"/>
          <w:i/>
          <w:caps w:val="false"/>
          <w:smallCaps w:val="false"/>
          <w:sz w:val="20"/>
        </w:rPr>
        <w:t>Indemnification Agreement</w:t>
      </w:r>
      <w:r>
        <w:rPr>
          <w:rFonts w:ascii="Times New Roman" w:hAnsi="Times New Roman"/>
          <w:caps w:val="false"/>
          <w:smallCaps w:val="false"/>
          <w:sz w:val="20"/>
        </w:rPr>
        <w:t>”) with Mr. Prince, a copy of which is attached hereto as Exhibit 10.1. The Indemnification Agreement requires the Company to indemnify Mr. Prince to the fullest extent permitted under Nevada law against liability that may arise by reason of his service to the Company and to advance certain expenses incurred as a result of any proceeding against him as to which he could be indemnified.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foregoing description of the Indemnification Agreement is not complete and is qualified in its entirety by reference to the full text of the Indemnification Agreement, which is attached as Exhibit 10.1 to this Current Report on Form 8-K and incorporated into this Item 5.02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Item 9.01 Financial Statements and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 Exhibits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72"/>
        <w:gridCol w:w="60"/>
        <w:gridCol w:w="9173"/>
      </w:tblGrid>
      <w:tr>
        <w:trPr/>
        <w:tc>
          <w:tcPr>
            <w:tcW w:w="972"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73"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7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73" w:type="dxa"/>
            <w:tcBorders/>
            <w:tcMar>
              <w:bottom w:w="0" w:type="dxa"/>
            </w:tcMar>
            <w:vAlign w:val="center"/>
          </w:tcPr>
          <w:p>
            <w:pPr>
              <w:pStyle w:val="TableContents"/>
              <w:bidi w:val="0"/>
              <w:spacing w:before="0" w:after="283"/>
              <w:jc w:val="left"/>
              <w:rPr/>
            </w:pPr>
            <w:r>
              <w:rPr/>
              <w:t> </w:t>
            </w:r>
          </w:p>
        </w:tc>
      </w:tr>
      <w:tr>
        <w:trPr/>
        <w:tc>
          <w:tcPr>
            <w:tcW w:w="972"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tcMar>
              <w:bottom w:w="0" w:type="dxa"/>
            </w:tcMar>
            <w:vAlign w:val="center"/>
          </w:tcPr>
          <w:p>
            <w:pPr>
              <w:pStyle w:val="TableContents"/>
              <w:bidi w:val="0"/>
              <w:spacing w:before="0" w:after="283"/>
              <w:jc w:val="left"/>
              <w:rPr/>
            </w:pPr>
            <w:r>
              <w:rPr/>
              <w:t> </w:t>
            </w:r>
          </w:p>
        </w:tc>
        <w:tc>
          <w:tcPr>
            <w:tcW w:w="9173" w:type="dxa"/>
            <w:tcBorders/>
            <w:tcMar>
              <w:bottom w:w="0" w:type="dxa"/>
            </w:tcMar>
            <w:vAlign w:val="center"/>
          </w:tcPr>
          <w:p>
            <w:pPr>
              <w:pStyle w:val="TableContents"/>
              <w:bidi w:val="0"/>
              <w:spacing w:before="0" w:after="0"/>
              <w:ind w:left="0" w:right="0" w:hanging="0"/>
              <w:jc w:val="both"/>
              <w:rPr/>
            </w:pPr>
            <w:hyperlink w:anchor="ex_586441.htm">
              <w:r>
                <w:rPr>
                  <w:rStyle w:val="InternetLink"/>
                  <w:rFonts w:ascii="Times New Roman" w:hAnsi="Times New Roman"/>
                  <w:caps w:val="false"/>
                  <w:smallCaps w:val="false"/>
                  <w:sz w:val="20"/>
                </w:rPr>
                <w:t>Indemnification Agreement, dated October 24, 2023, by and between Vistagen Therapeutics, Inc. and Joshua Prince</w:t>
              </w:r>
            </w:hyperlink>
          </w:p>
        </w:tc>
      </w:tr>
      <w:tr>
        <w:trPr/>
        <w:tc>
          <w:tcPr>
            <w:tcW w:w="972"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173"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230" w:type="dxa"/>
        <w:jc w:val="left"/>
        <w:tblInd w:w="0" w:type="dxa"/>
        <w:tblLayout w:type="fixed"/>
        <w:tblCellMar>
          <w:top w:w="0" w:type="dxa"/>
          <w:left w:w="0" w:type="dxa"/>
          <w:bottom w:w="0" w:type="dxa"/>
          <w:right w:w="0" w:type="dxa"/>
        </w:tblCellMar>
      </w:tblPr>
      <w:tblGrid>
        <w:gridCol w:w="1910"/>
        <w:gridCol w:w="320"/>
        <w:gridCol w:w="1940"/>
        <w:gridCol w:w="60"/>
      </w:tblGrid>
      <w:tr>
        <w:trPr/>
        <w:tc>
          <w:tcPr>
            <w:tcW w:w="1910"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Vistagen Therapeutics, Inc.</w:t>
            </w:r>
          </w:p>
        </w:tc>
        <w:tc>
          <w:tcPr>
            <w:tcW w:w="6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26, 2023</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Shawn K. Singh</w:t>
            </w:r>
          </w:p>
        </w:tc>
        <w:tc>
          <w:tcPr>
            <w:tcW w:w="6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Shawn K. Singh, JD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586441.htm"/>
      <w:bookmarkStart w:id="3" w:name="ksex_586441"/>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VISTAGEN THERAPEUTICS, INC.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INDEMNIFICATION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both"/>
        <w:rPr>
          <w:rFonts w:ascii="Times New Roman" w:hAnsi="Times New Roman"/>
          <w:caps w:val="false"/>
          <w:smallCaps w:val="false"/>
          <w:sz w:val="20"/>
        </w:rPr>
      </w:pPr>
      <w:r>
        <w:rPr>
          <w:rFonts w:ascii="Times New Roman" w:hAnsi="Times New Roman"/>
          <w:caps w:val="false"/>
          <w:smallCaps w:val="false"/>
          <w:sz w:val="20"/>
        </w:rPr>
        <w:t>THIS AGREEMENT is entered into, effective as of October 24, 2023 between Vistagen Therapeutics, Inc., a Nevada corporation (the "Company"), and Joshua Prince (“Indemnitee”).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720"/>
        <w:jc w:val="both"/>
        <w:rPr>
          <w:rFonts w:ascii="Times New Roman" w:hAnsi="Times New Roman"/>
          <w:caps w:val="false"/>
          <w:smallCaps w:val="false"/>
          <w:sz w:val="20"/>
        </w:rPr>
      </w:pPr>
      <w:r>
        <w:rPr>
          <w:rFonts w:ascii="Times New Roman" w:hAnsi="Times New Roman"/>
          <w:caps w:val="false"/>
          <w:smallCaps w:val="false"/>
          <w:sz w:val="20"/>
        </w:rPr>
        <w:t>WHEREAS, it is essential to the Company to retain and attract as directors and officers the most capable persons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40" w:right="0" w:hanging="0"/>
        <w:jc w:val="both"/>
        <w:rPr>
          <w:rFonts w:ascii="Times New Roman" w:hAnsi="Times New Roman"/>
          <w:caps w:val="false"/>
          <w:smallCaps w:val="false"/>
          <w:sz w:val="20"/>
        </w:rPr>
      </w:pPr>
      <w:r>
        <w:rPr>
          <w:rFonts w:ascii="Times New Roman" w:hAnsi="Times New Roman"/>
          <w:caps w:val="false"/>
          <w:smallCaps w:val="false"/>
          <w:sz w:val="20"/>
        </w:rPr>
        <w:t>WHEREAS, Indemnitee is an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720"/>
        <w:jc w:val="both"/>
        <w:rPr>
          <w:rFonts w:ascii="Times New Roman" w:hAnsi="Times New Roman"/>
          <w:caps w:val="false"/>
          <w:smallCaps w:val="false"/>
          <w:sz w:val="20"/>
        </w:rPr>
      </w:pPr>
      <w:r>
        <w:rPr>
          <w:rFonts w:ascii="Times New Roman" w:hAnsi="Times New Roman"/>
          <w:caps w:val="false"/>
          <w:smallCaps w:val="false"/>
          <w:sz w:val="20"/>
        </w:rPr>
        <w:t>WHEREAS, both the Company and Indemnitee recognize the increased risk of litigation and other claims currently being asserted against directors and officers of corporations;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720"/>
        <w:jc w:val="both"/>
        <w:rPr>
          <w:rFonts w:ascii="Times New Roman" w:hAnsi="Times New Roman"/>
          <w:caps w:val="false"/>
          <w:smallCaps w:val="false"/>
          <w:sz w:val="20"/>
        </w:rPr>
      </w:pPr>
      <w:r>
        <w:rPr>
          <w:rFonts w:ascii="Times New Roman" w:hAnsi="Times New Roman"/>
          <w:caps w:val="false"/>
          <w:smallCaps w:val="false"/>
          <w:sz w:val="20"/>
        </w:rPr>
        <w:t>WHEREAS, in recognition of lndemnitee's need for substantial protection against personal liability in order to enhance Indemnitee's continued and effective service to the Company, and in order to induce Indemnitee to provide services to the Company as an officer, the Company wishes to provide in this Agreement for the indemnification of and the advancing of expenses to Indemnitee to the fullest extent (whether partial or complete) permitted by law and as set forth in this Agreement, and, to the extent insurance is maintained, for the coverage of Indemnitee under the Company's directors' and officers' liability insurance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above premises and of lndemnitee's continuing to serve the Company directly or, at its request, with another enterprise, and intending to be legally bound hereby, the parties agree as follows:</w:t>
      </w:r>
    </w:p>
    <w:p>
      <w:pPr>
        <w:pStyle w:val="TextBody"/>
        <w:bidi w:val="0"/>
        <w:spacing w:before="0" w:after="0"/>
        <w:ind w:left="0" w:right="0" w:hanging="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60"/>
        <w:gridCol w:w="170"/>
        <w:gridCol w:w="164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16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Definitions: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Board</w:t>
      </w:r>
      <w:r>
        <w:rPr>
          <w:rFonts w:ascii="Times New Roman" w:hAnsi="Times New Roman"/>
          <w:caps w:val="false"/>
          <w:smallCaps w:val="false"/>
          <w:sz w:val="20"/>
        </w:rPr>
        <w:t>: the Board of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Change in Control</w:t>
      </w:r>
      <w:r>
        <w:rPr>
          <w:rFonts w:ascii="Times New Roman" w:hAnsi="Times New Roman"/>
          <w:caps w:val="false"/>
          <w:smallCaps w:val="false"/>
          <w:sz w:val="20"/>
        </w:rPr>
        <w:t>: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shareholders of the Company in substantially the same proportions as their ownership of stock of the Company, is or becomes the "Beneficial Owner" (as defined in Rule 13d-3 under said Act), directly or indirectly, of securities of the Company representing 20% or more of the total voting power represented by the Company's then outstanding Voting Securities, or (ii) during any period of two consecutive years, individuals who at the beginning of such period constitute the Board and any new director whose election by the Board or nomination for election by the Company's shareholders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shareholders of the Company approve a merger or consolidation of the Company with any other corporation, other than a merger or consolidation that would result in the Voting Securities of the Company outstanding immediately prior thereto continuing to represent (either by remaining outstanding or by being conve1ied into Voting Securities of the surviving entity) at least 80% of the total voting power represented by the Voting Securities of the Company or such surviving entity outstanding immediately after such merger or consolidation, or the shareholders of the Company approve a plan of complete liquidation of the Company or an agreement for the sale or disposition by the Company (in one transaction or a series of transactions) of all or substantially all of the Company's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2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Expenses</w:t>
      </w:r>
      <w:r>
        <w:rPr>
          <w:rFonts w:ascii="Times New Roman" w:hAnsi="Times New Roman"/>
          <w:caps w:val="false"/>
          <w:smallCaps w:val="false"/>
          <w:sz w:val="20"/>
        </w:rPr>
        <w:t>: any expense, liability, or loss, including attorneys' fees, judgments, fines, ERISA excise taxes and penalties, amounts paid or to be paid in settlement, any interest, assessments, or other charges imposed thereon, and any federal, state, local, or foreign taxes imposed as a result of the actual or deemed receipt of any payments under this Agreement, paid or incurred in connection with investigating, defending, being a witness in, or participating in (including on appeal), or preparing for any of the foregoing in, any Proceeding relating to any Indemnifiable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Indemnifiable Event</w:t>
      </w:r>
      <w:r>
        <w:rPr>
          <w:rFonts w:ascii="Times New Roman" w:hAnsi="Times New Roman"/>
          <w:caps w:val="false"/>
          <w:smallCaps w:val="false"/>
          <w:sz w:val="20"/>
        </w:rPr>
        <w:t>: any event or occurrence that takes place either prior to or after the execution of this Agreement, related to the fact that Indemnitee is or was a director or officer of the Company, or while a director or officer is or was serving at the request of the Company as a director, officer, employee, trustee, agent, or fiduciary of another foreign or domestic corporation, partnership, joint venture, employee benefit plan, trust, or other enterprise, or was a director, officer, employee, or agent of a foreign or domestic corporation that was a predecessor corporation of the Company or of another enterprise at the request of such predecessor corporation, or related to anything done or not done by Indemnitee in any such capacity, whether or not the basis of the Proceeding is alleged action in an official capacity as a director, officer, employee, or agent or in any other capacity while serving as a director, officer, employee, or agent of the Company,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40" w:right="0" w:firstLine="7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Independent Counsel</w:t>
      </w:r>
      <w:r>
        <w:rPr>
          <w:rFonts w:ascii="Times New Roman" w:hAnsi="Times New Roman"/>
          <w:caps w:val="false"/>
          <w:smallCaps w:val="false"/>
          <w:sz w:val="20"/>
        </w:rPr>
        <w:t>:the person or body appointed in connection with Section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Proceeding</w:t>
      </w:r>
      <w:r>
        <w:rPr>
          <w:rFonts w:ascii="Times New Roman" w:hAnsi="Times New Roman"/>
          <w:caps w:val="false"/>
          <w:smallCaps w:val="false"/>
          <w:sz w:val="20"/>
        </w:rPr>
        <w:t>: any threatened, pending, or completed action, suit, or proceeding (including an action by or in the right of the Company), or any inquiry, hearing, or investigation, whether conducted by the Company or any other party, that Indemnitee in good faith believes might lead to the institution of any such action, suit, or proceeding, whether civil, criminal, administrative, investigative, or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Reviewing Party</w:t>
      </w:r>
      <w:r>
        <w:rPr>
          <w:rFonts w:ascii="Times New Roman" w:hAnsi="Times New Roman"/>
          <w:caps w:val="false"/>
          <w:smallCaps w:val="false"/>
          <w:sz w:val="20"/>
        </w:rPr>
        <w:t>: the person or body appointed in accordance with Section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144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Voting Securities</w:t>
      </w:r>
      <w:r>
        <w:rPr>
          <w:rFonts w:ascii="Times New Roman" w:hAnsi="Times New Roman"/>
          <w:caps w:val="false"/>
          <w:smallCaps w:val="false"/>
          <w:sz w:val="20"/>
        </w:rPr>
        <w:t>: any securities of the Company that vote generally in the 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275" w:type="dxa"/>
        <w:jc w:val="left"/>
        <w:tblInd w:w="0" w:type="dxa"/>
        <w:tblLayout w:type="fixed"/>
        <w:tblCellMar>
          <w:top w:w="0" w:type="dxa"/>
          <w:left w:w="0" w:type="dxa"/>
          <w:bottom w:w="0" w:type="dxa"/>
          <w:right w:w="0" w:type="dxa"/>
        </w:tblCellMar>
      </w:tblPr>
      <w:tblGrid>
        <w:gridCol w:w="60"/>
        <w:gridCol w:w="170"/>
        <w:gridCol w:w="204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2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Agreement to Indemnify</w:t>
            </w:r>
            <w:r>
              <w:rPr>
                <w:rFonts w:ascii="Times New Roman" w:hAnsi="Times New Roman"/>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General Agreement</w:t>
      </w:r>
      <w:r>
        <w:rPr>
          <w:rFonts w:ascii="Times New Roman" w:hAnsi="Times New Roman"/>
          <w:caps w:val="false"/>
          <w:smallCaps w:val="false"/>
          <w:sz w:val="20"/>
        </w:rPr>
        <w:t>. General Agreement. In the event Indemnitee was, is, or becomes a party to or witness or other participant in, or is threatened to be made a party to or witness or other participant in, a Proceeding by reason of (or arising in part out of) an Indemnifiable Event, the Company shall indemnify Indemnitee from and against any and all Expenses to the fullest extent permitted by law, as the same exists or may hereafter be amended or interpreted (but in the case of any such amendment or interpretation, only to the extent that such amendment or interpretation permits the Company to provide broader indemnification rights than were permitted prior thereto). The parties hereto intend that this Agreement shall provide for indemnification in excess of that expressly permitted by statute, including, without limitation, any indemnification provided by the Company's Articles of Incorporation, its Bylaws, vote of its shareholders or disinterested directors, or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Initiation of Proceeding</w:t>
      </w:r>
      <w:r>
        <w:rPr>
          <w:rFonts w:ascii="Times New Roman" w:hAnsi="Times New Roman"/>
          <w:caps w:val="false"/>
          <w:smallCaps w:val="false"/>
          <w:sz w:val="20"/>
        </w:rPr>
        <w:t>. Notwithstanding anything in this Agreement to the contrary, Indemnitee shall not be entitled to indemnification pursuant to this Agreement in connection with any Proceeding initiated by Indemnitee against the Company or any director of the Company unless (i) the Company has joined in or the Board has consented to the initiation of such Proceeding; (ii) the Proceeding is one to enforce indemnification rights under Section 5; or</w:t>
      </w:r>
    </w:p>
    <w:p>
      <w:pPr>
        <w:pStyle w:val="TextBody"/>
        <w:bidi w:val="0"/>
        <w:spacing w:before="0" w:after="0"/>
        <w:ind w:left="120" w:right="0" w:hanging="0"/>
        <w:jc w:val="both"/>
        <w:rPr>
          <w:rFonts w:ascii="Times New Roman" w:hAnsi="Times New Roman"/>
          <w:caps w:val="false"/>
          <w:smallCaps w:val="false"/>
          <w:sz w:val="20"/>
        </w:rPr>
      </w:pPr>
      <w:r>
        <w:rPr>
          <w:rFonts w:ascii="Times New Roman" w:hAnsi="Times New Roman"/>
          <w:caps w:val="false"/>
          <w:smallCaps w:val="false"/>
          <w:sz w:val="20"/>
        </w:rPr>
        <w:t>(iii) the Proceeding is instituted after a Change in Control (other than a Change in Control approved by a majority of the directors on the Board who were directors immediately prior to such Change in Control) and Independent Counsel has approved its initiation.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Expense Advances</w:t>
      </w:r>
      <w:r>
        <w:rPr>
          <w:rFonts w:ascii="Times New Roman" w:hAnsi="Times New Roman"/>
          <w:caps w:val="false"/>
          <w:smallCaps w:val="false"/>
          <w:sz w:val="20"/>
        </w:rPr>
        <w:t>. If so requested by Indemnitee, the Company shall advance (within ten business days of such request) any and all Expenses to Indemnitee (an "Expense Advance"); provided that, if and to the extent that the Reviewing Party determines that Indemnitee would not be permitted to be so indemnified under applicable law, the Company shall be entitled to be reimbursed by Indemnitee (who hereby agrees to reimburse the Company) for all such amounts theretofore paid. If Indemnitee has commenced or commences legal proceedings in a court of competent jurisdiction to secure a determination that Indemnitee should be indemnified under applicable law, as provided in Section 4, any determination made by the Reviewing Party that Indemnitee would not be permitted to be indemnified under applicable law shall not be binding ai1d Indemnitee shall not be required to reimburse the Company for any Expense Advance until a final judicial determination is made with respect thereto (as to which all rights of appeal therefrom have been exhausted or have lapsed). Indemnitee's obligation to reimburse the Company for Expense Advances shall be unsecured and no interest shall be charged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Mandatory Indemnification</w:t>
      </w:r>
      <w:r>
        <w:rPr>
          <w:rFonts w:ascii="Times New Roman" w:hAnsi="Times New Roman"/>
          <w:caps w:val="false"/>
          <w:smallCaps w:val="false"/>
          <w:sz w:val="20"/>
        </w:rPr>
        <w:t>. Notwithstanding any other provision of this Agreement, to the extent that Indemnitee has been successful on the merits in defense of any Proceeding relating in whole or in part to an Indemnifiable Event or in defense of any issue or matter therein, Indemnitee shall be indemnified against all Expenses incurred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Partial Indemnification</w:t>
      </w:r>
      <w:r>
        <w:rPr>
          <w:rFonts w:ascii="Times New Roman" w:hAnsi="Times New Roman"/>
          <w:caps w:val="false"/>
          <w:smallCaps w:val="false"/>
          <w:sz w:val="20"/>
        </w:rPr>
        <w:t>. If indemnitee is entitled under any provision of this Agreement to indemnification by the Company for some or a portion of Expenses, but not, however, for the total amount thereof, the Company shall nevertheless indemnify Indemnitee for the po1iion thereof to which Indemnitee is entitled.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2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Prohibited Indemnification</w:t>
      </w:r>
      <w:r>
        <w:rPr>
          <w:rFonts w:ascii="Times New Roman" w:hAnsi="Times New Roman"/>
          <w:caps w:val="false"/>
          <w:smallCaps w:val="false"/>
          <w:sz w:val="20"/>
        </w:rPr>
        <w:t>. No indemnification pursuant to this Agreement shall be paid by the Company on account of any Proceeding in which final unappealed judgment beyond the right of appeal is rendered against Indemnitee for an accounting of profits made from the purchase or sale by Indemnitee of securities of the Company pursuant to the provisions of Section 16(b) of the Securities Exchange Act of 1934, as amended, or similar provisions of any federal, state, or local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720"/>
        <w:jc w:val="both"/>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caps w:val="false"/>
          <w:smallCaps w:val="false"/>
          <w:sz w:val="20"/>
          <w:u w:val="single"/>
        </w:rPr>
        <w:t>Reviewing Party</w:t>
      </w:r>
      <w:r>
        <w:rPr>
          <w:rFonts w:ascii="Times New Roman" w:hAnsi="Times New Roman"/>
          <w:caps w:val="false"/>
          <w:smallCaps w:val="false"/>
          <w:sz w:val="20"/>
        </w:rPr>
        <w:t>. Prior to any Change in Control, the Reviewing Party shall be any appropriate person or body consisting of a member or members of the Board or any other person or body appointed by the Board who is not a party to the particular Proceeding with respect to which Indemnitee is seeking indemnification; after a Change in Control, the Reviewing Party shall be the Independent Counsel referred to below. With respect to all matters arising after a Change in Control (other than a Change in Control approved by a majority of the directors on the Board who were directors immediately prior to such Change in Control) concerning the rights of lndemnitee to indemnity payments and Expense Advances under this Agreement or any other agreement or under applicable law or the Company's Articles of Incorporation or Bylaws now or hereafter in effect relating to indemnification for Indemnifiable Events, the Company shall seek legal advice only from Independent Counsel selected by Indemnitee and approved by the Company (which approval shall not be unreasonably withheld), and who has not otherwise performed services for the Company or the Indemnitee (other than in connection with indemnification matters) within the last five years. The Independent Counsel shall not include any person who, under the applicable standards of professional conduct then prevailing, would have a conflict of interest in representing either the Company or Indemnitee in an action to determine Indemnitee's rights under this Agreement. Such counsel, among other things, shall render its written opinion to the Company and Indemnitee as to whether and to what extent the Indemnitee should be permitted to be indemnified under applicable law. The Company agrees to pay the reasonable fees of the Independent Counsel and to indemnify fully such counsel against any and all expenses (including attorneys' fees), claims, liabilities, loss, and damages arising out of or relating to this Agreement or the engagement of Independent Counsel pursuant hereto.</w:t>
      </w:r>
    </w:p>
    <w:p>
      <w:pPr>
        <w:pStyle w:val="TextBody"/>
        <w:bidi w:val="0"/>
        <w:spacing w:before="0" w:after="0"/>
        <w:ind w:left="0" w:right="0" w:hanging="0"/>
        <w:jc w:val="both"/>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60"/>
        <w:gridCol w:w="170"/>
        <w:gridCol w:w="299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2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Indemnification Process and Appeal</w:t>
            </w:r>
            <w:r>
              <w:rPr>
                <w:rFonts w:ascii="Times New Roman" w:hAnsi="Times New Roman"/>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Indemnification Payment</w:t>
      </w:r>
      <w:r>
        <w:rPr>
          <w:rFonts w:ascii="Times New Roman" w:hAnsi="Times New Roman"/>
          <w:caps w:val="false"/>
          <w:smallCaps w:val="false"/>
          <w:sz w:val="20"/>
        </w:rPr>
        <w:t>. Indemnitee shall be entitled to indemnification of Expenses, and shall receive payment thereof, from the Company in accordance with this Agreement as soon as practicable after Indemnitee has made written demand on the Company for indemnification, unless the Reviewing Party has given a written opinion to the Company that Indemnitee is not entitled to indemnification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Suit to Enforce Rights</w:t>
      </w:r>
      <w:r>
        <w:rPr>
          <w:rFonts w:ascii="Times New Roman" w:hAnsi="Times New Roman"/>
          <w:caps w:val="false"/>
          <w:smallCaps w:val="false"/>
          <w:sz w:val="20"/>
        </w:rPr>
        <w:t>. Regardless of any action by the Reviewing Party, if Indemnitee has not received full indemnification within thirty days after making a demand in accordance with Section 4(a), Indemnitee shall have the right to enforce its indemnification rights under this Agreement by commencing litigation in any court in the State of California having subject matter jurisdiction thereof and in which venue is proper seeking an initial determination by the court or challenging any determination by the Reviewing Party or any aspect thereof. The Company hereby consents to service of process and to appear in any such proceeding. Any determination by the Reviewing Party not challenged by the Indemnitee shall be binding on the Company and Indemnitee. The remedy provided for in this Section 4 shall be in addition to any other remedies available to Indemnitee in law or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2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Defense to Indemnification, Burden of Proof, and Presumptions</w:t>
      </w:r>
      <w:r>
        <w:rPr>
          <w:rFonts w:ascii="Times New Roman" w:hAnsi="Times New Roman"/>
          <w:caps w:val="false"/>
          <w:smallCaps w:val="false"/>
          <w:sz w:val="20"/>
        </w:rPr>
        <w:t>. It shall be a defense to any action brought by Indemnitee against the Company to enforce this Agreement (other than an action brought to enforce a claim for Expenses incurred in defending a Proceeding in advance of its final disposition where the required undertaking has been tendered to the Company) that it is not permissible under applicable law for the Company to indemnify Indemnitee for the amount claimed. In connection with any such action or any determination by the Reviewing Party or otherwise as to whether Indemnitee is entitled to be indemnified hereunder, the burden of proving such a defense or determination shall be on the Company. Neither the failure of the Reviewing Party or the Company (including its Board, independent legal counsel, or its shareholders) to have made a determination prior to the commencement of such action by Indemnitee that indemnification of the claimant is proper under the circumstances because he has met the standard of conduct set forth in applicable law, nor an actual determination by the Reviewing Party or Company (including its Board, independent legal counsel, or its shareholders) that the Indemnitee had not met such applicable standard of conduct, shall be a defense to the action or create a presumption that the Indemnitee has not met the applicable standard of conduct. For purposes of this Agreement, the termination of any claim, action, suit, or proceeding, by judgment, order, settlement (whether with or without court approval), conviction, or upon a plea of nolo contendere, or its equivalent, shall not create a presumption that Indemnitee did not meet any particular standard of conduct or have any particular belief or that a court has determined that indemnification is not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720"/>
        <w:jc w:val="both"/>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caps w:val="false"/>
          <w:smallCaps w:val="false"/>
          <w:sz w:val="20"/>
          <w:u w:val="single"/>
        </w:rPr>
        <w:t>Indemnification for Expenses Incurred in Enforcing Rights</w:t>
      </w:r>
      <w:r>
        <w:rPr>
          <w:rFonts w:ascii="Times New Roman" w:hAnsi="Times New Roman"/>
          <w:caps w:val="false"/>
          <w:smallCaps w:val="false"/>
          <w:sz w:val="20"/>
        </w:rPr>
        <w:t>. The Company shall indemnify Indemnitee against any and all Expenses that are incurred by Indemnitee in connection with any action brought by Indemnitee 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560" w:right="0" w:firstLine="720"/>
        <w:jc w:val="both"/>
        <w:rPr>
          <w:rFonts w:ascii="Times New Roman" w:hAnsi="Times New Roman"/>
          <w:caps w:val="false"/>
          <w:smallCaps w:val="false"/>
          <w:sz w:val="20"/>
        </w:rPr>
      </w:pPr>
      <w:r>
        <w:rPr>
          <w:rFonts w:ascii="Times New Roman" w:hAnsi="Times New Roman"/>
          <w:caps w:val="false"/>
          <w:smallCaps w:val="false"/>
          <w:sz w:val="20"/>
        </w:rPr>
        <w:t>(i)    indemnification of Expenses by the Company under this Agreement or any other agreement or under applicable law or the Company's Articles of Incorporation or Bylaws now or hereafter in effect relating to indemnification for Indemnifiable Events, and/or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560" w:right="0" w:firstLine="720"/>
        <w:jc w:val="both"/>
        <w:rPr>
          <w:rFonts w:ascii="Times New Roman" w:hAnsi="Times New Roman"/>
          <w:caps w:val="false"/>
          <w:smallCaps w:val="false"/>
          <w:sz w:val="20"/>
        </w:rPr>
      </w:pPr>
      <w:r>
        <w:rPr>
          <w:rFonts w:ascii="Times New Roman" w:hAnsi="Times New Roman"/>
          <w:caps w:val="false"/>
          <w:smallCaps w:val="false"/>
          <w:sz w:val="20"/>
        </w:rPr>
        <w:t>(ii)    recovery under directors' and officers' liability insurance policies maintained by the Company, but only in the event that Indemnitee ultimately is determined to be entitled to such indemnification or insurance recovery, as the case may be. In addition, the Company shall, if so requested by Indemnitee, advance the foregoing Expenses to Indemnitee, subject to and in accordance with Section 2(c).</w:t>
      </w:r>
    </w:p>
    <w:p>
      <w:pPr>
        <w:pStyle w:val="TextBody"/>
        <w:bidi w:val="0"/>
        <w:spacing w:before="0" w:after="0"/>
        <w:ind w:left="0" w:right="0" w:hanging="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60"/>
        <w:gridCol w:w="170"/>
        <w:gridCol w:w="326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w:t>
            </w:r>
          </w:p>
        </w:tc>
        <w:tc>
          <w:tcPr>
            <w:tcW w:w="32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Notification and Defense of Proceeding</w:t>
            </w:r>
            <w:r>
              <w:rPr>
                <w:rFonts w:ascii="Times New Roman" w:hAnsi="Times New Roman"/>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Notice</w:t>
      </w:r>
      <w:r>
        <w:rPr>
          <w:rFonts w:ascii="Times New Roman" w:hAnsi="Times New Roman"/>
          <w:caps w:val="false"/>
          <w:smallCaps w:val="false"/>
          <w:sz w:val="20"/>
        </w:rPr>
        <w:t>. Promptly after receipt by Indemnitee of notice of the commencement of any Proceeding, Indemnitee will, if a claim in respect thereof is to be made against the Company under this Agreement, notify the Company of the commencement thereof; but the omission so to notify the Company will not relieve it from any liability that it may have to Indemnitee, except as provided in Section 6(c).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2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Defense</w:t>
      </w:r>
      <w:r>
        <w:rPr>
          <w:rFonts w:ascii="Times New Roman" w:hAnsi="Times New Roman"/>
          <w:caps w:val="false"/>
          <w:smallCaps w:val="false"/>
          <w:sz w:val="20"/>
        </w:rPr>
        <w:t>. With respect to any Proceeding as to which Indemnitee notifies the Company of the commencement thereof, the Company will be entitled to participate in the Proceeding at its own expense and except as otherwise provided below, to the extent the Company so wishes, it may assume the defense thereof with counsel reasonably satisfactory to Indemnitee. After notice from the Company to Indemnitee of its election to assume the defense of any Proceeding, the Company will not be liable to Indemnitee under this Agreement or otherwise for any Expenses subsequently incurred by Indemnitee in connection with the defense of such Proceeding other than reasonable costs of investigation or as otherwise provided below. Indemnitee shall have the right to employ his own counsel in such Proceeding, but all Expenses related thereto incurred after notice from the Company of its assumption of the defense shall be at Indemnitee's expense unless: (i) the employment of counsel by Indemnitee has been authorized by the Company, (ii) Indemnitee has reasonably determined that there may be a conflict of interest between Indemnitee and the Company in the defense of the Proceeding, after a Change in Control (other than a Change in Control approved by a majority of the directors on the Board who were directors immediately prior to such Change in Control), the employment of counsel by Indemnitee has been approved by the Independent Counsel, or (iv) the Company shall not in fact have employed counsel to assume the defense of such Proceeding, in each of which case all Expenses of the Proceeding shall be borne by the Company. The Company shall not be entitled to assume the defense of any Proceeding brought by or on behalf of the Company or as to which Indemnitee shall have made the determination provided for in (ii)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Settlement of Claims</w:t>
      </w:r>
      <w:r>
        <w:rPr>
          <w:rFonts w:ascii="Times New Roman" w:hAnsi="Times New Roman"/>
          <w:caps w:val="false"/>
          <w:smallCaps w:val="false"/>
          <w:sz w:val="20"/>
        </w:rPr>
        <w:t>. The Company shall not be liable to indemnify Indemnitee under this Agreement or otherwise for any amounts paid in settlement of any Proceeding effected without the Company's written consent, provided, however, that if a Change in Control has occurred (other than a Change in Control approved by a majority of the directors on the Board who were directors immediately prior to such Change in Control), the Company shall be liable for indemnification of Indemnitee for amounts paid in settlement if the Independent Counsel has approved the settlement. The Company shall not settle any Proceeding in any manner that would impose any penalty or limitation on Indemnitee without Indemnitee's written consent. Neither the Company nor the Indemnitee will unreasonably withhold their consent to any proposed settlement. The Company shall not be liable to indemnify the Indemnitee under this Agreement with regard to any judicial award if the Company was not given a reasonable and timely opportunity, at its expense, to participate in the defense of such action; the Company's liability hereunder shall not be excused if participation in the Proceeding by the Company was barred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20" w:right="0" w:firstLine="720"/>
        <w:jc w:val="both"/>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caps w:val="false"/>
          <w:smallCaps w:val="false"/>
          <w:sz w:val="20"/>
          <w:u w:val="single"/>
        </w:rPr>
        <w:t>Establishment of Trust</w:t>
      </w:r>
      <w:r>
        <w:rPr>
          <w:rFonts w:ascii="Times New Roman" w:hAnsi="Times New Roman"/>
          <w:caps w:val="false"/>
          <w:smallCaps w:val="false"/>
          <w:sz w:val="20"/>
        </w:rPr>
        <w:t>. In the event of a Change in Control (other than a Change in Control approved by a majority of the directors on the Board who were directors immediately prior to such Change in Control) the Company shall, upon written request by Indemnitee, create a Trust for the benefit of the Indemnitee and from time to time upon written request of Indemnitee shall fund the Trust in an amount sufficient to satisfy any and all Expenses reasonably anticipated at the time of each such request to be incurred in connection with investigating, preparing for, participating in, and/or defending any Proceeding relating to an Indemnifiable Event. The amount or amounts to be deposited in the Trust pursuant to the foregoing funding obligation shall be determined by the Reviewing Party. The terms of the Trust shall provide that (i) the Trust shall not be revoked or the principal thereof invaded, without the written consent of the Indemnitee, (ii) the Trustee shall advance, within ten business days of a request by the Indemnitee, any and all Expenses to the Indemnitee (and the Indemnitee hereby agrees to reimburse the Trust under the same circumstances for which the Indemnitee would be required to reimburse the Company under Section 2(c) of this Agreement), (iii) the Trust shall continue to be funded by the Company in accordance with the funding obligation set forth above, (iv) the Trustee shall promptly pay to the Indemnitee all amounts for which the Indemnitee shall be entitled to indemnification pursuant to this Agreement or otherwise, and (v) all unexpended funds in the Trust shall revert to the Company upon a final determination by the Reviewing Party or a court of competent jurisdiction, as the case may be, that the Indemnitee has been fully indemnified under the terms of this Agreement. The Trustee shall be chosen by the Indemnitee. Nothing in this Section 7 shall relieve the Company of any of its obligations under this Agreement. All income earned on the assets held in the Trust shall be reported as income by the Company for federal, state, local, and foreign tax purposes. The Company shall pay all costs of establishing and maintaining the Trust and shall indemnify the Trustee against any and all expenses (including attorneys' fees), claims, liabilities, loss, and damages arising out of or relating to this Agreement or the establishment and maintenance of the Trust.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720"/>
        <w:jc w:val="both"/>
        <w:rPr>
          <w:rFonts w:ascii="Times New Roman" w:hAnsi="Times New Roman"/>
          <w:caps w:val="false"/>
          <w:smallCaps w:val="false"/>
          <w:sz w:val="20"/>
        </w:rPr>
      </w:pPr>
      <w:r>
        <w:rPr>
          <w:rFonts w:ascii="Times New Roman" w:hAnsi="Times New Roman"/>
          <w:caps w:val="false"/>
          <w:smallCaps w:val="false"/>
          <w:sz w:val="20"/>
        </w:rPr>
        <w:t>8.    </w:t>
      </w:r>
      <w:r>
        <w:rPr>
          <w:rFonts w:ascii="Times New Roman" w:hAnsi="Times New Roman"/>
          <w:caps w:val="false"/>
          <w:smallCaps w:val="false"/>
          <w:sz w:val="20"/>
          <w:u w:val="single"/>
        </w:rPr>
        <w:t>Non-Exclusivity</w:t>
      </w:r>
      <w:r>
        <w:rPr>
          <w:rFonts w:ascii="Times New Roman" w:hAnsi="Times New Roman"/>
          <w:caps w:val="false"/>
          <w:smallCaps w:val="false"/>
          <w:sz w:val="20"/>
        </w:rPr>
        <w:t>. The rights of Indemnitee hereunder shall be in addition to any other rights Indemnitee may have under the Company's Articles of Incorporation, Bylaws, applicable law, or otherwise. To the extent that a change in applicable law (whether by statute or judicial decision) permits greater indemnification by agreement than would be afforded currently under the Company's Articles of Incorporation, Bylaws, applicable law, or this Agreement, it is the intent of the parties that Indemnitee enjoy by this Agreement the greater benefits so afforded by such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720"/>
        <w:jc w:val="both"/>
        <w:rPr>
          <w:rFonts w:ascii="Times New Roman" w:hAnsi="Times New Roman"/>
          <w:caps w:val="false"/>
          <w:smallCaps w:val="false"/>
          <w:sz w:val="20"/>
        </w:rPr>
      </w:pPr>
      <w:r>
        <w:rPr>
          <w:rFonts w:ascii="Times New Roman" w:hAnsi="Times New Roman"/>
          <w:caps w:val="false"/>
          <w:smallCaps w:val="false"/>
          <w:sz w:val="20"/>
        </w:rPr>
        <w:t>9.    </w:t>
      </w:r>
      <w:r>
        <w:rPr>
          <w:rFonts w:ascii="Times New Roman" w:hAnsi="Times New Roman"/>
          <w:caps w:val="false"/>
          <w:smallCaps w:val="false"/>
          <w:sz w:val="20"/>
          <w:u w:val="single"/>
        </w:rPr>
        <w:t>Liability Insurance</w:t>
      </w:r>
      <w:r>
        <w:rPr>
          <w:rFonts w:ascii="Times New Roman" w:hAnsi="Times New Roman"/>
          <w:caps w:val="false"/>
          <w:smallCaps w:val="false"/>
          <w:sz w:val="20"/>
        </w:rPr>
        <w:t>.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720"/>
        <w:jc w:val="both"/>
        <w:rPr>
          <w:rFonts w:ascii="Times New Roman" w:hAnsi="Times New Roman"/>
          <w:caps w:val="false"/>
          <w:smallCaps w:val="false"/>
          <w:sz w:val="20"/>
        </w:rPr>
      </w:pPr>
      <w:r>
        <w:rPr>
          <w:rFonts w:ascii="Times New Roman" w:hAnsi="Times New Roman"/>
          <w:caps w:val="false"/>
          <w:smallCaps w:val="false"/>
          <w:sz w:val="20"/>
        </w:rPr>
        <w:t>10.    </w:t>
      </w:r>
      <w:r>
        <w:rPr>
          <w:rFonts w:ascii="Times New Roman" w:hAnsi="Times New Roman"/>
          <w:caps w:val="false"/>
          <w:smallCaps w:val="false"/>
          <w:sz w:val="20"/>
          <w:u w:val="single"/>
        </w:rPr>
        <w:t>Period of Limitations</w:t>
      </w:r>
      <w:r>
        <w:rPr>
          <w:rFonts w:ascii="Times New Roman" w:hAnsi="Times New Roman"/>
          <w:caps w:val="false"/>
          <w:smallCaps w:val="false"/>
          <w:sz w:val="20"/>
        </w:rPr>
        <w:t>. No legal action shall be brought and no cause of action shall be asserted by or on behalf of the Company or any affiliate of the Company against Indemnitee, Indemnitee's spouse, heirs, executors, or personal or legal representatives after the expiration of two (2) years from the date of accrual of such cause of action, or such longer period as may be required by state law under the circumstances. Any claim or cause of action of the Company or its affiliate shall be extinguished and deemed released unless asserted by the timely filing of a legal action within such period; provided, however, that if any shorter period of limitations is otherwise applicable to any such cause of action the shorter period shall govern.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720"/>
        <w:jc w:val="both"/>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caps w:val="false"/>
          <w:smallCaps w:val="false"/>
          <w:sz w:val="20"/>
          <w:u w:val="single"/>
        </w:rPr>
        <w:t>Amendment of this Agreement</w:t>
      </w:r>
      <w:r>
        <w:rPr>
          <w:rFonts w:ascii="Times New Roman" w:hAnsi="Times New Roman"/>
          <w:caps w:val="false"/>
          <w:smallCaps w:val="false"/>
          <w:sz w:val="20"/>
        </w:rPr>
        <w:t>. No supplement, modification, or amendment of this Agreement shall be binding unless executed in writing by both of the parties hereto. No waiver of any of the provisions of this Agreement shall be binding unless in the form of a writing signed by the pa1iy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20" w:right="0" w:firstLine="720"/>
        <w:jc w:val="both"/>
        <w:rPr>
          <w:rFonts w:ascii="Times New Roman" w:hAnsi="Times New Roman"/>
          <w:caps w:val="false"/>
          <w:smallCaps w:val="false"/>
          <w:sz w:val="20"/>
        </w:rPr>
      </w:pPr>
      <w:r>
        <w:rPr>
          <w:rFonts w:ascii="Times New Roman" w:hAnsi="Times New Roman"/>
          <w:caps w:val="false"/>
          <w:smallCaps w:val="false"/>
          <w:sz w:val="20"/>
        </w:rPr>
        <w:t>12.    </w:t>
      </w:r>
      <w:r>
        <w:rPr>
          <w:rFonts w:ascii="Times New Roman" w:hAnsi="Times New Roman"/>
          <w:caps w:val="false"/>
          <w:smallCaps w:val="false"/>
          <w:sz w:val="20"/>
          <w:u w:val="single"/>
        </w:rPr>
        <w:t>Subrogation</w:t>
      </w:r>
      <w:r>
        <w:rPr>
          <w:rFonts w:ascii="Times New Roman" w:hAnsi="Times New Roman"/>
          <w:caps w:val="false"/>
          <w:smallCaps w:val="false"/>
          <w:sz w:val="20"/>
        </w:rPr>
        <w:t>.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720"/>
        <w:jc w:val="both"/>
        <w:rPr>
          <w:rFonts w:ascii="Times New Roman" w:hAnsi="Times New Roman"/>
          <w:caps w:val="false"/>
          <w:smallCaps w:val="false"/>
          <w:sz w:val="20"/>
        </w:rPr>
      </w:pPr>
      <w:r>
        <w:rPr>
          <w:rFonts w:ascii="Times New Roman" w:hAnsi="Times New Roman"/>
          <w:caps w:val="false"/>
          <w:smallCaps w:val="false"/>
          <w:sz w:val="20"/>
        </w:rPr>
        <w:t>13.    </w:t>
      </w:r>
      <w:r>
        <w:rPr>
          <w:rFonts w:ascii="Times New Roman" w:hAnsi="Times New Roman"/>
          <w:caps w:val="false"/>
          <w:smallCaps w:val="false"/>
          <w:sz w:val="20"/>
          <w:u w:val="single"/>
        </w:rPr>
        <w:t>No Duplication of Payments</w:t>
      </w:r>
      <w:r>
        <w:rPr>
          <w:rFonts w:ascii="Times New Roman" w:hAnsi="Times New Roman"/>
          <w:caps w:val="false"/>
          <w:smallCaps w:val="false"/>
          <w:sz w:val="20"/>
        </w:rPr>
        <w:t>. The Company shall not be liable under this Agreement to make any payment in connection with any claim made against Indemnitee to the extent Indemnitee has otherwise received payment (under any insurance policy, Bylaw, or otherwise) of the amounts otherwise Indemnifiable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720"/>
        <w:jc w:val="both"/>
        <w:rPr>
          <w:rFonts w:ascii="Times New Roman" w:hAnsi="Times New Roman"/>
          <w:caps w:val="false"/>
          <w:smallCaps w:val="false"/>
          <w:sz w:val="20"/>
        </w:rPr>
      </w:pPr>
      <w:r>
        <w:rPr>
          <w:rFonts w:ascii="Times New Roman" w:hAnsi="Times New Roman"/>
          <w:caps w:val="false"/>
          <w:smallCaps w:val="false"/>
          <w:sz w:val="20"/>
        </w:rPr>
        <w:t>14.    </w:t>
      </w:r>
      <w:r>
        <w:rPr>
          <w:rFonts w:ascii="Times New Roman" w:hAnsi="Times New Roman"/>
          <w:caps w:val="false"/>
          <w:smallCaps w:val="false"/>
          <w:sz w:val="20"/>
          <w:u w:val="single"/>
        </w:rPr>
        <w:t>Binding Effect</w:t>
      </w:r>
      <w:r>
        <w:rPr>
          <w:rFonts w:ascii="Times New Roman" w:hAnsi="Times New Roman"/>
          <w:caps w:val="false"/>
          <w:smallCaps w:val="false"/>
          <w:sz w:val="20"/>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The indemnification provided under this Agreement shall continue as to Indemnitee for any action taken or not taken while serving in an indemnified capacity pertaining to an Indemnifiable Event even though he may have ceased to serve in such capacity at the time of any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720"/>
        <w:jc w:val="both"/>
        <w:rPr>
          <w:rFonts w:ascii="Times New Roman" w:hAnsi="Times New Roman"/>
          <w:caps w:val="false"/>
          <w:smallCaps w:val="false"/>
          <w:sz w:val="20"/>
        </w:rPr>
      </w:pPr>
      <w:r>
        <w:rPr>
          <w:rFonts w:ascii="Times New Roman" w:hAnsi="Times New Roman"/>
          <w:caps w:val="false"/>
          <w:smallCaps w:val="false"/>
          <w:sz w:val="20"/>
        </w:rPr>
        <w:t>15.    </w:t>
      </w:r>
      <w:r>
        <w:rPr>
          <w:rFonts w:ascii="Times New Roman" w:hAnsi="Times New Roman"/>
          <w:caps w:val="false"/>
          <w:smallCaps w:val="false"/>
          <w:sz w:val="20"/>
          <w:u w:val="single"/>
        </w:rPr>
        <w:t>Severability</w:t>
      </w:r>
      <w:r>
        <w:rPr>
          <w:rFonts w:ascii="Times New Roman" w:hAnsi="Times New Roman"/>
          <w:caps w:val="false"/>
          <w:smallCaps w:val="false"/>
          <w:sz w:val="20"/>
        </w:rPr>
        <w:t>. If any provision (or portion thereof) of this Agreement shall be held by a court of competent jurisdiction to be invalid, void, or otherwise unenforceable,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void, or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720"/>
        <w:jc w:val="both"/>
        <w:rPr>
          <w:rFonts w:ascii="Times New Roman" w:hAnsi="Times New Roman"/>
          <w:caps w:val="false"/>
          <w:smallCaps w:val="false"/>
          <w:sz w:val="20"/>
        </w:rPr>
      </w:pPr>
      <w:r>
        <w:rPr>
          <w:rFonts w:ascii="Times New Roman" w:hAnsi="Times New Roman"/>
          <w:caps w:val="false"/>
          <w:smallCaps w:val="false"/>
          <w:sz w:val="20"/>
        </w:rPr>
        <w:t>16.    </w:t>
      </w:r>
      <w:r>
        <w:rPr>
          <w:rFonts w:ascii="Times New Roman" w:hAnsi="Times New Roman"/>
          <w:caps w:val="false"/>
          <w:smallCaps w:val="false"/>
          <w:sz w:val="20"/>
          <w:u w:val="single"/>
        </w:rPr>
        <w:t>Governing Law</w:t>
      </w:r>
      <w:r>
        <w:rPr>
          <w:rFonts w:ascii="Times New Roman" w:hAnsi="Times New Roman"/>
          <w:caps w:val="false"/>
          <w:smallCaps w:val="false"/>
          <w:sz w:val="20"/>
        </w:rPr>
        <w:t>. This Agreement shall be governed by and construed and enforced in accordance with the laws of the State of California applicable to contracts made and to be performed in such State without giving effect to the principles of conflicts of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20" w:right="0" w:firstLine="720"/>
        <w:jc w:val="both"/>
        <w:rPr>
          <w:rFonts w:ascii="Times New Roman" w:hAnsi="Times New Roman"/>
          <w:caps w:val="false"/>
          <w:smallCaps w:val="false"/>
          <w:sz w:val="20"/>
        </w:rPr>
      </w:pPr>
      <w:r>
        <w:rPr>
          <w:rFonts w:ascii="Times New Roman" w:hAnsi="Times New Roman"/>
          <w:caps w:val="false"/>
          <w:smallCaps w:val="false"/>
          <w:sz w:val="20"/>
        </w:rPr>
        <w:t>17.    </w:t>
      </w:r>
      <w:r>
        <w:rPr>
          <w:rFonts w:ascii="Times New Roman" w:hAnsi="Times New Roman"/>
          <w:caps w:val="false"/>
          <w:smallCaps w:val="false"/>
          <w:sz w:val="20"/>
          <w:u w:val="single"/>
        </w:rPr>
        <w:t>Notices</w:t>
      </w:r>
      <w:r>
        <w:rPr>
          <w:rFonts w:ascii="Times New Roman" w:hAnsi="Times New Roman"/>
          <w:caps w:val="false"/>
          <w:smallCaps w:val="false"/>
          <w:sz w:val="20"/>
        </w:rPr>
        <w:t>. All notices, demands, and other communications required or permitted hereunder shall be made in writing and shall be deemed to have been duly given if delivered by hand, against receipt, or mailed, postage prepaid, certified or registered mail, return receipt requested, and addressed to the Company 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280" w:right="0" w:hanging="0"/>
        <w:jc w:val="both"/>
        <w:rPr>
          <w:rFonts w:ascii="Times New Roman" w:hAnsi="Times New Roman"/>
          <w:caps w:val="false"/>
          <w:smallCaps w:val="false"/>
          <w:sz w:val="20"/>
        </w:rPr>
      </w:pPr>
      <w:r>
        <w:rPr>
          <w:rFonts w:ascii="Times New Roman" w:hAnsi="Times New Roman"/>
          <w:caps w:val="false"/>
          <w:smallCaps w:val="false"/>
          <w:sz w:val="20"/>
        </w:rPr>
        <w:t>Vistagen Therapeutics, Inc. 343 Allerton Avenue</w:t>
      </w:r>
    </w:p>
    <w:p>
      <w:pPr>
        <w:pStyle w:val="TextBody"/>
        <w:bidi w:val="0"/>
        <w:spacing w:before="0" w:after="0"/>
        <w:ind w:left="2280" w:right="0" w:hanging="0"/>
        <w:jc w:val="both"/>
        <w:rPr>
          <w:rFonts w:ascii="Times New Roman" w:hAnsi="Times New Roman"/>
          <w:caps w:val="false"/>
          <w:smallCaps w:val="false"/>
          <w:sz w:val="20"/>
        </w:rPr>
      </w:pPr>
      <w:r>
        <w:rPr>
          <w:rFonts w:ascii="Times New Roman" w:hAnsi="Times New Roman"/>
          <w:caps w:val="false"/>
          <w:smallCaps w:val="false"/>
          <w:sz w:val="20"/>
        </w:rPr>
        <w:t>South San Francisco, CA 94080 Attention: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280" w:right="0" w:hanging="0"/>
        <w:jc w:val="both"/>
        <w:rPr>
          <w:rFonts w:ascii="Times New Roman" w:hAnsi="Times New Roman"/>
          <w:caps w:val="false"/>
          <w:smallCaps w:val="false"/>
          <w:sz w:val="20"/>
        </w:rPr>
      </w:pPr>
      <w:r>
        <w:rPr>
          <w:rFonts w:ascii="Times New Roman" w:hAnsi="Times New Roman"/>
          <w:caps w:val="false"/>
          <w:smallCaps w:val="false"/>
          <w:sz w:val="20"/>
        </w:rPr>
        <w:t>and to Indemnitee 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280" w:right="0" w:hanging="0"/>
        <w:jc w:val="both"/>
        <w:rPr>
          <w:rFonts w:ascii="Times New Roman" w:hAnsi="Times New Roman"/>
          <w:caps w:val="false"/>
          <w:smallCaps w:val="false"/>
          <w:sz w:val="20"/>
        </w:rPr>
      </w:pPr>
      <w:r>
        <w:rPr>
          <w:rFonts w:ascii="Times New Roman" w:hAnsi="Times New Roman"/>
          <w:caps w:val="false"/>
          <w:smallCaps w:val="false"/>
          <w:sz w:val="20"/>
        </w:rPr>
        <w:t>Joshua Prince</w:t>
      </w:r>
    </w:p>
    <w:p>
      <w:pPr>
        <w:pStyle w:val="TextBody"/>
        <w:bidi w:val="0"/>
        <w:spacing w:before="0" w:after="0"/>
        <w:ind w:left="2280" w:right="0" w:hanging="0"/>
        <w:jc w:val="both"/>
        <w:rPr>
          <w:rFonts w:ascii="Times New Roman" w:hAnsi="Times New Roman"/>
          <w:caps w:val="false"/>
          <w:smallCaps w:val="false"/>
          <w:sz w:val="20"/>
        </w:rPr>
      </w:pPr>
      <w:r>
        <w:rPr>
          <w:rFonts w:ascii="Times New Roman" w:hAnsi="Times New Roman"/>
          <w:caps w:val="false"/>
          <w:smallCaps w:val="false"/>
          <w:sz w:val="20"/>
        </w:rPr>
        <w:t>1 Saratoga Dr.</w:t>
      </w:r>
    </w:p>
    <w:p>
      <w:pPr>
        <w:pStyle w:val="TextBody"/>
        <w:bidi w:val="0"/>
        <w:spacing w:before="0" w:after="0"/>
        <w:ind w:left="2280" w:right="0" w:hanging="0"/>
        <w:jc w:val="both"/>
        <w:rPr>
          <w:rFonts w:ascii="Times New Roman" w:hAnsi="Times New Roman"/>
          <w:caps w:val="false"/>
          <w:smallCaps w:val="false"/>
          <w:sz w:val="20"/>
        </w:rPr>
      </w:pPr>
      <w:r>
        <w:rPr>
          <w:rFonts w:ascii="Times New Roman" w:hAnsi="Times New Roman"/>
          <w:caps w:val="false"/>
          <w:smallCaps w:val="false"/>
          <w:sz w:val="20"/>
        </w:rPr>
        <w:t>Collegeville, PA 19426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720"/>
        <w:jc w:val="both"/>
        <w:rPr>
          <w:rFonts w:ascii="Times New Roman" w:hAnsi="Times New Roman"/>
          <w:caps w:val="false"/>
          <w:smallCaps w:val="false"/>
          <w:sz w:val="20"/>
        </w:rPr>
      </w:pPr>
      <w:r>
        <w:rPr>
          <w:rFonts w:ascii="Times New Roman" w:hAnsi="Times New Roman"/>
          <w:caps w:val="false"/>
          <w:smallCaps w:val="false"/>
          <w:sz w:val="20"/>
        </w:rPr>
        <w:t>Notice of change of address shall be effective only when done in accordance with this Section. All notices complying with this Section shall be deemed to have been received on the date of delivery or on the third business day after mailing.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IN WITNESS WHEREOF, the parties hereto have duly executed and delivered this Agreement as of the day specified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4265"/>
        <w:gridCol w:w="1520"/>
      </w:tblGrid>
      <w:tr>
        <w:trPr/>
        <w:tc>
          <w:tcPr>
            <w:tcW w:w="4265" w:type="dxa"/>
            <w:tcBorders/>
            <w:vAlign w:val="center"/>
          </w:tcPr>
          <w:p>
            <w:pPr>
              <w:pStyle w:val="TableContents"/>
              <w:bidi w:val="0"/>
              <w:spacing w:before="0" w:after="283"/>
              <w:jc w:val="left"/>
              <w:rPr/>
            </w:pPr>
            <w:r>
              <w:rPr/>
              <w:t>VISTAGEN THERAPEUTICS, INC.         </w:t>
            </w:r>
          </w:p>
        </w:tc>
        <w:tc>
          <w:tcPr>
            <w:tcW w:w="1520" w:type="dxa"/>
            <w:tcBorders/>
            <w:vAlign w:val="center"/>
          </w:tcPr>
          <w:p>
            <w:pPr>
              <w:pStyle w:val="TableContents"/>
              <w:bidi w:val="0"/>
              <w:spacing w:before="0" w:after="283"/>
              <w:jc w:val="left"/>
              <w:rPr/>
            </w:pPr>
            <w:r>
              <w:rPr/>
              <w:t>INDEMNITEE</w:t>
            </w:r>
          </w:p>
        </w:tc>
      </w:tr>
    </w:tbl>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3305"/>
        <w:gridCol w:w="2255"/>
      </w:tblGrid>
      <w:tr>
        <w:trPr/>
        <w:tc>
          <w:tcPr>
            <w:tcW w:w="3305" w:type="dxa"/>
            <w:tcBorders/>
            <w:vAlign w:val="center"/>
          </w:tcPr>
          <w:p>
            <w:pPr>
              <w:pStyle w:val="TableContents"/>
              <w:bidi w:val="0"/>
              <w:spacing w:before="0" w:after="283"/>
              <w:jc w:val="left"/>
              <w:rPr/>
            </w:pPr>
            <w:r>
              <w:rPr/>
              <w:t xml:space="preserve">By: </w:t>
            </w:r>
            <w:r>
              <w:rPr>
                <w:u w:val="single"/>
              </w:rPr>
              <w:t>/s/ Cynthia Anderson</w:t>
            </w:r>
            <w:r>
              <w:rPr/>
              <w:t>         </w:t>
            </w:r>
          </w:p>
        </w:tc>
        <w:tc>
          <w:tcPr>
            <w:tcW w:w="2255" w:type="dxa"/>
            <w:tcBorders/>
            <w:vAlign w:val="center"/>
          </w:tcPr>
          <w:p>
            <w:pPr>
              <w:pStyle w:val="TableContents"/>
              <w:bidi w:val="0"/>
              <w:spacing w:before="0" w:after="283"/>
              <w:jc w:val="left"/>
              <w:rPr/>
            </w:pPr>
            <w:r>
              <w:rPr/>
              <w:t xml:space="preserve">By: </w:t>
            </w:r>
            <w:r>
              <w:rPr>
                <w:u w:val="single"/>
              </w:rPr>
              <w:t>/s/ Joshua Prince</w:t>
            </w:r>
          </w:p>
        </w:tc>
      </w:tr>
      <w:tr>
        <w:trPr/>
        <w:tc>
          <w:tcPr>
            <w:tcW w:w="3305"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xml:space="preserve">Name: </w:t>
            </w:r>
            <w:r>
              <w:rPr>
                <w:u w:val="single"/>
              </w:rPr>
              <w:t>Cynthia Anderson</w:t>
            </w:r>
            <w:r>
              <w:rPr/>
              <w:t>         </w:t>
            </w:r>
          </w:p>
        </w:tc>
        <w:tc>
          <w:tcPr>
            <w:tcW w:w="225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xml:space="preserve">Title: </w:t>
            </w:r>
            <w:r>
              <w:rPr>
                <w:u w:val="single"/>
              </w:rPr>
              <w:t>Chief Financial Officer</w:t>
            </w:r>
            <w:r>
              <w:rPr/>
              <w:t>         </w:t>
            </w:r>
          </w:p>
        </w:tc>
        <w:tc>
          <w:tcPr>
            <w:tcW w:w="225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xml:space="preserve">Date: </w:t>
            </w:r>
            <w:r>
              <w:rPr>
                <w:u w:val="single"/>
              </w:rPr>
              <w:t>October 24, 2023</w:t>
            </w:r>
            <w:r>
              <w:rPr/>
              <w:t>        </w:t>
            </w:r>
          </w:p>
        </w:tc>
        <w:tc>
          <w:tcPr>
            <w:tcW w:w="2255" w:type="dxa"/>
            <w:tcBorders/>
            <w:vAlign w:val="center"/>
          </w:tcPr>
          <w:p>
            <w:pPr>
              <w:pStyle w:val="TableContents"/>
              <w:bidi w:val="0"/>
              <w:spacing w:before="0" w:after="283"/>
              <w:jc w:val="left"/>
              <w:rPr/>
            </w:pPr>
            <w:r>
              <w:rPr/>
              <w:t xml:space="preserve">Date: </w:t>
            </w:r>
            <w:r>
              <w:rPr>
                <w:u w:val="single"/>
              </w:rPr>
              <w:t>October 24, 2023</w:t>
            </w:r>
          </w:p>
        </w:tc>
      </w:tr>
    </w:tbl>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5180</Words>
  <Characters>27728</Characters>
  <CharactersWithSpaces>33105</CharactersWithSpaces>
  <Paragraphs>281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