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14,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22"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22"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22" w:right="239" w:bottom="1440" w:gutter="0" w:footer="0" w:header="0"/>
          <w:type w:val="continuous"/>
        </w:sect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jc w:val="center"/>
              <w:ind w:right="11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226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441"/>
        </w:trPr>
        <w:tc>
          <w:tcPr>
            <w:tcW w:w="424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7"/>
              </w:rPr>
              <w:t>Title of each class</w:t>
            </w:r>
          </w:p>
        </w:tc>
        <w:tc>
          <w:tcPr>
            <w:tcW w:w="2260" w:type="dxa"/>
            <w:vAlign w:val="bottom"/>
            <w:tcBorders>
              <w:bottom w:val="single" w:sz="8" w:color="auto"/>
            </w:tcBorders>
          </w:tcPr>
          <w:p>
            <w:pPr>
              <w:jc w:val="center"/>
              <w:ind w:right="452"/>
              <w:spacing w:after="0"/>
              <w:rPr>
                <w:sz w:val="20"/>
                <w:szCs w:val="20"/>
                <w:color w:val="auto"/>
              </w:rPr>
            </w:pPr>
            <w:r>
              <w:rPr>
                <w:rFonts w:ascii="Arial" w:cs="Arial" w:eastAsia="Arial" w:hAnsi="Arial"/>
                <w:sz w:val="18"/>
                <w:szCs w:val="18"/>
                <w:color w:val="auto"/>
                <w:w w:val="89"/>
              </w:rPr>
              <w:t>Trading Symbol(s)</w:t>
            </w:r>
          </w:p>
        </w:tc>
        <w:tc>
          <w:tcPr>
            <w:tcW w:w="492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87"/>
              </w:rPr>
              <w:t>Name of each exchange on which registered</w:t>
            </w:r>
          </w:p>
        </w:tc>
      </w:tr>
      <w:tr>
        <w:trPr>
          <w:trHeight w:val="222"/>
        </w:trPr>
        <w:tc>
          <w:tcPr>
            <w:tcW w:w="4240" w:type="dxa"/>
            <w:vAlign w:val="bottom"/>
          </w:tcPr>
          <w:p>
            <w:pPr>
              <w:jc w:val="center"/>
              <w:ind w:right="152"/>
              <w:spacing w:after="0"/>
              <w:rPr>
                <w:sz w:val="20"/>
                <w:szCs w:val="20"/>
                <w:color w:val="auto"/>
              </w:rPr>
            </w:pPr>
            <w:r>
              <w:rPr>
                <w:rFonts w:ascii="Arial" w:cs="Arial" w:eastAsia="Arial" w:hAnsi="Arial"/>
                <w:sz w:val="18"/>
                <w:szCs w:val="18"/>
                <w:color w:val="auto"/>
                <w:w w:val="87"/>
              </w:rPr>
              <w:t>Common Stock, par value $0.001 per share</w:t>
            </w:r>
          </w:p>
        </w:tc>
        <w:tc>
          <w:tcPr>
            <w:tcW w:w="2260" w:type="dxa"/>
            <w:vAlign w:val="bottom"/>
          </w:tcPr>
          <w:p>
            <w:pPr>
              <w:jc w:val="center"/>
              <w:ind w:right="472"/>
              <w:spacing w:after="0"/>
              <w:rPr>
                <w:sz w:val="20"/>
                <w:szCs w:val="20"/>
                <w:color w:val="auto"/>
              </w:rPr>
            </w:pPr>
            <w:r>
              <w:rPr>
                <w:rFonts w:ascii="Arial" w:cs="Arial" w:eastAsia="Arial" w:hAnsi="Arial"/>
                <w:sz w:val="18"/>
                <w:szCs w:val="18"/>
                <w:color w:val="auto"/>
                <w:w w:val="99"/>
              </w:rPr>
              <w:t>VTGN</w:t>
            </w:r>
          </w:p>
        </w:tc>
        <w:tc>
          <w:tcPr>
            <w:tcW w:w="4920" w:type="dxa"/>
            <w:vAlign w:val="bottom"/>
          </w:tcPr>
          <w:p>
            <w:pPr>
              <w:jc w:val="center"/>
              <w:ind w:right="23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14, 2019,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topline results from the ELEVATE study, a Phase 2 study of AV-101, the Company’s NMDA (N-methyl-D-aspartate) receptor glycine site antagonist, as an adjunctive treatment of major depressive disorder. A copy of the press release is attached to this Current Report on Form 8-K as Exhibit 99.1.</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in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color w:val="auto"/>
        </w:rPr>
        <w:t>Press Release issued by VistaGen Therapeutics, Inc., dated November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149350"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935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VistaGen Reports Topline Phase 2 Results for AV-101 as an Adjunctive Treatment of Major Depressive Disorder</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SOUTH SAN FRANCISCO, Calif., November 14,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new generation medicines for central nervous system (CNS) diseases and disorders with high unmet need, today announced topline results from the ELEVATE study, a Phase 2 study of AV-101, its NMDA (N-methyl-D-aspartate) receptor glycine site antagonist, as an adjunctive treatment of major depressive disorder (MDD). In this study, the AV-101 treatment arm did not differentiate from placebo on the primary endpoint (change in the Montgomery-Åsberg Depression Rating Scale (MADRS-10) total score compared to baseline). As in prior clinical studies, AV-101 was well tolerated, with no psychotomimetic side effects or serious adverse events.</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"While we are disappointed with the topline results of the study, it is possible that efficacy may have been compromised by either insufficient transport of AV-101 across the blood brain barrier or subsequent inadequate concentrations of its active metabolite, 7-Cl-KYNA, in the brain. We will continue to examine the full dataset from this study to evaluate effects on other endpoints and pharmacokinetics, as well as consider both the upcoming results from a target engagement study and the potential impact of compelling new evidence from recent preclinical studies demonstrating substantial concentration increases of AV-101 (approximately a 7-fold increase) and 7-Cl-KYNA (approximately a 35-fold increase) in the brain in rodent studies when AV-101 is administered in combination with probenecid, an FDA-approved anion transport inhibitor used adjunctively with numerous well-established medications to enhance efficacy,” said </w:t>
      </w:r>
      <w:r>
        <w:rPr>
          <w:rFonts w:ascii="Arial" w:cs="Arial" w:eastAsia="Arial" w:hAnsi="Arial"/>
          <w:sz w:val="16"/>
          <w:szCs w:val="16"/>
          <w:u w:val="single" w:color="auto"/>
          <w:color w:val="0095DA"/>
        </w:rPr>
        <w:t>Shawn Singh,</w:t>
      </w:r>
      <w:r>
        <w:rPr>
          <w:rFonts w:ascii="Arial" w:cs="Arial" w:eastAsia="Arial" w:hAnsi="Arial"/>
          <w:sz w:val="16"/>
          <w:szCs w:val="16"/>
          <w:color w:val="auto"/>
        </w:rPr>
        <w:t xml:space="preserve"> </w:t>
      </w:r>
      <w:r>
        <w:rPr>
          <w:rFonts w:ascii="Arial" w:cs="Arial" w:eastAsia="Arial" w:hAnsi="Arial"/>
          <w:sz w:val="16"/>
          <w:szCs w:val="16"/>
          <w:u w:val="single" w:color="auto"/>
          <w:color w:val="0095DA"/>
        </w:rPr>
        <w:t>Chief Executive Officer of VistaGen</w:t>
      </w:r>
      <w:r>
        <w:rPr>
          <w:rFonts w:ascii="Arial" w:cs="Arial" w:eastAsia="Arial" w:hAnsi="Arial"/>
          <w:sz w:val="16"/>
          <w:szCs w:val="16"/>
          <w:color w:val="000000"/>
        </w:rPr>
        <w:t>.</w:t>
      </w:r>
    </w:p>
    <w:p>
      <w:pPr>
        <w:spacing w:after="0" w:line="10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“The rigorous conduct of the study makes us confident that AV-101, at the concentrations used, was not effective, but will also allow us to interrogate the database without the confound of excessive placebo responses. There is a clear need for new and safe agents that can be used for augmentation among depressed patients with inadequate response to antidepressant therapies,” said </w:t>
      </w:r>
      <w:r>
        <w:rPr>
          <w:rFonts w:ascii="Arial" w:cs="Arial" w:eastAsia="Arial" w:hAnsi="Arial"/>
          <w:sz w:val="16"/>
          <w:szCs w:val="16"/>
          <w:u w:val="single" w:color="auto"/>
          <w:color w:val="0095DA"/>
        </w:rPr>
        <w:t>Dr. Maurizio Fava, Psychiatrist-in-Chief of Massachusetts General Hospital</w:t>
      </w:r>
      <w:r>
        <w:rPr>
          <w:rFonts w:ascii="Arial" w:cs="Arial" w:eastAsia="Arial" w:hAnsi="Arial"/>
          <w:sz w:val="16"/>
          <w:szCs w:val="16"/>
          <w:color w:val="auto"/>
        </w:rPr>
        <w:t>.</w:t>
      </w:r>
    </w:p>
    <w:p>
      <w:pPr>
        <w:spacing w:after="0" w:line="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remain excited by and focused on continued execution of our Phase 3 program for PH94B in social anxiety disorder and our Phase 2 program for PH10 in major depressive disorder,” added Mr. Singh. “Each of these first-in-class compounds is further along in development than AV-101, as they have already demonstrated clinical proof of concept in Phase 2 studies, and, thus, in 2020, we will be proceeding into Phase 3 and Phase 2b studies, respectively. During 2020, we also will review the total body of preclinical and clinical work on AV-101, across all indications (depression, epilepsy, levodopa-induced dyskinesia, neuropathic pain and suicidal ideation), as well as additional preclinical studies involving AV-101 and probenecid, and then determine the most appropriate path forward for potential clinical development of AV-101. We deeply appreciate the patients, their caregivers, and the investigators who supported the ELEVATE study, including Dr. Fava as principal investigator. Our determination to develop safe, life-changing new generation medications for mental health disorders and neurological conditions with high unmet need remains firm and unchanged.”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Overview</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ELEVATE study was a Phase 2, double-blind, placebo-controlled, multi-center, sequential parallel comparison design (SPCD) study that evaluated the safety, tolerability, and efficacy of AV-101 as an adjunctive treatment in patients with MDD who had an inadequate response to a stable dose of standard antidepressant therapy (either a selective serotonin reuptake inhibitor (SSRI) or a serotonin norepinephrine reuptake inhibitor (SNRI)). The study randomized 199 patients across 25 clinical research centers in the United States. Consistent with the SPCD, the study was conducted in two, two-week sequential stages. Eligible subjects continued receiving their SSRI or SNRI antidepressant at a stable dose for the duration of the study. Patients were randomly assigned (1:3) to AV-101 1440 mg/day or placebo in Stage 1. Placebo non-responders (defined as a &lt; 50% reduction from baseline in MADRS-10 total score at the end of Stage 1) were re-randomized (1:1) in Stage 2 to receive AV-101 1440 mg/day or placebo for 2 weeks. The primary efficacy endpoint was the absolute change from baseline to end of treatment in the MADRS-10 score of AV-101 compared to placebo, both in combination with ongoing therapy with an SSRI or SNRI. Treatment differences from Stage 1 and Stage 2 were combined as weighted averages.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149350" cy="746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9350" cy="74612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CNS diseases and disorders where current treatments are inadequate, resulting in high unmet need. VistaGen's </w:t>
      </w:r>
      <w:r>
        <w:rPr>
          <w:rFonts w:ascii="Arial" w:cs="Arial" w:eastAsia="Arial" w:hAnsi="Arial"/>
          <w:sz w:val="16"/>
          <w:szCs w:val="16"/>
          <w:u w:val="single" w:color="auto"/>
          <w:color w:val="0095DA"/>
        </w:rPr>
        <w:t>pipeline</w:t>
      </w:r>
      <w:r>
        <w:rPr>
          <w:rFonts w:ascii="Arial" w:cs="Arial" w:eastAsia="Arial" w:hAnsi="Arial"/>
          <w:sz w:val="16"/>
          <w:szCs w:val="16"/>
          <w:color w:val="auto"/>
        </w:rPr>
        <w:t xml:space="preserve"> is focused on clinical-stage CNS drug candidates with a differentiated mechanism of action, an exceptional safety profile in all clinical studies to date, and therapeutic potential in multiple large and growing CNS markets.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This release contains various statements concerning VistaGen's future expectations, plans and prospects, including without limitation, our expectations regarding development and commercialization of our three drug candidates: (i) AV-101 for MDD, neuropathic pain, epilepsy, dyskinesia associated with levodopa therapy for Parkinson’s disease and suicidal ideation; (ii) PH94B for social anxiety disorder and other anxiety disorders; and (iii) PH10 for MDD. In addition, statements concerning the Company’s future expectations may include statements regarding intellectual property and commercial protection of our drug candidates. Each of these statements constitute forward-looking statements for the purposes of the safe harbor provisions under the Private Securities Litigation Reform Act of 1995.</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w:t>
      </w:r>
    </w:p>
    <w:p>
      <w:pPr>
        <w:spacing w:after="0" w:line="3" w:lineRule="exact"/>
        <w:rPr>
          <w:sz w:val="20"/>
          <w:szCs w:val="20"/>
          <w:color w:val="auto"/>
        </w:rPr>
      </w:pPr>
    </w:p>
    <w:p>
      <w:pPr>
        <w:ind w:right="120" w:firstLine="8"/>
        <w:spacing w:after="0" w:line="286"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success in preclinical studies or in early-stage clinical trials may not be repeated or observed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preclinical and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333333"/>
        </w:rPr>
        <w:t>.</w:t>
      </w:r>
      <w:r>
        <w:rPr>
          <w:rFonts w:ascii="Arial" w:cs="Arial" w:eastAsia="Arial" w:hAnsi="Arial"/>
          <w:sz w:val="16"/>
          <w:szCs w:val="16"/>
          <w:color w:val="auto"/>
        </w:rPr>
        <w:t xml:space="preserve">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2019-11-28T06:19:35Z</dcterms:created>
  <dcterms:modified xsi:type="dcterms:W3CDTF">2019-11-28T06:19:35Z</dcterms:modified>
</cp:coreProperties>
</file>