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86" w:lineRule="exact"/>
        <w:rPr>
          <w:sz w:val="24"/>
          <w:szCs w:val="24"/>
          <w:color w:val="auto"/>
        </w:rPr>
      </w:pPr>
    </w:p>
    <w:tbl>
      <w:tblPr>
        <w:tblLayout w:type="fixed"/>
        <w:tblInd w:w="820" w:type="dxa"/>
        <w:tblCellMar>
          <w:top w:w="0" w:type="dxa"/>
          <w:left w:w="0" w:type="dxa"/>
          <w:bottom w:w="0" w:type="dxa"/>
          <w:right w:w="0" w:type="dxa"/>
        </w:tblCellMar>
      </w:tblPr>
      <w:tr>
        <w:trPr>
          <w:trHeight w:val="207"/>
        </w:trPr>
        <w:tc>
          <w:tcPr>
            <w:tcW w:w="2300" w:type="dxa"/>
            <w:vAlign w:val="bottom"/>
          </w:tcPr>
          <w:p>
            <w:pPr>
              <w:spacing w:after="0"/>
              <w:rPr>
                <w:sz w:val="17"/>
                <w:szCs w:val="17"/>
                <w:color w:val="auto"/>
              </w:rPr>
            </w:pPr>
          </w:p>
        </w:tc>
        <w:tc>
          <w:tcPr>
            <w:tcW w:w="51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Date of Report (Date of earliest event reported): July 8, 2024</w:t>
            </w:r>
          </w:p>
        </w:tc>
        <w:tc>
          <w:tcPr>
            <w:tcW w:w="1940" w:type="dxa"/>
            <w:vAlign w:val="bottom"/>
          </w:tcPr>
          <w:p>
            <w:pPr>
              <w:spacing w:after="0"/>
              <w:rPr>
                <w:sz w:val="17"/>
                <w:szCs w:val="17"/>
                <w:color w:val="auto"/>
              </w:rPr>
            </w:pPr>
          </w:p>
        </w:tc>
      </w:tr>
      <w:tr>
        <w:trPr>
          <w:trHeight w:val="427"/>
        </w:trPr>
        <w:tc>
          <w:tcPr>
            <w:tcW w:w="2300" w:type="dxa"/>
            <w:vAlign w:val="bottom"/>
          </w:tcPr>
          <w:p>
            <w:pPr>
              <w:spacing w:after="0"/>
              <w:rPr>
                <w:sz w:val="24"/>
                <w:szCs w:val="24"/>
                <w:color w:val="auto"/>
              </w:rPr>
            </w:pPr>
          </w:p>
        </w:tc>
        <w:tc>
          <w:tcPr>
            <w:tcW w:w="3900" w:type="dxa"/>
            <w:vAlign w:val="bottom"/>
          </w:tcPr>
          <w:p>
            <w:pPr>
              <w:jc w:val="center"/>
              <w:ind w:left="1011"/>
              <w:spacing w:after="0"/>
              <w:rPr>
                <w:sz w:val="20"/>
                <w:szCs w:val="20"/>
                <w:color w:val="auto"/>
              </w:rPr>
            </w:pPr>
            <w:r>
              <w:rPr>
                <w:rFonts w:ascii="Times New Roman" w:cs="Times New Roman" w:eastAsia="Times New Roman" w:hAnsi="Times New Roman"/>
                <w:sz w:val="18"/>
                <w:szCs w:val="18"/>
                <w:b w:val="1"/>
                <w:bCs w:val="1"/>
                <w:color w:val="auto"/>
                <w:w w:val="98"/>
              </w:rPr>
              <w:t>Vistagen Therapeutics, Inc.</w:t>
            </w:r>
          </w:p>
        </w:tc>
        <w:tc>
          <w:tcPr>
            <w:tcW w:w="9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34"/>
        </w:trPr>
        <w:tc>
          <w:tcPr>
            <w:tcW w:w="2300" w:type="dxa"/>
            <w:vAlign w:val="bottom"/>
          </w:tcPr>
          <w:p>
            <w:pPr>
              <w:spacing w:after="0"/>
              <w:rPr>
                <w:sz w:val="20"/>
                <w:szCs w:val="20"/>
                <w:color w:val="auto"/>
              </w:rPr>
            </w:pPr>
          </w:p>
        </w:tc>
        <w:tc>
          <w:tcPr>
            <w:tcW w:w="51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8"/>
              </w:rPr>
              <w:t>(Exact name of registrant as specified in its charter)</w:t>
            </w:r>
          </w:p>
        </w:tc>
        <w:tc>
          <w:tcPr>
            <w:tcW w:w="1940" w:type="dxa"/>
            <w:vAlign w:val="bottom"/>
          </w:tcPr>
          <w:p>
            <w:pPr>
              <w:spacing w:after="0"/>
              <w:rPr>
                <w:sz w:val="20"/>
                <w:szCs w:val="20"/>
                <w:color w:val="auto"/>
              </w:rPr>
            </w:pPr>
          </w:p>
        </w:tc>
      </w:tr>
      <w:tr>
        <w:trPr>
          <w:trHeight w:val="406"/>
        </w:trPr>
        <w:tc>
          <w:tcPr>
            <w:tcW w:w="230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3900" w:type="dxa"/>
            <w:vAlign w:val="bottom"/>
          </w:tcPr>
          <w:p>
            <w:pPr>
              <w:jc w:val="right"/>
              <w:ind w:right="931"/>
              <w:spacing w:after="0"/>
              <w:rPr>
                <w:sz w:val="20"/>
                <w:szCs w:val="20"/>
                <w:color w:val="auto"/>
              </w:rPr>
            </w:pPr>
            <w:r>
              <w:rPr>
                <w:rFonts w:ascii="Times New Roman" w:cs="Times New Roman" w:eastAsia="Times New Roman" w:hAnsi="Times New Roman"/>
                <w:sz w:val="18"/>
                <w:szCs w:val="18"/>
                <w:b w:val="1"/>
                <w:bCs w:val="1"/>
                <w:color w:val="auto"/>
              </w:rPr>
              <w:t>000-54014</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jc w:val="center"/>
              <w:ind w:left="231"/>
              <w:spacing w:after="0"/>
              <w:rPr>
                <w:sz w:val="20"/>
                <w:szCs w:val="20"/>
                <w:color w:val="auto"/>
              </w:rPr>
            </w:pPr>
            <w:r>
              <w:rPr>
                <w:rFonts w:ascii="Times New Roman" w:cs="Times New Roman" w:eastAsia="Times New Roman" w:hAnsi="Times New Roman"/>
                <w:sz w:val="18"/>
                <w:szCs w:val="18"/>
                <w:b w:val="1"/>
                <w:bCs w:val="1"/>
                <w:color w:val="auto"/>
                <w:w w:val="98"/>
              </w:rPr>
              <w:t>20-5093315</w:t>
            </w:r>
          </w:p>
        </w:tc>
      </w:tr>
      <w:tr>
        <w:trPr>
          <w:trHeight w:val="213"/>
        </w:trPr>
        <w:tc>
          <w:tcPr>
            <w:tcW w:w="2300" w:type="dxa"/>
            <w:vAlign w:val="bottom"/>
          </w:tcPr>
          <w:p>
            <w:pPr>
              <w:jc w:val="center"/>
              <w:ind w:right="131"/>
              <w:spacing w:after="0"/>
              <w:rPr>
                <w:sz w:val="20"/>
                <w:szCs w:val="20"/>
                <w:color w:val="auto"/>
              </w:rPr>
            </w:pPr>
            <w:r>
              <w:rPr>
                <w:rFonts w:ascii="Times New Roman" w:cs="Times New Roman" w:eastAsia="Times New Roman" w:hAnsi="Times New Roman"/>
                <w:sz w:val="18"/>
                <w:szCs w:val="18"/>
                <w:i w:val="1"/>
                <w:iCs w:val="1"/>
                <w:color w:val="auto"/>
                <w:w w:val="98"/>
              </w:rPr>
              <w:t>(State or other jurisdiction of</w:t>
            </w:r>
          </w:p>
        </w:tc>
        <w:tc>
          <w:tcPr>
            <w:tcW w:w="51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8"/>
              </w:rPr>
              <w:t>(Commission File Number)</w:t>
            </w:r>
          </w:p>
        </w:tc>
        <w:tc>
          <w:tcPr>
            <w:tcW w:w="1940" w:type="dxa"/>
            <w:vAlign w:val="bottom"/>
          </w:tcPr>
          <w:p>
            <w:pPr>
              <w:jc w:val="center"/>
              <w:ind w:left="191"/>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4"/>
        </w:trPr>
        <w:tc>
          <w:tcPr>
            <w:tcW w:w="2300" w:type="dxa"/>
            <w:vAlign w:val="bottom"/>
          </w:tcPr>
          <w:p>
            <w:pPr>
              <w:jc w:val="center"/>
              <w:ind w:right="91"/>
              <w:spacing w:after="0"/>
              <w:rPr>
                <w:sz w:val="20"/>
                <w:szCs w:val="20"/>
                <w:color w:val="auto"/>
              </w:rPr>
            </w:pPr>
            <w:r>
              <w:rPr>
                <w:rFonts w:ascii="Times New Roman" w:cs="Times New Roman" w:eastAsia="Times New Roman" w:hAnsi="Times New Roman"/>
                <w:sz w:val="18"/>
                <w:szCs w:val="18"/>
                <w:i w:val="1"/>
                <w:iCs w:val="1"/>
                <w:color w:val="auto"/>
                <w:w w:val="98"/>
              </w:rPr>
              <w:t>incorporation)</w:t>
            </w:r>
          </w:p>
        </w:tc>
        <w:tc>
          <w:tcPr>
            <w:tcW w:w="3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center"/>
              <w:ind w:left="211"/>
              <w:spacing w:after="0"/>
              <w:rPr>
                <w:sz w:val="20"/>
                <w:szCs w:val="20"/>
                <w:color w:val="auto"/>
              </w:rPr>
            </w:pPr>
            <w:r>
              <w:rPr>
                <w:rFonts w:ascii="Times New Roman" w:cs="Times New Roman" w:eastAsia="Times New Roman" w:hAnsi="Times New Roman"/>
                <w:sz w:val="18"/>
                <w:szCs w:val="18"/>
                <w:i w:val="1"/>
                <w:iCs w:val="1"/>
                <w:color w:val="auto"/>
                <w:w w:val="99"/>
              </w:rPr>
              <w:t>Identification Number)</w:t>
            </w:r>
          </w:p>
        </w:tc>
      </w:tr>
      <w:tr>
        <w:trPr>
          <w:trHeight w:val="404"/>
        </w:trPr>
        <w:tc>
          <w:tcPr>
            <w:tcW w:w="2300" w:type="dxa"/>
            <w:vAlign w:val="bottom"/>
          </w:tcPr>
          <w:p>
            <w:pPr>
              <w:spacing w:after="0"/>
              <w:rPr>
                <w:sz w:val="24"/>
                <w:szCs w:val="24"/>
                <w:color w:val="auto"/>
              </w:rPr>
            </w:pPr>
          </w:p>
        </w:tc>
        <w:tc>
          <w:tcPr>
            <w:tcW w:w="51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343 Allerton Ave.</w:t>
            </w:r>
          </w:p>
        </w:tc>
        <w:tc>
          <w:tcPr>
            <w:tcW w:w="1940" w:type="dxa"/>
            <w:vAlign w:val="bottom"/>
          </w:tcPr>
          <w:p>
            <w:pPr>
              <w:spacing w:after="0"/>
              <w:rPr>
                <w:sz w:val="24"/>
                <w:szCs w:val="24"/>
                <w:color w:val="auto"/>
              </w:rPr>
            </w:pPr>
          </w:p>
        </w:tc>
      </w:tr>
      <w:tr>
        <w:trPr>
          <w:trHeight w:val="215"/>
        </w:trPr>
        <w:tc>
          <w:tcPr>
            <w:tcW w:w="2300" w:type="dxa"/>
            <w:vAlign w:val="bottom"/>
          </w:tcPr>
          <w:p>
            <w:pPr>
              <w:spacing w:after="0"/>
              <w:rPr>
                <w:sz w:val="18"/>
                <w:szCs w:val="18"/>
                <w:color w:val="auto"/>
              </w:rPr>
            </w:pPr>
          </w:p>
        </w:tc>
        <w:tc>
          <w:tcPr>
            <w:tcW w:w="51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South San Francisco, California 94080</w:t>
            </w:r>
          </w:p>
        </w:tc>
        <w:tc>
          <w:tcPr>
            <w:tcW w:w="194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51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8"/>
              </w:rPr>
              <w:t>(Address of principal executive offices)</w:t>
            </w:r>
          </w:p>
        </w:tc>
        <w:tc>
          <w:tcPr>
            <w:tcW w:w="1940" w:type="dxa"/>
            <w:vAlign w:val="bottom"/>
          </w:tcPr>
          <w:p>
            <w:pPr>
              <w:spacing w:after="0"/>
              <w:rPr>
                <w:sz w:val="20"/>
                <w:szCs w:val="20"/>
                <w:color w:val="auto"/>
              </w:rPr>
            </w:pPr>
          </w:p>
        </w:tc>
      </w:tr>
      <w:tr>
        <w:trPr>
          <w:trHeight w:val="406"/>
        </w:trPr>
        <w:tc>
          <w:tcPr>
            <w:tcW w:w="2300" w:type="dxa"/>
            <w:vAlign w:val="bottom"/>
          </w:tcPr>
          <w:p>
            <w:pPr>
              <w:spacing w:after="0"/>
              <w:rPr>
                <w:sz w:val="24"/>
                <w:szCs w:val="24"/>
                <w:color w:val="auto"/>
              </w:rPr>
            </w:pPr>
          </w:p>
        </w:tc>
        <w:tc>
          <w:tcPr>
            <w:tcW w:w="3900" w:type="dxa"/>
            <w:vAlign w:val="bottom"/>
          </w:tcPr>
          <w:p>
            <w:pPr>
              <w:jc w:val="right"/>
              <w:ind w:right="751"/>
              <w:spacing w:after="0"/>
              <w:rPr>
                <w:sz w:val="20"/>
                <w:szCs w:val="20"/>
                <w:color w:val="auto"/>
              </w:rPr>
            </w:pPr>
            <w:r>
              <w:rPr>
                <w:rFonts w:ascii="Times New Roman" w:cs="Times New Roman" w:eastAsia="Times New Roman" w:hAnsi="Times New Roman"/>
                <w:sz w:val="18"/>
                <w:szCs w:val="18"/>
                <w:b w:val="1"/>
                <w:bCs w:val="1"/>
                <w:color w:val="auto"/>
              </w:rPr>
              <w:t>(650) 577-3600</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34"/>
        </w:trPr>
        <w:tc>
          <w:tcPr>
            <w:tcW w:w="2300" w:type="dxa"/>
            <w:vAlign w:val="bottom"/>
          </w:tcPr>
          <w:p>
            <w:pPr>
              <w:spacing w:after="0"/>
              <w:rPr>
                <w:sz w:val="20"/>
                <w:szCs w:val="20"/>
                <w:color w:val="auto"/>
              </w:rPr>
            </w:pPr>
          </w:p>
        </w:tc>
        <w:tc>
          <w:tcPr>
            <w:tcW w:w="51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8"/>
              </w:rPr>
              <w:t>(Registrant</w:t>
            </w: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i w:val="1"/>
                <w:iCs w:val="1"/>
                <w:color w:val="auto"/>
                <w:w w:val="98"/>
              </w:rPr>
              <w:t>s telephone number, including area code)</w:t>
            </w:r>
          </w:p>
        </w:tc>
        <w:tc>
          <w:tcPr>
            <w:tcW w:w="1940" w:type="dxa"/>
            <w:vAlign w:val="bottom"/>
          </w:tcPr>
          <w:p>
            <w:pPr>
              <w:spacing w:after="0"/>
              <w:rPr>
                <w:sz w:val="20"/>
                <w:szCs w:val="20"/>
                <w:color w:val="auto"/>
              </w:rPr>
            </w:pPr>
          </w:p>
        </w:tc>
      </w:tr>
      <w:tr>
        <w:trPr>
          <w:trHeight w:val="406"/>
        </w:trPr>
        <w:tc>
          <w:tcPr>
            <w:tcW w:w="2300" w:type="dxa"/>
            <w:vAlign w:val="bottom"/>
          </w:tcPr>
          <w:p>
            <w:pPr>
              <w:spacing w:after="0"/>
              <w:rPr>
                <w:sz w:val="24"/>
                <w:szCs w:val="24"/>
                <w:color w:val="auto"/>
              </w:rPr>
            </w:pPr>
          </w:p>
        </w:tc>
        <w:tc>
          <w:tcPr>
            <w:tcW w:w="51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1940" w:type="dxa"/>
            <w:vAlign w:val="bottom"/>
          </w:tcPr>
          <w:p>
            <w:pPr>
              <w:spacing w:after="0"/>
              <w:rPr>
                <w:sz w:val="24"/>
                <w:szCs w:val="24"/>
                <w:color w:val="auto"/>
              </w:rPr>
            </w:pPr>
          </w:p>
        </w:tc>
      </w:tr>
      <w:tr>
        <w:trPr>
          <w:trHeight w:val="234"/>
        </w:trPr>
        <w:tc>
          <w:tcPr>
            <w:tcW w:w="2300" w:type="dxa"/>
            <w:vAlign w:val="bottom"/>
          </w:tcPr>
          <w:p>
            <w:pPr>
              <w:spacing w:after="0"/>
              <w:rPr>
                <w:sz w:val="20"/>
                <w:szCs w:val="20"/>
                <w:color w:val="auto"/>
              </w:rPr>
            </w:pPr>
          </w:p>
        </w:tc>
        <w:tc>
          <w:tcPr>
            <w:tcW w:w="51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8"/>
              </w:rPr>
              <w:t>(Former name or former address, if changed since last report)</w:t>
            </w:r>
          </w:p>
        </w:tc>
        <w:tc>
          <w:tcPr>
            <w:tcW w:w="1940" w:type="dxa"/>
            <w:vAlign w:val="bottom"/>
          </w:tcPr>
          <w:p>
            <w:pPr>
              <w:spacing w:after="0"/>
              <w:rPr>
                <w:sz w:val="20"/>
                <w:szCs w:val="20"/>
                <w:color w:val="auto"/>
              </w:rPr>
            </w:pPr>
          </w:p>
        </w:tc>
      </w:tr>
    </w:tbl>
    <w:p>
      <w:pPr>
        <w:spacing w:after="0" w:line="194" w:lineRule="exact"/>
        <w:rPr>
          <w:sz w:val="24"/>
          <w:szCs w:val="24"/>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3" w:lineRule="exact"/>
        <w:rPr>
          <w:sz w:val="24"/>
          <w:szCs w:val="24"/>
          <w:color w:val="auto"/>
        </w:rPr>
      </w:pPr>
    </w:p>
    <w:p>
      <w:pPr>
        <w:ind w:left="480" w:hanging="4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 w:lineRule="exact"/>
        <w:rPr>
          <w:rFonts w:ascii="MS PGothic" w:cs="MS PGothic" w:eastAsia="MS PGothic" w:hAnsi="MS PGothic"/>
          <w:sz w:val="18"/>
          <w:szCs w:val="18"/>
          <w:color w:val="auto"/>
        </w:rPr>
      </w:pPr>
    </w:p>
    <w:p>
      <w:pPr>
        <w:ind w:left="480" w:hanging="4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6" w:lineRule="exact"/>
        <w:rPr>
          <w:rFonts w:ascii="MS PGothic" w:cs="MS PGothic" w:eastAsia="MS PGothic" w:hAnsi="MS PGothic"/>
          <w:sz w:val="18"/>
          <w:szCs w:val="18"/>
          <w:color w:val="auto"/>
        </w:rPr>
      </w:pPr>
    </w:p>
    <w:p>
      <w:pPr>
        <w:ind w:left="480" w:hanging="4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6" w:lineRule="exact"/>
        <w:rPr>
          <w:rFonts w:ascii="MS PGothic" w:cs="MS PGothic" w:eastAsia="MS PGothic" w:hAnsi="MS PGothic"/>
          <w:sz w:val="18"/>
          <w:szCs w:val="18"/>
          <w:color w:val="auto"/>
        </w:rPr>
      </w:pPr>
    </w:p>
    <w:p>
      <w:pPr>
        <w:ind w:left="480" w:hanging="4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80" w:type="dxa"/>
            <w:vAlign w:val="bottom"/>
          </w:tcPr>
          <w:p>
            <w:pPr>
              <w:spacing w:after="0"/>
              <w:rPr>
                <w:sz w:val="20"/>
                <w:szCs w:val="20"/>
                <w:color w:val="auto"/>
              </w:rPr>
            </w:pPr>
          </w:p>
        </w:tc>
        <w:tc>
          <w:tcPr>
            <w:tcW w:w="4820" w:type="dxa"/>
            <w:vAlign w:val="bottom"/>
          </w:tcPr>
          <w:p>
            <w:pPr>
              <w:spacing w:after="0"/>
              <w:rPr>
                <w:sz w:val="20"/>
                <w:szCs w:val="20"/>
                <w:color w:val="auto"/>
              </w:rPr>
            </w:pPr>
          </w:p>
        </w:tc>
      </w:tr>
      <w:tr>
        <w:trPr>
          <w:trHeight w:val="426"/>
        </w:trPr>
        <w:tc>
          <w:tcPr>
            <w:tcW w:w="424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180" w:type="dxa"/>
            <w:vAlign w:val="bottom"/>
            <w:tcBorders>
              <w:bottom w:val="single" w:sz="8" w:color="auto"/>
            </w:tcBorders>
          </w:tcPr>
          <w:p>
            <w:pPr>
              <w:jc w:val="center"/>
              <w:ind w:right="511"/>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2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8"/>
              </w:rPr>
              <w:t>Name of each exchange on which registered</w:t>
            </w:r>
          </w:p>
        </w:tc>
      </w:tr>
      <w:tr>
        <w:trPr>
          <w:trHeight w:val="226"/>
        </w:trPr>
        <w:tc>
          <w:tcPr>
            <w:tcW w:w="4240" w:type="dxa"/>
            <w:vAlign w:val="bottom"/>
          </w:tcPr>
          <w:p>
            <w:pPr>
              <w:jc w:val="center"/>
              <w:ind w:right="271"/>
              <w:spacing w:after="0"/>
              <w:rPr>
                <w:sz w:val="20"/>
                <w:szCs w:val="20"/>
                <w:color w:val="auto"/>
              </w:rPr>
            </w:pPr>
            <w:r>
              <w:rPr>
                <w:rFonts w:ascii="Times New Roman" w:cs="Times New Roman" w:eastAsia="Times New Roman" w:hAnsi="Times New Roman"/>
                <w:sz w:val="18"/>
                <w:szCs w:val="18"/>
                <w:color w:val="auto"/>
                <w:w w:val="98"/>
              </w:rPr>
              <w:t>Common Stock, par value $0.001 per share</w:t>
            </w:r>
          </w:p>
        </w:tc>
        <w:tc>
          <w:tcPr>
            <w:tcW w:w="21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w w:val="99"/>
              </w:rPr>
              <w:t>VTGN</w:t>
            </w:r>
          </w:p>
        </w:tc>
        <w:tc>
          <w:tcPr>
            <w:tcW w:w="482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6" w:lineRule="exact"/>
        <w:rPr>
          <w:sz w:val="24"/>
          <w:szCs w:val="24"/>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2" w:lineRule="exact"/>
        <w:rPr>
          <w:sz w:val="24"/>
          <w:szCs w:val="24"/>
          <w:color w:val="auto"/>
        </w:rPr>
      </w:pPr>
    </w:p>
    <w:p>
      <w:pPr>
        <w:ind w:left="90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2" w:lineRule="exact"/>
        <w:rPr>
          <w:sz w:val="24"/>
          <w:szCs w:val="24"/>
          <w:color w:val="auto"/>
        </w:rPr>
      </w:pPr>
    </w:p>
    <w:p>
      <w:pPr>
        <w:jc w:val="both"/>
        <w:spacing w:after="0" w:line="23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338455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4.01 Change in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Certifying Accountant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Dismissal of Independent Registered Public Accounting Firm</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On July 8, 2024, following the completion of a competitive selection process conducted by the Audit Committee of the Board of Directors (the “</w:t>
      </w: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of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to determine the Company’s independent registered public accounting firm for the fiscal year ending March 31, 2025, the Company selected KPMG LLP (“</w:t>
      </w:r>
      <w:r>
        <w:rPr>
          <w:rFonts w:ascii="Times New Roman" w:cs="Times New Roman" w:eastAsia="Times New Roman" w:hAnsi="Times New Roman"/>
          <w:sz w:val="18"/>
          <w:szCs w:val="18"/>
          <w:i w:val="1"/>
          <w:iCs w:val="1"/>
          <w:color w:val="auto"/>
        </w:rPr>
        <w:t>KPMG</w:t>
      </w:r>
      <w:r>
        <w:rPr>
          <w:rFonts w:ascii="Times New Roman" w:cs="Times New Roman" w:eastAsia="Times New Roman" w:hAnsi="Times New Roman"/>
          <w:sz w:val="18"/>
          <w:szCs w:val="18"/>
          <w:color w:val="auto"/>
        </w:rPr>
        <w:t>”) to serve as the Company’s new independent registered public accounting firm, effective as of such date, and notified WithumSmith+Brown, PC (“</w:t>
      </w:r>
      <w:r>
        <w:rPr>
          <w:rFonts w:ascii="Times New Roman" w:cs="Times New Roman" w:eastAsia="Times New Roman" w:hAnsi="Times New Roman"/>
          <w:sz w:val="18"/>
          <w:szCs w:val="18"/>
          <w:i w:val="1"/>
          <w:iCs w:val="1"/>
          <w:color w:val="auto"/>
        </w:rPr>
        <w:t>Withum</w:t>
      </w:r>
      <w:r>
        <w:rPr>
          <w:rFonts w:ascii="Times New Roman" w:cs="Times New Roman" w:eastAsia="Times New Roman" w:hAnsi="Times New Roman"/>
          <w:sz w:val="18"/>
          <w:szCs w:val="18"/>
          <w:color w:val="auto"/>
        </w:rPr>
        <w:t>”) of its dismissal as the Company’s independent registered public accounting firm effective as of that date.</w:t>
      </w:r>
    </w:p>
    <w:p>
      <w:pPr>
        <w:spacing w:after="0" w:line="186"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Withum’s reports on the Company’s consolidated financial statements for each of the Company’s fiscal years ended March 31, 2024 and March 31, 2023 did not contain any adverse opinion or a disclaimer of opinion, nor were such reports qualified or modified as to uncertainty, audit scope, or accounting principles, except that Withum’s audit report for the fiscal year ended March 31, 2023 included in the Company’s Annual Report on Form 10-K for the fiscal year ended March 31, 2023 and filed with 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on June 28, 2023, contained an explanatory paragraph disclosing uncertainty regarding the Company's ability to continue as a going concern. Withum’s audit report for the Company’s fiscal year ended March 31, 2024 and filed with the SEC on June 11, 2024, did not contain such explanatory paragraph.</w:t>
      </w:r>
    </w:p>
    <w:p>
      <w:pPr>
        <w:spacing w:after="0" w:line="185"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During each of the Company’s fiscal years ended March 31, 2024 and March 31, 2023, and the subsequent interim periods through the date of dismissal, there were no “disagreements,” as that term is defined in Item 304(a)(1)(iv) of Regulation S-K and the related instructions, between the Company and Withum on any matter of accounting principles or practices, financial statement disclosure or auditing scope or procedure, which disagreements, if not resolved to the satisfaction of Withum, would have caused Withum to make reference to the subject matter of the disagreement in its reports on the Company’s consolidated financial statements for such fiscal years. There were no “reportable events”, as that term is defined in Item 304(a)(1)(v) of Regulation S-K and the related instructions, during either of the Company’s fiscal years ended March 31, 2024 and March 31, 2023, and the subsequent interim periods through the date of dismissal.</w:t>
      </w:r>
    </w:p>
    <w:p>
      <w:pPr>
        <w:spacing w:after="0" w:line="187"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Company provided Withum with a copy of this Current Report on Form 8-K prior to its filing with the SEC and requested that Withum furnish it with a letter addressed to the SEC stating whether it agrees with the above statements. A copy of Withum’s letter, dated July 10, 2024, is filed as Exhibit 16.1 to this Current Report on Form 8-K.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Engagement of New Independent Registered Public Accounting Firm</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On July 8, 2024, upon approval by the Audit Committee, the Company engaged KPMG, effective as of such date, to serve as the Company’s new independent registered public accounting firm for the Company’s fiscal year ending March 31, 2025.</w:t>
      </w:r>
    </w:p>
    <w:p>
      <w:pPr>
        <w:spacing w:after="0" w:line="163"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During each of the Company’s fiscal years ended March 31, 2024 and March 31, 2023, and the subsequent interim period through July 8, 2024, neither the Company nor anyone acting on its behalf has consulted with KPMG regarding (i) the application of accounting principles to a specified transaction, either completed or proposed, or the type of audit opinion that might be rendered on the Company’s consolidated financial statements, and neither a written report, nor oral advice, was provided to the Company that KPMG concluded was an important factor considered by the Company in reaching a decision as to any accounting, auditing, or financial reporting issue; (ii) any matter that was the subject of a disagreement within the meaning of Item 304(a)(1)(iv) of Regulation S-K and the related instructions; or (iii) any reportable event within the meaning of Item 304(a)(1)(v) of Regulation S-K and the related instructions.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 Index</w:t>
      </w:r>
    </w:p>
    <w:p>
      <w:pPr>
        <w:spacing w:after="0" w:line="220" w:lineRule="exact"/>
        <w:rPr>
          <w:sz w:val="20"/>
          <w:szCs w:val="20"/>
          <w:color w:val="auto"/>
        </w:rPr>
      </w:pPr>
    </w:p>
    <w:p>
      <w:pPr>
        <w:ind w:left="180"/>
        <w:spacing w:after="0"/>
        <w:tabs>
          <w:tab w:leader="none" w:pos="582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17" w:lineRule="exact"/>
        <w:rPr>
          <w:sz w:val="20"/>
          <w:szCs w:val="20"/>
          <w:color w:val="auto"/>
        </w:rPr>
      </w:pPr>
    </w:p>
    <w:p>
      <w:pPr>
        <w:ind w:left="460"/>
        <w:spacing w:after="0"/>
        <w:tabs>
          <w:tab w:leader="none" w:pos="130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7"/>
          <w:szCs w:val="17"/>
          <w:u w:val="single" w:color="auto"/>
          <w:color w:val="0000EE"/>
        </w:rPr>
        <w:t>Letter from WithumSmith+Brown, PC, dated July 10, 2024.</w:t>
      </w:r>
    </w:p>
    <w:p>
      <w:pPr>
        <w:spacing w:after="0" w:line="25" w:lineRule="exact"/>
        <w:rPr>
          <w:sz w:val="20"/>
          <w:szCs w:val="20"/>
          <w:color w:val="auto"/>
        </w:rPr>
      </w:pPr>
    </w:p>
    <w:p>
      <w:pPr>
        <w:ind w:left="480"/>
        <w:spacing w:after="0"/>
        <w:tabs>
          <w:tab w:leader="none" w:pos="13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359410</wp:posOffset>
            </wp:positionV>
            <wp:extent cx="71342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right="440" w:firstLine="64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440" w:type="dxa"/>
            <w:vAlign w:val="bottom"/>
          </w:tcPr>
          <w:p>
            <w:pPr>
              <w:spacing w:after="0"/>
              <w:rPr>
                <w:sz w:val="20"/>
                <w:szCs w:val="20"/>
                <w:color w:val="auto"/>
              </w:rPr>
            </w:pPr>
          </w:p>
        </w:tc>
        <w:tc>
          <w:tcPr>
            <w:tcW w:w="78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Vistagen Therapeutics, Inc.</w:t>
            </w:r>
          </w:p>
        </w:tc>
      </w:tr>
      <w:tr>
        <w:trPr>
          <w:trHeight w:val="42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July 12, 2024</w:t>
            </w:r>
          </w:p>
        </w:tc>
        <w:tc>
          <w:tcPr>
            <w:tcW w:w="78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Cynthia L. Anderson</w:t>
            </w:r>
          </w:p>
        </w:tc>
      </w:tr>
      <w:tr>
        <w:trPr>
          <w:trHeight w:val="188"/>
        </w:trPr>
        <w:tc>
          <w:tcPr>
            <w:tcW w:w="34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3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Cynthia L. Anderson, CPA</w:t>
            </w:r>
          </w:p>
        </w:tc>
      </w:tr>
      <w:tr>
        <w:trPr>
          <w:trHeight w:val="232"/>
        </w:trPr>
        <w:tc>
          <w:tcPr>
            <w:tcW w:w="34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571" w:right="339" w:bottom="1440" w:gutter="0" w:footer="0" w:header="0"/>
        </w:sectPr>
      </w:pPr>
    </w:p>
    <w:bookmarkStart w:id="3" w:name="page4"/>
    <w:bookmarkEnd w:id="3"/>
    <w:p>
      <w:pPr>
        <w:ind w:left="9200"/>
        <w:spacing w:after="0"/>
        <w:rPr>
          <w:sz w:val="20"/>
          <w:szCs w:val="20"/>
          <w:color w:val="auto"/>
        </w:rPr>
      </w:pPr>
      <w:r>
        <w:rPr>
          <w:rFonts w:ascii="Times New Roman" w:cs="Times New Roman" w:eastAsia="Times New Roman" w:hAnsi="Times New Roman"/>
          <w:sz w:val="17"/>
          <w:szCs w:val="17"/>
          <w:b w:val="1"/>
          <w:bCs w:val="1"/>
          <w:color w:val="auto"/>
        </w:rPr>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432435</wp:posOffset>
            </wp:positionV>
            <wp:extent cx="7196455" cy="9319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6455" cy="9319895"/>
                    </a:xfrm>
                    <a:prstGeom prst="rect">
                      <a:avLst/>
                    </a:prstGeom>
                    <a:noFill/>
                  </pic:spPr>
                </pic:pic>
              </a:graphicData>
            </a:graphic>
          </wp:anchor>
        </w:drawing>
      </w:r>
    </w:p>
    <w:sectPr>
      <w:pgSz w:w="11900" w:h="16838" w:orient="portrait"/>
      <w:cols w:equalWidth="0" w:num="1">
        <w:col w:w="10120"/>
      </w:cols>
      <w:pgMar w:left="144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2024-07-12T15:30:37Z</dcterms:created>
  <dcterms:modified xsi:type="dcterms:W3CDTF">2024-07-12T15:30:37Z</dcterms:modified>
</cp:coreProperties>
</file>