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139065</wp:posOffset>
            </wp:positionH>
            <wp:positionV relativeFrom="page">
              <wp:posOffset>240030</wp:posOffset>
            </wp:positionV>
            <wp:extent cx="728281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2815" cy="25400"/>
                    </a:xfrm>
                    <a:prstGeom prst="rect">
                      <a:avLst/>
                    </a:prstGeom>
                    <a:noFill/>
                  </pic:spPr>
                </pic:pic>
              </a:graphicData>
            </a:graphic>
          </wp:anchor>
        </w:drawing>
        <w:drawing>
          <wp:anchor simplePos="0" relativeHeight="251657728" behindDoc="1" locked="0" layoutInCell="0" allowOverlap="1">
            <wp:simplePos x="0" y="0"/>
            <wp:positionH relativeFrom="page">
              <wp:posOffset>139065</wp:posOffset>
            </wp:positionH>
            <wp:positionV relativeFrom="page">
              <wp:posOffset>315595</wp:posOffset>
            </wp:positionV>
            <wp:extent cx="728281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2815" cy="6350"/>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160" w:lineRule="exact"/>
        <w:rPr>
          <w:sz w:val="24"/>
          <w:szCs w:val="24"/>
          <w:color w:val="auto"/>
        </w:rPr>
      </w:pPr>
    </w:p>
    <w:tbl>
      <w:tblPr>
        <w:tblLayout w:type="fixed"/>
        <w:tblInd w:w="681" w:type="dxa"/>
        <w:tblCellMar>
          <w:top w:w="0" w:type="dxa"/>
          <w:left w:w="0" w:type="dxa"/>
          <w:bottom w:w="0" w:type="dxa"/>
          <w:right w:w="0" w:type="dxa"/>
        </w:tblCellMar>
      </w:tblPr>
      <w:tr>
        <w:trPr>
          <w:trHeight w:val="167"/>
        </w:trPr>
        <w:tc>
          <w:tcPr>
            <w:tcW w:w="2440" w:type="dxa"/>
            <w:vAlign w:val="bottom"/>
          </w:tcPr>
          <w:p>
            <w:pPr>
              <w:spacing w:after="0"/>
              <w:rPr>
                <w:sz w:val="14"/>
                <w:szCs w:val="14"/>
                <w:color w:val="auto"/>
              </w:rPr>
            </w:pPr>
          </w:p>
        </w:tc>
        <w:tc>
          <w:tcPr>
            <w:tcW w:w="52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rPr>
              <w:t>FORM 8-K</w:t>
            </w:r>
          </w:p>
        </w:tc>
        <w:tc>
          <w:tcPr>
            <w:tcW w:w="2120" w:type="dxa"/>
            <w:vAlign w:val="bottom"/>
          </w:tcPr>
          <w:p>
            <w:pPr>
              <w:spacing w:after="0"/>
              <w:rPr>
                <w:sz w:val="14"/>
                <w:szCs w:val="14"/>
                <w:color w:val="auto"/>
              </w:rPr>
            </w:pPr>
          </w:p>
        </w:tc>
      </w:tr>
      <w:tr>
        <w:trPr>
          <w:trHeight w:val="309"/>
        </w:trPr>
        <w:tc>
          <w:tcPr>
            <w:tcW w:w="2440" w:type="dxa"/>
            <w:vAlign w:val="bottom"/>
          </w:tcPr>
          <w:p>
            <w:pPr>
              <w:spacing w:after="0"/>
              <w:rPr>
                <w:sz w:val="24"/>
                <w:szCs w:val="24"/>
                <w:color w:val="auto"/>
              </w:rPr>
            </w:pPr>
          </w:p>
        </w:tc>
        <w:tc>
          <w:tcPr>
            <w:tcW w:w="52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8"/>
              </w:rPr>
              <w:t>CURRENT REPORT</w:t>
            </w:r>
          </w:p>
        </w:tc>
        <w:tc>
          <w:tcPr>
            <w:tcW w:w="2120" w:type="dxa"/>
            <w:vAlign w:val="bottom"/>
          </w:tcPr>
          <w:p>
            <w:pPr>
              <w:spacing w:after="0"/>
              <w:rPr>
                <w:sz w:val="24"/>
                <w:szCs w:val="24"/>
                <w:color w:val="auto"/>
              </w:rPr>
            </w:pPr>
          </w:p>
        </w:tc>
      </w:tr>
      <w:tr>
        <w:trPr>
          <w:trHeight w:val="167"/>
        </w:trPr>
        <w:tc>
          <w:tcPr>
            <w:tcW w:w="2440" w:type="dxa"/>
            <w:vAlign w:val="bottom"/>
          </w:tcPr>
          <w:p>
            <w:pPr>
              <w:spacing w:after="0"/>
              <w:rPr>
                <w:sz w:val="14"/>
                <w:szCs w:val="14"/>
                <w:color w:val="auto"/>
              </w:rPr>
            </w:pPr>
          </w:p>
        </w:tc>
        <w:tc>
          <w:tcPr>
            <w:tcW w:w="52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6"/>
              </w:rPr>
              <w:t>PURSUANT TO SECTION 13 OR 15(d) of the SECURITIES EXCHANGE ACT OF 1934</w:t>
            </w:r>
          </w:p>
        </w:tc>
        <w:tc>
          <w:tcPr>
            <w:tcW w:w="2120" w:type="dxa"/>
            <w:vAlign w:val="bottom"/>
          </w:tcPr>
          <w:p>
            <w:pPr>
              <w:spacing w:after="0"/>
              <w:rPr>
                <w:sz w:val="14"/>
                <w:szCs w:val="14"/>
                <w:color w:val="auto"/>
              </w:rPr>
            </w:pPr>
          </w:p>
        </w:tc>
      </w:tr>
      <w:tr>
        <w:trPr>
          <w:trHeight w:val="289"/>
        </w:trPr>
        <w:tc>
          <w:tcPr>
            <w:tcW w:w="2440" w:type="dxa"/>
            <w:vAlign w:val="bottom"/>
          </w:tcPr>
          <w:p>
            <w:pPr>
              <w:spacing w:after="0"/>
              <w:rPr>
                <w:sz w:val="24"/>
                <w:szCs w:val="24"/>
                <w:color w:val="auto"/>
              </w:rPr>
            </w:pPr>
          </w:p>
        </w:tc>
        <w:tc>
          <w:tcPr>
            <w:tcW w:w="52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9"/>
              </w:rPr>
              <w:t>Date of Report (Date of earliest event reported): December 19, 2019</w:t>
            </w:r>
          </w:p>
        </w:tc>
        <w:tc>
          <w:tcPr>
            <w:tcW w:w="2120" w:type="dxa"/>
            <w:vAlign w:val="bottom"/>
          </w:tcPr>
          <w:p>
            <w:pPr>
              <w:spacing w:after="0"/>
              <w:rPr>
                <w:sz w:val="24"/>
                <w:szCs w:val="24"/>
                <w:color w:val="auto"/>
              </w:rPr>
            </w:pPr>
          </w:p>
        </w:tc>
      </w:tr>
      <w:tr>
        <w:trPr>
          <w:trHeight w:val="321"/>
        </w:trPr>
        <w:tc>
          <w:tcPr>
            <w:tcW w:w="2440" w:type="dxa"/>
            <w:vAlign w:val="bottom"/>
          </w:tcPr>
          <w:p>
            <w:pPr>
              <w:spacing w:after="0"/>
              <w:rPr>
                <w:sz w:val="24"/>
                <w:szCs w:val="24"/>
                <w:color w:val="auto"/>
              </w:rPr>
            </w:pPr>
          </w:p>
        </w:tc>
        <w:tc>
          <w:tcPr>
            <w:tcW w:w="3440" w:type="dxa"/>
            <w:vAlign w:val="bottom"/>
          </w:tcPr>
          <w:p>
            <w:pPr>
              <w:jc w:val="center"/>
              <w:ind w:left="1716"/>
              <w:spacing w:after="0"/>
              <w:rPr>
                <w:sz w:val="20"/>
                <w:szCs w:val="20"/>
                <w:color w:val="auto"/>
              </w:rPr>
            </w:pPr>
            <w:r>
              <w:rPr>
                <w:rFonts w:ascii="Arial" w:cs="Arial" w:eastAsia="Arial" w:hAnsi="Arial"/>
                <w:sz w:val="13"/>
                <w:szCs w:val="13"/>
                <w:b w:val="1"/>
                <w:bCs w:val="1"/>
                <w:color w:val="auto"/>
                <w:w w:val="90"/>
              </w:rPr>
              <w:t>VistaGen Therapeutics, Inc.</w:t>
            </w:r>
          </w:p>
        </w:tc>
        <w:tc>
          <w:tcPr>
            <w:tcW w:w="104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63"/>
        </w:trPr>
        <w:tc>
          <w:tcPr>
            <w:tcW w:w="2440" w:type="dxa"/>
            <w:vAlign w:val="bottom"/>
          </w:tcPr>
          <w:p>
            <w:pPr>
              <w:spacing w:after="0"/>
              <w:rPr>
                <w:sz w:val="14"/>
                <w:szCs w:val="14"/>
                <w:color w:val="auto"/>
              </w:rPr>
            </w:pPr>
          </w:p>
        </w:tc>
        <w:tc>
          <w:tcPr>
            <w:tcW w:w="5260" w:type="dxa"/>
            <w:vAlign w:val="bottom"/>
            <w:gridSpan w:val="3"/>
          </w:tcPr>
          <w:p>
            <w:pPr>
              <w:jc w:val="center"/>
              <w:ind w:right="40"/>
              <w:spacing w:after="0"/>
              <w:rPr>
                <w:sz w:val="20"/>
                <w:szCs w:val="20"/>
                <w:color w:val="auto"/>
              </w:rPr>
            </w:pPr>
            <w:r>
              <w:rPr>
                <w:rFonts w:ascii="Arial" w:cs="Arial" w:eastAsia="Arial" w:hAnsi="Arial"/>
                <w:sz w:val="13"/>
                <w:szCs w:val="13"/>
                <w:i w:val="1"/>
                <w:iCs w:val="1"/>
                <w:color w:val="auto"/>
                <w:w w:val="91"/>
              </w:rPr>
              <w:t>(Exact name of registrant as specified in its charter)</w:t>
            </w:r>
          </w:p>
        </w:tc>
        <w:tc>
          <w:tcPr>
            <w:tcW w:w="2120" w:type="dxa"/>
            <w:vAlign w:val="bottom"/>
          </w:tcPr>
          <w:p>
            <w:pPr>
              <w:spacing w:after="0"/>
              <w:rPr>
                <w:sz w:val="14"/>
                <w:szCs w:val="14"/>
                <w:color w:val="auto"/>
              </w:rPr>
            </w:pPr>
          </w:p>
        </w:tc>
      </w:tr>
      <w:tr>
        <w:trPr>
          <w:trHeight w:val="313"/>
        </w:trPr>
        <w:tc>
          <w:tcPr>
            <w:tcW w:w="2440" w:type="dxa"/>
            <w:vAlign w:val="bottom"/>
          </w:tcPr>
          <w:p>
            <w:pPr>
              <w:jc w:val="center"/>
              <w:ind w:right="76"/>
              <w:spacing w:after="0"/>
              <w:rPr>
                <w:sz w:val="20"/>
                <w:szCs w:val="20"/>
                <w:color w:val="auto"/>
              </w:rPr>
            </w:pPr>
            <w:r>
              <w:rPr>
                <w:rFonts w:ascii="Arial" w:cs="Arial" w:eastAsia="Arial" w:hAnsi="Arial"/>
                <w:sz w:val="13"/>
                <w:szCs w:val="13"/>
                <w:b w:val="1"/>
                <w:bCs w:val="1"/>
                <w:color w:val="auto"/>
                <w:w w:val="98"/>
              </w:rPr>
              <w:t>NEVADA</w:t>
            </w:r>
          </w:p>
        </w:tc>
        <w:tc>
          <w:tcPr>
            <w:tcW w:w="3440" w:type="dxa"/>
            <w:vAlign w:val="bottom"/>
          </w:tcPr>
          <w:p>
            <w:pPr>
              <w:jc w:val="right"/>
              <w:ind w:right="596"/>
              <w:spacing w:after="0"/>
              <w:rPr>
                <w:sz w:val="20"/>
                <w:szCs w:val="20"/>
                <w:color w:val="auto"/>
              </w:rPr>
            </w:pPr>
            <w:r>
              <w:rPr>
                <w:rFonts w:ascii="Arial" w:cs="Arial" w:eastAsia="Arial" w:hAnsi="Arial"/>
                <w:sz w:val="13"/>
                <w:szCs w:val="13"/>
                <w:b w:val="1"/>
                <w:bCs w:val="1"/>
                <w:color w:val="auto"/>
              </w:rPr>
              <w:t>000-54014</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20" w:type="dxa"/>
            <w:vAlign w:val="bottom"/>
          </w:tcPr>
          <w:p>
            <w:pPr>
              <w:jc w:val="right"/>
              <w:ind w:right="596"/>
              <w:spacing w:after="0"/>
              <w:rPr>
                <w:sz w:val="20"/>
                <w:szCs w:val="20"/>
                <w:color w:val="auto"/>
              </w:rPr>
            </w:pPr>
            <w:r>
              <w:rPr>
                <w:rFonts w:ascii="Arial" w:cs="Arial" w:eastAsia="Arial" w:hAnsi="Arial"/>
                <w:sz w:val="13"/>
                <w:szCs w:val="13"/>
                <w:b w:val="1"/>
                <w:bCs w:val="1"/>
                <w:color w:val="auto"/>
              </w:rPr>
              <w:t>20-5093315</w:t>
            </w:r>
          </w:p>
        </w:tc>
      </w:tr>
      <w:tr>
        <w:trPr>
          <w:trHeight w:val="163"/>
        </w:trPr>
        <w:tc>
          <w:tcPr>
            <w:tcW w:w="2440" w:type="dxa"/>
            <w:vAlign w:val="bottom"/>
          </w:tcPr>
          <w:p>
            <w:pPr>
              <w:jc w:val="center"/>
              <w:ind w:right="76"/>
              <w:spacing w:after="0"/>
              <w:rPr>
                <w:sz w:val="20"/>
                <w:szCs w:val="20"/>
                <w:color w:val="auto"/>
              </w:rPr>
            </w:pPr>
            <w:r>
              <w:rPr>
                <w:rFonts w:ascii="Arial" w:cs="Arial" w:eastAsia="Arial" w:hAnsi="Arial"/>
                <w:sz w:val="13"/>
                <w:szCs w:val="13"/>
                <w:i w:val="1"/>
                <w:iCs w:val="1"/>
                <w:color w:val="auto"/>
                <w:w w:val="93"/>
              </w:rPr>
              <w:t>(State or other jurisdiction of incorporation)</w:t>
            </w:r>
          </w:p>
        </w:tc>
        <w:tc>
          <w:tcPr>
            <w:tcW w:w="5260" w:type="dxa"/>
            <w:vAlign w:val="bottom"/>
            <w:gridSpan w:val="3"/>
          </w:tcPr>
          <w:p>
            <w:pPr>
              <w:jc w:val="center"/>
              <w:ind w:right="260"/>
              <w:spacing w:after="0"/>
              <w:rPr>
                <w:sz w:val="20"/>
                <w:szCs w:val="20"/>
                <w:color w:val="auto"/>
              </w:rPr>
            </w:pPr>
            <w:r>
              <w:rPr>
                <w:rFonts w:ascii="Arial" w:cs="Arial" w:eastAsia="Arial" w:hAnsi="Arial"/>
                <w:sz w:val="13"/>
                <w:szCs w:val="13"/>
                <w:i w:val="1"/>
                <w:iCs w:val="1"/>
                <w:color w:val="auto"/>
                <w:w w:val="90"/>
              </w:rPr>
              <w:t>(Commission File Number)</w:t>
            </w:r>
          </w:p>
        </w:tc>
        <w:tc>
          <w:tcPr>
            <w:tcW w:w="2120" w:type="dxa"/>
            <w:vAlign w:val="bottom"/>
          </w:tcPr>
          <w:p>
            <w:pPr>
              <w:jc w:val="center"/>
              <w:ind w:left="76"/>
              <w:spacing w:after="0"/>
              <w:rPr>
                <w:sz w:val="20"/>
                <w:szCs w:val="20"/>
                <w:color w:val="auto"/>
              </w:rPr>
            </w:pPr>
            <w:r>
              <w:rPr>
                <w:rFonts w:ascii="Arial" w:cs="Arial" w:eastAsia="Arial" w:hAnsi="Arial"/>
                <w:sz w:val="13"/>
                <w:szCs w:val="13"/>
                <w:i w:val="1"/>
                <w:iCs w:val="1"/>
                <w:color w:val="auto"/>
                <w:w w:val="91"/>
              </w:rPr>
              <w:t>(IRS Employer Identification Number)</w:t>
            </w:r>
          </w:p>
        </w:tc>
      </w:tr>
      <w:tr>
        <w:trPr>
          <w:trHeight w:val="309"/>
        </w:trPr>
        <w:tc>
          <w:tcPr>
            <w:tcW w:w="2440" w:type="dxa"/>
            <w:vAlign w:val="bottom"/>
          </w:tcPr>
          <w:p>
            <w:pPr>
              <w:spacing w:after="0"/>
              <w:rPr>
                <w:sz w:val="24"/>
                <w:szCs w:val="24"/>
                <w:color w:val="auto"/>
              </w:rPr>
            </w:pPr>
          </w:p>
        </w:tc>
        <w:tc>
          <w:tcPr>
            <w:tcW w:w="52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0"/>
              </w:rPr>
              <w:t>343 Allerton Ave.</w:t>
            </w:r>
          </w:p>
        </w:tc>
        <w:tc>
          <w:tcPr>
            <w:tcW w:w="2120" w:type="dxa"/>
            <w:vAlign w:val="bottom"/>
          </w:tcPr>
          <w:p>
            <w:pPr>
              <w:spacing w:after="0"/>
              <w:rPr>
                <w:sz w:val="24"/>
                <w:szCs w:val="24"/>
                <w:color w:val="auto"/>
              </w:rPr>
            </w:pPr>
          </w:p>
        </w:tc>
      </w:tr>
      <w:tr>
        <w:trPr>
          <w:trHeight w:val="163"/>
        </w:trPr>
        <w:tc>
          <w:tcPr>
            <w:tcW w:w="2440" w:type="dxa"/>
            <w:vAlign w:val="bottom"/>
          </w:tcPr>
          <w:p>
            <w:pPr>
              <w:spacing w:after="0"/>
              <w:rPr>
                <w:sz w:val="14"/>
                <w:szCs w:val="14"/>
                <w:color w:val="auto"/>
              </w:rPr>
            </w:pPr>
          </w:p>
        </w:tc>
        <w:tc>
          <w:tcPr>
            <w:tcW w:w="52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9"/>
              </w:rPr>
              <w:t>South San Francisco, California 94090</w:t>
            </w:r>
          </w:p>
        </w:tc>
        <w:tc>
          <w:tcPr>
            <w:tcW w:w="2120" w:type="dxa"/>
            <w:vAlign w:val="bottom"/>
          </w:tcPr>
          <w:p>
            <w:pPr>
              <w:spacing w:after="0"/>
              <w:rPr>
                <w:sz w:val="14"/>
                <w:szCs w:val="14"/>
                <w:color w:val="auto"/>
              </w:rPr>
            </w:pPr>
          </w:p>
        </w:tc>
      </w:tr>
      <w:tr>
        <w:trPr>
          <w:trHeight w:val="163"/>
        </w:trPr>
        <w:tc>
          <w:tcPr>
            <w:tcW w:w="2440" w:type="dxa"/>
            <w:vAlign w:val="bottom"/>
          </w:tcPr>
          <w:p>
            <w:pPr>
              <w:spacing w:after="0"/>
              <w:rPr>
                <w:sz w:val="14"/>
                <w:szCs w:val="14"/>
                <w:color w:val="auto"/>
              </w:rPr>
            </w:pPr>
          </w:p>
        </w:tc>
        <w:tc>
          <w:tcPr>
            <w:tcW w:w="5260" w:type="dxa"/>
            <w:vAlign w:val="bottom"/>
            <w:gridSpan w:val="3"/>
          </w:tcPr>
          <w:p>
            <w:pPr>
              <w:jc w:val="center"/>
              <w:ind w:right="40"/>
              <w:spacing w:after="0"/>
              <w:rPr>
                <w:sz w:val="20"/>
                <w:szCs w:val="20"/>
                <w:color w:val="auto"/>
              </w:rPr>
            </w:pPr>
            <w:r>
              <w:rPr>
                <w:rFonts w:ascii="Arial" w:cs="Arial" w:eastAsia="Arial" w:hAnsi="Arial"/>
                <w:sz w:val="13"/>
                <w:szCs w:val="13"/>
                <w:i w:val="1"/>
                <w:iCs w:val="1"/>
                <w:color w:val="auto"/>
                <w:w w:val="90"/>
              </w:rPr>
              <w:t>(Address of principal executive offices)</w:t>
            </w:r>
          </w:p>
        </w:tc>
        <w:tc>
          <w:tcPr>
            <w:tcW w:w="2120" w:type="dxa"/>
            <w:vAlign w:val="bottom"/>
          </w:tcPr>
          <w:p>
            <w:pPr>
              <w:spacing w:after="0"/>
              <w:rPr>
                <w:sz w:val="14"/>
                <w:szCs w:val="14"/>
                <w:color w:val="auto"/>
              </w:rPr>
            </w:pPr>
          </w:p>
        </w:tc>
      </w:tr>
      <w:tr>
        <w:trPr>
          <w:trHeight w:val="313"/>
        </w:trPr>
        <w:tc>
          <w:tcPr>
            <w:tcW w:w="2440" w:type="dxa"/>
            <w:vAlign w:val="bottom"/>
          </w:tcPr>
          <w:p>
            <w:pPr>
              <w:spacing w:after="0"/>
              <w:rPr>
                <w:sz w:val="24"/>
                <w:szCs w:val="24"/>
                <w:color w:val="auto"/>
              </w:rPr>
            </w:pPr>
          </w:p>
        </w:tc>
        <w:tc>
          <w:tcPr>
            <w:tcW w:w="3440" w:type="dxa"/>
            <w:vAlign w:val="bottom"/>
          </w:tcPr>
          <w:p>
            <w:pPr>
              <w:jc w:val="center"/>
              <w:ind w:left="1736"/>
              <w:spacing w:after="0"/>
              <w:rPr>
                <w:sz w:val="20"/>
                <w:szCs w:val="20"/>
                <w:color w:val="auto"/>
              </w:rPr>
            </w:pPr>
            <w:r>
              <w:rPr>
                <w:rFonts w:ascii="Arial" w:cs="Arial" w:eastAsia="Arial" w:hAnsi="Arial"/>
                <w:sz w:val="13"/>
                <w:szCs w:val="13"/>
                <w:b w:val="1"/>
                <w:bCs w:val="1"/>
                <w:color w:val="auto"/>
                <w:w w:val="89"/>
              </w:rPr>
              <w:t>(650) 577-3600</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163"/>
        </w:trPr>
        <w:tc>
          <w:tcPr>
            <w:tcW w:w="2440" w:type="dxa"/>
            <w:vAlign w:val="bottom"/>
          </w:tcPr>
          <w:p>
            <w:pPr>
              <w:spacing w:after="0"/>
              <w:rPr>
                <w:sz w:val="14"/>
                <w:szCs w:val="14"/>
                <w:color w:val="auto"/>
              </w:rPr>
            </w:pPr>
          </w:p>
        </w:tc>
        <w:tc>
          <w:tcPr>
            <w:tcW w:w="5260" w:type="dxa"/>
            <w:vAlign w:val="bottom"/>
            <w:gridSpan w:val="3"/>
          </w:tcPr>
          <w:p>
            <w:pPr>
              <w:jc w:val="center"/>
              <w:ind w:right="40"/>
              <w:spacing w:after="0"/>
              <w:rPr>
                <w:sz w:val="20"/>
                <w:szCs w:val="20"/>
                <w:color w:val="auto"/>
              </w:rPr>
            </w:pPr>
            <w:r>
              <w:rPr>
                <w:rFonts w:ascii="Arial" w:cs="Arial" w:eastAsia="Arial" w:hAnsi="Arial"/>
                <w:sz w:val="13"/>
                <w:szCs w:val="13"/>
                <w:i w:val="1"/>
                <w:iCs w:val="1"/>
                <w:color w:val="auto"/>
                <w:w w:val="89"/>
              </w:rPr>
              <w:t>(Registrant’s telephone number, including area code)</w:t>
            </w:r>
          </w:p>
        </w:tc>
        <w:tc>
          <w:tcPr>
            <w:tcW w:w="2120" w:type="dxa"/>
            <w:vAlign w:val="bottom"/>
          </w:tcPr>
          <w:p>
            <w:pPr>
              <w:spacing w:after="0"/>
              <w:rPr>
                <w:sz w:val="14"/>
                <w:szCs w:val="14"/>
                <w:color w:val="auto"/>
              </w:rPr>
            </w:pPr>
          </w:p>
        </w:tc>
      </w:tr>
      <w:tr>
        <w:trPr>
          <w:trHeight w:val="313"/>
        </w:trPr>
        <w:tc>
          <w:tcPr>
            <w:tcW w:w="2440" w:type="dxa"/>
            <w:vAlign w:val="bottom"/>
          </w:tcPr>
          <w:p>
            <w:pPr>
              <w:spacing w:after="0"/>
              <w:rPr>
                <w:sz w:val="24"/>
                <w:szCs w:val="24"/>
                <w:color w:val="auto"/>
              </w:rPr>
            </w:pPr>
          </w:p>
        </w:tc>
        <w:tc>
          <w:tcPr>
            <w:tcW w:w="52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0"/>
              </w:rPr>
              <w:t>Not Applicable</w:t>
            </w:r>
          </w:p>
        </w:tc>
        <w:tc>
          <w:tcPr>
            <w:tcW w:w="2120" w:type="dxa"/>
            <w:vAlign w:val="bottom"/>
          </w:tcPr>
          <w:p>
            <w:pPr>
              <w:spacing w:after="0"/>
              <w:rPr>
                <w:sz w:val="24"/>
                <w:szCs w:val="24"/>
                <w:color w:val="auto"/>
              </w:rPr>
            </w:pPr>
          </w:p>
        </w:tc>
      </w:tr>
      <w:tr>
        <w:trPr>
          <w:trHeight w:val="163"/>
        </w:trPr>
        <w:tc>
          <w:tcPr>
            <w:tcW w:w="2440" w:type="dxa"/>
            <w:vAlign w:val="bottom"/>
          </w:tcPr>
          <w:p>
            <w:pPr>
              <w:spacing w:after="0"/>
              <w:rPr>
                <w:sz w:val="14"/>
                <w:szCs w:val="14"/>
                <w:color w:val="auto"/>
              </w:rPr>
            </w:pPr>
          </w:p>
        </w:tc>
        <w:tc>
          <w:tcPr>
            <w:tcW w:w="5260" w:type="dxa"/>
            <w:vAlign w:val="bottom"/>
            <w:gridSpan w:val="3"/>
          </w:tcPr>
          <w:p>
            <w:pPr>
              <w:jc w:val="center"/>
              <w:spacing w:after="0"/>
              <w:rPr>
                <w:sz w:val="20"/>
                <w:szCs w:val="20"/>
                <w:color w:val="auto"/>
              </w:rPr>
            </w:pPr>
            <w:r>
              <w:rPr>
                <w:rFonts w:ascii="Arial" w:cs="Arial" w:eastAsia="Arial" w:hAnsi="Arial"/>
                <w:sz w:val="13"/>
                <w:szCs w:val="13"/>
                <w:i w:val="1"/>
                <w:iCs w:val="1"/>
                <w:color w:val="auto"/>
                <w:w w:val="90"/>
              </w:rPr>
              <w:t>(Former name or former address, if changed since last report)</w:t>
            </w:r>
          </w:p>
        </w:tc>
        <w:tc>
          <w:tcPr>
            <w:tcW w:w="2120" w:type="dxa"/>
            <w:vAlign w:val="bottom"/>
          </w:tcPr>
          <w:p>
            <w:pPr>
              <w:spacing w:after="0"/>
              <w:rPr>
                <w:sz w:val="14"/>
                <w:szCs w:val="14"/>
                <w:color w:val="auto"/>
              </w:rPr>
            </w:pPr>
          </w:p>
        </w:tc>
      </w:tr>
    </w:tbl>
    <w:p>
      <w:pPr>
        <w:spacing w:after="0" w:line="313" w:lineRule="exact"/>
        <w:rPr>
          <w:sz w:val="24"/>
          <w:szCs w:val="24"/>
          <w:color w:val="auto"/>
        </w:rPr>
      </w:pPr>
    </w:p>
    <w:p>
      <w:pPr>
        <w:ind w:left="1"/>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68" w:lineRule="exact"/>
        <w:rPr>
          <w:sz w:val="24"/>
          <w:szCs w:val="24"/>
          <w:color w:val="auto"/>
        </w:rPr>
      </w:pPr>
    </w:p>
    <w:p>
      <w:pPr>
        <w:ind w:left="161" w:hanging="161"/>
        <w:spacing w:after="0"/>
        <w:tabs>
          <w:tab w:leader="none" w:pos="161"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19" w:lineRule="exact"/>
        <w:rPr>
          <w:rFonts w:ascii="MS PGothic" w:cs="MS PGothic" w:eastAsia="MS PGothic" w:hAnsi="MS PGothic"/>
          <w:sz w:val="13"/>
          <w:szCs w:val="13"/>
          <w:color w:val="auto"/>
        </w:rPr>
      </w:pPr>
    </w:p>
    <w:p>
      <w:pPr>
        <w:ind w:left="161" w:hanging="161"/>
        <w:spacing w:after="0"/>
        <w:tabs>
          <w:tab w:leader="none" w:pos="161"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 -12)</w:t>
      </w:r>
    </w:p>
    <w:p>
      <w:pPr>
        <w:spacing w:after="0" w:line="9" w:lineRule="exact"/>
        <w:rPr>
          <w:rFonts w:ascii="MS PGothic" w:cs="MS PGothic" w:eastAsia="MS PGothic" w:hAnsi="MS PGothic"/>
          <w:sz w:val="13"/>
          <w:szCs w:val="13"/>
          <w:color w:val="auto"/>
        </w:rPr>
      </w:pPr>
    </w:p>
    <w:p>
      <w:pPr>
        <w:ind w:left="161" w:hanging="161"/>
        <w:spacing w:after="0"/>
        <w:tabs>
          <w:tab w:leader="none" w:pos="161"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 -2(b))</w:t>
      </w:r>
    </w:p>
    <w:p>
      <w:pPr>
        <w:spacing w:after="0" w:line="9" w:lineRule="exact"/>
        <w:rPr>
          <w:rFonts w:ascii="MS PGothic" w:cs="MS PGothic" w:eastAsia="MS PGothic" w:hAnsi="MS PGothic"/>
          <w:sz w:val="13"/>
          <w:szCs w:val="13"/>
          <w:color w:val="auto"/>
        </w:rPr>
      </w:pPr>
    </w:p>
    <w:p>
      <w:pPr>
        <w:ind w:left="161" w:hanging="161"/>
        <w:spacing w:after="0"/>
        <w:tabs>
          <w:tab w:leader="none" w:pos="161"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 -4(c))</w:t>
      </w:r>
    </w:p>
    <w:p>
      <w:pPr>
        <w:spacing w:after="0" w:line="158" w:lineRule="exact"/>
        <w:rPr>
          <w:sz w:val="24"/>
          <w:szCs w:val="24"/>
          <w:color w:val="auto"/>
        </w:rPr>
      </w:pPr>
    </w:p>
    <w:tbl>
      <w:tblPr>
        <w:tblLayout w:type="fixed"/>
        <w:tblInd w:w="1" w:type="dxa"/>
        <w:tblCellMar>
          <w:top w:w="0" w:type="dxa"/>
          <w:left w:w="0" w:type="dxa"/>
          <w:bottom w:w="0" w:type="dxa"/>
          <w:right w:w="0" w:type="dxa"/>
        </w:tblCellMar>
      </w:tblPr>
      <w:tr>
        <w:trPr>
          <w:trHeight w:val="163"/>
        </w:trPr>
        <w:tc>
          <w:tcPr>
            <w:tcW w:w="4120" w:type="dxa"/>
            <w:vAlign w:val="bottom"/>
            <w:gridSpan w:val="3"/>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289"/>
        </w:trPr>
        <w:tc>
          <w:tcPr>
            <w:tcW w:w="1420" w:type="dxa"/>
            <w:vAlign w:val="bottom"/>
          </w:tcPr>
          <w:p>
            <w:pPr>
              <w:spacing w:after="0"/>
              <w:rPr>
                <w:sz w:val="24"/>
                <w:szCs w:val="24"/>
                <w:color w:val="auto"/>
              </w:rPr>
            </w:pPr>
          </w:p>
        </w:tc>
        <w:tc>
          <w:tcPr>
            <w:tcW w:w="2700" w:type="dxa"/>
            <w:vAlign w:val="bottom"/>
            <w:gridSpan w:val="2"/>
          </w:tcPr>
          <w:p>
            <w:pPr>
              <w:jc w:val="center"/>
              <w:ind w:right="1760"/>
              <w:spacing w:after="0"/>
              <w:rPr>
                <w:sz w:val="20"/>
                <w:szCs w:val="20"/>
                <w:color w:val="auto"/>
              </w:rPr>
            </w:pPr>
            <w:r>
              <w:rPr>
                <w:rFonts w:ascii="Arial" w:cs="Arial" w:eastAsia="Arial" w:hAnsi="Arial"/>
                <w:sz w:val="13"/>
                <w:szCs w:val="13"/>
                <w:color w:val="auto"/>
                <w:w w:val="90"/>
              </w:rPr>
              <w:t>Title of each class</w:t>
            </w:r>
          </w:p>
        </w:tc>
        <w:tc>
          <w:tcPr>
            <w:tcW w:w="1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3"/>
                <w:szCs w:val="13"/>
                <w:color w:val="auto"/>
                <w:w w:val="92"/>
              </w:rPr>
              <w:t>Trading Symbol(s)</w:t>
            </w:r>
          </w:p>
        </w:tc>
        <w:tc>
          <w:tcPr>
            <w:tcW w:w="1100" w:type="dxa"/>
            <w:vAlign w:val="bottom"/>
          </w:tcPr>
          <w:p>
            <w:pPr>
              <w:spacing w:after="0"/>
              <w:rPr>
                <w:sz w:val="24"/>
                <w:szCs w:val="24"/>
                <w:color w:val="auto"/>
              </w:rPr>
            </w:pPr>
          </w:p>
        </w:tc>
        <w:tc>
          <w:tcPr>
            <w:tcW w:w="3400" w:type="dxa"/>
            <w:vAlign w:val="bottom"/>
            <w:gridSpan w:val="2"/>
          </w:tcPr>
          <w:p>
            <w:pPr>
              <w:jc w:val="center"/>
              <w:ind w:left="1056"/>
              <w:spacing w:after="0"/>
              <w:rPr>
                <w:sz w:val="20"/>
                <w:szCs w:val="20"/>
                <w:color w:val="auto"/>
              </w:rPr>
            </w:pPr>
            <w:r>
              <w:rPr>
                <w:rFonts w:ascii="Arial" w:cs="Arial" w:eastAsia="Arial" w:hAnsi="Arial"/>
                <w:sz w:val="13"/>
                <w:szCs w:val="13"/>
                <w:color w:val="auto"/>
                <w:w w:val="88"/>
              </w:rPr>
              <w:t>Name of each exchange on which registered</w:t>
            </w:r>
          </w:p>
        </w:tc>
      </w:tr>
      <w:tr>
        <w:trPr>
          <w:trHeight w:val="167"/>
        </w:trPr>
        <w:tc>
          <w:tcPr>
            <w:tcW w:w="4120" w:type="dxa"/>
            <w:vAlign w:val="bottom"/>
            <w:gridSpan w:val="3"/>
          </w:tcPr>
          <w:p>
            <w:pPr>
              <w:jc w:val="center"/>
              <w:ind w:right="340"/>
              <w:spacing w:after="0"/>
              <w:rPr>
                <w:sz w:val="20"/>
                <w:szCs w:val="20"/>
                <w:color w:val="auto"/>
              </w:rPr>
            </w:pPr>
            <w:r>
              <w:rPr>
                <w:rFonts w:ascii="Arial" w:cs="Arial" w:eastAsia="Arial" w:hAnsi="Arial"/>
                <w:sz w:val="13"/>
                <w:szCs w:val="13"/>
                <w:color w:val="auto"/>
                <w:w w:val="88"/>
              </w:rPr>
              <w:t>Common Stock, par value $0.001 per share</w:t>
            </w:r>
          </w:p>
        </w:tc>
        <w:tc>
          <w:tcPr>
            <w:tcW w:w="1120" w:type="dxa"/>
            <w:vAlign w:val="bottom"/>
          </w:tcPr>
          <w:p>
            <w:pPr>
              <w:spacing w:after="0"/>
              <w:rPr>
                <w:sz w:val="14"/>
                <w:szCs w:val="14"/>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4"/>
              </w:rPr>
              <w:t>VTGN</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0"/>
              </w:rPr>
              <w:t>Nasdaq Capital Market</w:t>
            </w:r>
          </w:p>
        </w:tc>
      </w:tr>
    </w:tbl>
    <w:p>
      <w:pPr>
        <w:spacing w:after="0" w:line="155" w:lineRule="exact"/>
        <w:rPr>
          <w:sz w:val="24"/>
          <w:szCs w:val="24"/>
          <w:color w:val="auto"/>
        </w:rPr>
      </w:pPr>
    </w:p>
    <w:p>
      <w:pPr>
        <w:ind w:left="1"/>
        <w:spacing w:after="0" w:line="276"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(17 CFR 230.405) or Rule 12b-2 of the Securities Exchange Act of 1934 (17 CFR 240.12b-2)</w:t>
      </w:r>
    </w:p>
    <w:p>
      <w:pPr>
        <w:spacing w:after="0" w:line="108" w:lineRule="exact"/>
        <w:rPr>
          <w:sz w:val="24"/>
          <w:szCs w:val="24"/>
          <w:color w:val="auto"/>
        </w:rPr>
      </w:pPr>
    </w:p>
    <w:p>
      <w:pPr>
        <w:ind w:left="9861"/>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16" w:lineRule="exact"/>
        <w:rPr>
          <w:sz w:val="24"/>
          <w:szCs w:val="24"/>
          <w:color w:val="auto"/>
        </w:rPr>
      </w:pPr>
    </w:p>
    <w:p>
      <w:pPr>
        <w:ind w:left="1"/>
        <w:spacing w:after="0" w:line="16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294640</wp:posOffset>
            </wp:positionV>
            <wp:extent cx="728281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281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351790</wp:posOffset>
            </wp:positionV>
            <wp:extent cx="72828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281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490220</wp:posOffset>
            </wp:positionV>
            <wp:extent cx="7282815"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ectPr>
          <w:pgSz w:w="11900" w:h="16838" w:orient="portrait"/>
          <w:cols w:equalWidth="0" w:num="1">
            <w:col w:w="11461"/>
          </w:cols>
          <w:pgMar w:left="219" w:top="735" w:right="219" w:bottom="1440" w:gutter="0" w:footer="0" w:header="0"/>
        </w:sectPr>
      </w:pPr>
    </w:p>
    <w:bookmarkStart w:id="1" w:name="page2"/>
    <w:bookmarkEnd w:id="1"/>
    <w:p>
      <w:pPr>
        <w:spacing w:after="0"/>
        <w:rPr>
          <w:sz w:val="20"/>
          <w:szCs w:val="20"/>
          <w:color w:val="auto"/>
        </w:rPr>
      </w:pPr>
      <w:r>
        <w:rPr>
          <w:rFonts w:ascii="Arial" w:cs="Arial" w:eastAsia="Arial" w:hAnsi="Arial"/>
          <w:sz w:val="13"/>
          <w:szCs w:val="13"/>
          <w:b w:val="1"/>
          <w:bCs w:val="1"/>
          <w:color w:val="auto"/>
        </w:rPr>
        <w:t>Item 7.01. Regulation FD Disclosure.</w:t>
      </w:r>
    </w:p>
    <w:p>
      <w:pPr>
        <w:spacing w:after="0" w:line="172" w:lineRule="exact"/>
        <w:rPr>
          <w:sz w:val="20"/>
          <w:szCs w:val="20"/>
          <w:color w:val="auto"/>
        </w:rPr>
      </w:pPr>
    </w:p>
    <w:p>
      <w:pPr>
        <w:jc w:val="both"/>
        <w:ind w:firstLine="476"/>
        <w:spacing w:after="0" w:line="276" w:lineRule="auto"/>
        <w:rPr>
          <w:sz w:val="20"/>
          <w:szCs w:val="20"/>
          <w:color w:val="auto"/>
        </w:rPr>
      </w:pPr>
      <w:r>
        <w:rPr>
          <w:rFonts w:ascii="Arial" w:cs="Arial" w:eastAsia="Arial" w:hAnsi="Arial"/>
          <w:sz w:val="13"/>
          <w:szCs w:val="13"/>
          <w:color w:val="auto"/>
        </w:rPr>
        <w:t>On December 26, 2019, VistaGen Therapeutics, Inc. (the “</w:t>
      </w:r>
      <w:r>
        <w:rPr>
          <w:rFonts w:ascii="Arial" w:cs="Arial" w:eastAsia="Arial" w:hAnsi="Arial"/>
          <w:sz w:val="13"/>
          <w:szCs w:val="13"/>
          <w:i w:val="1"/>
          <w:iCs w:val="1"/>
          <w:color w:val="auto"/>
        </w:rPr>
        <w:t>Company</w:t>
      </w:r>
      <w:r>
        <w:rPr>
          <w:rFonts w:ascii="Arial" w:cs="Arial" w:eastAsia="Arial" w:hAnsi="Arial"/>
          <w:sz w:val="13"/>
          <w:szCs w:val="13"/>
          <w:color w:val="auto"/>
        </w:rPr>
        <w:t>”) began utilizing a new corporate presentation. A copy of the updated corporate presentation is attached to this Current Report on Form 8-K as Exhibit 99.1.</w:t>
      </w:r>
    </w:p>
    <w:p>
      <w:pPr>
        <w:spacing w:after="0" w:line="132" w:lineRule="exact"/>
        <w:rPr>
          <w:sz w:val="20"/>
          <w:szCs w:val="20"/>
          <w:color w:val="auto"/>
        </w:rPr>
      </w:pPr>
    </w:p>
    <w:p>
      <w:pPr>
        <w:jc w:val="both"/>
        <w:ind w:firstLine="476"/>
        <w:spacing w:after="0" w:line="265" w:lineRule="auto"/>
        <w:rPr>
          <w:sz w:val="20"/>
          <w:szCs w:val="20"/>
          <w:color w:val="auto"/>
        </w:rPr>
      </w:pPr>
      <w:r>
        <w:rPr>
          <w:rFonts w:ascii="Arial" w:cs="Arial" w:eastAsia="Arial" w:hAnsi="Arial"/>
          <w:sz w:val="13"/>
          <w:szCs w:val="13"/>
          <w:color w:val="auto"/>
        </w:rPr>
        <w:t>The information in Item 7.01 of this Current Report on Form 8-K, including the information set forth in Exhibit 99.1, is being furnished and shall not be deemed “filed” for purposes of Section 18 of the Securities Exchange Act of 1934, as amended (the “</w:t>
      </w:r>
      <w:r>
        <w:rPr>
          <w:rFonts w:ascii="Arial" w:cs="Arial" w:eastAsia="Arial" w:hAnsi="Arial"/>
          <w:sz w:val="13"/>
          <w:szCs w:val="13"/>
          <w:i w:val="1"/>
          <w:iCs w:val="1"/>
          <w:color w:val="auto"/>
        </w:rPr>
        <w:t>Exchange Act</w:t>
      </w:r>
      <w:r>
        <w:rPr>
          <w:rFonts w:ascii="Arial" w:cs="Arial" w:eastAsia="Arial" w:hAnsi="Arial"/>
          <w:sz w:val="13"/>
          <w:szCs w:val="13"/>
          <w:color w:val="auto"/>
        </w:rPr>
        <w:t>”), nor shall Exhibit 99.1 filed herewith be deemed incorporated by reference in any filing under the Securities Act of 1933, as amended, or the Exchange Act, except as shall be expressly set forth by specific reference in such a filing.</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8.01. Other Events.</w:t>
      </w:r>
    </w:p>
    <w:p>
      <w:pPr>
        <w:spacing w:after="0" w:line="122" w:lineRule="exact"/>
        <w:rPr>
          <w:sz w:val="20"/>
          <w:szCs w:val="20"/>
          <w:color w:val="auto"/>
        </w:rPr>
      </w:pPr>
    </w:p>
    <w:p>
      <w:pPr>
        <w:jc w:val="both"/>
        <w:ind w:firstLine="476"/>
        <w:spacing w:after="0" w:line="265" w:lineRule="auto"/>
        <w:rPr>
          <w:sz w:val="20"/>
          <w:szCs w:val="20"/>
          <w:color w:val="auto"/>
        </w:rPr>
      </w:pPr>
      <w:r>
        <w:rPr>
          <w:rFonts w:ascii="Arial" w:cs="Arial" w:eastAsia="Arial" w:hAnsi="Arial"/>
          <w:sz w:val="13"/>
          <w:szCs w:val="13"/>
          <w:color w:val="auto"/>
        </w:rPr>
        <w:t>On December 19, 2019, the Company announced successful results from a first-step, Phase 1b clinical study with healthy U.S. military Veterans, which measured NMDAR (N-methyl-D-aspartate receptor) target engagement of the Company's investigational product candidate, AV-101, an oral NMDAR glycine site antagonist, for potential treatment of suicidal ideation in Veterans. A copy of the press release is attached to this Current Report on Form 8-K as Exhibit 99.2.</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Exhibits.</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3"/>
          <w:szCs w:val="13"/>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287020</wp:posOffset>
            </wp:positionV>
            <wp:extent cx="728281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ectPr>
          <w:pgSz w:w="11900" w:h="16838" w:orient="portrait"/>
          <w:cols w:equalWidth="0" w:num="1">
            <w:col w:w="11460"/>
          </w:cols>
          <w:pgMar w:left="220" w:top="566" w:right="219" w:bottom="1440" w:gutter="0" w:footer="0" w:header="0"/>
        </w:sectPr>
      </w:pPr>
    </w:p>
    <w:bookmarkStart w:id="2" w:name="page3"/>
    <w:bookmarkEnd w:id="2"/>
    <w:p>
      <w:pPr>
        <w:ind w:left="5640"/>
        <w:spacing w:after="0"/>
        <w:rPr>
          <w:sz w:val="20"/>
          <w:szCs w:val="20"/>
          <w:color w:val="auto"/>
        </w:rPr>
      </w:pPr>
      <w:r>
        <w:rPr>
          <w:rFonts w:ascii="Arial" w:cs="Arial" w:eastAsia="Arial" w:hAnsi="Arial"/>
          <w:sz w:val="13"/>
          <w:szCs w:val="13"/>
          <w:b w:val="1"/>
          <w:bCs w:val="1"/>
          <w:color w:val="auto"/>
        </w:rPr>
        <w:t>Signatures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VistaGen Therapeutics, Inc.</w:t>
      </w:r>
    </w:p>
    <w:p>
      <w:pPr>
        <w:spacing w:after="0" w:line="168" w:lineRule="exact"/>
        <w:rPr>
          <w:sz w:val="20"/>
          <w:szCs w:val="20"/>
          <w:color w:val="auto"/>
        </w:rPr>
      </w:pPr>
    </w:p>
    <w:p>
      <w:pPr>
        <w:spacing w:after="0"/>
        <w:tabs>
          <w:tab w:leader="none" w:pos="5340" w:val="left"/>
          <w:tab w:leader="none" w:pos="5920" w:val="left"/>
        </w:tabs>
        <w:rPr>
          <w:sz w:val="20"/>
          <w:szCs w:val="20"/>
          <w:color w:val="auto"/>
        </w:rPr>
      </w:pPr>
      <w:r>
        <w:rPr>
          <w:rFonts w:ascii="Arial" w:cs="Arial" w:eastAsia="Arial" w:hAnsi="Arial"/>
          <w:sz w:val="13"/>
          <w:szCs w:val="13"/>
          <w:color w:val="auto"/>
        </w:rPr>
        <w:t>Date: December 27, 2019</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3766820</wp:posOffset>
            </wp:positionH>
            <wp:positionV relativeFrom="paragraph">
              <wp:posOffset>9525</wp:posOffset>
            </wp:positionV>
            <wp:extent cx="3490595"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90595" cy="12700"/>
                    </a:xfrm>
                    <a:prstGeom prst="rect">
                      <a:avLst/>
                    </a:prstGeom>
                    <a:noFill/>
                  </pic:spPr>
                </pic:pic>
              </a:graphicData>
            </a:graphic>
          </wp:anchor>
        </w:drawing>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Shawn K. Singh</w:t>
      </w:r>
    </w:p>
    <w:p>
      <w:pPr>
        <w:spacing w:after="0" w:line="13" w:lineRule="exact"/>
        <w:rPr>
          <w:sz w:val="20"/>
          <w:szCs w:val="20"/>
          <w:color w:val="auto"/>
        </w:rPr>
      </w:pPr>
    </w:p>
    <w:p>
      <w:pPr>
        <w:ind w:left="5940"/>
        <w:spacing w:after="0"/>
        <w:rPr>
          <w:sz w:val="20"/>
          <w:szCs w:val="20"/>
          <w:color w:val="auto"/>
        </w:rPr>
      </w:pPr>
      <w:r>
        <w:rPr>
          <w:rFonts w:ascii="Arial" w:cs="Arial" w:eastAsia="Arial" w:hAnsi="Arial"/>
          <w:sz w:val="13"/>
          <w:szCs w:val="13"/>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384810</wp:posOffset>
            </wp:positionV>
            <wp:extent cx="728281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ectPr>
          <w:pgSz w:w="11900" w:h="16838" w:orient="portrait"/>
          <w:cols w:equalWidth="0" w:num="1">
            <w:col w:w="10199"/>
          </w:cols>
          <w:pgMar w:left="260" w:top="586"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300" w:type="dxa"/>
            <w:vAlign w:val="bottom"/>
          </w:tcPr>
          <w:p>
            <w:pPr>
              <w:ind w:left="4080"/>
              <w:spacing w:after="0"/>
              <w:rPr>
                <w:sz w:val="20"/>
                <w:szCs w:val="20"/>
                <w:color w:val="auto"/>
              </w:rPr>
            </w:pPr>
            <w:r>
              <w:rPr>
                <w:rFonts w:ascii="Arial" w:cs="Arial" w:eastAsia="Arial" w:hAnsi="Arial"/>
                <w:sz w:val="13"/>
                <w:szCs w:val="13"/>
                <w:b w:val="1"/>
                <w:bCs w:val="1"/>
                <w:color w:val="auto"/>
              </w:rPr>
              <w:t>EXHIBIT INDEX</w:t>
            </w:r>
          </w:p>
        </w:tc>
      </w:tr>
      <w:tr>
        <w:trPr>
          <w:trHeight w:val="319"/>
        </w:trPr>
        <w:tc>
          <w:tcPr>
            <w:tcW w:w="920" w:type="dxa"/>
            <w:vAlign w:val="bottom"/>
            <w:gridSpan w:val="2"/>
          </w:tcPr>
          <w:p>
            <w:pPr>
              <w:spacing w:after="0"/>
              <w:rPr>
                <w:sz w:val="20"/>
                <w:szCs w:val="20"/>
                <w:color w:val="auto"/>
              </w:rPr>
            </w:pPr>
            <w:r>
              <w:rPr>
                <w:rFonts w:ascii="Arial" w:cs="Arial" w:eastAsia="Arial" w:hAnsi="Arial"/>
                <w:sz w:val="13"/>
                <w:szCs w:val="13"/>
                <w:b w:val="1"/>
                <w:bCs w:val="1"/>
                <w:color w:val="auto"/>
                <w:w w:val="93"/>
              </w:rPr>
              <w:t>Exhibit Number</w:t>
            </w:r>
          </w:p>
        </w:tc>
        <w:tc>
          <w:tcPr>
            <w:tcW w:w="10540" w:type="dxa"/>
            <w:vAlign w:val="bottom"/>
            <w:gridSpan w:val="2"/>
          </w:tcPr>
          <w:p>
            <w:pPr>
              <w:ind w:left="240"/>
              <w:spacing w:after="0"/>
              <w:rPr>
                <w:sz w:val="20"/>
                <w:szCs w:val="20"/>
                <w:color w:val="auto"/>
              </w:rPr>
            </w:pPr>
            <w:r>
              <w:rPr>
                <w:rFonts w:ascii="Arial" w:cs="Arial" w:eastAsia="Arial" w:hAnsi="Arial"/>
                <w:sz w:val="13"/>
                <w:szCs w:val="13"/>
                <w:b w:val="1"/>
                <w:bCs w:val="1"/>
                <w:color w:val="auto"/>
              </w:rPr>
              <w:t>Description</w:t>
            </w:r>
          </w:p>
        </w:tc>
      </w:tr>
      <w:tr>
        <w:trPr>
          <w:trHeight w:val="159"/>
        </w:trPr>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300" w:type="dxa"/>
            <w:vAlign w:val="bottom"/>
            <w:tcBorders>
              <w:top w:val="single" w:sz="8" w:color="auto"/>
            </w:tcBorders>
          </w:tcPr>
          <w:p>
            <w:pPr>
              <w:spacing w:after="0"/>
              <w:rPr>
                <w:sz w:val="13"/>
                <w:szCs w:val="13"/>
                <w:color w:val="auto"/>
              </w:rPr>
            </w:pPr>
          </w:p>
        </w:tc>
      </w:tr>
      <w:tr>
        <w:trPr>
          <w:trHeight w:val="139"/>
        </w:trPr>
        <w:tc>
          <w:tcPr>
            <w:tcW w:w="220" w:type="dxa"/>
            <w:vAlign w:val="bottom"/>
            <w:tcBorders>
              <w:bottom w:val="single" w:sz="8" w:color="0000EE"/>
            </w:tcBorders>
            <w:shd w:val="clear" w:color="auto" w:fill="CCEEFF"/>
          </w:tcPr>
          <w:p>
            <w:pPr>
              <w:spacing w:after="0" w:line="129" w:lineRule="exact"/>
              <w:rPr>
                <w:rFonts w:ascii="Arial" w:cs="Arial" w:eastAsia="Arial" w:hAnsi="Arial"/>
                <w:sz w:val="13"/>
                <w:szCs w:val="13"/>
                <w:color w:val="0000EE"/>
                <w:w w:val="78"/>
              </w:rPr>
            </w:pPr>
            <w:hyperlink w:anchor="page5">
              <w:r>
                <w:rPr>
                  <w:rFonts w:ascii="Arial" w:cs="Arial" w:eastAsia="Arial" w:hAnsi="Arial"/>
                  <w:sz w:val="13"/>
                  <w:szCs w:val="13"/>
                  <w:color w:val="0000EE"/>
                  <w:w w:val="78"/>
                </w:rPr>
                <w:t>99.</w:t>
              </w:r>
              <w:r>
                <w:rPr>
                  <w:rFonts w:ascii="Arial" w:cs="Arial" w:eastAsia="Arial" w:hAnsi="Arial"/>
                  <w:sz w:val="13"/>
                  <w:szCs w:val="13"/>
                  <w:u w:val="single" w:color="auto"/>
                  <w:color w:val="0000EE"/>
                  <w:w w:val="78"/>
                </w:rPr>
                <w:t>1</w:t>
              </w:r>
            </w:hyperlink>
          </w:p>
        </w:tc>
        <w:tc>
          <w:tcPr>
            <w:tcW w:w="700" w:type="dxa"/>
            <w:vAlign w:val="bottom"/>
            <w:tcBorders>
              <w:bottom w:val="single" w:sz="8" w:color="CCEEFF"/>
            </w:tcBorders>
            <w:shd w:val="clear" w:color="auto" w:fill="CCEEFF"/>
          </w:tcPr>
          <w:p>
            <w:pPr>
              <w:spacing w:after="0"/>
              <w:rPr>
                <w:sz w:val="12"/>
                <w:szCs w:val="12"/>
                <w:color w:val="auto"/>
              </w:rPr>
            </w:pPr>
          </w:p>
        </w:tc>
        <w:tc>
          <w:tcPr>
            <w:tcW w:w="10540" w:type="dxa"/>
            <w:vAlign w:val="bottom"/>
            <w:tcBorders>
              <w:bottom w:val="single" w:sz="8" w:color="CCEEFF"/>
            </w:tcBorders>
            <w:gridSpan w:val="2"/>
            <w:shd w:val="clear" w:color="auto" w:fill="CCEEFF"/>
          </w:tcPr>
          <w:p>
            <w:pPr>
              <w:ind w:left="240"/>
              <w:spacing w:after="0" w:line="129" w:lineRule="exact"/>
              <w:rPr>
                <w:sz w:val="20"/>
                <w:szCs w:val="20"/>
                <w:color w:val="auto"/>
              </w:rPr>
            </w:pPr>
            <w:r>
              <w:rPr>
                <w:rFonts w:ascii="Arial" w:cs="Arial" w:eastAsia="Arial" w:hAnsi="Arial"/>
                <w:sz w:val="13"/>
                <w:szCs w:val="13"/>
                <w:color w:val="auto"/>
              </w:rPr>
              <w:t>VistaGen Therapeutics, Inc. Corporate Presentation, dated December 2019.</w:t>
            </w:r>
          </w:p>
        </w:tc>
      </w:tr>
      <w:tr>
        <w:trPr>
          <w:trHeight w:val="129"/>
        </w:trPr>
        <w:tc>
          <w:tcPr>
            <w:tcW w:w="220" w:type="dxa"/>
            <w:vAlign w:val="bottom"/>
            <w:tcBorders>
              <w:bottom w:val="single" w:sz="8" w:color="0000EE"/>
            </w:tcBorders>
          </w:tcPr>
          <w:p>
            <w:pPr>
              <w:spacing w:after="0" w:line="129" w:lineRule="exact"/>
              <w:rPr>
                <w:rFonts w:ascii="Arial" w:cs="Arial" w:eastAsia="Arial" w:hAnsi="Arial"/>
                <w:sz w:val="13"/>
                <w:szCs w:val="13"/>
                <w:color w:val="0000EE"/>
                <w:w w:val="78"/>
              </w:rPr>
            </w:pPr>
            <w:hyperlink w:anchor="page52">
              <w:r>
                <w:rPr>
                  <w:rFonts w:ascii="Arial" w:cs="Arial" w:eastAsia="Arial" w:hAnsi="Arial"/>
                  <w:sz w:val="13"/>
                  <w:szCs w:val="13"/>
                  <w:color w:val="0000EE"/>
                  <w:w w:val="78"/>
                </w:rPr>
                <w:t>99.</w:t>
              </w:r>
              <w:r>
                <w:rPr>
                  <w:rFonts w:ascii="Arial" w:cs="Arial" w:eastAsia="Arial" w:hAnsi="Arial"/>
                  <w:sz w:val="13"/>
                  <w:szCs w:val="13"/>
                  <w:u w:val="single" w:color="auto"/>
                  <w:color w:val="0000EE"/>
                  <w:w w:val="78"/>
                </w:rPr>
                <w:t>2</w:t>
              </w:r>
            </w:hyperlink>
          </w:p>
        </w:tc>
        <w:tc>
          <w:tcPr>
            <w:tcW w:w="700" w:type="dxa"/>
            <w:vAlign w:val="bottom"/>
          </w:tcPr>
          <w:p>
            <w:pPr>
              <w:spacing w:after="0"/>
              <w:rPr>
                <w:sz w:val="11"/>
                <w:szCs w:val="11"/>
                <w:color w:val="auto"/>
              </w:rPr>
            </w:pPr>
          </w:p>
        </w:tc>
        <w:tc>
          <w:tcPr>
            <w:tcW w:w="10540" w:type="dxa"/>
            <w:vAlign w:val="bottom"/>
            <w:gridSpan w:val="2"/>
          </w:tcPr>
          <w:p>
            <w:pPr>
              <w:ind w:left="240"/>
              <w:spacing w:after="0" w:line="129" w:lineRule="exact"/>
              <w:rPr>
                <w:sz w:val="20"/>
                <w:szCs w:val="20"/>
                <w:color w:val="auto"/>
              </w:rPr>
            </w:pPr>
            <w:r>
              <w:rPr>
                <w:rFonts w:ascii="Arial" w:cs="Arial" w:eastAsia="Arial" w:hAnsi="Arial"/>
                <w:sz w:val="13"/>
                <w:szCs w:val="13"/>
                <w:color w:val="auto"/>
              </w:rPr>
              <w:t>Press Release issued by VistaGen Therapeutics, Inc., dated December 19, 2019.</w:t>
            </w:r>
          </w:p>
        </w:tc>
      </w:tr>
      <w:tr>
        <w:trPr>
          <w:trHeight w:val="952"/>
        </w:trPr>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566" w:right="219" w:bottom="1440" w:gutter="0" w:footer="0" w:header="0"/>
        </w:sectPr>
      </w:pPr>
    </w:p>
    <w:bookmarkStart w:id="4" w:name="page5"/>
    <w:bookmarkEnd w:id="4"/>
    <w:p>
      <w:pPr>
        <w:ind w:left="9580"/>
        <w:spacing w:after="0"/>
        <w:rPr>
          <w:sz w:val="20"/>
          <w:szCs w:val="20"/>
          <w:color w:val="auto"/>
        </w:rPr>
      </w:pPr>
      <w:r>
        <w:rPr>
          <w:rFonts w:ascii="Arial" w:cs="Arial" w:eastAsia="Arial" w:hAnsi="Arial"/>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367030</wp:posOffset>
            </wp:positionV>
            <wp:extent cx="7328535" cy="5758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0" w:num="1">
            <w:col w:w="10240"/>
          </w:cols>
          <w:pgMar w:left="1440" w:top="269" w:right="2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5834380</wp:posOffset>
            </wp:positionV>
            <wp:extent cx="7282815" cy="12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758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8535" cy="5758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rFonts w:ascii="Arial" w:cs="Arial" w:eastAsia="Arial" w:hAnsi="Arial"/>
          <w:sz w:val="13"/>
          <w:szCs w:val="13"/>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951230" cy="610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51230" cy="610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and Baylor College of Medicine Announce Successful Results of First-Step Target Engagement Study with VistaGen’s AV-101 Focused on Treating Suicidal Ideation in Veterans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Multiple electrophysiological biomarkers indicate AV-101’s NMDA receptor target engagement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Both AV-101 doses were well-tolerated and not associated with dissociative or serious adverse events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Poster presented at 2019 Annual Meeting of American College of Neuropsychopharmacology</w:t>
      </w:r>
    </w:p>
    <w:p>
      <w:pPr>
        <w:spacing w:after="0" w:line="164" w:lineRule="exact"/>
        <w:rPr>
          <w:sz w:val="20"/>
          <w:szCs w:val="20"/>
          <w:color w:val="auto"/>
        </w:rPr>
      </w:pPr>
    </w:p>
    <w:p>
      <w:pPr>
        <w:ind w:right="20"/>
        <w:spacing w:after="0" w:line="288" w:lineRule="auto"/>
        <w:rPr>
          <w:sz w:val="20"/>
          <w:szCs w:val="20"/>
          <w:color w:val="auto"/>
        </w:rPr>
      </w:pPr>
      <w:r>
        <w:rPr>
          <w:rFonts w:ascii="Arial" w:cs="Arial" w:eastAsia="Arial" w:hAnsi="Arial"/>
          <w:sz w:val="12"/>
          <w:szCs w:val="12"/>
          <w:b w:val="1"/>
          <w:bCs w:val="1"/>
          <w:color w:val="auto"/>
        </w:rPr>
        <w:t xml:space="preserve">SOUTH SAN FRANCISCO, Calif. and HOUSTON, Texas, December 19 , 2019 </w:t>
      </w:r>
      <w:r>
        <w:rPr>
          <w:rFonts w:ascii="Arial" w:cs="Arial" w:eastAsia="Arial" w:hAnsi="Arial"/>
          <w:sz w:val="12"/>
          <w:szCs w:val="12"/>
          <w:color w:val="auto"/>
        </w:rPr>
        <w:t>–</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VistaGen Therapeutics</w:t>
      </w:r>
      <w:r>
        <w:rPr>
          <w:rFonts w:ascii="Arial" w:cs="Arial" w:eastAsia="Arial" w:hAnsi="Arial"/>
          <w:sz w:val="12"/>
          <w:szCs w:val="12"/>
          <w:b w:val="1"/>
          <w:bCs w:val="1"/>
          <w:color w:val="auto"/>
        </w:rPr>
        <w:t xml:space="preserve"> </w:t>
      </w:r>
      <w:r>
        <w:rPr>
          <w:rFonts w:ascii="Arial" w:cs="Arial" w:eastAsia="Arial" w:hAnsi="Arial"/>
          <w:sz w:val="12"/>
          <w:szCs w:val="12"/>
          <w:color w:val="auto"/>
        </w:rPr>
        <w:t>(NASDAQ: VTGN), a clinical-stage biopharmaceutical company developing new generation medicines for</w:t>
      </w:r>
      <w:r>
        <w:rPr>
          <w:rFonts w:ascii="Arial" w:cs="Arial" w:eastAsia="Arial" w:hAnsi="Arial"/>
          <w:sz w:val="12"/>
          <w:szCs w:val="12"/>
          <w:b w:val="1"/>
          <w:bCs w:val="1"/>
          <w:color w:val="auto"/>
        </w:rPr>
        <w:t xml:space="preserve"> </w:t>
      </w:r>
      <w:r>
        <w:rPr>
          <w:rFonts w:ascii="Arial" w:cs="Arial" w:eastAsia="Arial" w:hAnsi="Arial"/>
          <w:sz w:val="12"/>
          <w:szCs w:val="12"/>
          <w:color w:val="auto"/>
        </w:rPr>
        <w:t>central nervous system (CNS) diseases and disorders with high unmet need, and Baylor College of Medicine (Baylor), today announced successful results from a first-step, Phase 1b clinical study with healthy U.S. military Veterans, which measured NMDAR (N-methyl-D-aspartate receptor) target engagement of VistaGen’s investigational product candidate, AV-101, an oral NMDAR glycine site antagonist, for potential treatment of suicidal ideation in Veterans. The findings from the study were presented in a poster, titled “</w:t>
      </w:r>
      <w:r>
        <w:rPr>
          <w:rFonts w:ascii="Arial" w:cs="Arial" w:eastAsia="Arial" w:hAnsi="Arial"/>
          <w:sz w:val="12"/>
          <w:szCs w:val="12"/>
          <w:u w:val="single" w:color="auto"/>
          <w:color w:val="0000FF"/>
        </w:rPr>
        <w:t>Evoked and Resting State Gamma Mechanics to Test NMDA Receptor Engagement of Kynurenine Pathway Modulator AV-101 in</w:t>
      </w:r>
      <w:r>
        <w:rPr>
          <w:rFonts w:ascii="Arial" w:cs="Arial" w:eastAsia="Arial" w:hAnsi="Arial"/>
          <w:sz w:val="12"/>
          <w:szCs w:val="12"/>
          <w:color w:val="auto"/>
        </w:rPr>
        <w:t xml:space="preserve"> </w:t>
      </w:r>
      <w:r>
        <w:rPr>
          <w:rFonts w:ascii="Arial" w:cs="Arial" w:eastAsia="Arial" w:hAnsi="Arial"/>
          <w:sz w:val="12"/>
          <w:szCs w:val="12"/>
          <w:u w:val="single" w:color="auto"/>
          <w:color w:val="0000FF"/>
        </w:rPr>
        <w:t>Healthy Veterans,</w:t>
      </w:r>
      <w:r>
        <w:rPr>
          <w:rFonts w:ascii="Arial" w:cs="Arial" w:eastAsia="Arial" w:hAnsi="Arial"/>
          <w:sz w:val="12"/>
          <w:szCs w:val="12"/>
          <w:color w:val="000000"/>
        </w:rPr>
        <w:t>” at the 2019 Annual Meeting of the American College of Neuropsychopharmacology (ACNP) on December 11, 2019.</w:t>
      </w:r>
    </w:p>
    <w:p>
      <w:pPr>
        <w:spacing w:after="0" w:line="129" w:lineRule="exact"/>
        <w:rPr>
          <w:sz w:val="20"/>
          <w:szCs w:val="20"/>
          <w:color w:val="auto"/>
        </w:rPr>
      </w:pPr>
    </w:p>
    <w:p>
      <w:pPr>
        <w:ind w:right="180"/>
        <w:spacing w:after="0" w:line="290" w:lineRule="auto"/>
        <w:rPr>
          <w:sz w:val="20"/>
          <w:szCs w:val="20"/>
          <w:color w:val="auto"/>
        </w:rPr>
      </w:pPr>
      <w:r>
        <w:rPr>
          <w:rFonts w:ascii="Arial" w:cs="Arial" w:eastAsia="Arial" w:hAnsi="Arial"/>
          <w:sz w:val="12"/>
          <w:szCs w:val="12"/>
          <w:color w:val="auto"/>
        </w:rPr>
        <w:t>In the Phase 1b target engagement study, 10 healthy volunteer Veterans from Operation Enduring Freedom, Operation Iraqi Freedom or Operation New Dawn received single doses of AV-101 (720 mg and 1440 mg) and placebo, in a double-blind, randomized, cross-over controlled trial. The primary goal of the study was to identify and define a dose-response relationship between AV-101 and multiple electrophysiological (EEG) biomarkers related to NMDAR function, as well as blood biomarkers associated with suicidality. The findings suggest that, in healthy Veterans, the higher dose of AV-101 (1440 mg) was associated with dose-related increase in the 40 Hz Auditory Steady State Response (ASSR), a robust measure of the integrity of inhibitory interneuron synchronization.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Both doses of AV-101 were well-tolerated, and there were no dissociative adverse events or serious adverse events.</w:t>
      </w:r>
    </w:p>
    <w:p>
      <w:pPr>
        <w:spacing w:after="0" w:line="168" w:lineRule="exact"/>
        <w:rPr>
          <w:sz w:val="20"/>
          <w:szCs w:val="20"/>
          <w:color w:val="auto"/>
        </w:rPr>
      </w:pPr>
    </w:p>
    <w:p>
      <w:pPr>
        <w:ind w:right="80"/>
        <w:spacing w:after="0" w:line="265" w:lineRule="auto"/>
        <w:rPr>
          <w:sz w:val="20"/>
          <w:szCs w:val="20"/>
          <w:color w:val="auto"/>
        </w:rPr>
      </w:pPr>
      <w:r>
        <w:rPr>
          <w:rFonts w:ascii="Arial" w:cs="Arial" w:eastAsia="Arial" w:hAnsi="Arial"/>
          <w:sz w:val="13"/>
          <w:szCs w:val="13"/>
          <w:color w:val="auto"/>
        </w:rPr>
        <w:t xml:space="preserve">Dr. Marijn Lijffijt, assistant professor of </w:t>
      </w:r>
      <w:r>
        <w:rPr>
          <w:rFonts w:ascii="Arial" w:cs="Arial" w:eastAsia="Arial" w:hAnsi="Arial"/>
          <w:sz w:val="13"/>
          <w:szCs w:val="13"/>
          <w:u w:val="single" w:color="auto"/>
          <w:color w:val="0095DA"/>
        </w:rPr>
        <w:t>psychiatry research at Baylor</w:t>
      </w:r>
      <w:r>
        <w:rPr>
          <w:rFonts w:ascii="Arial" w:cs="Arial" w:eastAsia="Arial" w:hAnsi="Arial"/>
          <w:sz w:val="13"/>
          <w:szCs w:val="13"/>
          <w:color w:val="auto"/>
        </w:rPr>
        <w:t xml:space="preserve"> and the Michael E. DeBakey VA Medical Center (MEDVAMC) in Houston served as Principal Investigator of the study. VistaGen and the U.S. Department of Veterans Affairs (VA) entered into a Material Transfer Cooperative Research and Development Agreement (MT CRADA) regarding clinical trial material for this study, and VA funding was provided for all other study costs.</w:t>
      </w:r>
    </w:p>
    <w:p>
      <w:pPr>
        <w:spacing w:after="0" w:line="90"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 xml:space="preserve">“According to the VA, </w:t>
      </w:r>
      <w:r>
        <w:rPr>
          <w:rFonts w:ascii="Arial" w:cs="Arial" w:eastAsia="Arial" w:hAnsi="Arial"/>
          <w:sz w:val="13"/>
          <w:szCs w:val="13"/>
          <w:u w:val="single" w:color="auto"/>
          <w:color w:val="0000FF"/>
        </w:rPr>
        <w:t>over 20 veterans take their lives each day</w:t>
      </w:r>
      <w:r>
        <w:rPr>
          <w:rFonts w:ascii="Arial" w:cs="Arial" w:eastAsia="Arial" w:hAnsi="Arial"/>
          <w:sz w:val="13"/>
          <w:szCs w:val="13"/>
          <w:color w:val="auto"/>
        </w:rPr>
        <w:t xml:space="preserve"> – a number that is alarming and unfortunate,” said Mark A. Smith, M.D, Ph.D., VistaGen’s Chief Medical Officer. “Nearly every day we hear stories in the news about how the suicide rate is increasing, and how it’s </w:t>
      </w:r>
      <w:r>
        <w:rPr>
          <w:rFonts w:ascii="Arial" w:cs="Arial" w:eastAsia="Arial" w:hAnsi="Arial"/>
          <w:sz w:val="13"/>
          <w:szCs w:val="13"/>
          <w:u w:val="single" w:color="auto"/>
          <w:color w:val="0000FF"/>
        </w:rPr>
        <w:t>even higher among U.S. Veterans than non-Veterans</w:t>
      </w:r>
      <w:r>
        <w:rPr>
          <w:rFonts w:ascii="Arial" w:cs="Arial" w:eastAsia="Arial" w:hAnsi="Arial"/>
          <w:sz w:val="13"/>
          <w:szCs w:val="13"/>
          <w:color w:val="auto"/>
        </w:rPr>
        <w:t>. Better therapies are needed for Veterans who are suffering from suicidal ideation. We interpret the findings of this biomarker study to mean that the high dose of AV-101 was sufficient to reduce NMDA function. Based on our recent preclinical studies demonstrating the ability of the transport inhibitor probenecid to markedly increase concentrations of AV-101 (approximately 7-fold) and its active metabolite 7-chloro-kynurenic acid (approximately 35-fold) in the rodent brain, it may be possible to increase and prolong NMDA antagonism even further when AV-101 and probenecid are combined. These human target engagement findings represent our first-step collaboration with Baylor and the VA, and they increase our confidence in AV-101’s safety and its potential, especially with adjunctive probenecid, to treat this major health concern. We look forward to future discussions with Baylor and the VA regarding a second-step program involving Veterans who are battling suicidal ideation.”</w:t>
      </w:r>
    </w:p>
    <w:p>
      <w:pPr>
        <w:spacing w:after="0" w:line="95" w:lineRule="exact"/>
        <w:rPr>
          <w:sz w:val="20"/>
          <w:szCs w:val="20"/>
          <w:color w:val="auto"/>
        </w:rPr>
      </w:pPr>
    </w:p>
    <w:p>
      <w:pPr>
        <w:ind w:right="80"/>
        <w:spacing w:after="0" w:line="262" w:lineRule="auto"/>
        <w:rPr>
          <w:sz w:val="20"/>
          <w:szCs w:val="20"/>
          <w:color w:val="auto"/>
        </w:rPr>
      </w:pPr>
      <w:r>
        <w:rPr>
          <w:rFonts w:ascii="Arial" w:cs="Arial" w:eastAsia="Arial" w:hAnsi="Arial"/>
          <w:sz w:val="13"/>
          <w:szCs w:val="13"/>
          <w:color w:val="auto"/>
        </w:rPr>
        <w:t>“Overall, this study is a promising start on the path to explore AV-101’s potential to address the morbidity and mortality associated with suicidal depression,” said Sanjay J. Mathew, M.D., vice chair for research and professor of psychiatry and behavioral sciences at Baylor, and a Staff Psychiatrist at MEDVAMC. “Substantially increased concentrations of 7-Cl-KYNA in VistaGen’s recent preclinical studies of AV-101 with adjunctive probenecid are notable. Future clinical studies in military veterans could examine the effect of AV-101, at the 1440 mg dose combined with probenecid, in suicide risk. We look forward to further collaborations with VistaGen and the 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263525</wp:posOffset>
            </wp:positionV>
            <wp:extent cx="7282815"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ectPr>
          <w:pgSz w:w="11900" w:h="16838" w:orient="portrait"/>
          <w:cols w:equalWidth="0" w:num="1">
            <w:col w:w="11460"/>
          </w:cols>
          <w:pgMar w:left="220" w:top="288" w:right="219" w:bottom="1440" w:gutter="0" w:footer="0" w:header="0"/>
        </w:sectPr>
      </w:pPr>
    </w:p>
    <w:bookmarkStart w:id="52" w:name="page53"/>
    <w:bookmarkEnd w:id="52"/>
    <w:p>
      <w:pPr>
        <w:ind w:left="1"/>
        <w:spacing w:after="0"/>
        <w:rPr>
          <w:sz w:val="20"/>
          <w:szCs w:val="20"/>
          <w:color w:val="auto"/>
        </w:rPr>
      </w:pPr>
      <w:r>
        <w:rPr>
          <w:rFonts w:ascii="Arial" w:cs="Arial" w:eastAsia="Arial" w:hAnsi="Arial"/>
          <w:sz w:val="13"/>
          <w:szCs w:val="13"/>
          <w:b w:val="1"/>
          <w:bCs w:val="1"/>
          <w:color w:val="auto"/>
        </w:rPr>
        <w:t>About VistaGen</w:t>
      </w:r>
    </w:p>
    <w:p>
      <w:pPr>
        <w:spacing w:after="0" w:line="17" w:lineRule="exact"/>
        <w:rPr>
          <w:sz w:val="20"/>
          <w:szCs w:val="20"/>
          <w:color w:val="auto"/>
        </w:rPr>
      </w:pPr>
    </w:p>
    <w:p>
      <w:pPr>
        <w:ind w:left="1" w:right="260"/>
        <w:spacing w:after="0" w:line="262" w:lineRule="auto"/>
        <w:rPr>
          <w:sz w:val="20"/>
          <w:szCs w:val="20"/>
          <w:color w:val="auto"/>
        </w:rPr>
      </w:pPr>
      <w:r>
        <w:rPr>
          <w:rFonts w:ascii="Arial" w:cs="Arial" w:eastAsia="Arial" w:hAnsi="Arial"/>
          <w:sz w:val="13"/>
          <w:szCs w:val="13"/>
          <w:color w:val="auto"/>
        </w:rPr>
        <w:t xml:space="preserve">VistaGen Therapeutics is a clinical-stage biopharmaceutical company developing new generation medicines for CNS diseases and disorders where current treatments are inadequate, resulting in high unmet need. VistaGen's </w:t>
      </w:r>
      <w:r>
        <w:rPr>
          <w:rFonts w:ascii="Arial" w:cs="Arial" w:eastAsia="Arial" w:hAnsi="Arial"/>
          <w:sz w:val="13"/>
          <w:szCs w:val="13"/>
          <w:u w:val="single" w:color="auto"/>
          <w:color w:val="0095DA"/>
        </w:rPr>
        <w:t>pipeline</w:t>
      </w:r>
      <w:r>
        <w:rPr>
          <w:rFonts w:ascii="Arial" w:cs="Arial" w:eastAsia="Arial" w:hAnsi="Arial"/>
          <w:sz w:val="13"/>
          <w:szCs w:val="13"/>
          <w:color w:val="auto"/>
        </w:rPr>
        <w:t xml:space="preserve"> is focused on clinical-stage CNS drug candidates with a differentiated mechanism of action, an exceptional safety profile in all clinical studies to date, and therapeutic potential in multiple large and growing CNS markets. For more information, please visit </w:t>
      </w:r>
      <w:r>
        <w:rPr>
          <w:rFonts w:ascii="Arial" w:cs="Arial" w:eastAsia="Arial" w:hAnsi="Arial"/>
          <w:sz w:val="13"/>
          <w:szCs w:val="13"/>
          <w:u w:val="single" w:color="auto"/>
          <w:color w:val="0095DA"/>
        </w:rPr>
        <w:t>www.vistagen.com</w:t>
      </w:r>
      <w:r>
        <w:rPr>
          <w:rFonts w:ascii="Arial" w:cs="Arial" w:eastAsia="Arial" w:hAnsi="Arial"/>
          <w:sz w:val="13"/>
          <w:szCs w:val="13"/>
          <w:color w:val="auto"/>
        </w:rPr>
        <w:t xml:space="preserve"> and connect with VistaGen on </w:t>
      </w:r>
      <w:r>
        <w:rPr>
          <w:rFonts w:ascii="Arial" w:cs="Arial" w:eastAsia="Arial" w:hAnsi="Arial"/>
          <w:sz w:val="13"/>
          <w:szCs w:val="13"/>
          <w:u w:val="single" w:color="auto"/>
          <w:color w:val="0095DA"/>
        </w:rPr>
        <w:t>Twitter</w:t>
      </w:r>
      <w:r>
        <w:rPr>
          <w:rFonts w:ascii="Arial" w:cs="Arial" w:eastAsia="Arial" w:hAnsi="Arial"/>
          <w:sz w:val="13"/>
          <w:szCs w:val="13"/>
          <w:color w:val="auto"/>
        </w:rPr>
        <w:t xml:space="preserve">, </w:t>
      </w:r>
      <w:r>
        <w:rPr>
          <w:rFonts w:ascii="Arial" w:cs="Arial" w:eastAsia="Arial" w:hAnsi="Arial"/>
          <w:sz w:val="13"/>
          <w:szCs w:val="13"/>
          <w:u w:val="single" w:color="auto"/>
          <w:color w:val="0095DA"/>
        </w:rPr>
        <w:t>LinkedIn</w:t>
      </w:r>
      <w:r>
        <w:rPr>
          <w:rFonts w:ascii="Arial" w:cs="Arial" w:eastAsia="Arial" w:hAnsi="Arial"/>
          <w:sz w:val="13"/>
          <w:szCs w:val="13"/>
          <w:color w:val="auto"/>
        </w:rPr>
        <w:t xml:space="preserve"> and </w:t>
      </w:r>
      <w:r>
        <w:rPr>
          <w:rFonts w:ascii="Arial" w:cs="Arial" w:eastAsia="Arial" w:hAnsi="Arial"/>
          <w:sz w:val="13"/>
          <w:szCs w:val="13"/>
          <w:u w:val="single" w:color="auto"/>
          <w:color w:val="0095DA"/>
        </w:rPr>
        <w:t>Facebook</w:t>
      </w:r>
      <w:r>
        <w:rPr>
          <w:rFonts w:ascii="Arial" w:cs="Arial" w:eastAsia="Arial" w:hAnsi="Arial"/>
          <w:sz w:val="13"/>
          <w:szCs w:val="13"/>
          <w:color w:val="auto"/>
        </w:rPr>
        <w:t>.</w:t>
      </w:r>
    </w:p>
    <w:p>
      <w:pPr>
        <w:spacing w:after="0" w:line="137"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About Baylor College of Medicine</w:t>
      </w:r>
    </w:p>
    <w:p>
      <w:pPr>
        <w:spacing w:after="0" w:line="17" w:lineRule="exact"/>
        <w:rPr>
          <w:sz w:val="20"/>
          <w:szCs w:val="20"/>
          <w:color w:val="auto"/>
        </w:rPr>
      </w:pPr>
    </w:p>
    <w:p>
      <w:pPr>
        <w:ind w:left="1" w:right="40"/>
        <w:spacing w:after="0" w:line="283" w:lineRule="auto"/>
        <w:rPr>
          <w:sz w:val="20"/>
          <w:szCs w:val="20"/>
          <w:color w:val="auto"/>
        </w:rPr>
      </w:pPr>
      <w:r>
        <w:rPr>
          <w:rFonts w:ascii="Arial" w:cs="Arial" w:eastAsia="Arial" w:hAnsi="Arial"/>
          <w:sz w:val="12"/>
          <w:szCs w:val="12"/>
          <w:u w:val="single" w:color="auto"/>
          <w:color w:val="0095DA"/>
        </w:rPr>
        <w:t>Baylor College of Medicine</w:t>
      </w:r>
      <w:r>
        <w:rPr>
          <w:rFonts w:ascii="Arial" w:cs="Arial" w:eastAsia="Arial" w:hAnsi="Arial"/>
          <w:sz w:val="12"/>
          <w:szCs w:val="12"/>
          <w:color w:val="0095DA"/>
        </w:rPr>
        <w:t xml:space="preserve"> </w:t>
      </w:r>
      <w:r>
        <w:rPr>
          <w:rFonts w:ascii="Arial" w:cs="Arial" w:eastAsia="Arial" w:hAnsi="Arial"/>
          <w:sz w:val="12"/>
          <w:szCs w:val="12"/>
          <w:color w:val="000000"/>
        </w:rPr>
        <w:t>in Houston is recognized as health sciences university and is known for excellence in education, research and patient care. It is the only private medical school in the greater southwest and is</w:t>
      </w:r>
      <w:r>
        <w:rPr>
          <w:rFonts w:ascii="Arial" w:cs="Arial" w:eastAsia="Arial" w:hAnsi="Arial"/>
          <w:sz w:val="12"/>
          <w:szCs w:val="12"/>
          <w:color w:val="0095DA"/>
        </w:rPr>
        <w:t xml:space="preserve"> </w:t>
      </w:r>
      <w:r>
        <w:rPr>
          <w:rFonts w:ascii="Arial" w:cs="Arial" w:eastAsia="Arial" w:hAnsi="Arial"/>
          <w:sz w:val="12"/>
          <w:szCs w:val="12"/>
          <w:color w:val="000000"/>
        </w:rPr>
        <w:t xml:space="preserve">ranked 22nd among medical schools for research and 4th for primary care by U.S. News &amp; World Report. Baylor is listed 20th among all U.S. medical schools for National Institutes of Health funding and No. 1 in Texas. The Baylor pediatrics program ranked 8th among all pediatric programs, reflecting the strong affiliation with Texas Children’s Hospital where our faculty care for pediatric patients and our students and residents train. Nationally our physician assistant program was ranked 3rd in the health disciplines category and our nurse anesthesia program ranked 2nd. Located in the Texas Medical Center, Baylor has affiliations with seven teaching hospitals and jointly owns and operates Baylor St. Luke’s Medical Center, part of CHI St. Luke’s Health. Currently, Baylor has more than 3,000 trainees in medical, graduate, nurse anesthesia, physician assistant, orthotics and genetic counseling as well as residents and postdoctoral fellows. Follow Baylor College of Medicine on </w:t>
      </w:r>
      <w:r>
        <w:rPr>
          <w:rFonts w:ascii="Arial" w:cs="Arial" w:eastAsia="Arial" w:hAnsi="Arial"/>
          <w:sz w:val="12"/>
          <w:szCs w:val="12"/>
          <w:u w:val="single" w:color="auto"/>
          <w:color w:val="0095DA"/>
        </w:rPr>
        <w:t>Facebook</w:t>
      </w:r>
      <w:r>
        <w:rPr>
          <w:rFonts w:ascii="Arial" w:cs="Arial" w:eastAsia="Arial" w:hAnsi="Arial"/>
          <w:sz w:val="12"/>
          <w:szCs w:val="12"/>
          <w:color w:val="000000"/>
        </w:rPr>
        <w:t xml:space="preserve"> and </w:t>
      </w:r>
      <w:r>
        <w:rPr>
          <w:rFonts w:ascii="Arial" w:cs="Arial" w:eastAsia="Arial" w:hAnsi="Arial"/>
          <w:sz w:val="12"/>
          <w:szCs w:val="12"/>
          <w:u w:val="single" w:color="auto"/>
          <w:color w:val="0095DA"/>
        </w:rPr>
        <w:t>Twitter</w:t>
      </w:r>
      <w:r>
        <w:rPr>
          <w:rFonts w:ascii="Arial" w:cs="Arial" w:eastAsia="Arial" w:hAnsi="Arial"/>
          <w:sz w:val="12"/>
          <w:szCs w:val="12"/>
          <w:color w:val="000000"/>
        </w:rPr>
        <w:t>.</w:t>
      </w:r>
    </w:p>
    <w:p>
      <w:pPr>
        <w:spacing w:after="0" w:line="127"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About AV-101</w:t>
      </w:r>
    </w:p>
    <w:p>
      <w:pPr>
        <w:spacing w:after="0" w:line="17" w:lineRule="exact"/>
        <w:rPr>
          <w:sz w:val="20"/>
          <w:szCs w:val="20"/>
          <w:color w:val="auto"/>
        </w:rPr>
      </w:pPr>
    </w:p>
    <w:p>
      <w:pPr>
        <w:ind w:left="1"/>
        <w:spacing w:after="0" w:line="285" w:lineRule="auto"/>
        <w:rPr>
          <w:sz w:val="20"/>
          <w:szCs w:val="20"/>
          <w:color w:val="auto"/>
        </w:rPr>
      </w:pPr>
      <w:r>
        <w:rPr>
          <w:rFonts w:ascii="Arial" w:cs="Arial" w:eastAsia="Arial" w:hAnsi="Arial"/>
          <w:sz w:val="12"/>
          <w:szCs w:val="12"/>
          <w:color w:val="333333"/>
        </w:rPr>
        <w:t xml:space="preserve">AV-101 (4-Cl-KYN) belongs to a new generation of investigational medicines in neuropsychiatry and neurology known as NMDA (N-methyl-D-aspartate) receptor modulators. The NMDA receptor is a pivotal receptor in the brain and abnormal NMDA function is associated with numerous CNS diseases and disorders. AV-101 is an oral prodrug of 7-Cl-KYNA, a potent and selective full antagonist of the glycine co-agonist site of the NMDA receptor. With its exceptional safety profile in all studies to date, AV-101 has potential to be a new at-home, non-sedating treatment for multiple large market CNS indications where current treatments are inadequate to meet high unmet patient needs. VistaGen is currently focused on potential development of AV-101 for MDD, neuropathic pain, suicidal ideation and dyskinesia associated with levodopa treatment for PD. The FDA has granted Fast Track designation for development of AV-101 as both a potential </w:t>
      </w:r>
      <w:r>
        <w:rPr>
          <w:rFonts w:ascii="Arial" w:cs="Arial" w:eastAsia="Arial" w:hAnsi="Arial"/>
          <w:sz w:val="12"/>
          <w:szCs w:val="12"/>
          <w:u w:val="single" w:color="auto"/>
          <w:color w:val="0095DA"/>
        </w:rPr>
        <w:t>adjunctive treatment for MDD</w:t>
      </w:r>
      <w:r>
        <w:rPr>
          <w:rFonts w:ascii="Arial" w:cs="Arial" w:eastAsia="Arial" w:hAnsi="Arial"/>
          <w:sz w:val="12"/>
          <w:szCs w:val="12"/>
          <w:color w:val="333333"/>
        </w:rPr>
        <w:t xml:space="preserve"> and as a </w:t>
      </w:r>
      <w:r>
        <w:rPr>
          <w:rFonts w:ascii="Arial" w:cs="Arial" w:eastAsia="Arial" w:hAnsi="Arial"/>
          <w:sz w:val="12"/>
          <w:szCs w:val="12"/>
          <w:u w:val="single" w:color="auto"/>
          <w:color w:val="0095DA"/>
        </w:rPr>
        <w:t>non-opioid treatment for neuropathic pain</w:t>
      </w:r>
      <w:r>
        <w:rPr>
          <w:rFonts w:ascii="Arial" w:cs="Arial" w:eastAsia="Arial" w:hAnsi="Arial"/>
          <w:sz w:val="12"/>
          <w:szCs w:val="12"/>
          <w:color w:val="333333"/>
          <w:highlight w:val="white"/>
        </w:rPr>
        <w:t>.</w:t>
      </w:r>
    </w:p>
    <w:p>
      <w:pPr>
        <w:spacing w:after="0" w:line="125"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About Suicide</w:t>
      </w:r>
    </w:p>
    <w:p>
      <w:pPr>
        <w:spacing w:after="0" w:line="17" w:lineRule="exact"/>
        <w:rPr>
          <w:sz w:val="20"/>
          <w:szCs w:val="20"/>
          <w:color w:val="auto"/>
        </w:rPr>
      </w:pPr>
    </w:p>
    <w:p>
      <w:pPr>
        <w:ind w:left="1"/>
        <w:spacing w:after="0" w:line="256" w:lineRule="auto"/>
        <w:rPr>
          <w:rFonts w:ascii="Arial" w:cs="Arial" w:eastAsia="Arial" w:hAnsi="Arial"/>
          <w:sz w:val="13"/>
          <w:szCs w:val="13"/>
          <w:color w:val="auto"/>
        </w:rPr>
      </w:pPr>
      <w:r>
        <w:rPr>
          <w:rFonts w:ascii="Arial" w:cs="Arial" w:eastAsia="Arial" w:hAnsi="Arial"/>
          <w:sz w:val="13"/>
          <w:szCs w:val="13"/>
          <w:color w:val="auto"/>
        </w:rPr>
        <w:t>According to the World Health Organization (WHO), every year approximately 800,000 people worldwide take their own life and many more attempt suicide.</w:t>
      </w:r>
      <w:hyperlink w:anchor="page53">
        <w:r>
          <w:rPr>
            <w:rFonts w:ascii="Arial" w:cs="Arial" w:eastAsia="Arial" w:hAnsi="Arial"/>
            <w:sz w:val="9"/>
            <w:szCs w:val="9"/>
            <w:u w:val="single" w:color="auto"/>
            <w:color w:val="0000EE"/>
          </w:rPr>
          <w:t>1</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Suicide is a major public health concern in the United States as rates of suicide have been increasing for both men and women and across all age groups. Suicide is the 10th leading cause of death in the U.S. and is one of just three leading causes that are on the rise.</w:t>
      </w:r>
      <w:hyperlink w:anchor="page53">
        <w:r>
          <w:rPr>
            <w:rFonts w:ascii="Arial" w:cs="Arial" w:eastAsia="Arial" w:hAnsi="Arial"/>
            <w:sz w:val="9"/>
            <w:szCs w:val="9"/>
            <w:u w:val="single" w:color="auto"/>
            <w:color w:val="0000EE"/>
          </w:rPr>
          <w:t>2</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The Center for Disease Control and Prevention (CDC) reported that in the U.S. the age-adjusted rate of suicide increased by 24 percent between 1999 and 2014.</w:t>
      </w:r>
      <w:hyperlink w:anchor="page53">
        <w:r>
          <w:rPr>
            <w:rFonts w:ascii="Arial" w:cs="Arial" w:eastAsia="Arial" w:hAnsi="Arial"/>
            <w:sz w:val="9"/>
            <w:szCs w:val="9"/>
            <w:u w:val="single" w:color="auto"/>
            <w:color w:val="0000EE"/>
          </w:rPr>
          <w:t>3</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The number of U.S. citizens who die by suicide is, since 2010, higher than those who die in motor vehicle accidents. People of all genders, ages, and ethnicities can be at risk for suicide and suicidal behavior is complex and there is no single cause. In fact, many different factors contribute to someone making a suicide attempt, including, but not limited to, depression, other mental health disorders or substance abuse disorder; certain other medical conditions; chronic pain; prior suicide attempt; and family history of mental disorder or substance abuse.</w:t>
      </w:r>
      <w:hyperlink w:anchor="page53">
        <w:r>
          <w:rPr>
            <w:rFonts w:ascii="Arial" w:cs="Arial" w:eastAsia="Arial" w:hAnsi="Arial"/>
            <w:sz w:val="9"/>
            <w:szCs w:val="9"/>
            <w:u w:val="single" w:color="auto"/>
            <w:color w:val="0000EE"/>
          </w:rPr>
          <w:t>4</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Additionally, it has been found that the Veteran population is at significantly higher risk for suicide. After adjusting for differences in age, risk for suicide was 19 percent higher among male Veterans compared with U.S. civilian adult men and 2.5 times higher among female Veterans compared with U.S. civilian adult women.</w:t>
      </w:r>
      <w:hyperlink w:anchor="page53">
        <w:r>
          <w:rPr>
            <w:rFonts w:ascii="Arial" w:cs="Arial" w:eastAsia="Arial" w:hAnsi="Arial"/>
            <w:sz w:val="9"/>
            <w:szCs w:val="9"/>
            <w:u w:val="single" w:color="auto"/>
            <w:color w:val="0000EE"/>
          </w:rPr>
          <w:t>5</w:t>
        </w:r>
        <w:r>
          <w:rPr>
            <w:rFonts w:ascii="Arial" w:cs="Arial" w:eastAsia="Arial" w:hAnsi="Arial"/>
            <w:sz w:val="13"/>
            <w:szCs w:val="13"/>
            <w:u w:val="single" w:color="auto"/>
            <w:color w:val="auto"/>
          </w:rPr>
          <w:t xml:space="preserve"> </w:t>
        </w:r>
      </w:hyperlink>
      <w:r>
        <w:rPr>
          <w:rFonts w:ascii="Arial" w:cs="Arial" w:eastAsia="Arial" w:hAnsi="Arial"/>
          <w:sz w:val="13"/>
          <w:szCs w:val="13"/>
          <w:color w:val="auto"/>
        </w:rPr>
        <w:t>Despite these many risk factors, suicide is not inevitable for those that have one or more risk factor(s). Starting a conversation, reducing stigma, providing support and resources and working to develop safe and novel treatments for those in need can help prevent suicide and save the lives of many.</w:t>
      </w:r>
    </w:p>
    <w:p>
      <w:pPr>
        <w:spacing w:after="0" w:line="307" w:lineRule="exact"/>
        <w:rPr>
          <w:rFonts w:ascii="Arial" w:cs="Arial" w:eastAsia="Arial" w:hAnsi="Arial"/>
          <w:sz w:val="13"/>
          <w:szCs w:val="13"/>
          <w:color w:val="auto"/>
        </w:rPr>
      </w:pPr>
    </w:p>
    <w:p>
      <w:pPr>
        <w:ind w:left="81" w:hanging="81"/>
        <w:spacing w:after="0"/>
        <w:tabs>
          <w:tab w:leader="none" w:pos="81" w:val="left"/>
        </w:tabs>
        <w:numPr>
          <w:ilvl w:val="0"/>
          <w:numId w:val="2"/>
        </w:numPr>
        <w:rPr>
          <w:rFonts w:ascii="Arial" w:cs="Arial" w:eastAsia="Arial" w:hAnsi="Arial"/>
          <w:sz w:val="9"/>
          <w:szCs w:val="9"/>
          <w:color w:val="auto"/>
        </w:rPr>
      </w:pPr>
      <w:r>
        <w:rPr>
          <w:rFonts w:ascii="Arial" w:cs="Arial" w:eastAsia="Arial" w:hAnsi="Arial"/>
          <w:sz w:val="13"/>
          <w:szCs w:val="13"/>
          <w:u w:val="single" w:color="auto"/>
          <w:color w:val="0095DA"/>
        </w:rPr>
        <w:t>http://www.who.int/news-room/fact-sheets/detail/suicide</w:t>
      </w:r>
    </w:p>
    <w:p>
      <w:pPr>
        <w:spacing w:after="0" w:line="13" w:lineRule="exact"/>
        <w:rPr>
          <w:rFonts w:ascii="Arial" w:cs="Arial" w:eastAsia="Arial" w:hAnsi="Arial"/>
          <w:sz w:val="13"/>
          <w:szCs w:val="13"/>
          <w:color w:val="auto"/>
        </w:rPr>
      </w:pPr>
    </w:p>
    <w:p>
      <w:pPr>
        <w:ind w:left="81" w:hanging="81"/>
        <w:spacing w:after="0"/>
        <w:tabs>
          <w:tab w:leader="none" w:pos="81" w:val="left"/>
        </w:tabs>
        <w:numPr>
          <w:ilvl w:val="0"/>
          <w:numId w:val="3"/>
        </w:numPr>
        <w:rPr>
          <w:rFonts w:ascii="Arial" w:cs="Arial" w:eastAsia="Arial" w:hAnsi="Arial"/>
          <w:sz w:val="9"/>
          <w:szCs w:val="9"/>
          <w:color w:val="auto"/>
        </w:rPr>
      </w:pPr>
      <w:r>
        <w:rPr>
          <w:rFonts w:ascii="Arial" w:cs="Arial" w:eastAsia="Arial" w:hAnsi="Arial"/>
          <w:sz w:val="13"/>
          <w:szCs w:val="13"/>
          <w:u w:val="single" w:color="auto"/>
          <w:color w:val="0095DA"/>
        </w:rPr>
        <w:t>https://www.cdc.gov/media/releases/2018/p0607-suicide-prevention.html</w:t>
      </w:r>
    </w:p>
    <w:p>
      <w:pPr>
        <w:spacing w:after="0" w:line="9" w:lineRule="exact"/>
        <w:rPr>
          <w:rFonts w:ascii="Arial" w:cs="Arial" w:eastAsia="Arial" w:hAnsi="Arial"/>
          <w:sz w:val="13"/>
          <w:szCs w:val="13"/>
          <w:color w:val="auto"/>
        </w:rPr>
      </w:pPr>
    </w:p>
    <w:p>
      <w:pPr>
        <w:ind w:left="1"/>
        <w:spacing w:after="0"/>
        <w:rPr>
          <w:sz w:val="20"/>
          <w:szCs w:val="20"/>
          <w:color w:val="auto"/>
        </w:rPr>
      </w:pPr>
      <w:r>
        <w:rPr>
          <w:rFonts w:ascii="Arial" w:cs="Arial" w:eastAsia="Arial" w:hAnsi="Arial"/>
          <w:sz w:val="9"/>
          <w:szCs w:val="9"/>
          <w:color w:val="auto"/>
        </w:rPr>
        <w:t xml:space="preserve">3 </w:t>
      </w:r>
      <w:r>
        <w:rPr>
          <w:rFonts w:ascii="Arial" w:cs="Arial" w:eastAsia="Arial" w:hAnsi="Arial"/>
          <w:sz w:val="12"/>
          <w:szCs w:val="12"/>
          <w:u w:val="single" w:color="auto"/>
          <w:color w:val="0095DA"/>
        </w:rPr>
        <w:t>Curtin SC, Warner M, Hedegaard H. Increase in suicide in the United States, 1999–2014. NCHS data brief, no, 241. Hyattsville, MD: National Center for Health Statistics. 2016</w:t>
      </w:r>
      <w:r>
        <w:rPr>
          <w:rFonts w:ascii="Arial" w:cs="Arial" w:eastAsia="Arial" w:hAnsi="Arial"/>
          <w:sz w:val="12"/>
          <w:szCs w:val="12"/>
          <w:color w:val="0095DA"/>
        </w:rPr>
        <w:t>.</w:t>
      </w:r>
    </w:p>
    <w:p>
      <w:pPr>
        <w:spacing w:after="0" w:line="21" w:lineRule="exact"/>
        <w:rPr>
          <w:rFonts w:ascii="Arial" w:cs="Arial" w:eastAsia="Arial" w:hAnsi="Arial"/>
          <w:sz w:val="13"/>
          <w:szCs w:val="13"/>
          <w:color w:val="auto"/>
        </w:rPr>
      </w:pPr>
    </w:p>
    <w:p>
      <w:pPr>
        <w:ind w:left="81" w:hanging="81"/>
        <w:spacing w:after="0"/>
        <w:tabs>
          <w:tab w:leader="none" w:pos="81" w:val="left"/>
        </w:tabs>
        <w:numPr>
          <w:ilvl w:val="0"/>
          <w:numId w:val="4"/>
        </w:numPr>
        <w:rPr>
          <w:rFonts w:ascii="Arial" w:cs="Arial" w:eastAsia="Arial" w:hAnsi="Arial"/>
          <w:sz w:val="9"/>
          <w:szCs w:val="9"/>
          <w:color w:val="auto"/>
        </w:rPr>
      </w:pPr>
      <w:r>
        <w:rPr>
          <w:rFonts w:ascii="Arial" w:cs="Arial" w:eastAsia="Arial" w:hAnsi="Arial"/>
          <w:sz w:val="13"/>
          <w:szCs w:val="13"/>
          <w:u w:val="single" w:color="auto"/>
          <w:color w:val="0095DA"/>
        </w:rPr>
        <w:t>https://www.nimh.nih.gov/health/topics/suicide-prevention/index.shtml</w:t>
      </w:r>
    </w:p>
    <w:p>
      <w:pPr>
        <w:spacing w:after="0" w:line="9" w:lineRule="exact"/>
        <w:rPr>
          <w:rFonts w:ascii="Arial" w:cs="Arial" w:eastAsia="Arial" w:hAnsi="Arial"/>
          <w:sz w:val="9"/>
          <w:szCs w:val="9"/>
          <w:color w:val="auto"/>
        </w:rPr>
      </w:pPr>
    </w:p>
    <w:p>
      <w:pPr>
        <w:ind w:left="1"/>
        <w:spacing w:after="0"/>
        <w:rPr>
          <w:rFonts w:ascii="Arial" w:cs="Arial" w:eastAsia="Arial" w:hAnsi="Arial"/>
          <w:sz w:val="9"/>
          <w:szCs w:val="9"/>
          <w:color w:val="auto"/>
        </w:rPr>
      </w:pPr>
      <w:r>
        <w:rPr>
          <w:rFonts w:ascii="Arial" w:cs="Arial" w:eastAsia="Arial" w:hAnsi="Arial"/>
          <w:sz w:val="9"/>
          <w:szCs w:val="9"/>
          <w:color w:val="auto"/>
        </w:rPr>
        <w:t xml:space="preserve">5 </w:t>
      </w:r>
      <w:r>
        <w:rPr>
          <w:rFonts w:ascii="Arial" w:cs="Arial" w:eastAsia="Arial" w:hAnsi="Arial"/>
          <w:sz w:val="12"/>
          <w:szCs w:val="12"/>
          <w:u w:val="single" w:color="auto"/>
          <w:color w:val="0095DA"/>
        </w:rPr>
        <w:t>https://www.mentalhealth.va.gov/docs/2016suicidedatareport.pdf</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0</wp:posOffset>
            </wp:positionH>
            <wp:positionV relativeFrom="paragraph">
              <wp:posOffset>316865</wp:posOffset>
            </wp:positionV>
            <wp:extent cx="7282815"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p>
      <w:pPr>
        <w:sectPr>
          <w:pgSz w:w="11900" w:h="16838" w:orient="portrait"/>
          <w:cols w:equalWidth="0" w:num="1">
            <w:col w:w="11441"/>
          </w:cols>
          <w:pgMar w:left="219" w:top="556" w:right="239" w:bottom="1440" w:gutter="0" w:footer="0" w:header="0"/>
        </w:sectPr>
      </w:pPr>
    </w:p>
    <w:bookmarkStart w:id="53" w:name="page54"/>
    <w:bookmarkEnd w:id="53"/>
    <w:p>
      <w:pPr>
        <w:ind w:right="60"/>
        <w:spacing w:after="0" w:line="276" w:lineRule="auto"/>
        <w:rPr>
          <w:sz w:val="20"/>
          <w:szCs w:val="20"/>
          <w:color w:val="auto"/>
        </w:rPr>
      </w:pPr>
      <w:r>
        <w:rPr>
          <w:rFonts w:ascii="Arial" w:cs="Arial" w:eastAsia="Arial" w:hAnsi="Arial"/>
          <w:sz w:val="13"/>
          <w:szCs w:val="13"/>
          <w:color w:val="auto"/>
        </w:rPr>
        <w:t xml:space="preserve">Veterans who are in crisis or having thoughts of suicide, and those who know a Veteran in crisis, should call the </w:t>
      </w:r>
      <w:r>
        <w:rPr>
          <w:rFonts w:ascii="Arial" w:cs="Arial" w:eastAsia="Arial" w:hAnsi="Arial"/>
          <w:sz w:val="13"/>
          <w:szCs w:val="13"/>
          <w:u w:val="single" w:color="auto"/>
          <w:color w:val="0095DA"/>
        </w:rPr>
        <w:t>Veterans Crisis Line</w:t>
      </w:r>
      <w:r>
        <w:rPr>
          <w:rFonts w:ascii="Arial" w:cs="Arial" w:eastAsia="Arial" w:hAnsi="Arial"/>
          <w:sz w:val="13"/>
          <w:szCs w:val="13"/>
          <w:color w:val="auto"/>
        </w:rPr>
        <w:t xml:space="preserve"> for confidential support 24 hours a day, seven days a week, 365 days a year at 800-273-8255 and press 1, chat online at </w:t>
      </w:r>
      <w:r>
        <w:rPr>
          <w:rFonts w:ascii="Arial" w:cs="Arial" w:eastAsia="Arial" w:hAnsi="Arial"/>
          <w:sz w:val="13"/>
          <w:szCs w:val="13"/>
          <w:u w:val="single" w:color="auto"/>
          <w:color w:val="0095DA"/>
        </w:rPr>
        <w:t>VeteransCrisisLine.net/Chat</w:t>
      </w:r>
      <w:r>
        <w:rPr>
          <w:rFonts w:ascii="Arial" w:cs="Arial" w:eastAsia="Arial" w:hAnsi="Arial"/>
          <w:sz w:val="13"/>
          <w:szCs w:val="13"/>
          <w:color w:val="auto"/>
        </w:rPr>
        <w:t xml:space="preserve"> or send a text message to 838255.</w:t>
      </w:r>
    </w:p>
    <w:p>
      <w:pPr>
        <w:spacing w:after="0" w:line="132" w:lineRule="exact"/>
        <w:rPr>
          <w:sz w:val="20"/>
          <w:szCs w:val="20"/>
          <w:color w:val="auto"/>
        </w:rPr>
      </w:pPr>
    </w:p>
    <w:p>
      <w:pPr>
        <w:ind w:right="1720"/>
        <w:spacing w:after="0" w:line="276" w:lineRule="auto"/>
        <w:rPr>
          <w:sz w:val="20"/>
          <w:szCs w:val="20"/>
          <w:color w:val="auto"/>
        </w:rPr>
      </w:pPr>
      <w:r>
        <w:rPr>
          <w:rFonts w:ascii="Arial" w:cs="Arial" w:eastAsia="Arial" w:hAnsi="Arial"/>
          <w:sz w:val="13"/>
          <w:szCs w:val="13"/>
          <w:color w:val="auto"/>
        </w:rPr>
        <w:t xml:space="preserve">To reach the </w:t>
      </w:r>
      <w:r>
        <w:rPr>
          <w:rFonts w:ascii="Arial" w:cs="Arial" w:eastAsia="Arial" w:hAnsi="Arial"/>
          <w:sz w:val="13"/>
          <w:szCs w:val="13"/>
          <w:u w:val="single" w:color="auto"/>
          <w:color w:val="0095DA"/>
        </w:rPr>
        <w:t>National Suicide Prevention Lifeline</w:t>
      </w:r>
      <w:r>
        <w:rPr>
          <w:rFonts w:ascii="Arial" w:cs="Arial" w:eastAsia="Arial" w:hAnsi="Arial"/>
          <w:sz w:val="13"/>
          <w:szCs w:val="13"/>
          <w:color w:val="auto"/>
        </w:rPr>
        <w:t xml:space="preserve"> network, please call 1-800-273-8255 (available 24 hours every day). Learn more about VA’s suicide-prevention resources and programs at </w:t>
      </w:r>
      <w:r>
        <w:rPr>
          <w:rFonts w:ascii="Arial" w:cs="Arial" w:eastAsia="Arial" w:hAnsi="Arial"/>
          <w:sz w:val="13"/>
          <w:szCs w:val="13"/>
          <w:u w:val="single" w:color="auto"/>
          <w:color w:val="0095DA"/>
        </w:rPr>
        <w:t>www.mentalhealth.va.gov/suicide_prevention/</w:t>
      </w:r>
      <w:r>
        <w:rPr>
          <w:rFonts w:ascii="Arial" w:cs="Arial" w:eastAsia="Arial" w:hAnsi="Arial"/>
          <w:sz w:val="13"/>
          <w:szCs w:val="13"/>
          <w:color w:val="000000"/>
        </w:rPr>
        <w:t>.</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Additional materials can be found on VistaGen’s Resources page </w:t>
      </w:r>
      <w:r>
        <w:rPr>
          <w:rFonts w:ascii="Arial" w:cs="Arial" w:eastAsia="Arial" w:hAnsi="Arial"/>
          <w:sz w:val="13"/>
          <w:szCs w:val="13"/>
          <w:u w:val="single" w:color="auto"/>
          <w:color w:val="0095DA"/>
        </w:rPr>
        <w:t>here</w:t>
      </w:r>
      <w:r>
        <w:rPr>
          <w:rFonts w:ascii="Arial" w:cs="Arial" w:eastAsia="Arial" w:hAnsi="Arial"/>
          <w:sz w:val="13"/>
          <w:szCs w:val="13"/>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17"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 xml:space="preserve">This release contains various statements concerning VistaGen's future expectations, plans and prospects, including without limitation, our expectations regarding development and commercialization of our three drug candidates: (i) PH94B for social anxiety disorder and multiple other anxiety disorders; (ii) PH10 for MDD and multiple additional depression disorders and suicidal ideation, and (iii) AV-101 for MDD, neuropathic pain, epilepsy, dyskinesia associated with levodopa therapy for Parkinson's disease and suicidal ideation. In addition, statements concerning the Company’s future expectations may include statements regarding intellectual property and commercial protection of our drug candidates. Each of these statements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Those risks include the following: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trials may not be repeated or observed future studies, and ongoing or future preclinical and clinical results may not support further development of, or be sufficient to gain regulatory approval to market PH94B, PH10 and/or AV-101;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preclinical and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2"/>
          <w:szCs w:val="12"/>
          <w:u w:val="single" w:color="auto"/>
          <w:color w:val="0095DA"/>
        </w:rPr>
        <w:t>www.sec.gov</w:t>
      </w:r>
      <w:r>
        <w:rPr>
          <w:rFonts w:ascii="Arial" w:cs="Arial" w:eastAsia="Arial" w:hAnsi="Arial"/>
          <w:sz w:val="12"/>
          <w:szCs w:val="12"/>
          <w:color w:val="auto"/>
        </w:rPr>
        <w:t>.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Company Contact</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IR@vistagen.com</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Investor Contact</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VistaGen@KCSA.com</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Media Contact</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auto"/>
        </w:rPr>
        <w:t>VistaGen@KCSA.com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410210</wp:posOffset>
            </wp:positionV>
            <wp:extent cx="7282815"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2815" cy="12700"/>
                    </a:xfrm>
                    <a:prstGeom prst="rect">
                      <a:avLst/>
                    </a:prstGeom>
                    <a:noFill/>
                  </pic:spPr>
                </pic:pic>
              </a:graphicData>
            </a:graphic>
          </wp:anchor>
        </w:drawing>
      </w:r>
    </w:p>
    <w:sectPr>
      <w:pgSz w:w="11900" w:h="16838" w:orient="portrait"/>
      <w:cols w:equalWidth="0" w:num="1">
        <w:col w:w="11440"/>
      </w:cols>
      <w:pgMar w:left="220" w:top="5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2"/>
      <w:numFmt w:val="bullet"/>
      <w:start w:val="1"/>
    </w:lvl>
  </w:abstractNum>
  <w:abstractNum w:abstractNumId="3">
    <w:nsid w:val="625558EC"/>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2019-12-27T15:09:00Z</dcterms:created>
  <dcterms:modified xsi:type="dcterms:W3CDTF">2019-12-27T15:09:00Z</dcterms:modified>
</cp:coreProperties>
</file>