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COMMODORE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 MADISON AVENUE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08/07/2023</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Vistagen Therapeutics, Inc.</w:t>
              </w:r>
            </w:hyperlink>
            <w:r>
              <w:rPr/>
              <w:t xml:space="preserve"> [ </w:t>
            </w:r>
            <w:r>
              <w:rPr>
                <w:rFonts w:ascii="Times;serif" w:hAnsi="Times;serif"/>
                <w:color w:val="0000FF"/>
                <w:sz w:val="24"/>
                <w:shd w:fill="FFFFFF" w:val="clear"/>
              </w:rPr>
              <w:t>VTGN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7"/>
        <w:gridCol w:w="1957"/>
        <w:gridCol w:w="1159"/>
        <w:gridCol w:w="2662"/>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7"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7"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6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799,244</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Commodore Capital Master LP</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are held directly by Commodore Capital Master LP ("Commodore Master"). Commodore Capital LP ("Commodore Capital") is the investment manager to Commodore Master. Michael Kramarz and Robert Egen Atkinson are the managing partners of Commodore Capital and exercise investment and dispositive power over the securities held by Commodore Master. Each of Commodore Capital, Dr. Kramarz and Dr. Atkinson disclaim beneficial ownership of such securities, except to the extent of their pecuniary interest therein. This report shall not be deemed an admission that Commodore Capital, Commodore Master, Dr. Kramarz and Dr. Atkinson or any other person is the beneficial owner of the securities reported herein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Kramarz,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31942" TargetMode="External"/><Relationship Id="rId3" Type="http://schemas.openxmlformats.org/officeDocument/2006/relationships/hyperlink" Target="http://www.sec.gov/cgi-bin/browse-edgar?action=getcompany&amp;CIK=0001411685"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518</Words>
  <Characters>2874</Characters>
  <CharactersWithSpaces>3349</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