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September 2, 2014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000-54014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VistaGen Therapeutics,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Nevada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20-5093315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343 Allerton Avenue, South San Francisco, California 94080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577-3600</w:t>
      </w:r>
    </w:p>
    <w:p>
      <w:pPr>
        <w:spacing w:after="0" w:line="23" w:lineRule="exact"/>
        <w:rPr>
          <w:rFonts w:ascii="Arial" w:cs="Arial" w:eastAsia="Arial" w:hAnsi="Arial"/>
          <w:sz w:val="18"/>
          <w:szCs w:val="18"/>
          <w:u w:val="single" w:color="auto"/>
          <w:color w:val="auto"/>
        </w:rPr>
      </w:pPr>
    </w:p>
    <w:p>
      <w:pPr>
        <w:ind w:left="4540"/>
        <w:spacing w:after="0"/>
        <w:rPr>
          <w:rFonts w:ascii="Arial" w:cs="Arial" w:eastAsia="Arial" w:hAnsi="Arial"/>
          <w:sz w:val="18"/>
          <w:szCs w:val="18"/>
          <w:u w:val="single" w:color="auto"/>
          <w:color w:val="auto"/>
        </w:rPr>
      </w:pPr>
      <w:r>
        <w:rPr>
          <w:rFonts w:ascii="Arial" w:cs="Arial" w:eastAsia="Arial" w:hAnsi="Arial"/>
          <w:sz w:val="18"/>
          <w:szCs w:val="18"/>
          <w:color w:val="auto"/>
        </w:rPr>
        <w:t>(Registrant's Telephone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853440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6" w:lineRule="exact"/>
        <w:rPr>
          <w:sz w:val="20"/>
          <w:szCs w:val="20"/>
          <w:color w:val="auto"/>
        </w:rPr>
      </w:pPr>
    </w:p>
    <w:p>
      <w:pPr>
        <w:jc w:val="both"/>
        <w:ind w:firstLine="828"/>
        <w:spacing w:after="0" w:line="279" w:lineRule="auto"/>
        <w:rPr>
          <w:sz w:val="20"/>
          <w:szCs w:val="20"/>
          <w:color w:val="auto"/>
        </w:rPr>
      </w:pPr>
      <w:r>
        <w:rPr>
          <w:rFonts w:ascii="Arial" w:cs="Arial" w:eastAsia="Arial" w:hAnsi="Arial"/>
          <w:sz w:val="17"/>
          <w:szCs w:val="17"/>
          <w:color w:val="auto"/>
        </w:rPr>
        <w:t>On September 2, 2014, VistaGen Therapeutics, Inc., a Nevada corporation (the “</w:t>
      </w:r>
      <w:r>
        <w:rPr>
          <w:rFonts w:ascii="Arial" w:cs="Arial" w:eastAsia="Arial" w:hAnsi="Arial"/>
          <w:sz w:val="17"/>
          <w:szCs w:val="17"/>
          <w:i w:val="1"/>
          <w:iCs w:val="1"/>
          <w:color w:val="auto"/>
        </w:rPr>
        <w:t>Company</w:t>
      </w:r>
      <w:r>
        <w:rPr>
          <w:rFonts w:ascii="Arial" w:cs="Arial" w:eastAsia="Arial" w:hAnsi="Arial"/>
          <w:sz w:val="17"/>
          <w:szCs w:val="17"/>
          <w:color w:val="auto"/>
        </w:rPr>
        <w:t>”), and Platinum Long Term Growth VII, LLC (“</w:t>
      </w:r>
      <w:r>
        <w:rPr>
          <w:rFonts w:ascii="Arial" w:cs="Arial" w:eastAsia="Arial" w:hAnsi="Arial"/>
          <w:sz w:val="17"/>
          <w:szCs w:val="17"/>
          <w:i w:val="1"/>
          <w:iCs w:val="1"/>
          <w:color w:val="auto"/>
        </w:rPr>
        <w:t>Platinum</w:t>
      </w:r>
      <w:r>
        <w:rPr>
          <w:rFonts w:ascii="Arial" w:cs="Arial" w:eastAsia="Arial" w:hAnsi="Arial"/>
          <w:sz w:val="17"/>
          <w:szCs w:val="17"/>
          <w:color w:val="auto"/>
        </w:rPr>
        <w:t>”) entered into Amendment No. 1 to the Amended and Restated Note Conversion Agreement and Warrant Amendment (the “</w:t>
      </w:r>
      <w:r>
        <w:rPr>
          <w:rFonts w:ascii="Arial" w:cs="Arial" w:eastAsia="Arial" w:hAnsi="Arial"/>
          <w:sz w:val="17"/>
          <w:szCs w:val="17"/>
          <w:i w:val="1"/>
          <w:iCs w:val="1"/>
          <w:color w:val="auto"/>
        </w:rPr>
        <w:t>Amendment</w:t>
      </w:r>
      <w:r>
        <w:rPr>
          <w:rFonts w:ascii="Arial" w:cs="Arial" w:eastAsia="Arial" w:hAnsi="Arial"/>
          <w:sz w:val="17"/>
          <w:szCs w:val="17"/>
          <w:color w:val="auto"/>
        </w:rPr>
        <w:t>”). The Company and Platinum first entered into the Amended and Restated Note Conversion Agreement and Warrant Amendment (the “</w:t>
      </w:r>
      <w:r>
        <w:rPr>
          <w:rFonts w:ascii="Arial" w:cs="Arial" w:eastAsia="Arial" w:hAnsi="Arial"/>
          <w:sz w:val="17"/>
          <w:szCs w:val="17"/>
          <w:i w:val="1"/>
          <w:iCs w:val="1"/>
          <w:color w:val="auto"/>
        </w:rPr>
        <w:t>Agreement</w:t>
      </w:r>
      <w:r>
        <w:rPr>
          <w:rFonts w:ascii="Arial" w:cs="Arial" w:eastAsia="Arial" w:hAnsi="Arial"/>
          <w:sz w:val="17"/>
          <w:szCs w:val="17"/>
          <w:color w:val="auto"/>
        </w:rPr>
        <w:t>) on July 18, 2014, as disclosed in the Current Report on Form 8-K filed with the Securities and Exchange Commission (the “</w:t>
      </w:r>
      <w:r>
        <w:rPr>
          <w:rFonts w:ascii="Arial" w:cs="Arial" w:eastAsia="Arial" w:hAnsi="Arial"/>
          <w:sz w:val="17"/>
          <w:szCs w:val="17"/>
          <w:i w:val="1"/>
          <w:iCs w:val="1"/>
          <w:color w:val="auto"/>
        </w:rPr>
        <w:t>SEC</w:t>
      </w:r>
      <w:r>
        <w:rPr>
          <w:rFonts w:ascii="Arial" w:cs="Arial" w:eastAsia="Arial" w:hAnsi="Arial"/>
          <w:sz w:val="17"/>
          <w:szCs w:val="17"/>
          <w:color w:val="auto"/>
        </w:rPr>
        <w:t>”) on July 22, 2014.</w:t>
      </w:r>
    </w:p>
    <w:p>
      <w:pPr>
        <w:spacing w:after="0" w:line="171" w:lineRule="exact"/>
        <w:rPr>
          <w:sz w:val="20"/>
          <w:szCs w:val="20"/>
          <w:color w:val="auto"/>
        </w:rPr>
      </w:pPr>
    </w:p>
    <w:p>
      <w:pPr>
        <w:jc w:val="both"/>
        <w:ind w:firstLine="722"/>
        <w:spacing w:after="0" w:line="257" w:lineRule="auto"/>
        <w:rPr>
          <w:sz w:val="20"/>
          <w:szCs w:val="20"/>
          <w:color w:val="auto"/>
        </w:rPr>
      </w:pPr>
      <w:r>
        <w:rPr>
          <w:rFonts w:ascii="Arial" w:cs="Arial" w:eastAsia="Arial" w:hAnsi="Arial"/>
          <w:sz w:val="18"/>
          <w:szCs w:val="18"/>
          <w:color w:val="auto"/>
        </w:rPr>
        <w:t>Upon execution of the Amendment, Platinum has agreed to convert the entire outstanding balance of principal and accrued interest of all Senior Secured Convertible Promissory Notes currently held, in the aggregate amount of approximately $4.2 million, into shares of the Company’s equity securities in the event the Company either (i) completes a private equity financing resulting in gross proceeds of at least $36.0 million on or before September 30, 2014, or (ii) consummates a public common stock financing transaction resulting in gross proceeds to the Company of at least $10.0 million on or before September 30, 2014 pursuant to an effective registration statement on file with the SEC.</w:t>
      </w:r>
    </w:p>
    <w:p>
      <w:pPr>
        <w:spacing w:after="0" w:line="188" w:lineRule="exact"/>
        <w:rPr>
          <w:sz w:val="20"/>
          <w:szCs w:val="20"/>
          <w:color w:val="auto"/>
        </w:rPr>
      </w:pPr>
    </w:p>
    <w:p>
      <w:pPr>
        <w:jc w:val="both"/>
        <w:ind w:firstLine="664"/>
        <w:spacing w:after="0" w:line="264" w:lineRule="auto"/>
        <w:rPr>
          <w:sz w:val="20"/>
          <w:szCs w:val="20"/>
          <w:color w:val="auto"/>
        </w:rPr>
      </w:pPr>
      <w:r>
        <w:rPr>
          <w:rFonts w:ascii="Arial" w:cs="Arial" w:eastAsia="Arial" w:hAnsi="Arial"/>
          <w:sz w:val="18"/>
          <w:szCs w:val="18"/>
          <w:color w:val="auto"/>
        </w:rPr>
        <w:t>The foregoing description of the Amendment and the Agreement do not purport to be complete, and are qualified in their entirety by reference to the full text of the Amendment, which is attached hereto as Exhibit 10.1, and the Agreement attached as Exhibit 10.1 to the Current Report on Form 8-K filed with the SEC on July 22, 2014, each of which are incorporated by reference herein.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716280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VistaGen Therapeutics, Inc.</w:t>
      </w:r>
    </w:p>
    <w:p>
      <w:pPr>
        <w:spacing w:after="0" w:line="229"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8"/>
          <w:szCs w:val="18"/>
          <w:color w:val="auto"/>
        </w:rPr>
        <w:t>Date: September 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169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Shawn K. Singh</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843915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702"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tcPr>
          <w:p>
            <w:pPr>
              <w:ind w:left="3380"/>
              <w:spacing w:after="0"/>
              <w:rPr>
                <w:sz w:val="20"/>
                <w:szCs w:val="20"/>
                <w:color w:val="auto"/>
              </w:rPr>
            </w:pPr>
            <w:r>
              <w:rPr>
                <w:rFonts w:ascii="Arial" w:cs="Arial" w:eastAsia="Arial" w:hAnsi="Arial"/>
                <w:sz w:val="18"/>
                <w:szCs w:val="18"/>
                <w:b w:val="1"/>
                <w:bCs w:val="1"/>
                <w:color w:val="auto"/>
              </w:rPr>
              <w:t>EXHIBIT INDEX</w:t>
            </w:r>
          </w:p>
        </w:tc>
      </w:tr>
      <w:tr>
        <w:trPr>
          <w:trHeight w:val="459"/>
        </w:trPr>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2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1"/>
        </w:trPr>
        <w:tc>
          <w:tcPr>
            <w:tcW w:w="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7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1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6"/>
                <w:szCs w:val="16"/>
                <w:color w:val="auto"/>
              </w:rPr>
            </w:pPr>
          </w:p>
        </w:tc>
        <w:tc>
          <w:tcPr>
            <w:tcW w:w="9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Amendment No. 1 to Amended and Restated Note Conversion Agreement and Warrant Amendment, by and between VistaGen</w:t>
            </w:r>
          </w:p>
        </w:tc>
      </w:tr>
      <w:tr>
        <w:trPr>
          <w:trHeight w:val="230"/>
        </w:trPr>
        <w:tc>
          <w:tcPr>
            <w:tcW w:w="2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Therapeutics, Inc. and Platinum Long Term Growth VII, LLC, dated September 2, 2014.</w:t>
            </w:r>
          </w:p>
        </w:tc>
      </w:tr>
    </w:tbl>
    <w:p>
      <w:pPr>
        <w:sectPr>
          <w:pgSz w:w="11900" w:h="16838" w:orient="portrait"/>
          <w:cols w:equalWidth="0" w:num="1">
            <w:col w:w="11420"/>
          </w:cols>
          <w:pgMar w:left="240" w:top="97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CONVERSION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AMENDMENT</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THIS AMENDMENT NO. 1 TO AMENDED AND RESTATED NOTE CONVERSION AGREEMENT AND WARRANT AMENDMENT </w:t>
      </w:r>
      <w:r>
        <w:rPr>
          <w:rFonts w:ascii="Arial" w:cs="Arial" w:eastAsia="Arial" w:hAnsi="Arial"/>
          <w:sz w:val="18"/>
          <w:szCs w:val="18"/>
          <w:color w:val="auto"/>
        </w:rPr>
        <w:t>(this “</w:t>
      </w:r>
      <w:r>
        <w:rPr>
          <w:rFonts w:ascii="Arial" w:cs="Arial" w:eastAsia="Arial" w:hAnsi="Arial"/>
          <w:sz w:val="18"/>
          <w:szCs w:val="18"/>
          <w:i w:val="1"/>
          <w:iCs w:val="1"/>
          <w:color w:val="auto"/>
        </w:rPr>
        <w:t>Agreement</w:t>
      </w:r>
      <w:r>
        <w:rPr>
          <w:rFonts w:ascii="Arial" w:cs="Arial" w:eastAsia="Arial" w:hAnsi="Arial"/>
          <w:sz w:val="18"/>
          <w:szCs w:val="18"/>
          <w:color w:val="auto"/>
        </w:rPr>
        <w:t>”) is entered into on September 2, 2014, by and between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and Platinum Long Term Growth VII, LLC, a Delaware limited liability company (“</w:t>
      </w:r>
      <w:r>
        <w:rPr>
          <w:rFonts w:ascii="Arial" w:cs="Arial" w:eastAsia="Arial" w:hAnsi="Arial"/>
          <w:sz w:val="18"/>
          <w:szCs w:val="18"/>
          <w:i w:val="1"/>
          <w:iCs w:val="1"/>
          <w:color w:val="auto"/>
        </w:rPr>
        <w:t>Platinum</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entered into an Amended and Restated Note Conversion Agreement and Warrant Amendment on July 18, 2014</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Amendment</w:t>
      </w:r>
      <w:r>
        <w:rPr>
          <w:rFonts w:ascii="Arial" w:cs="Arial" w:eastAsia="Arial" w:hAnsi="Arial"/>
          <w:sz w:val="18"/>
          <w:szCs w:val="18"/>
          <w:color w:val="auto"/>
        </w:rPr>
        <w:t>”), which Amendment amends and restates that certain Note Conversion Agreement, dated April 4, 2013, and amends certain warrants issued to Platinum prior to the date of the Amendment, each as more particularly set forth in the Amendment; and</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agree to amend the Amendment as more particularly set forth below, in order to extend the date upon which the Company is</w:t>
      </w:r>
      <w:r>
        <w:rPr>
          <w:rFonts w:ascii="Arial" w:cs="Arial" w:eastAsia="Arial" w:hAnsi="Arial"/>
          <w:sz w:val="18"/>
          <w:szCs w:val="18"/>
          <w:b w:val="1"/>
          <w:bCs w:val="1"/>
          <w:color w:val="auto"/>
        </w:rPr>
        <w:t xml:space="preserve"> </w:t>
      </w:r>
      <w:r>
        <w:rPr>
          <w:rFonts w:ascii="Arial" w:cs="Arial" w:eastAsia="Arial" w:hAnsi="Arial"/>
          <w:sz w:val="18"/>
          <w:szCs w:val="18"/>
          <w:color w:val="auto"/>
        </w:rPr>
        <w:t>able to consummate a Qualified Financing, as such term is defined in the Amendment.</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and in consideration of the mutual agreements set forth herein, the parties hereto agree as follows:</w:t>
      </w:r>
    </w:p>
    <w:p>
      <w:pPr>
        <w:spacing w:after="0" w:line="229" w:lineRule="exact"/>
        <w:rPr>
          <w:sz w:val="20"/>
          <w:szCs w:val="20"/>
          <w:color w:val="auto"/>
        </w:rPr>
      </w:pPr>
    </w:p>
    <w:p>
      <w:pPr>
        <w:ind w:firstLine="656"/>
        <w:spacing w:after="0" w:line="277" w:lineRule="auto"/>
        <w:tabs>
          <w:tab w:leader="none" w:pos="134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“Closing Date”, as such term is defined in Section 1 of the Amendment, shall be revised to September 30, 2014, and each reference to August 31, 2014 in the Amendment shall be amended and replaced with September 30, 2014.</w:t>
      </w:r>
    </w:p>
    <w:p>
      <w:pPr>
        <w:spacing w:after="0" w:line="197" w:lineRule="exact"/>
        <w:rPr>
          <w:rFonts w:ascii="Arial" w:cs="Arial" w:eastAsia="Arial" w:hAnsi="Arial"/>
          <w:sz w:val="18"/>
          <w:szCs w:val="18"/>
          <w:color w:val="auto"/>
        </w:rPr>
      </w:pPr>
    </w:p>
    <w:p>
      <w:pPr>
        <w:jc w:val="both"/>
        <w:ind w:firstLine="656"/>
        <w:spacing w:after="0" w:line="259" w:lineRule="auto"/>
        <w:tabs>
          <w:tab w:leader="none" w:pos="141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provisions of the Amendment, as modified herein, shall remain in full force and effect in accordance with its terms and are hereby ratified and confirmed. Platinum does not in any way waive the Company’s obligations to comply with any of the provisions, covenants and terms of the Amendment (as amended hereby) and the other agreements referred to in the Amendment. This Agreement shall be governed by the laws of the State of New York without regard to the conflict of laws provisions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signed this instrument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80" w:type="dxa"/>
            <w:vAlign w:val="bottom"/>
          </w:tcPr>
          <w:p>
            <w:pPr>
              <w:spacing w:after="0"/>
              <w:rPr>
                <w:sz w:val="20"/>
                <w:szCs w:val="20"/>
                <w:color w:val="auto"/>
              </w:rPr>
            </w:pPr>
            <w:r>
              <w:rPr>
                <w:rFonts w:ascii="Arial" w:cs="Arial" w:eastAsia="Arial" w:hAnsi="Arial"/>
                <w:sz w:val="18"/>
                <w:szCs w:val="18"/>
                <w:color w:val="auto"/>
              </w:rPr>
              <w:t>ADDRESS:</w:t>
            </w:r>
          </w:p>
        </w:tc>
        <w:tc>
          <w:tcPr>
            <w:tcW w:w="4220" w:type="dxa"/>
            <w:vAlign w:val="bottom"/>
            <w:gridSpan w:val="3"/>
          </w:tcPr>
          <w:p>
            <w:pPr>
              <w:ind w:left="1360"/>
              <w:spacing w:after="0"/>
              <w:rPr>
                <w:sz w:val="20"/>
                <w:szCs w:val="20"/>
                <w:color w:val="auto"/>
              </w:rPr>
            </w:pPr>
            <w:r>
              <w:rPr>
                <w:rFonts w:ascii="Arial" w:cs="Arial" w:eastAsia="Arial" w:hAnsi="Arial"/>
                <w:sz w:val="18"/>
                <w:szCs w:val="18"/>
                <w:b w:val="1"/>
                <w:bCs w:val="1"/>
                <w:color w:val="auto"/>
              </w:rPr>
              <w:t>VISTAGEN THERAPEUTICS, INC.</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343 Allerton Avenue</w:t>
            </w:r>
          </w:p>
        </w:tc>
        <w:tc>
          <w:tcPr>
            <w:tcW w:w="1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South San Francisco, California 94080</w:t>
            </w:r>
          </w:p>
        </w:tc>
        <w:tc>
          <w:tcPr>
            <w:tcW w:w="4220" w:type="dxa"/>
            <w:vAlign w:val="bottom"/>
            <w:gridSpan w:val="3"/>
            <w:vMerge w:val="restart"/>
          </w:tcPr>
          <w:p>
            <w:pPr>
              <w:ind w:left="1360"/>
              <w:spacing w:after="0"/>
              <w:rPr>
                <w:sz w:val="20"/>
                <w:szCs w:val="20"/>
                <w:color w:val="auto"/>
              </w:rPr>
            </w:pPr>
            <w:r>
              <w:rPr>
                <w:rFonts w:ascii="Arial" w:cs="Arial" w:eastAsia="Arial" w:hAnsi="Arial"/>
                <w:sz w:val="18"/>
                <w:szCs w:val="18"/>
                <w:color w:val="auto"/>
              </w:rPr>
              <w:t>By: /s/ Shawn K. Singh</w:t>
            </w:r>
          </w:p>
        </w:tc>
        <w:tc>
          <w:tcPr>
            <w:tcW w:w="0" w:type="dxa"/>
            <w:vAlign w:val="bottom"/>
          </w:tcPr>
          <w:p>
            <w:pPr>
              <w:spacing w:after="0"/>
              <w:rPr>
                <w:sz w:val="1"/>
                <w:szCs w:val="1"/>
                <w:color w:val="auto"/>
              </w:rPr>
            </w:pPr>
          </w:p>
        </w:tc>
      </w:tr>
      <w:tr>
        <w:trPr>
          <w:trHeight w:val="176"/>
        </w:trPr>
        <w:tc>
          <w:tcPr>
            <w:tcW w:w="4180" w:type="dxa"/>
            <w:vAlign w:val="bottom"/>
          </w:tcPr>
          <w:p>
            <w:pPr>
              <w:spacing w:after="0"/>
              <w:rPr>
                <w:sz w:val="15"/>
                <w:szCs w:val="15"/>
                <w:color w:val="auto"/>
              </w:rPr>
            </w:pPr>
          </w:p>
        </w:tc>
        <w:tc>
          <w:tcPr>
            <w:tcW w:w="42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80" w:type="dxa"/>
            <w:vAlign w:val="bottom"/>
          </w:tcPr>
          <w:p>
            <w:pPr>
              <w:spacing w:after="0"/>
              <w:rPr>
                <w:sz w:val="19"/>
                <w:szCs w:val="19"/>
                <w:color w:val="auto"/>
              </w:rPr>
            </w:pPr>
          </w:p>
        </w:tc>
        <w:tc>
          <w:tcPr>
            <w:tcW w:w="4220" w:type="dxa"/>
            <w:vAlign w:val="bottom"/>
            <w:gridSpan w:val="3"/>
          </w:tcPr>
          <w:p>
            <w:pPr>
              <w:ind w:left="1360"/>
              <w:spacing w:after="0"/>
              <w:rPr>
                <w:sz w:val="20"/>
                <w:szCs w:val="20"/>
                <w:color w:val="auto"/>
              </w:rPr>
            </w:pPr>
            <w:r>
              <w:rPr>
                <w:rFonts w:ascii="Arial" w:cs="Arial" w:eastAsia="Arial" w:hAnsi="Arial"/>
                <w:sz w:val="18"/>
                <w:szCs w:val="18"/>
                <w:color w:val="auto"/>
              </w:rPr>
              <w:t>Name: Shawn K. Singh</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p>
        </w:tc>
        <w:tc>
          <w:tcPr>
            <w:tcW w:w="4220" w:type="dxa"/>
            <w:vAlign w:val="bottom"/>
            <w:gridSpan w:val="3"/>
          </w:tcPr>
          <w:p>
            <w:pPr>
              <w:ind w:left="1360"/>
              <w:spacing w:after="0"/>
              <w:rPr>
                <w:sz w:val="20"/>
                <w:szCs w:val="20"/>
                <w:color w:val="auto"/>
              </w:rPr>
            </w:pPr>
            <w:r>
              <w:rPr>
                <w:rFonts w:ascii="Arial" w:cs="Arial" w:eastAsia="Arial" w:hAnsi="Arial"/>
                <w:sz w:val="18"/>
                <w:szCs w:val="18"/>
                <w:color w:val="auto"/>
              </w:rPr>
              <w:t>Title: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tcPr>
          <w:p>
            <w:pPr>
              <w:spacing w:after="0"/>
              <w:rPr>
                <w:sz w:val="20"/>
                <w:szCs w:val="20"/>
                <w:color w:val="auto"/>
              </w:rPr>
            </w:pPr>
            <w:r>
              <w:rPr>
                <w:rFonts w:ascii="Arial" w:cs="Arial" w:eastAsia="Arial" w:hAnsi="Arial"/>
                <w:sz w:val="18"/>
                <w:szCs w:val="18"/>
                <w:color w:val="auto"/>
              </w:rPr>
              <w:t>ADDRESS:</w:t>
            </w:r>
          </w:p>
        </w:tc>
        <w:tc>
          <w:tcPr>
            <w:tcW w:w="5480" w:type="dxa"/>
            <w:vAlign w:val="bottom"/>
            <w:gridSpan w:val="3"/>
          </w:tcPr>
          <w:p>
            <w:pPr>
              <w:ind w:left="1680"/>
              <w:spacing w:after="0"/>
              <w:rPr>
                <w:sz w:val="20"/>
                <w:szCs w:val="20"/>
                <w:color w:val="auto"/>
              </w:rPr>
            </w:pPr>
            <w:r>
              <w:rPr>
                <w:rFonts w:ascii="Arial" w:cs="Arial" w:eastAsia="Arial" w:hAnsi="Arial"/>
                <w:sz w:val="18"/>
                <w:szCs w:val="18"/>
                <w:b w:val="1"/>
                <w:bCs w:val="1"/>
                <w:color w:val="auto"/>
              </w:rPr>
              <w:t>PLATINUM LONG TERM GROWTH VII, LLC</w:t>
            </w:r>
          </w:p>
        </w:tc>
        <w:tc>
          <w:tcPr>
            <w:tcW w:w="0" w:type="dxa"/>
            <w:vAlign w:val="bottom"/>
          </w:tcPr>
          <w:p>
            <w:pPr>
              <w:spacing w:after="0"/>
              <w:rPr>
                <w:sz w:val="1"/>
                <w:szCs w:val="1"/>
                <w:color w:val="auto"/>
              </w:rPr>
            </w:pPr>
          </w:p>
        </w:tc>
      </w:tr>
      <w:tr>
        <w:trPr>
          <w:trHeight w:val="216"/>
        </w:trPr>
        <w:tc>
          <w:tcPr>
            <w:tcW w:w="3860" w:type="dxa"/>
            <w:vAlign w:val="bottom"/>
          </w:tcPr>
          <w:p>
            <w:pPr>
              <w:spacing w:after="0" w:line="216" w:lineRule="exact"/>
              <w:rPr>
                <w:sz w:val="20"/>
                <w:szCs w:val="20"/>
                <w:color w:val="auto"/>
              </w:rPr>
            </w:pPr>
            <w:r>
              <w:rPr>
                <w:rFonts w:ascii="Arial" w:cs="Arial" w:eastAsia="Arial" w:hAnsi="Arial"/>
                <w:sz w:val="18"/>
                <w:szCs w:val="18"/>
                <w:color w:val="auto"/>
              </w:rPr>
              <w:t>152 West 57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c>
          <w:tcPr>
            <w:tcW w:w="2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New York, NY 10019</w:t>
            </w:r>
          </w:p>
        </w:tc>
        <w:tc>
          <w:tcPr>
            <w:tcW w:w="5480" w:type="dxa"/>
            <w:vAlign w:val="bottom"/>
            <w:gridSpan w:val="3"/>
            <w:vMerge w:val="restart"/>
          </w:tcPr>
          <w:p>
            <w:pPr>
              <w:ind w:left="1680"/>
              <w:spacing w:after="0"/>
              <w:rPr>
                <w:sz w:val="20"/>
                <w:szCs w:val="20"/>
                <w:color w:val="auto"/>
              </w:rPr>
            </w:pPr>
            <w:r>
              <w:rPr>
                <w:rFonts w:ascii="Arial" w:cs="Arial" w:eastAsia="Arial" w:hAnsi="Arial"/>
                <w:sz w:val="18"/>
                <w:szCs w:val="18"/>
                <w:color w:val="auto"/>
              </w:rPr>
              <w:t>By: /s/ Will Slota</w:t>
            </w:r>
          </w:p>
        </w:tc>
        <w:tc>
          <w:tcPr>
            <w:tcW w:w="0" w:type="dxa"/>
            <w:vAlign w:val="bottom"/>
          </w:tcPr>
          <w:p>
            <w:pPr>
              <w:spacing w:after="0"/>
              <w:rPr>
                <w:sz w:val="1"/>
                <w:szCs w:val="1"/>
                <w:color w:val="auto"/>
              </w:rPr>
            </w:pPr>
          </w:p>
        </w:tc>
      </w:tr>
      <w:tr>
        <w:trPr>
          <w:trHeight w:val="176"/>
        </w:trPr>
        <w:tc>
          <w:tcPr>
            <w:tcW w:w="3860" w:type="dxa"/>
            <w:vAlign w:val="bottom"/>
          </w:tcPr>
          <w:p>
            <w:pPr>
              <w:spacing w:after="0"/>
              <w:rPr>
                <w:sz w:val="15"/>
                <w:szCs w:val="15"/>
                <w:color w:val="auto"/>
              </w:rPr>
            </w:pPr>
          </w:p>
        </w:tc>
        <w:tc>
          <w:tcPr>
            <w:tcW w:w="54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tcPr>
          <w:p>
            <w:pPr>
              <w:spacing w:after="0"/>
              <w:rPr>
                <w:sz w:val="19"/>
                <w:szCs w:val="19"/>
                <w:color w:val="auto"/>
              </w:rPr>
            </w:pPr>
          </w:p>
        </w:tc>
        <w:tc>
          <w:tcPr>
            <w:tcW w:w="5480" w:type="dxa"/>
            <w:vAlign w:val="bottom"/>
            <w:gridSpan w:val="3"/>
          </w:tcPr>
          <w:p>
            <w:pPr>
              <w:ind w:left="1680"/>
              <w:spacing w:after="0"/>
              <w:rPr>
                <w:sz w:val="20"/>
                <w:szCs w:val="20"/>
                <w:color w:val="auto"/>
              </w:rPr>
            </w:pPr>
            <w:r>
              <w:rPr>
                <w:rFonts w:ascii="Arial" w:cs="Arial" w:eastAsia="Arial" w:hAnsi="Arial"/>
                <w:sz w:val="18"/>
                <w:szCs w:val="18"/>
                <w:color w:val="auto"/>
              </w:rPr>
              <w:t>Name: Will Slota</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p>
        </w:tc>
        <w:tc>
          <w:tcPr>
            <w:tcW w:w="5480" w:type="dxa"/>
            <w:vAlign w:val="bottom"/>
            <w:gridSpan w:val="3"/>
          </w:tcPr>
          <w:p>
            <w:pPr>
              <w:ind w:left="1680"/>
              <w:spacing w:after="0"/>
              <w:rPr>
                <w:sz w:val="20"/>
                <w:szCs w:val="20"/>
                <w:color w:val="auto"/>
              </w:rPr>
            </w:pPr>
            <w:r>
              <w:rPr>
                <w:rFonts w:ascii="Arial" w:cs="Arial" w:eastAsia="Arial" w:hAnsi="Arial"/>
                <w:sz w:val="18"/>
                <w:szCs w:val="18"/>
                <w:color w:val="auto"/>
              </w:rPr>
              <w:t>Title: Authorized Signatory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179"/>
        <w:spacing w:after="0"/>
        <w:rPr>
          <w:sz w:val="20"/>
          <w:szCs w:val="20"/>
          <w:color w:val="auto"/>
        </w:rPr>
      </w:pPr>
      <w:r>
        <w:rPr>
          <w:rFonts w:ascii="Arial" w:cs="Arial" w:eastAsia="Arial" w:hAnsi="Arial"/>
          <w:sz w:val="18"/>
          <w:szCs w:val="18"/>
          <w:color w:val="auto"/>
        </w:rPr>
        <w:t>[Signature Page to Amendment No. 1 to Amended and Restated Note Conversion Agreement and Warrant Amendment]</w:t>
      </w:r>
    </w:p>
    <w:sectPr>
      <w:pgSz w:w="11900" w:h="16838" w:orient="portrait"/>
      <w:cols w:equalWidth="0" w:num="1">
        <w:col w:w="10219"/>
      </w:cols>
      <w:pgMar w:left="240" w:top="5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650"/>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2020-01-28T15:47:08Z</dcterms:created>
  <dcterms:modified xsi:type="dcterms:W3CDTF">2020-01-28T15:47:08Z</dcterms:modified>
</cp:coreProperties>
</file>