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VistaGen Therapeutics,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63" w:lineRule="exact"/>
        <w:rPr>
          <w:sz w:val="24"/>
          <w:szCs w:val="24"/>
          <w:color w:val="auto"/>
        </w:rPr>
      </w:pPr>
    </w:p>
    <w:p>
      <w:pPr>
        <w:ind w:left="4500"/>
        <w:spacing w:after="0"/>
        <w:rPr>
          <w:sz w:val="20"/>
          <w:szCs w:val="20"/>
          <w:color w:val="auto"/>
        </w:rPr>
      </w:pPr>
      <w:r>
        <w:rPr>
          <w:rFonts w:ascii="Arial" w:cs="Arial" w:eastAsia="Arial" w:hAnsi="Arial"/>
          <w:sz w:val="18"/>
          <w:szCs w:val="18"/>
          <w:u w:val="single" w:color="auto"/>
          <w:color w:val="auto"/>
        </w:rPr>
        <w:t>Common Stock, $0.001 par value</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(Title of Class of Securities)</w:t>
      </w:r>
    </w:p>
    <w:p>
      <w:pPr>
        <w:spacing w:after="0" w:line="265" w:lineRule="exact"/>
        <w:rPr>
          <w:sz w:val="24"/>
          <w:szCs w:val="24"/>
          <w:color w:val="auto"/>
        </w:rPr>
      </w:pPr>
    </w:p>
    <w:p>
      <w:pPr>
        <w:ind w:left="5280"/>
        <w:spacing w:after="0"/>
        <w:rPr>
          <w:sz w:val="20"/>
          <w:szCs w:val="20"/>
          <w:color w:val="auto"/>
        </w:rPr>
      </w:pPr>
      <w:r>
        <w:rPr>
          <w:rFonts w:ascii="Arial" w:cs="Arial" w:eastAsia="Arial" w:hAnsi="Arial"/>
          <w:sz w:val="18"/>
          <w:szCs w:val="18"/>
          <w:u w:val="single" w:color="auto"/>
          <w:color w:val="auto"/>
        </w:rPr>
        <w:t>92840H202</w:t>
      </w:r>
    </w:p>
    <w:p>
      <w:pPr>
        <w:spacing w:after="0" w:line="2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(CUSIP Number)</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720" w:hanging="20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79" w:lineRule="exact"/>
        <w:rPr>
          <w:sz w:val="24"/>
          <w:szCs w:val="24"/>
          <w:color w:val="auto"/>
        </w:rPr>
      </w:pPr>
    </w:p>
    <w:p>
      <w:pPr>
        <w:ind w:left="720" w:hanging="20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79" w:lineRule="exact"/>
        <w:rPr>
          <w:sz w:val="24"/>
          <w:szCs w:val="24"/>
          <w:color w:val="auto"/>
        </w:rPr>
      </w:pPr>
    </w:p>
    <w:p>
      <w:pPr>
        <w:ind w:left="720" w:hanging="202"/>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w:t>
      </w:r>
      <w:r>
        <w:rPr>
          <w:rFonts w:ascii="Arial" w:cs="Arial" w:eastAsia="Arial" w:hAnsi="Arial"/>
          <w:sz w:val="16"/>
          <w:szCs w:val="16"/>
          <w:i w:val="1"/>
          <w:iCs w:val="1"/>
          <w:color w:val="auto"/>
        </w:rPr>
        <w:t>Securities Exchange Act</w:t>
      </w:r>
      <w:r>
        <w:rPr>
          <w:rFonts w:ascii="Arial" w:cs="Arial" w:eastAsia="Arial" w:hAnsi="Arial"/>
          <w:sz w:val="16"/>
          <w:szCs w:val="16"/>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900" w:type="dxa"/>
            <w:vAlign w:val="bottom"/>
            <w:tcBorders>
              <w:top w:val="single" w:sz="8" w:color="auto"/>
              <w:left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2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CUSIP No. 92840H202</w:t>
            </w: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2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Moshe Arkin</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2,182,712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9.99%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firstLine="8"/>
        <w:spacing w:after="0" w:line="26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warrants to purchase 935,461 shares of Common Stock. As more fully described in Item 4, these warrants exclude warrants to purchase 379,488 shares of Common Stock, which are subject to a 9.99% beneficial ownership limitation. The beneficial ownership of the securities reported herein is described in Item 4(a).</w:t>
      </w:r>
    </w:p>
    <w:p>
      <w:pPr>
        <w:spacing w:after="0" w:line="181" w:lineRule="exact"/>
        <w:rPr>
          <w:sz w:val="20"/>
          <w:szCs w:val="20"/>
          <w:color w:val="auto"/>
        </w:rPr>
      </w:pPr>
    </w:p>
    <w:p>
      <w:pPr>
        <w:ind w:right="20" w:firstLine="8"/>
        <w:spacing w:after="0" w:line="264"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21,848,974 shares of Common Stock issued and outstanding as of December 13, 2017, as represented in the Company's Prospectus Supplement on Form 424(b)(4) filed with the Securities and Exchange Commission on December 12, 2017 and giving effect to the Beneficial Ownership Limitation (as defined in Item 4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3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1"/>
              </w:rPr>
              <w:t>Sphera Funds Management Ltd.</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2,182,712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9.99%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8"/>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warrants to purchase 935,461 shares of Common Stock. As more fully described in Item 4, these warrants exclude warrants to purchase 379,488 shares of Common Stock, which are subject to a 9.99% beneficial ownership limitation. The beneficial ownership of the securities reported herein is described in Item 4(a).</w:t>
      </w:r>
    </w:p>
    <w:p>
      <w:pPr>
        <w:spacing w:after="0" w:line="181" w:lineRule="exact"/>
        <w:rPr>
          <w:sz w:val="20"/>
          <w:szCs w:val="20"/>
          <w:color w:val="auto"/>
        </w:rPr>
      </w:pPr>
    </w:p>
    <w:p>
      <w:pPr>
        <w:ind w:right="20" w:firstLine="8"/>
        <w:spacing w:after="0" w:line="264" w:lineRule="auto"/>
        <w:tabs>
          <w:tab w:leader="none" w:pos="34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21,848,974 shares of Common Stock issued and outstanding as of December 13, 2017, as represented in the Company's Prospectus Supplement on Form 424(b)(4) filed with the Securities and Exchange Commission on December 12, 2017 and giving effect to the Beneficial Ownership Limitation (as defined in Item 4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4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GP Ltd.</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60" w:type="dxa"/>
            <w:vAlign w:val="bottom"/>
            <w:tcBorders>
              <w:left w:val="single" w:sz="8" w:color="auto"/>
            </w:tcBorders>
            <w:gridSpan w:val="3"/>
            <w:vMerge w:val="continue"/>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right"/>
              <w:ind w:right="750"/>
              <w:spacing w:after="0" w:line="189" w:lineRule="exact"/>
              <w:rPr>
                <w:sz w:val="20"/>
                <w:szCs w:val="20"/>
                <w:color w:val="auto"/>
              </w:rPr>
            </w:pPr>
            <w:r>
              <w:rPr>
                <w:rFonts w:ascii="Arial" w:cs="Arial" w:eastAsia="Arial" w:hAnsi="Arial"/>
                <w:sz w:val="18"/>
                <w:szCs w:val="18"/>
                <w:b w:val="1"/>
                <w:bCs w:val="1"/>
                <w:color w:val="auto"/>
              </w:rPr>
              <w:t>6</w:t>
            </w:r>
          </w:p>
        </w:tc>
        <w:tc>
          <w:tcPr>
            <w:tcW w:w="50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Borders>
              <w:left w:val="single" w:sz="8" w:color="auto"/>
            </w:tcBorders>
          </w:tcPr>
          <w:p>
            <w:pPr>
              <w:spacing w:after="0"/>
              <w:rPr>
                <w:sz w:val="17"/>
                <w:szCs w:val="17"/>
                <w:color w:val="auto"/>
              </w:rPr>
            </w:pPr>
          </w:p>
        </w:tc>
        <w:tc>
          <w:tcPr>
            <w:tcW w:w="1160" w:type="dxa"/>
            <w:vAlign w:val="bottom"/>
            <w:gridSpan w:val="2"/>
          </w:tcPr>
          <w:p>
            <w:pPr>
              <w:jc w:val="center"/>
              <w:ind w:right="350"/>
              <w:spacing w:after="0" w:line="201" w:lineRule="exact"/>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auto"/>
            </w:tcBorders>
            <w:gridSpan w:val="3"/>
            <w:vMerge w:val="restart"/>
          </w:tcPr>
          <w:p>
            <w:pPr>
              <w:jc w:val="center"/>
              <w:ind w:left="370"/>
              <w:spacing w:after="0" w:line="201" w:lineRule="exact"/>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60" w:type="dxa"/>
            <w:vAlign w:val="bottom"/>
            <w:tcBorders>
              <w:left w:val="single" w:sz="8" w:color="auto"/>
            </w:tcBorders>
            <w:gridSpan w:val="3"/>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tcBorders>
          </w:tcPr>
          <w:p>
            <w:pPr>
              <w:spacing w:after="0"/>
              <w:rPr>
                <w:sz w:val="12"/>
                <w:szCs w:val="12"/>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5020" w:type="dxa"/>
            <w:vAlign w:val="bottom"/>
            <w:gridSpan w:val="2"/>
            <w:vMerge w:val="continue"/>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900" w:type="dxa"/>
            <w:vAlign w:val="bottom"/>
            <w:tcBorders>
              <w:left w:val="single" w:sz="8" w:color="auto"/>
            </w:tcBorders>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gridSpan w:val="3"/>
            <w:vMerge w:val="restart"/>
          </w:tcPr>
          <w:p>
            <w:pPr>
              <w:jc w:val="center"/>
              <w:ind w:left="370"/>
              <w:spacing w:after="0" w:line="157"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36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0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2,182,712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9.99%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8"/>
        <w:spacing w:after="0" w:line="26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warrants to purchase 935,461 shares of Common Stock. As more fully described in Item 4, these warrants exclude warrants to purchase 379,488 shares of Common Stock, which are subject to a 9.99% beneficial ownership limitation. The beneficial ownership of the securities reported herein is described in Item 4(a).</w:t>
      </w:r>
    </w:p>
    <w:p>
      <w:pPr>
        <w:spacing w:after="0" w:line="235" w:lineRule="exact"/>
        <w:rPr>
          <w:sz w:val="20"/>
          <w:szCs w:val="20"/>
          <w:color w:val="auto"/>
        </w:rPr>
      </w:pPr>
    </w:p>
    <w:p>
      <w:pPr>
        <w:ind w:right="20" w:firstLine="8"/>
        <w:spacing w:after="0" w:line="264"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21,848,974 shares of Common Stock issued and outstanding as of December 13, 2017, as represented in the Company's Prospectus Supplement on Form 424(b)(4) filed with the Securities and Exchange Commission on December 12, 2017 and giving effect to the Beneficial Ownership Limitation (as defined in Item 4 below).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5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Management LP</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2,182,712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2,182,712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9.99%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warrants to purchase 935,461 shares of Common Stock. As more fully described in Item 4, these warrants exclude warrants to purchase 379,488 shares of Common Stock, which are subject to a 9.99% beneficial ownership limitation. The beneficial ownership of the securities reported herein is described in Item 4(a).</w:t>
      </w:r>
    </w:p>
    <w:p>
      <w:pPr>
        <w:spacing w:after="0" w:line="181" w:lineRule="exact"/>
        <w:rPr>
          <w:sz w:val="20"/>
          <w:szCs w:val="20"/>
          <w:color w:val="auto"/>
        </w:rPr>
      </w:pPr>
    </w:p>
    <w:p>
      <w:pPr>
        <w:ind w:right="20" w:firstLine="8"/>
        <w:spacing w:after="0" w:line="264"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21,848,974 shares of Common Stock issued and outstanding as of December 13, 2017, as represented in the Company's Prospectus Supplement on Form 424(b)(4) filed with the Securities and Exchange Commission on December 12, 2017 and giving effect to the Beneficial Ownership Limitation (as defined in Item 4 below).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7"/>
                <w:szCs w:val="17"/>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Name of Issuer:</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gridSpan w:val="5"/>
          </w:tcPr>
          <w:p>
            <w:pPr>
              <w:ind w:left="160"/>
              <w:spacing w:after="0"/>
              <w:rPr>
                <w:sz w:val="20"/>
                <w:szCs w:val="20"/>
                <w:color w:val="auto"/>
              </w:rPr>
            </w:pPr>
            <w:r>
              <w:rPr>
                <w:rFonts w:ascii="Arial" w:cs="Arial" w:eastAsia="Arial" w:hAnsi="Arial"/>
                <w:sz w:val="18"/>
                <w:szCs w:val="18"/>
                <w:color w:val="auto"/>
              </w:rPr>
              <w:t>VistaGen Therapeutics, Inc.</w:t>
            </w:r>
          </w:p>
        </w:tc>
      </w:tr>
      <w:tr>
        <w:trPr>
          <w:trHeight w:val="446"/>
        </w:trPr>
        <w:tc>
          <w:tcPr>
            <w:tcW w:w="7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w w:val="90"/>
              </w:rPr>
              <w:t>343 Allerton Avenue, South San Francisco, CA 94080</w:t>
            </w:r>
          </w:p>
        </w:tc>
      </w:tr>
      <w:tr>
        <w:trPr>
          <w:trHeight w:val="446"/>
        </w:trPr>
        <w:tc>
          <w:tcPr>
            <w:tcW w:w="7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Name of Person Filing:</w:t>
            </w: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Moshe Arkin</w:t>
            </w:r>
          </w:p>
        </w:tc>
        <w:tc>
          <w:tcPr>
            <w:tcW w:w="2280" w:type="dxa"/>
            <w:vAlign w:val="bottom"/>
            <w:gridSpan w:val="2"/>
          </w:tcPr>
          <w:p>
            <w:pPr>
              <w:spacing w:after="0"/>
              <w:rPr>
                <w:sz w:val="24"/>
                <w:szCs w:val="24"/>
                <w:color w:val="auto"/>
              </w:rPr>
            </w:pP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Funds Management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Global Healthcare GP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Sphera Global Healthcare Management LP</w:t>
            </w:r>
          </w:p>
        </w:tc>
      </w:tr>
    </w:tbl>
    <w:p>
      <w:pPr>
        <w:spacing w:after="0" w:line="256" w:lineRule="exact"/>
        <w:rPr>
          <w:sz w:val="20"/>
          <w:szCs w:val="20"/>
          <w:color w:val="auto"/>
        </w:rPr>
      </w:pPr>
    </w:p>
    <w:p>
      <w:pPr>
        <w:ind w:left="1400" w:hanging="56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Moshe Arkin – 6 Hachoshlim St., Herzelia, Israel</w:t>
      </w:r>
    </w:p>
    <w:p>
      <w:pPr>
        <w:spacing w:after="0" w:line="279" w:lineRule="exact"/>
        <w:rPr>
          <w:rFonts w:ascii="Arial" w:cs="Arial" w:eastAsia="Arial" w:hAnsi="Arial"/>
          <w:sz w:val="18"/>
          <w:szCs w:val="18"/>
          <w:color w:val="auto"/>
        </w:rPr>
      </w:pPr>
    </w:p>
    <w:p>
      <w:pPr>
        <w:ind w:left="1420" w:right="2399"/>
        <w:spacing w:after="0" w:line="634" w:lineRule="auto"/>
        <w:rPr>
          <w:rFonts w:ascii="Arial" w:cs="Arial" w:eastAsia="Arial" w:hAnsi="Arial"/>
          <w:sz w:val="18"/>
          <w:szCs w:val="18"/>
          <w:color w:val="auto"/>
        </w:rPr>
      </w:pPr>
      <w:r>
        <w:rPr>
          <w:rFonts w:ascii="Arial" w:cs="Arial" w:eastAsia="Arial" w:hAnsi="Arial"/>
          <w:sz w:val="16"/>
          <w:szCs w:val="16"/>
          <w:color w:val="auto"/>
        </w:rPr>
        <w:t>Sphera Funds Management Ltd. – 21 Ha'arba'ah Street, Tel Aviv 64739, Israel Sphera Global Healthcare GP Ltd. – 21 Ha'arba'ah Street, Tel Aviv 64739, Israel Sphera Global Healthcare Management LP – 21 Ha'arba'ah Street, Tel Aviv 64739, Israel</w:t>
      </w:r>
    </w:p>
    <w:p>
      <w:pPr>
        <w:ind w:left="1400" w:hanging="56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Moshe Arkin – Israel</w:t>
      </w:r>
    </w:p>
    <w:p>
      <w:pPr>
        <w:spacing w:after="0" w:line="279" w:lineRule="exact"/>
        <w:rPr>
          <w:rFonts w:ascii="Arial" w:cs="Arial" w:eastAsia="Arial" w:hAnsi="Arial"/>
          <w:sz w:val="18"/>
          <w:szCs w:val="18"/>
          <w:color w:val="auto"/>
        </w:rPr>
      </w:pPr>
    </w:p>
    <w:p>
      <w:pPr>
        <w:ind w:left="1420" w:right="5119"/>
        <w:spacing w:after="0" w:line="596" w:lineRule="auto"/>
        <w:rPr>
          <w:rFonts w:ascii="Arial" w:cs="Arial" w:eastAsia="Arial" w:hAnsi="Arial"/>
          <w:sz w:val="18"/>
          <w:szCs w:val="18"/>
          <w:color w:val="auto"/>
        </w:rPr>
      </w:pPr>
      <w:r>
        <w:rPr>
          <w:rFonts w:ascii="Arial" w:cs="Arial" w:eastAsia="Arial" w:hAnsi="Arial"/>
          <w:sz w:val="17"/>
          <w:szCs w:val="17"/>
          <w:color w:val="auto"/>
        </w:rPr>
        <w:t>Sphera Funds Management Ltd. – Israel Sphera Global Healthcare GP Ltd. – Israel Sphera Global Healthcare Management LP – Israel</w:t>
      </w:r>
    </w:p>
    <w:p>
      <w:pPr>
        <w:spacing w:after="0" w:line="2" w:lineRule="exact"/>
        <w:rPr>
          <w:rFonts w:ascii="Arial" w:cs="Arial" w:eastAsia="Arial" w:hAnsi="Arial"/>
          <w:sz w:val="18"/>
          <w:szCs w:val="18"/>
          <w:color w:val="auto"/>
        </w:rPr>
      </w:pPr>
    </w:p>
    <w:p>
      <w:pPr>
        <w:ind w:left="1420" w:right="6379" w:hanging="588"/>
        <w:spacing w:after="0" w:line="634" w:lineRule="auto"/>
        <w:tabs>
          <w:tab w:leader="none" w:pos="140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 Common Stock, $0.001 par value</w:t>
      </w:r>
    </w:p>
    <w:p>
      <w:pPr>
        <w:ind w:left="1420" w:right="7619" w:hanging="588"/>
        <w:spacing w:after="0" w:line="631"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CUSIP Number</w:t>
      </w:r>
      <w:r>
        <w:rPr>
          <w:rFonts w:ascii="Arial" w:cs="Arial" w:eastAsia="Arial" w:hAnsi="Arial"/>
          <w:sz w:val="16"/>
          <w:szCs w:val="16"/>
          <w:color w:val="auto"/>
        </w:rPr>
        <w:t>: 92840H202</w:t>
      </w:r>
    </w:p>
    <w:p>
      <w:pPr>
        <w:spacing w:after="0" w:line="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6" w:name="page7"/>
    <w:bookmarkEnd w:id="6"/>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83" w:lineRule="exact"/>
        <w:rPr>
          <w:sz w:val="20"/>
          <w:szCs w:val="20"/>
          <w:color w:val="auto"/>
        </w:rPr>
      </w:pPr>
    </w:p>
    <w:p>
      <w:pPr>
        <w:ind w:left="1400" w:hanging="591"/>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The securities reported herein are beneficially owned as follows:</w:t>
      </w:r>
    </w:p>
    <w:p>
      <w:pPr>
        <w:spacing w:after="0" w:line="279" w:lineRule="exact"/>
        <w:rPr>
          <w:rFonts w:ascii="Arial" w:cs="Arial" w:eastAsia="Arial" w:hAnsi="Arial"/>
          <w:sz w:val="18"/>
          <w:szCs w:val="18"/>
          <w:color w:val="auto"/>
        </w:rPr>
      </w:pPr>
    </w:p>
    <w:p>
      <w:pPr>
        <w:jc w:val="both"/>
        <w:ind w:left="1780" w:hanging="381"/>
        <w:spacing w:after="0" w:line="257" w:lineRule="auto"/>
        <w:tabs>
          <w:tab w:leader="none" w:pos="1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1,210,163 shares of Common Stock and 1,270,835 warrants (each exercisable into one share of Common Stock), of which 904,078 warrants are reported herein and 366,757 warrants are excluded due to the Beneficial Ownership Limitation (as defined below) representing a total of 9.68% of the total shares of Common Stock outstanding, are held directly by Sphera Global Healthcare Master Fund, which has delegated its investment management authority to Sphera Global Healthcare Management Ltd. (the "Management Company").</w:t>
      </w:r>
    </w:p>
    <w:p>
      <w:pPr>
        <w:spacing w:after="0" w:line="242" w:lineRule="exact"/>
        <w:rPr>
          <w:rFonts w:ascii="Arial" w:cs="Arial" w:eastAsia="Arial" w:hAnsi="Arial"/>
          <w:sz w:val="18"/>
          <w:szCs w:val="18"/>
          <w:color w:val="auto"/>
        </w:rPr>
      </w:pPr>
    </w:p>
    <w:p>
      <w:pPr>
        <w:jc w:val="both"/>
        <w:ind w:left="1800" w:hanging="387"/>
        <w:spacing w:after="0" w:line="279" w:lineRule="auto"/>
        <w:tabs>
          <w:tab w:leader="none" w:pos="1800" w:val="left"/>
        </w:tabs>
        <w:numPr>
          <w:ilvl w:val="2"/>
          <w:numId w:val="13"/>
        </w:numPr>
        <w:rPr>
          <w:rFonts w:ascii="Arial" w:cs="Arial" w:eastAsia="Arial" w:hAnsi="Arial"/>
          <w:sz w:val="17"/>
          <w:szCs w:val="17"/>
          <w:color w:val="auto"/>
        </w:rPr>
      </w:pPr>
      <w:r>
        <w:rPr>
          <w:rFonts w:ascii="Arial" w:cs="Arial" w:eastAsia="Arial" w:hAnsi="Arial"/>
          <w:sz w:val="17"/>
          <w:szCs w:val="17"/>
          <w:color w:val="auto"/>
        </w:rPr>
        <w:t>37,088 shares of Common Stock and 44,114 warrants (each exercisable into one share of Common Stock), of which 31,383 warrants are reported herein and 12,731 warrants are excluded due to the Beneficial Ownership Limitation (as defined below), representing a total of 0.31% of the total shares of Common Stock outstanding, are held directly by HFR HE Sphera Global Healthcare Master Trust, which has delegated its investment management authority to the Management Company.</w:t>
      </w:r>
    </w:p>
    <w:p>
      <w:pPr>
        <w:spacing w:after="0" w:line="225" w:lineRule="exact"/>
        <w:rPr>
          <w:sz w:val="20"/>
          <w:szCs w:val="20"/>
          <w:color w:val="auto"/>
        </w:rPr>
      </w:pPr>
    </w:p>
    <w:p>
      <w:pPr>
        <w:jc w:val="both"/>
        <w:ind w:left="1420"/>
        <w:spacing w:after="0" w:line="272" w:lineRule="auto"/>
        <w:rPr>
          <w:sz w:val="20"/>
          <w:szCs w:val="20"/>
          <w:color w:val="auto"/>
        </w:rPr>
      </w:pPr>
      <w:r>
        <w:rPr>
          <w:rFonts w:ascii="Arial" w:cs="Arial" w:eastAsia="Arial" w:hAnsi="Arial"/>
          <w:sz w:val="17"/>
          <w:szCs w:val="17"/>
          <w:color w:val="auto"/>
        </w:rPr>
        <w:t>Each of the warrants contain an issuance limitation that prohibits the holder from exercising any portion of the warrants to the extent that after giving effect to such issuance after exercise, the holder (together with the holder’s investment vehicles, affiliates, and any other persons acting as a group together with the holder or any of the holder’s affiliates), would beneficially own in excess of 9.99% of the shares of Common Stock outstanding immediately after giving effect to the issuance of the shares of Common Stock issuable upon exercise of the warrants (the "Beneficial Ownership Limitation"). Consequently, as of the date of the event which requires the filing of this statement, the reporting persons were not able to exercise all of the warrants due to the Beneficial Ownership Limitation. The figures set forth in row 6, 8, 9 and 11 for each Reporting Person gives effect to the Beneficial Ownership Limitation.</w:t>
      </w:r>
    </w:p>
    <w:p>
      <w:pPr>
        <w:spacing w:after="0" w:line="232" w:lineRule="exact"/>
        <w:rPr>
          <w:sz w:val="20"/>
          <w:szCs w:val="20"/>
          <w:color w:val="auto"/>
        </w:rPr>
      </w:pPr>
    </w:p>
    <w:p>
      <w:pPr>
        <w:jc w:val="both"/>
        <w:ind w:left="1420" w:right="20"/>
        <w:spacing w:after="0" w:line="277" w:lineRule="auto"/>
        <w:rPr>
          <w:sz w:val="20"/>
          <w:szCs w:val="20"/>
          <w:color w:val="auto"/>
        </w:rPr>
      </w:pPr>
      <w:r>
        <w:rPr>
          <w:rFonts w:ascii="Arial" w:cs="Arial" w:eastAsia="Arial" w:hAnsi="Arial"/>
          <w:sz w:val="18"/>
          <w:szCs w:val="18"/>
          <w:color w:val="auto"/>
        </w:rPr>
        <w:t>The Management Company is managed, controlled, and operated by its general partner, Sphera Global Healthcare GP Ltd., which is controlled jointly by Sphera Funds Management Ltd. and Moshe Arkin.</w:t>
      </w:r>
    </w:p>
    <w:p>
      <w:pPr>
        <w:spacing w:after="0" w:line="170" w:lineRule="exact"/>
        <w:rPr>
          <w:sz w:val="20"/>
          <w:szCs w:val="20"/>
          <w:color w:val="auto"/>
        </w:rPr>
      </w:pPr>
    </w:p>
    <w:p>
      <w:pPr>
        <w:jc w:val="both"/>
        <w:ind w:left="1420"/>
        <w:spacing w:after="0" w:line="293" w:lineRule="auto"/>
        <w:rPr>
          <w:sz w:val="20"/>
          <w:szCs w:val="20"/>
          <w:color w:val="auto"/>
        </w:rPr>
      </w:pPr>
      <w:r>
        <w:rPr>
          <w:rFonts w:ascii="Arial" w:cs="Arial" w:eastAsia="Arial" w:hAnsi="Arial"/>
          <w:sz w:val="16"/>
          <w:szCs w:val="16"/>
          <w:color w:val="auto"/>
        </w:rPr>
        <w:t>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ind w:left="1400" w:hanging="636"/>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79" w:lineRule="exact"/>
        <w:rPr>
          <w:rFonts w:ascii="Arial" w:cs="Arial" w:eastAsia="Arial" w:hAnsi="Arial"/>
          <w:sz w:val="18"/>
          <w:szCs w:val="18"/>
          <w:color w:val="auto"/>
        </w:rPr>
      </w:pPr>
    </w:p>
    <w:p>
      <w:pPr>
        <w:ind w:left="1400" w:hanging="636"/>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79" w:lineRule="exact"/>
        <w:rPr>
          <w:rFonts w:ascii="Arial" w:cs="Arial" w:eastAsia="Arial" w:hAnsi="Arial"/>
          <w:sz w:val="18"/>
          <w:szCs w:val="18"/>
          <w:color w:val="auto"/>
        </w:rPr>
      </w:pPr>
    </w:p>
    <w:p>
      <w:pPr>
        <w:ind w:left="1920" w:right="5440" w:hanging="521"/>
        <w:spacing w:after="0" w:line="634" w:lineRule="auto"/>
        <w:tabs>
          <w:tab w:leader="none" w:pos="19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ind w:left="1920" w:hanging="521"/>
        <w:spacing w:after="0"/>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See row 8 of cover page of each reporting person and note in Item 4(a) above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395" w:right="539" w:bottom="1440" w:gutter="0" w:footer="0" w:header="0"/>
        </w:sectPr>
      </w:pPr>
    </w:p>
    <w:bookmarkStart w:id="8" w:name="page9"/>
    <w:bookmarkEnd w:id="8"/>
    <w:p>
      <w:pPr>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83"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Moshe 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Moshe Arkin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Neomi Elpeleg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66040</wp:posOffset>
            </wp:positionV>
            <wp:extent cx="12693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9365" cy="17145"/>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Neomi Elpeleg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Neomi Elpeleg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Neomi Elpeleg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Ori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10" w:name="page11"/>
    <w:bookmarkEnd w:id="10"/>
    <w:p>
      <w:pPr>
        <w:spacing w:after="0"/>
        <w:tabs>
          <w:tab w:leader="none" w:pos="1340" w:val="left"/>
        </w:tabs>
        <w:rPr>
          <w:sz w:val="20"/>
          <w:szCs w:val="20"/>
          <w:color w:val="auto"/>
        </w:rPr>
      </w:pPr>
      <w:r>
        <w:rPr>
          <w:rFonts w:ascii="Arial" w:cs="Arial" w:eastAsia="Arial" w:hAnsi="Arial"/>
          <w:sz w:val="18"/>
          <w:szCs w:val="18"/>
          <w:b w:val="1"/>
          <w:bCs w:val="1"/>
          <w:color w:val="auto"/>
        </w:rPr>
        <w:t>EXHIBIT NO.</w:t>
        <w:tab/>
        <w:t>DESCRIPTION</w:t>
      </w:r>
    </w:p>
    <w:p>
      <w:pPr>
        <w:spacing w:after="0" w:line="283" w:lineRule="exact"/>
        <w:rPr>
          <w:sz w:val="20"/>
          <w:szCs w:val="20"/>
          <w:color w:val="auto"/>
        </w:rPr>
      </w:pPr>
    </w:p>
    <w:p>
      <w:pPr>
        <w:ind w:left="1020" w:hanging="1012"/>
        <w:spacing w:after="0" w:line="277" w:lineRule="auto"/>
        <w:tabs>
          <w:tab w:leader="none" w:pos="10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Joint Filing Agreement by and among the Reporting Persons, dated as of June 22, 2016 (incorporated herein by reference to Exhibit 1 to the Schedule 13G filed on June 22, 2016).</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sectPr>
      <w:pgSz w:w="11900" w:h="16838" w:orient="portrait"/>
      <w:cols w:equalWidth="0" w:num="1">
        <w:col w:w="11100"/>
      </w:cols>
      <w:pgMar w:left="240" w:top="33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3">
    <w:nsid w:val="DED7263"/>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2020-01-14T08:23:49Z</dcterms:created>
  <dcterms:modified xsi:type="dcterms:W3CDTF">2020-01-14T08:23:49Z</dcterms:modified>
</cp:coreProperties>
</file>