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9" w:lineRule="exact"/>
        <w:rPr>
          <w:rFonts w:ascii="Arial" w:cs="Arial" w:eastAsia="Arial" w:hAnsi="Arial"/>
          <w:sz w:val="18"/>
          <w:szCs w:val="18"/>
          <w:color w:val="auto"/>
        </w:rPr>
      </w:pPr>
    </w:p>
    <w:p>
      <w:pPr>
        <w:jc w:val="both"/>
        <w:ind w:right="9720" w:firstLine="8"/>
        <w:spacing w:after="0" w:line="226" w:lineRule="exact"/>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firstLine="8"/>
        <w:spacing w:after="0" w:line="194" w:lineRule="auto"/>
        <w:tabs>
          <w:tab w:leader="none" w:pos="117"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495" w:right="379" w:bottom="1440" w:gutter="0" w:footer="0" w:header="0"/>
        </w:sectPr>
      </w:pPr>
    </w:p>
    <w:bookmarkStart w:id="1" w:name="page2"/>
    <w:bookmarkEnd w:id="1"/>
    <w:p>
      <w:pPr>
        <w:spacing w:after="0"/>
        <w:tabs>
          <w:tab w:leader="none" w:pos="536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Arial" w:cs="Arial" w:eastAsia="Arial" w:hAnsi="Arial"/>
          <w:sz w:val="18"/>
          <w:szCs w:val="18"/>
          <w:b w:val="1"/>
          <w:bCs w:val="1"/>
          <w:color w:val="auto"/>
        </w:rPr>
        <w:t>92840H202</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16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80" w:right="508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Rosalind Advisors, Inc.</w:t>
      </w:r>
    </w:p>
    <w:p>
      <w:pPr>
        <w:ind w:left="580" w:right="5700" w:hanging="572"/>
        <w:spacing w:after="0" w:line="25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60" w:hanging="385"/>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960" w:hanging="385"/>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7" w:lineRule="exact"/>
        <w:rPr>
          <w:rFonts w:ascii="Arial" w:cs="Arial" w:eastAsia="Arial" w:hAnsi="Arial"/>
          <w:sz w:val="18"/>
          <w:szCs w:val="18"/>
          <w:color w:val="auto"/>
        </w:rPr>
      </w:pPr>
    </w:p>
    <w:p>
      <w:pPr>
        <w:ind w:left="580" w:right="7000" w:hanging="572"/>
        <w:spacing w:after="0" w:line="391"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ind w:left="2280" w:hanging="571"/>
        <w:spacing w:after="0"/>
        <w:tabs>
          <w:tab w:leader="none" w:pos="22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-1964690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1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5,377,113 shares of Common Stock</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7.</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36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tcBorders>
          </w:tcPr>
          <w:p>
            <w:pPr>
              <w:spacing w:after="0"/>
              <w:rPr>
                <w:sz w:val="11"/>
                <w:szCs w:val="11"/>
                <w:color w:val="auto"/>
              </w:rPr>
            </w:pPr>
          </w:p>
        </w:tc>
        <w:tc>
          <w:tcPr>
            <w:tcW w:w="9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8.</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right="4020" w:hanging="579"/>
        <w:spacing w:after="0" w:line="221" w:lineRule="exact"/>
        <w:tabs>
          <w:tab w:leader="none" w:pos="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4.8%</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0"/>
          <w:szCs w:val="20"/>
          <w:color w:val="auto"/>
        </w:rPr>
      </w:pPr>
    </w:p>
    <w:p>
      <w:pPr>
        <w:ind w:right="200" w:firstLine="8"/>
        <w:spacing w:after="0" w:line="194"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This percentage is calculated based upon 138,543,190 shares of the Issuer’s common stock outstanding as of January 14, 2021 in accordance with 14-A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536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Arial" w:cs="Arial" w:eastAsia="Arial" w:hAnsi="Arial"/>
          <w:sz w:val="18"/>
          <w:szCs w:val="18"/>
          <w:b w:val="1"/>
          <w:bCs w:val="1"/>
          <w:color w:val="auto"/>
        </w:rPr>
        <w:t>92840H202</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16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80" w:right="508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Steven Salamon</w:t>
      </w:r>
    </w:p>
    <w:p>
      <w:pPr>
        <w:ind w:left="580" w:right="5700" w:hanging="572"/>
        <w:spacing w:after="0" w:line="25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60" w:hanging="385"/>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960" w:hanging="385"/>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7" w:lineRule="exact"/>
        <w:rPr>
          <w:rFonts w:ascii="Arial" w:cs="Arial" w:eastAsia="Arial" w:hAnsi="Arial"/>
          <w:sz w:val="18"/>
          <w:szCs w:val="18"/>
          <w:color w:val="auto"/>
        </w:rPr>
      </w:pPr>
    </w:p>
    <w:p>
      <w:pPr>
        <w:ind w:left="580" w:right="7000" w:hanging="572"/>
        <w:spacing w:after="0" w:line="39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ind w:left="2280" w:hanging="571"/>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-1964690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1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5,377,113 shares of Common Stock</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7.</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36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tcBorders>
          </w:tcPr>
          <w:p>
            <w:pPr>
              <w:spacing w:after="0"/>
              <w:rPr>
                <w:sz w:val="11"/>
                <w:szCs w:val="11"/>
                <w:color w:val="auto"/>
              </w:rPr>
            </w:pPr>
          </w:p>
        </w:tc>
        <w:tc>
          <w:tcPr>
            <w:tcW w:w="9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8.</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right="4020" w:hanging="579"/>
        <w:spacing w:after="0" w:line="221" w:lineRule="exact"/>
        <w:tabs>
          <w:tab w:leader="none" w:pos="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4.8%</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tabs>
          <w:tab w:leader="none" w:pos="536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Arial" w:cs="Arial" w:eastAsia="Arial" w:hAnsi="Arial"/>
          <w:sz w:val="18"/>
          <w:szCs w:val="18"/>
          <w:b w:val="1"/>
          <w:bCs w:val="1"/>
          <w:color w:val="auto"/>
        </w:rPr>
        <w:t>92840H202</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16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80" w:right="508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Rosalind Master Fund L.P.</w:t>
      </w:r>
    </w:p>
    <w:p>
      <w:pPr>
        <w:ind w:left="580" w:right="5700" w:hanging="572"/>
        <w:spacing w:after="0" w:line="25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60" w:hanging="385"/>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960" w:hanging="385"/>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7" w:lineRule="exact"/>
        <w:rPr>
          <w:rFonts w:ascii="Arial" w:cs="Arial" w:eastAsia="Arial" w:hAnsi="Arial"/>
          <w:sz w:val="18"/>
          <w:szCs w:val="18"/>
          <w:color w:val="auto"/>
        </w:rPr>
      </w:pPr>
    </w:p>
    <w:p>
      <w:pPr>
        <w:ind w:left="580" w:right="7000" w:hanging="572"/>
        <w:spacing w:after="0" w:line="391"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2280" w:hanging="571"/>
        <w:spacing w:after="0"/>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-1964690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-1398905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1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5,377,113 shares of Common Stock</w:t>
            </w: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tc>
        <w:tc>
          <w:tcPr>
            <w:tcW w:w="0" w:type="dxa"/>
            <w:vAlign w:val="bottom"/>
          </w:tcPr>
          <w:p>
            <w:pPr>
              <w:spacing w:after="0"/>
              <w:rPr>
                <w:sz w:val="1"/>
                <w:szCs w:val="1"/>
                <w:color w:val="auto"/>
              </w:rPr>
            </w:pPr>
          </w:p>
        </w:tc>
      </w:tr>
      <w:tr>
        <w:trPr>
          <w:trHeight w:val="122"/>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7.</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36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360" w:type="dxa"/>
            <w:vAlign w:val="bottom"/>
            <w:tcBorders>
              <w:bottom w:val="single" w:sz="8" w:color="auto"/>
            </w:tcBorders>
          </w:tcPr>
          <w:p>
            <w:pPr>
              <w:spacing w:after="0"/>
              <w:rPr>
                <w:sz w:val="11"/>
                <w:szCs w:val="11"/>
                <w:color w:val="auto"/>
              </w:rPr>
            </w:pPr>
          </w:p>
        </w:tc>
        <w:tc>
          <w:tcPr>
            <w:tcW w:w="9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8.</w:t>
            </w:r>
          </w:p>
        </w:tc>
        <w:tc>
          <w:tcPr>
            <w:tcW w:w="91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5,377,113 shares of Common Stock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1,357,000 shares of Common Stock issuable upon conversion of 59,000 preferred stock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right="4020" w:hanging="579"/>
        <w:spacing w:after="0" w:line="221" w:lineRule="exact"/>
        <w:tabs>
          <w:tab w:leader="none" w:pos="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4.8%</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tabs>
          <w:tab w:leader="none" w:pos="5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Arial" w:cs="Arial" w:eastAsia="Arial" w:hAnsi="Arial"/>
          <w:sz w:val="18"/>
          <w:szCs w:val="18"/>
          <w:b w:val="1"/>
          <w:bCs w:val="1"/>
          <w:color w:val="auto"/>
        </w:rPr>
        <w:t>92840H202</w:t>
      </w:r>
      <w:r>
        <w:rPr>
          <w:sz w:val="20"/>
          <w:szCs w:val="20"/>
          <w:color w:val="auto"/>
        </w:rPr>
        <w:tab/>
      </w:r>
      <w:r>
        <w:rPr>
          <w:rFonts w:ascii="Arial" w:cs="Arial" w:eastAsia="Arial" w:hAnsi="Arial"/>
          <w:sz w:val="16"/>
          <w:szCs w:val="16"/>
          <w:color w:val="auto"/>
        </w:rPr>
        <w:t>13G/A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 VistaGen Therapeutics, Inc.</w:t>
      </w:r>
    </w:p>
    <w:p>
      <w:pPr>
        <w:spacing w:after="0" w:line="225" w:lineRule="exact"/>
        <w:rPr>
          <w:rFonts w:ascii="Arial" w:cs="Arial" w:eastAsia="Arial" w:hAnsi="Arial"/>
          <w:sz w:val="18"/>
          <w:szCs w:val="18"/>
          <w:color w:val="auto"/>
        </w:rPr>
      </w:pPr>
    </w:p>
    <w:p>
      <w:pPr>
        <w:ind w:left="920" w:right="4920" w:hanging="453"/>
        <w:spacing w:after="0" w:line="25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343 Allerton Avenue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920" w:right="5120"/>
        <w:spacing w:after="0" w:line="274" w:lineRule="auto"/>
        <w:rPr>
          <w:rFonts w:ascii="Arial" w:cs="Arial" w:eastAsia="Arial" w:hAnsi="Arial"/>
          <w:sz w:val="18"/>
          <w:szCs w:val="18"/>
          <w:color w:val="auto"/>
        </w:rPr>
      </w:pPr>
      <w:r>
        <w:rPr>
          <w:rFonts w:ascii="Arial" w:cs="Arial" w:eastAsia="Arial" w:hAnsi="Arial"/>
          <w:sz w:val="17"/>
          <w:szCs w:val="17"/>
          <w:color w:val="auto"/>
        </w:rPr>
        <w:t>Rosalind Advisors, Inc. (“Advisor” to RMF) Rosalind Master Fund L.P. (“RMF”)</w:t>
      </w:r>
    </w:p>
    <w:p>
      <w:pPr>
        <w:ind w:left="920"/>
        <w:spacing w:after="0"/>
        <w:rPr>
          <w:rFonts w:ascii="Arial" w:cs="Arial" w:eastAsia="Arial" w:hAnsi="Arial"/>
          <w:sz w:val="18"/>
          <w:szCs w:val="18"/>
          <w:color w:val="auto"/>
        </w:rPr>
      </w:pPr>
      <w:r>
        <w:rPr>
          <w:rFonts w:ascii="Arial" w:cs="Arial" w:eastAsia="Arial" w:hAnsi="Arial"/>
          <w:sz w:val="18"/>
          <w:szCs w:val="18"/>
          <w:color w:val="auto"/>
        </w:rPr>
        <w:t>Steven Salamon (“President”)</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Steven Salamon is the portfolio manager of the Advisor which advises RMF.</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Gilad Aharon is the portfolio manager and member of the Advisor which advises RMF.</w:t>
      </w:r>
    </w:p>
    <w:p>
      <w:pPr>
        <w:spacing w:after="0" w:line="233" w:lineRule="exact"/>
        <w:rPr>
          <w:rFonts w:ascii="Arial" w:cs="Arial" w:eastAsia="Arial" w:hAnsi="Arial"/>
          <w:sz w:val="18"/>
          <w:szCs w:val="18"/>
          <w:color w:val="auto"/>
        </w:rPr>
      </w:pPr>
    </w:p>
    <w:p>
      <w:pPr>
        <w:ind w:left="920" w:right="4540" w:hanging="453"/>
        <w:spacing w:after="0" w:line="258"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Rosalind Advisors, Inc.</w:t>
      </w:r>
    </w:p>
    <w:p>
      <w:pPr>
        <w:spacing w:after="0" w:line="1" w:lineRule="exact"/>
        <w:rPr>
          <w:rFonts w:ascii="Arial" w:cs="Arial" w:eastAsia="Arial" w:hAnsi="Arial"/>
          <w:sz w:val="18"/>
          <w:szCs w:val="18"/>
          <w:color w:val="auto"/>
        </w:rPr>
      </w:pPr>
    </w:p>
    <w:p>
      <w:pPr>
        <w:ind w:left="920" w:right="6540"/>
        <w:spacing w:after="0" w:line="273" w:lineRule="auto"/>
        <w:rPr>
          <w:rFonts w:ascii="Arial" w:cs="Arial" w:eastAsia="Arial" w:hAnsi="Arial"/>
          <w:sz w:val="18"/>
          <w:szCs w:val="18"/>
          <w:color w:val="auto"/>
        </w:rPr>
      </w:pPr>
      <w:r>
        <w:rPr>
          <w:rFonts w:ascii="Arial" w:cs="Arial" w:eastAsia="Arial" w:hAnsi="Arial"/>
          <w:sz w:val="17"/>
          <w:szCs w:val="17"/>
          <w:color w:val="auto"/>
        </w:rPr>
        <w:t>175 Bloor Street East Suite 1316, North Tower Toronto, Ontario M4W 3R8 Canada</w:t>
      </w:r>
    </w:p>
    <w:p>
      <w:pPr>
        <w:spacing w:after="0" w:line="176" w:lineRule="exact"/>
        <w:rPr>
          <w:rFonts w:ascii="Arial" w:cs="Arial" w:eastAsia="Arial" w:hAnsi="Arial"/>
          <w:sz w:val="18"/>
          <w:szCs w:val="18"/>
          <w:color w:val="auto"/>
        </w:rPr>
      </w:pPr>
    </w:p>
    <w:p>
      <w:pPr>
        <w:ind w:left="920" w:right="6400"/>
        <w:spacing w:after="0" w:line="258" w:lineRule="auto"/>
        <w:rPr>
          <w:rFonts w:ascii="Arial" w:cs="Arial" w:eastAsia="Arial" w:hAnsi="Arial"/>
          <w:sz w:val="18"/>
          <w:szCs w:val="18"/>
          <w:color w:val="auto"/>
        </w:rPr>
      </w:pPr>
      <w:r>
        <w:rPr>
          <w:rFonts w:ascii="Arial" w:cs="Arial" w:eastAsia="Arial" w:hAnsi="Arial"/>
          <w:sz w:val="18"/>
          <w:szCs w:val="18"/>
          <w:color w:val="auto"/>
        </w:rPr>
        <w:t>Rosalind Master Fund L.P. P.O. Box 309</w:t>
      </w:r>
    </w:p>
    <w:p>
      <w:pPr>
        <w:spacing w:after="0" w:line="1" w:lineRule="exact"/>
        <w:rPr>
          <w:rFonts w:ascii="Arial" w:cs="Arial" w:eastAsia="Arial" w:hAnsi="Arial"/>
          <w:sz w:val="18"/>
          <w:szCs w:val="18"/>
          <w:color w:val="auto"/>
        </w:rPr>
      </w:pPr>
    </w:p>
    <w:p>
      <w:pPr>
        <w:ind w:left="920" w:right="6100"/>
        <w:spacing w:after="0" w:line="323" w:lineRule="auto"/>
        <w:rPr>
          <w:rFonts w:ascii="Arial" w:cs="Arial" w:eastAsia="Arial" w:hAnsi="Arial"/>
          <w:sz w:val="18"/>
          <w:szCs w:val="18"/>
          <w:color w:val="auto"/>
        </w:rPr>
      </w:pPr>
      <w:r>
        <w:rPr>
          <w:rFonts w:ascii="Arial" w:cs="Arial" w:eastAsia="Arial" w:hAnsi="Arial"/>
          <w:sz w:val="16"/>
          <w:szCs w:val="16"/>
          <w:color w:val="auto"/>
        </w:rPr>
        <w:t>Ugland House, Grand Cayman KY1-1104, Cayman Islands</w:t>
      </w:r>
    </w:p>
    <w:p>
      <w:pPr>
        <w:spacing w:after="0" w:line="13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Steven Salamon</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175 Bloor Street East</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Suite 1316, North Tower</w:t>
      </w:r>
    </w:p>
    <w:p>
      <w:pPr>
        <w:spacing w:after="0" w:line="12" w:lineRule="exact"/>
        <w:rPr>
          <w:rFonts w:ascii="Arial" w:cs="Arial" w:eastAsia="Arial" w:hAnsi="Arial"/>
          <w:sz w:val="18"/>
          <w:szCs w:val="18"/>
          <w:color w:val="auto"/>
        </w:rPr>
      </w:pPr>
    </w:p>
    <w:p>
      <w:pPr>
        <w:ind w:left="920" w:right="6980"/>
        <w:spacing w:after="0" w:line="331" w:lineRule="auto"/>
        <w:rPr>
          <w:rFonts w:ascii="Arial" w:cs="Arial" w:eastAsia="Arial" w:hAnsi="Arial"/>
          <w:sz w:val="18"/>
          <w:szCs w:val="18"/>
          <w:color w:val="auto"/>
        </w:rPr>
      </w:pPr>
      <w:r>
        <w:rPr>
          <w:rFonts w:ascii="Arial" w:cs="Arial" w:eastAsia="Arial" w:hAnsi="Arial"/>
          <w:sz w:val="16"/>
          <w:szCs w:val="16"/>
          <w:color w:val="auto"/>
        </w:rPr>
        <w:t>Toronto, Ontario M4W 3R8 Canada</w:t>
      </w:r>
    </w:p>
    <w:p>
      <w:pPr>
        <w:spacing w:after="0" w:line="132"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Rosalind Advisors, Inc.: Ontario, Canada</w:t>
      </w:r>
    </w:p>
    <w:p>
      <w:pPr>
        <w:spacing w:after="0" w:line="21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Rosalind Master Fund L.P.: Cayman Islands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Steven Salamon: Ontario, Canada</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Gilad Aharon: Ontario, Canada</w:t>
      </w:r>
    </w:p>
    <w:p>
      <w:pPr>
        <w:spacing w:after="0" w:line="225" w:lineRule="exact"/>
        <w:rPr>
          <w:rFonts w:ascii="Arial" w:cs="Arial" w:eastAsia="Arial" w:hAnsi="Arial"/>
          <w:sz w:val="18"/>
          <w:szCs w:val="18"/>
          <w:color w:val="auto"/>
        </w:rPr>
      </w:pPr>
    </w:p>
    <w:p>
      <w:pPr>
        <w:ind w:left="920" w:right="6420" w:hanging="453"/>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920" w:right="7180" w:hanging="453"/>
        <w:spacing w:after="0" w:line="342"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8 Pages</w:t>
      </w:r>
    </w:p>
    <w:p>
      <w:pPr>
        <w:sectPr>
          <w:pgSz w:w="11900" w:h="16838" w:orient="portrait"/>
          <w:cols w:equalWidth="0" w:num="2">
            <w:col w:w="9240" w:space="720"/>
            <w:col w:w="1280"/>
          </w:cols>
          <w:pgMar w:left="320" w:top="891" w:right="339" w:bottom="1440" w:gutter="0" w:footer="0" w:header="0"/>
        </w:sectPr>
      </w:pPr>
    </w:p>
    <w:bookmarkStart w:id="5" w:name="page6"/>
    <w:bookmarkEnd w:id="5"/>
    <w:p>
      <w:pPr>
        <w:spacing w:after="0"/>
        <w:tabs>
          <w:tab w:leader="none" w:pos="538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Arial" w:cs="Arial" w:eastAsia="Arial" w:hAnsi="Arial"/>
          <w:sz w:val="18"/>
          <w:szCs w:val="18"/>
          <w:b w:val="1"/>
          <w:bCs w:val="1"/>
          <w:color w:val="auto"/>
        </w:rPr>
        <w:t>92840H202</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360" w:right="140" w:hanging="893"/>
        <w:spacing w:after="0" w:line="277"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380" w:hanging="913"/>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84" w:lineRule="exact"/>
        <w:rPr>
          <w:rFonts w:ascii="Arial" w:cs="Arial" w:eastAsia="Arial" w:hAnsi="Arial"/>
          <w:sz w:val="18"/>
          <w:szCs w:val="18"/>
          <w:color w:val="auto"/>
        </w:rPr>
      </w:pPr>
    </w:p>
    <w:p>
      <w:pPr>
        <w:ind w:left="1380"/>
        <w:spacing w:after="0" w:line="296" w:lineRule="auto"/>
        <w:rPr>
          <w:rFonts w:ascii="Arial" w:cs="Arial" w:eastAsia="Arial" w:hAnsi="Arial"/>
          <w:sz w:val="18"/>
          <w:szCs w:val="18"/>
          <w:color w:val="auto"/>
        </w:rPr>
      </w:pPr>
      <w:r>
        <w:rPr>
          <w:rFonts w:ascii="Arial" w:cs="Arial" w:eastAsia="Arial" w:hAnsi="Arial"/>
          <w:sz w:val="16"/>
          <w:szCs w:val="16"/>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138,543,190 shares of Common Stock issued and outstanding as of January 14, 2021, as represented in the Company’s Form 14-A filed with the Securities and Exchange Commission on January 14, 2021, and assumes the conversion of the Company’s reported preferred stock (the “Reported Preferred Stock”).</w:t>
      </w:r>
    </w:p>
    <w:p>
      <w:pPr>
        <w:spacing w:after="0" w:line="53" w:lineRule="exact"/>
        <w:rPr>
          <w:rFonts w:ascii="Arial" w:cs="Arial" w:eastAsia="Arial" w:hAnsi="Arial"/>
          <w:sz w:val="18"/>
          <w:szCs w:val="18"/>
          <w:color w:val="auto"/>
        </w:rPr>
      </w:pPr>
    </w:p>
    <w:p>
      <w:pPr>
        <w:jc w:val="both"/>
        <w:ind w:left="1380" w:right="20"/>
        <w:spacing w:after="0" w:line="263" w:lineRule="auto"/>
        <w:rPr>
          <w:rFonts w:ascii="Arial" w:cs="Arial" w:eastAsia="Arial" w:hAnsi="Arial"/>
          <w:sz w:val="18"/>
          <w:szCs w:val="18"/>
          <w:color w:val="auto"/>
        </w:rPr>
      </w:pPr>
      <w:r>
        <w:rPr>
          <w:rFonts w:ascii="Arial" w:cs="Arial" w:eastAsia="Arial" w:hAnsi="Arial"/>
          <w:sz w:val="18"/>
          <w:szCs w:val="18"/>
          <w:color w:val="auto"/>
        </w:rPr>
        <w:t>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p>
      <w:pPr>
        <w:spacing w:after="0" w:line="183" w:lineRule="exact"/>
        <w:rPr>
          <w:rFonts w:ascii="Arial" w:cs="Arial" w:eastAsia="Arial" w:hAnsi="Arial"/>
          <w:sz w:val="18"/>
          <w:szCs w:val="18"/>
          <w:color w:val="auto"/>
        </w:rPr>
      </w:pPr>
    </w:p>
    <w:p>
      <w:pPr>
        <w:ind w:left="1380" w:hanging="913"/>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Rosalind Advisors, Inc. – 4.8%</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Rosalind Master Fund L.P. – 4.8%</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Steven Salamon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-252730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8 Pages</w:t>
      </w:r>
    </w:p>
    <w:p>
      <w:pPr>
        <w:spacing w:after="0" w:line="211" w:lineRule="exact"/>
        <w:rPr>
          <w:sz w:val="20"/>
          <w:szCs w:val="20"/>
          <w:color w:val="auto"/>
        </w:rPr>
      </w:pPr>
    </w:p>
    <w:p>
      <w:pPr>
        <w:sectPr>
          <w:pgSz w:w="11900" w:h="16838" w:orient="portrait"/>
          <w:cols w:equalWidth="0" w:num="3">
            <w:col w:w="4680" w:space="720"/>
            <w:col w:w="3840" w:space="720"/>
            <w:col w:w="1280"/>
          </w:cols>
          <w:pgMar w:left="320" w:top="891" w:right="3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as to which the person has:</w:t>
      </w:r>
    </w:p>
    <w:p>
      <w:pPr>
        <w:spacing w:after="0" w:line="222" w:lineRule="exact"/>
        <w:rPr>
          <w:sz w:val="20"/>
          <w:szCs w:val="20"/>
          <w:color w:val="auto"/>
        </w:rPr>
      </w:pPr>
    </w:p>
    <w:p>
      <w:pPr>
        <w:sectPr>
          <w:pgSz w:w="11900" w:h="16838" w:orient="portrait"/>
          <w:cols w:equalWidth="0" w:num="2">
            <w:col w:w="1540" w:space="720"/>
            <w:col w:w="8980"/>
          </w:cols>
          <w:pgMar w:left="320" w:top="891" w:right="339" w:bottom="1440" w:gutter="0" w:footer="0" w:header="0"/>
          <w:type w:val="continuous"/>
        </w:sectPr>
      </w:pPr>
    </w:p>
    <w:p>
      <w:pPr>
        <w:spacing w:after="0" w:line="3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Shared power to vote or to direct the vote</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Rosalind Advisors, Inc. – 5,377,113</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Rosalind Master Fund L.P. – 5,377,113</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Steven Salamon – 5,377,113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Gilad Aharon – 5,377,113</w:t>
      </w:r>
    </w:p>
    <w:p>
      <w:pPr>
        <w:spacing w:after="0" w:line="200" w:lineRule="exact"/>
        <w:rPr>
          <w:sz w:val="20"/>
          <w:szCs w:val="20"/>
          <w:color w:val="auto"/>
        </w:rPr>
      </w:pPr>
    </w:p>
    <w:p>
      <w:pPr>
        <w:sectPr>
          <w:pgSz w:w="11900" w:h="16838" w:orient="portrait"/>
          <w:cols w:equalWidth="0" w:num="2">
            <w:col w:w="2940" w:space="720"/>
            <w:col w:w="7580"/>
          </w:cols>
          <w:pgMar w:left="320" w:top="891" w:right="339" w:bottom="1440" w:gutter="0" w:footer="0" w:header="0"/>
          <w:type w:val="continuous"/>
        </w:sectPr>
      </w:pPr>
    </w:p>
    <w:p>
      <w:pPr>
        <w:spacing w:after="0" w:line="1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Sole power to dispose or to direct the disposition of – 0</w:t>
      </w:r>
    </w:p>
    <w:p>
      <w:pPr>
        <w:spacing w:after="0" w:line="222" w:lineRule="exact"/>
        <w:rPr>
          <w:sz w:val="20"/>
          <w:szCs w:val="20"/>
          <w:color w:val="auto"/>
        </w:rPr>
      </w:pPr>
    </w:p>
    <w:p>
      <w:pPr>
        <w:sectPr>
          <w:pgSz w:w="11900" w:h="16838" w:orient="portrait"/>
          <w:cols w:equalWidth="0" w:num="2">
            <w:col w:w="2940" w:space="720"/>
            <w:col w:w="7580"/>
          </w:cols>
          <w:pgMar w:left="320" w:top="891" w:right="339" w:bottom="1440" w:gutter="0" w:footer="0" w:header="0"/>
          <w:type w:val="continuous"/>
        </w:sectPr>
      </w:pPr>
    </w:p>
    <w:p>
      <w:pPr>
        <w:spacing w:after="0" w:line="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Shared power to dispose or to direct the disposition of</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Rosalind Advisors, Inc. – 5,377,113</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Rosalind Master Fund L.P. – 5,377,113</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Steven Salamon – 5,377,113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Gilad Aharon – 5,377,113</w:t>
      </w:r>
    </w:p>
    <w:p>
      <w:pPr>
        <w:spacing w:after="0" w:line="200" w:lineRule="exact"/>
        <w:rPr>
          <w:sz w:val="20"/>
          <w:szCs w:val="20"/>
          <w:color w:val="auto"/>
        </w:rPr>
      </w:pPr>
    </w:p>
    <w:p>
      <w:pPr>
        <w:sectPr>
          <w:pgSz w:w="11900" w:h="16838" w:orient="portrait"/>
          <w:cols w:equalWidth="0" w:num="2">
            <w:col w:w="2940" w:space="720"/>
            <w:col w:w="7580"/>
          </w:cols>
          <w:pgMar w:left="320" w:top="89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 9.</w:t>
      </w:r>
      <w:r>
        <w:rPr>
          <w:sz w:val="20"/>
          <w:szCs w:val="20"/>
          <w:color w:val="auto"/>
        </w:rPr>
        <w:tab/>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-252730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8 Pages</w:t>
      </w:r>
    </w:p>
    <w:p>
      <w:pPr>
        <w:spacing w:after="0" w:line="211" w:lineRule="exact"/>
        <w:rPr>
          <w:sz w:val="20"/>
          <w:szCs w:val="20"/>
          <w:color w:val="auto"/>
        </w:rPr>
      </w:pPr>
    </w:p>
    <w:p>
      <w:pPr>
        <w:sectPr>
          <w:pgSz w:w="11900" w:h="16838" w:orient="portrait"/>
          <w:cols w:equalWidth="0" w:num="3">
            <w:col w:w="4680" w:space="720"/>
            <w:col w:w="3840" w:space="720"/>
            <w:col w:w="1280"/>
          </w:cols>
          <w:pgMar w:left="320" w:top="891"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sectPr>
          <w:pgSz w:w="11900" w:h="16838" w:orient="portrait"/>
          <w:cols w:equalWidth="0" w:num="2">
            <w:col w:w="660" w:space="480"/>
            <w:col w:w="10100"/>
          </w:cols>
          <w:pgMar w:left="320" w:top="891" w:right="339" w:bottom="1440" w:gutter="0" w:footer="0" w:header="0"/>
          <w:type w:val="continuous"/>
        </w:sectPr>
      </w:pPr>
    </w:p>
    <w:p>
      <w:pPr>
        <w:spacing w:after="0" w:line="41" w:lineRule="exact"/>
        <w:rPr>
          <w:sz w:val="20"/>
          <w:szCs w:val="20"/>
          <w:color w:val="auto"/>
        </w:rPr>
      </w:pPr>
    </w:p>
    <w:p>
      <w:pPr>
        <w:jc w:val="both"/>
        <w:ind w:left="1140" w:right="1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14605</wp:posOffset>
            </wp:positionV>
            <wp:extent cx="23056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14605</wp:posOffset>
            </wp:positionV>
            <wp:extent cx="2305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7600"/>
        <w:spacing w:after="0"/>
        <w:rPr>
          <w:sz w:val="20"/>
          <w:szCs w:val="20"/>
          <w:color w:val="auto"/>
        </w:rPr>
      </w:pPr>
      <w:r>
        <w:rPr>
          <w:rFonts w:ascii="Arial" w:cs="Arial" w:eastAsia="Arial" w:hAnsi="Arial"/>
          <w:sz w:val="16"/>
          <w:szCs w:val="16"/>
          <w:u w:val="single" w:color="auto"/>
          <w:color w:val="auto"/>
        </w:rPr>
        <w:t>Steven Salamon/President Rosalind Advisors, Inc.</w:t>
      </w:r>
    </w:p>
    <w:p>
      <w:pPr>
        <w:spacing w:after="0" w:line="46"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undersigned hereby agree that this Statement on Schedule 13G with respect to the beneficial ownership of shares of Common Stock of VistaGen Therapeutics, Inc. is filed jointly, on behalf of each of them.</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Rosalind Advisors,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Steven Salamon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Rosalind Master Fund L.P.</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Mike McDonald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Mike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 Director, Rosalind (Cayman) Ltd. (as General Partner to</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Rosalind Master Fund)</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Steven Salamon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2021-01-22T16:33:26Z</dcterms:created>
  <dcterms:modified xsi:type="dcterms:W3CDTF">2021-01-22T16:33:26Z</dcterms:modified>
</cp:coreProperties>
</file>